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52A9E8F">
      <w:pPr>
        <w:spacing w:line="360" w:lineRule="auto"/>
        <w:jc w:val="center"/>
        <w:outlineLvl w:val="1"/>
        <w:rPr>
          <w:rFonts w:ascii="宋体" w:hAnsi="宋体" w:eastAsia="宋体"/>
          <w:b/>
          <w:bCs/>
          <w:color w:val="auto"/>
          <w:sz w:val="24"/>
          <w:szCs w:val="18"/>
          <w:highlight w:val="none"/>
        </w:rPr>
      </w:pPr>
      <w:bookmarkStart w:id="0" w:name="_Toc8981"/>
      <w:bookmarkStart w:id="1" w:name="_Toc25805"/>
      <w:r>
        <w:rPr>
          <w:rFonts w:hint="eastAsia" w:ascii="宋体" w:hAnsi="宋体" w:eastAsia="宋体"/>
          <w:b/>
          <w:bCs/>
          <w:color w:val="auto"/>
          <w:sz w:val="24"/>
          <w:szCs w:val="18"/>
          <w:highlight w:val="none"/>
          <w:lang w:val="en-US" w:eastAsia="zh-CN"/>
        </w:rPr>
        <w:t>采购</w:t>
      </w:r>
      <w:r>
        <w:rPr>
          <w:rFonts w:hint="eastAsia" w:ascii="宋体" w:hAnsi="宋体" w:eastAsia="宋体"/>
          <w:b/>
          <w:bCs/>
          <w:color w:val="auto"/>
          <w:sz w:val="24"/>
          <w:szCs w:val="18"/>
          <w:highlight w:val="none"/>
        </w:rPr>
        <w:t>需求</w:t>
      </w:r>
      <w:bookmarkEnd w:id="0"/>
      <w:bookmarkEnd w:id="1"/>
    </w:p>
    <w:tbl>
      <w:tblPr>
        <w:tblStyle w:val="12"/>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8"/>
        <w:gridCol w:w="1258"/>
        <w:gridCol w:w="2899"/>
        <w:gridCol w:w="1023"/>
        <w:gridCol w:w="718"/>
        <w:gridCol w:w="1133"/>
        <w:gridCol w:w="816"/>
      </w:tblGrid>
      <w:tr w14:paraId="15C5C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2" w:type="pct"/>
            <w:vAlign w:val="center"/>
          </w:tcPr>
          <w:p w14:paraId="39D48701">
            <w:pPr>
              <w:spacing w:line="360" w:lineRule="auto"/>
              <w:jc w:val="center"/>
              <w:rPr>
                <w:rFonts w:asciiTheme="minorEastAsia" w:hAnsiTheme="minorEastAsia" w:eastAsiaTheme="minorEastAsia"/>
                <w:b/>
                <w:bCs/>
                <w:color w:val="auto"/>
                <w:sz w:val="24"/>
                <w:szCs w:val="24"/>
                <w:highlight w:val="none"/>
              </w:rPr>
            </w:pPr>
            <w:r>
              <w:rPr>
                <w:rFonts w:hint="eastAsia" w:ascii="宋体" w:hAnsi="宋体" w:eastAsia="宋体"/>
                <w:b/>
                <w:bCs/>
                <w:color w:val="auto"/>
                <w:sz w:val="24"/>
                <w:szCs w:val="18"/>
                <w:highlight w:val="none"/>
              </w:rPr>
              <w:t>序号</w:t>
            </w:r>
          </w:p>
        </w:tc>
        <w:tc>
          <w:tcPr>
            <w:tcW w:w="738" w:type="pct"/>
            <w:vAlign w:val="center"/>
          </w:tcPr>
          <w:p w14:paraId="7A6932D3">
            <w:pPr>
              <w:spacing w:line="360" w:lineRule="auto"/>
              <w:jc w:val="center"/>
              <w:rPr>
                <w:rFonts w:asciiTheme="minorEastAsia" w:hAnsiTheme="minorEastAsia" w:eastAsiaTheme="minorEastAsia"/>
                <w:b/>
                <w:bCs/>
                <w:color w:val="auto"/>
                <w:sz w:val="24"/>
                <w:szCs w:val="24"/>
                <w:highlight w:val="none"/>
              </w:rPr>
            </w:pPr>
            <w:r>
              <w:rPr>
                <w:rFonts w:hint="eastAsia" w:ascii="宋体" w:hAnsi="宋体" w:eastAsia="宋体"/>
                <w:b/>
                <w:bCs/>
                <w:color w:val="auto"/>
                <w:sz w:val="24"/>
                <w:szCs w:val="18"/>
                <w:highlight w:val="none"/>
              </w:rPr>
              <w:t>货物名称</w:t>
            </w:r>
          </w:p>
        </w:tc>
        <w:tc>
          <w:tcPr>
            <w:tcW w:w="1701" w:type="pct"/>
            <w:vAlign w:val="center"/>
          </w:tcPr>
          <w:p w14:paraId="58B22342">
            <w:pPr>
              <w:spacing w:line="360" w:lineRule="auto"/>
              <w:jc w:val="center"/>
              <w:rPr>
                <w:rFonts w:asciiTheme="minorEastAsia" w:hAnsiTheme="minorEastAsia" w:eastAsiaTheme="minorEastAsia"/>
                <w:b/>
                <w:bCs/>
                <w:color w:val="auto"/>
                <w:sz w:val="24"/>
                <w:szCs w:val="24"/>
                <w:highlight w:val="none"/>
              </w:rPr>
            </w:pPr>
            <w:r>
              <w:rPr>
                <w:rFonts w:hint="eastAsia" w:ascii="宋体" w:hAnsi="宋体" w:eastAsia="宋体"/>
                <w:b/>
                <w:bCs/>
                <w:color w:val="auto"/>
                <w:sz w:val="24"/>
                <w:szCs w:val="18"/>
                <w:highlight w:val="none"/>
              </w:rPr>
              <w:t>技术参数及要求</w:t>
            </w:r>
          </w:p>
        </w:tc>
        <w:tc>
          <w:tcPr>
            <w:tcW w:w="600" w:type="pct"/>
            <w:vAlign w:val="center"/>
          </w:tcPr>
          <w:p w14:paraId="68ECD2B5">
            <w:pPr>
              <w:spacing w:line="360" w:lineRule="auto"/>
              <w:jc w:val="center"/>
              <w:rPr>
                <w:rFonts w:asciiTheme="minorEastAsia" w:hAnsiTheme="minorEastAsia" w:eastAsiaTheme="minorEastAsia"/>
                <w:b/>
                <w:bCs/>
                <w:color w:val="auto"/>
                <w:sz w:val="24"/>
                <w:szCs w:val="24"/>
                <w:highlight w:val="none"/>
              </w:rPr>
            </w:pPr>
            <w:r>
              <w:rPr>
                <w:rFonts w:hint="eastAsia" w:ascii="宋体" w:hAnsi="宋体" w:eastAsia="宋体"/>
                <w:b/>
                <w:bCs/>
                <w:color w:val="auto"/>
                <w:sz w:val="24"/>
                <w:szCs w:val="18"/>
                <w:highlight w:val="none"/>
              </w:rPr>
              <w:t>数量（单位）</w:t>
            </w:r>
          </w:p>
        </w:tc>
        <w:tc>
          <w:tcPr>
            <w:tcW w:w="421" w:type="pct"/>
            <w:vAlign w:val="center"/>
          </w:tcPr>
          <w:p w14:paraId="53319C5F">
            <w:pPr>
              <w:spacing w:line="360" w:lineRule="auto"/>
              <w:jc w:val="center"/>
              <w:rPr>
                <w:rFonts w:asciiTheme="minorEastAsia" w:hAnsiTheme="minorEastAsia" w:eastAsiaTheme="minorEastAsia"/>
                <w:b/>
                <w:bCs/>
                <w:color w:val="auto"/>
                <w:sz w:val="24"/>
                <w:szCs w:val="24"/>
                <w:highlight w:val="none"/>
              </w:rPr>
            </w:pPr>
            <w:r>
              <w:rPr>
                <w:rFonts w:hint="eastAsia" w:ascii="宋体" w:hAnsi="宋体" w:eastAsia="宋体"/>
                <w:b/>
                <w:bCs/>
                <w:color w:val="auto"/>
                <w:sz w:val="24"/>
                <w:szCs w:val="18"/>
                <w:highlight w:val="none"/>
              </w:rPr>
              <w:t>所属行业</w:t>
            </w:r>
          </w:p>
        </w:tc>
        <w:tc>
          <w:tcPr>
            <w:tcW w:w="665" w:type="pct"/>
            <w:vAlign w:val="center"/>
          </w:tcPr>
          <w:p w14:paraId="3DD96CD6">
            <w:pPr>
              <w:spacing w:line="360" w:lineRule="auto"/>
              <w:jc w:val="center"/>
              <w:rPr>
                <w:rFonts w:hint="default" w:ascii="宋体" w:hAnsi="宋体" w:eastAsia="宋体"/>
                <w:b/>
                <w:bCs/>
                <w:color w:val="auto"/>
                <w:sz w:val="24"/>
                <w:szCs w:val="18"/>
                <w:highlight w:val="none"/>
                <w:lang w:val="en-US" w:eastAsia="zh-CN"/>
              </w:rPr>
            </w:pPr>
            <w:r>
              <w:rPr>
                <w:rFonts w:hint="eastAsia" w:ascii="宋体" w:hAnsi="宋体" w:eastAsia="宋体"/>
                <w:b/>
                <w:bCs/>
                <w:color w:val="auto"/>
                <w:sz w:val="24"/>
                <w:szCs w:val="18"/>
                <w:highlight w:val="none"/>
                <w:lang w:val="en-US" w:eastAsia="zh-CN"/>
              </w:rPr>
              <w:t>是否为核心产品</w:t>
            </w:r>
          </w:p>
        </w:tc>
        <w:tc>
          <w:tcPr>
            <w:tcW w:w="479" w:type="pct"/>
            <w:vAlign w:val="center"/>
          </w:tcPr>
          <w:p w14:paraId="30B34C6C">
            <w:pPr>
              <w:spacing w:line="360" w:lineRule="auto"/>
              <w:jc w:val="center"/>
              <w:rPr>
                <w:rFonts w:asciiTheme="minorEastAsia" w:hAnsiTheme="minorEastAsia" w:eastAsiaTheme="minorEastAsia"/>
                <w:b/>
                <w:bCs/>
                <w:color w:val="auto"/>
                <w:sz w:val="24"/>
                <w:szCs w:val="24"/>
                <w:highlight w:val="none"/>
              </w:rPr>
            </w:pPr>
            <w:r>
              <w:rPr>
                <w:rFonts w:hint="eastAsia" w:ascii="宋体" w:hAnsi="宋体" w:eastAsia="宋体"/>
                <w:b/>
                <w:bCs/>
                <w:color w:val="auto"/>
                <w:sz w:val="24"/>
                <w:szCs w:val="18"/>
                <w:highlight w:val="none"/>
              </w:rPr>
              <w:t>备注</w:t>
            </w:r>
          </w:p>
        </w:tc>
      </w:tr>
      <w:tr w14:paraId="70FA4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392" w:type="pct"/>
            <w:vAlign w:val="center"/>
          </w:tcPr>
          <w:p w14:paraId="48D06B06">
            <w:pPr>
              <w:jc w:val="center"/>
              <w:rPr>
                <w:rFonts w:hint="eastAsia" w:ascii="宋体" w:hAnsi="宋体"/>
                <w:color w:val="auto"/>
                <w:sz w:val="21"/>
                <w:szCs w:val="21"/>
                <w:highlight w:val="none"/>
                <w:lang w:val="en-US" w:eastAsia="zh-CN"/>
              </w:rPr>
            </w:pPr>
            <w:r>
              <w:rPr>
                <w:rFonts w:hint="eastAsia" w:ascii="宋体" w:hAnsi="宋体"/>
                <w:color w:val="auto"/>
                <w:sz w:val="21"/>
                <w:szCs w:val="21"/>
                <w:highlight w:val="none"/>
                <w:lang w:val="en-US" w:eastAsia="zh-CN"/>
              </w:rPr>
              <w:t>1</w:t>
            </w:r>
          </w:p>
        </w:tc>
        <w:tc>
          <w:tcPr>
            <w:tcW w:w="738" w:type="pct"/>
            <w:vAlign w:val="center"/>
          </w:tcPr>
          <w:p w14:paraId="4719D643">
            <w:pPr>
              <w:jc w:val="center"/>
              <w:rPr>
                <w:rFonts w:hint="eastAsia" w:ascii="宋体" w:hAnsi="宋体" w:eastAsia="@仿宋_GB2312"/>
                <w:color w:val="auto"/>
                <w:sz w:val="21"/>
                <w:szCs w:val="21"/>
                <w:highlight w:val="none"/>
                <w:lang w:val="en-US" w:eastAsia="zh-CN"/>
              </w:rPr>
            </w:pPr>
            <w:r>
              <w:rPr>
                <w:rFonts w:ascii="宋体" w:hAnsi="宋体"/>
                <w:b w:val="0"/>
                <w:bCs w:val="0"/>
                <w:sz w:val="24"/>
                <w:szCs w:val="24"/>
                <w:lang w:val="zh-CN"/>
              </w:rPr>
              <w:t>脉动真空</w:t>
            </w:r>
            <w:r>
              <w:rPr>
                <w:rFonts w:hint="eastAsia" w:ascii="宋体" w:hAnsi="宋体"/>
                <w:b w:val="0"/>
                <w:bCs w:val="0"/>
                <w:sz w:val="24"/>
                <w:szCs w:val="24"/>
                <w:lang w:val="zh-CN"/>
              </w:rPr>
              <w:t>蒸汽</w:t>
            </w:r>
            <w:r>
              <w:rPr>
                <w:rFonts w:ascii="宋体" w:hAnsi="宋体"/>
                <w:b w:val="0"/>
                <w:bCs w:val="0"/>
                <w:sz w:val="24"/>
                <w:szCs w:val="24"/>
                <w:lang w:val="zh-CN"/>
              </w:rPr>
              <w:t>灭菌器</w:t>
            </w:r>
          </w:p>
        </w:tc>
        <w:tc>
          <w:tcPr>
            <w:tcW w:w="1701" w:type="pct"/>
            <w:vAlign w:val="center"/>
          </w:tcPr>
          <w:p w14:paraId="45600769">
            <w:pPr>
              <w:numPr>
                <w:ilvl w:val="0"/>
                <w:numId w:val="1"/>
              </w:numPr>
              <w:spacing w:line="360" w:lineRule="auto"/>
              <w:rPr>
                <w:rFonts w:ascii="宋体" w:hAnsi="宋体"/>
                <w:b w:val="0"/>
                <w:bCs w:val="0"/>
                <w:sz w:val="24"/>
                <w:szCs w:val="24"/>
                <w:lang w:val="zh-CN"/>
              </w:rPr>
            </w:pPr>
            <w:r>
              <w:rPr>
                <w:rFonts w:ascii="宋体" w:hAnsi="宋体"/>
                <w:b w:val="0"/>
                <w:bCs w:val="0"/>
                <w:sz w:val="24"/>
                <w:szCs w:val="24"/>
                <w:lang w:val="zh-CN"/>
              </w:rPr>
              <w:t>灭菌</w:t>
            </w:r>
            <w:r>
              <w:rPr>
                <w:rFonts w:hint="eastAsia" w:ascii="宋体" w:hAnsi="宋体"/>
                <w:b w:val="0"/>
                <w:bCs w:val="0"/>
                <w:sz w:val="24"/>
                <w:szCs w:val="24"/>
                <w:lang w:val="zh-CN"/>
              </w:rPr>
              <w:t>器</w:t>
            </w:r>
            <w:r>
              <w:rPr>
                <w:rFonts w:ascii="宋体" w:hAnsi="宋体"/>
                <w:b w:val="0"/>
                <w:bCs w:val="0"/>
                <w:sz w:val="24"/>
                <w:szCs w:val="24"/>
                <w:lang w:val="zh-CN"/>
              </w:rPr>
              <w:t>：灭菌器容积</w:t>
            </w:r>
            <w:r>
              <w:rPr>
                <w:rFonts w:hint="eastAsia" w:ascii="宋体" w:hAnsi="宋体"/>
                <w:b w:val="0"/>
                <w:bCs w:val="0"/>
                <w:sz w:val="24"/>
                <w:szCs w:val="24"/>
              </w:rPr>
              <w:t>≥</w:t>
            </w:r>
            <w:r>
              <w:rPr>
                <w:rFonts w:hint="eastAsia" w:ascii="宋体" w:hAnsi="宋体"/>
                <w:b w:val="0"/>
                <w:bCs w:val="0"/>
                <w:sz w:val="24"/>
                <w:szCs w:val="24"/>
                <w:lang w:val="zh-CN"/>
              </w:rPr>
              <w:t>10</w:t>
            </w:r>
            <w:r>
              <w:rPr>
                <w:rFonts w:hint="eastAsia" w:ascii="宋体" w:hAnsi="宋体"/>
                <w:b w:val="0"/>
                <w:bCs w:val="0"/>
                <w:sz w:val="24"/>
                <w:szCs w:val="24"/>
                <w:lang w:val="en-US" w:eastAsia="zh-CN"/>
              </w:rPr>
              <w:t>0</w:t>
            </w:r>
            <w:r>
              <w:rPr>
                <w:rFonts w:hint="eastAsia" w:ascii="宋体" w:hAnsi="宋体"/>
                <w:b w:val="0"/>
                <w:bCs w:val="0"/>
                <w:sz w:val="24"/>
                <w:szCs w:val="24"/>
                <w:lang w:val="zh-CN"/>
              </w:rPr>
              <w:t>0</w:t>
            </w:r>
            <w:r>
              <w:rPr>
                <w:rFonts w:ascii="宋体" w:hAnsi="宋体"/>
                <w:b w:val="0"/>
                <w:bCs w:val="0"/>
                <w:sz w:val="24"/>
                <w:szCs w:val="24"/>
                <w:lang w:val="zh-CN"/>
              </w:rPr>
              <w:t>升</w:t>
            </w:r>
            <w:r>
              <w:rPr>
                <w:rFonts w:hint="eastAsia" w:ascii="宋体" w:hAnsi="宋体"/>
                <w:b w:val="0"/>
                <w:bCs w:val="0"/>
                <w:sz w:val="24"/>
                <w:szCs w:val="24"/>
                <w:lang w:val="zh-CN"/>
              </w:rPr>
              <w:t>。</w:t>
            </w:r>
          </w:p>
          <w:p w14:paraId="4804F5AA">
            <w:pPr>
              <w:pStyle w:val="11"/>
              <w:numPr>
                <w:ilvl w:val="0"/>
                <w:numId w:val="1"/>
              </w:numPr>
            </w:pPr>
            <w:r>
              <w:rPr>
                <w:rFonts w:ascii="宋体" w:hAnsi="宋体"/>
                <w:b w:val="0"/>
                <w:bCs w:val="0"/>
                <w:sz w:val="24"/>
                <w:szCs w:val="24"/>
                <w:lang w:val="zh-CN"/>
              </w:rPr>
              <w:t>用途：对耐热、耐湿物品的灭菌处理。</w:t>
            </w:r>
          </w:p>
          <w:p w14:paraId="7A474FF4">
            <w:pPr>
              <w:pStyle w:val="11"/>
              <w:numPr>
                <w:ilvl w:val="0"/>
                <w:numId w:val="1"/>
              </w:numPr>
            </w:pPr>
            <w:r>
              <w:rPr>
                <w:rFonts w:ascii="宋体" w:hAnsi="宋体"/>
                <w:b w:val="0"/>
                <w:bCs w:val="0"/>
                <w:sz w:val="24"/>
                <w:szCs w:val="24"/>
                <w:lang w:val="zh-CN"/>
              </w:rPr>
              <w:t>密封门：</w:t>
            </w:r>
            <w:r>
              <w:rPr>
                <w:rFonts w:hint="eastAsia" w:ascii="宋体" w:hAnsi="宋体"/>
                <w:b w:val="0"/>
                <w:bCs w:val="0"/>
                <w:sz w:val="24"/>
                <w:szCs w:val="24"/>
                <w:lang w:val="zh-CN" w:eastAsia="zh-CN"/>
              </w:rPr>
              <w:t>自</w:t>
            </w:r>
            <w:r>
              <w:rPr>
                <w:rFonts w:hint="eastAsia" w:ascii="宋体" w:hAnsi="宋体"/>
                <w:b w:val="0"/>
                <w:bCs w:val="0"/>
                <w:sz w:val="24"/>
                <w:szCs w:val="24"/>
                <w:lang w:val="zh-CN"/>
              </w:rPr>
              <w:t>动</w:t>
            </w:r>
            <w:r>
              <w:rPr>
                <w:rFonts w:ascii="宋体" w:hAnsi="宋体"/>
                <w:b w:val="0"/>
                <w:bCs w:val="0"/>
                <w:sz w:val="24"/>
                <w:szCs w:val="24"/>
                <w:lang w:val="zh-CN"/>
              </w:rPr>
              <w:t>门</w:t>
            </w:r>
            <w:r>
              <w:rPr>
                <w:rFonts w:hint="eastAsia" w:ascii="宋体" w:hAnsi="宋体"/>
                <w:b w:val="0"/>
                <w:bCs w:val="0"/>
                <w:sz w:val="24"/>
                <w:szCs w:val="24"/>
                <w:lang w:val="zh-CN"/>
              </w:rPr>
              <w:t>，双门互锁，开门方式可自动选择一键开门或者常按开门。具有安全连锁装置。</w:t>
            </w:r>
          </w:p>
          <w:p w14:paraId="55CC63D5">
            <w:pPr>
              <w:pStyle w:val="11"/>
              <w:numPr>
                <w:ilvl w:val="0"/>
                <w:numId w:val="1"/>
              </w:numPr>
            </w:pPr>
            <w:r>
              <w:rPr>
                <w:rFonts w:ascii="宋体" w:hAnsi="宋体"/>
                <w:b w:val="0"/>
                <w:bCs w:val="0"/>
                <w:sz w:val="24"/>
                <w:szCs w:val="24"/>
                <w:lang w:val="zh-CN"/>
              </w:rPr>
              <w:t>灭菌器主体材质：内胆</w:t>
            </w:r>
            <w:r>
              <w:rPr>
                <w:rFonts w:hint="eastAsia" w:ascii="宋体" w:hAnsi="宋体"/>
                <w:b w:val="0"/>
                <w:bCs w:val="0"/>
                <w:sz w:val="24"/>
                <w:szCs w:val="24"/>
                <w:lang w:val="en-US" w:eastAsia="zh-CN"/>
              </w:rPr>
              <w:t>采用</w:t>
            </w:r>
            <w:r>
              <w:rPr>
                <w:rFonts w:hint="eastAsia" w:ascii="宋体" w:hAnsi="宋体"/>
                <w:b w:val="0"/>
                <w:bCs w:val="0"/>
                <w:sz w:val="24"/>
                <w:szCs w:val="24"/>
                <w:lang w:val="zh-CN"/>
              </w:rPr>
              <w:t>304</w:t>
            </w:r>
            <w:r>
              <w:rPr>
                <w:rFonts w:ascii="宋体" w:hAnsi="宋体"/>
                <w:b w:val="0"/>
                <w:bCs w:val="0"/>
                <w:sz w:val="24"/>
                <w:szCs w:val="24"/>
                <w:lang w:val="zh-CN"/>
              </w:rPr>
              <w:t>优质不锈钢并符合质量和安全标准，一类压力容器</w:t>
            </w:r>
            <w:r>
              <w:rPr>
                <w:rFonts w:hint="eastAsia" w:ascii="宋体" w:hAnsi="宋体"/>
                <w:b w:val="0"/>
                <w:bCs w:val="0"/>
                <w:sz w:val="24"/>
                <w:szCs w:val="24"/>
                <w:lang w:val="zh-CN"/>
              </w:rPr>
              <w:t>。前后</w:t>
            </w:r>
            <w:r>
              <w:rPr>
                <w:rFonts w:ascii="宋体" w:hAnsi="宋体"/>
                <w:b w:val="0"/>
                <w:bCs w:val="0"/>
                <w:sz w:val="24"/>
                <w:szCs w:val="24"/>
                <w:lang w:val="zh-CN"/>
              </w:rPr>
              <w:t>门罩、侧罩</w:t>
            </w:r>
            <w:r>
              <w:rPr>
                <w:rFonts w:hint="eastAsia" w:ascii="宋体" w:hAnsi="宋体"/>
                <w:b w:val="0"/>
                <w:bCs w:val="0"/>
                <w:sz w:val="24"/>
                <w:szCs w:val="24"/>
                <w:lang w:val="zh-CN"/>
              </w:rPr>
              <w:t>板</w:t>
            </w:r>
            <w:r>
              <w:rPr>
                <w:rFonts w:ascii="宋体" w:hAnsi="宋体"/>
                <w:b w:val="0"/>
                <w:bCs w:val="0"/>
                <w:sz w:val="24"/>
                <w:szCs w:val="24"/>
                <w:lang w:val="zh-CN"/>
              </w:rPr>
              <w:t>均为不锈钢材质</w:t>
            </w:r>
            <w:r>
              <w:rPr>
                <w:rFonts w:hint="eastAsia" w:ascii="宋体" w:hAnsi="宋体"/>
                <w:b w:val="0"/>
                <w:bCs w:val="0"/>
                <w:sz w:val="24"/>
                <w:szCs w:val="24"/>
                <w:lang w:val="zh-CN"/>
              </w:rPr>
              <w:t>。</w:t>
            </w:r>
          </w:p>
          <w:p w14:paraId="5942DF72">
            <w:pPr>
              <w:pStyle w:val="11"/>
              <w:numPr>
                <w:ilvl w:val="0"/>
                <w:numId w:val="1"/>
              </w:numPr>
            </w:pPr>
            <w:r>
              <w:rPr>
                <w:rFonts w:ascii="宋体" w:hAnsi="宋体"/>
                <w:b w:val="0"/>
                <w:bCs w:val="0"/>
                <w:sz w:val="24"/>
                <w:szCs w:val="24"/>
                <w:lang w:val="zh-CN"/>
              </w:rPr>
              <w:t>主控制系统：</w:t>
            </w:r>
            <w:r>
              <w:rPr>
                <w:rFonts w:hint="eastAsia" w:ascii="宋体" w:hAnsi="宋体"/>
                <w:b w:val="0"/>
                <w:bCs w:val="0"/>
                <w:color w:val="auto"/>
                <w:sz w:val="24"/>
                <w:szCs w:val="24"/>
                <w:lang w:val="zh-CN"/>
              </w:rPr>
              <w:t>进口品牌PLC+彩色触摸屏操作，不得采用单片机控制。要求设备内室设计有两路温控系统，检测内室不同区域的灭菌温度，并自动以最低温度作为灭菌计时依据进行计时。其中一路温控系统出现故障，另一路温控系统自动参与控制。可以连接移动存储设备自动读取设备运行参数。PLC自带网线接口。无条件免费开放追溯接口。</w:t>
            </w:r>
          </w:p>
          <w:p w14:paraId="7FC2E584">
            <w:pPr>
              <w:pStyle w:val="11"/>
              <w:numPr>
                <w:ilvl w:val="0"/>
                <w:numId w:val="1"/>
              </w:numPr>
            </w:pPr>
            <w:r>
              <w:rPr>
                <w:rFonts w:ascii="宋体" w:hAnsi="宋体"/>
                <w:b w:val="0"/>
                <w:bCs w:val="0"/>
                <w:sz w:val="24"/>
                <w:szCs w:val="24"/>
                <w:lang w:val="zh-CN"/>
              </w:rPr>
              <w:t>记录方式：</w:t>
            </w:r>
            <w:r>
              <w:rPr>
                <w:rFonts w:hint="eastAsia" w:ascii="宋体" w:hAnsi="宋体"/>
                <w:b w:val="0"/>
                <w:bCs w:val="0"/>
                <w:sz w:val="24"/>
                <w:szCs w:val="24"/>
                <w:lang w:val="zh-CN"/>
              </w:rPr>
              <w:t>内</w:t>
            </w:r>
            <w:r>
              <w:rPr>
                <w:rFonts w:hint="eastAsia" w:ascii="宋体" w:hAnsi="宋体"/>
                <w:b w:val="0"/>
                <w:bCs w:val="0"/>
                <w:color w:val="auto"/>
                <w:sz w:val="24"/>
                <w:szCs w:val="24"/>
                <w:lang w:val="zh-CN"/>
              </w:rPr>
              <w:t>置中文打印机，</w:t>
            </w:r>
            <w:r>
              <w:rPr>
                <w:rFonts w:ascii="宋体" w:hAnsi="宋体"/>
                <w:b w:val="0"/>
                <w:bCs w:val="0"/>
                <w:color w:val="auto"/>
                <w:sz w:val="24"/>
                <w:szCs w:val="24"/>
                <w:lang w:val="zh-CN"/>
              </w:rPr>
              <w:t>即时打印参数</w:t>
            </w:r>
            <w:r>
              <w:rPr>
                <w:rFonts w:hint="eastAsia" w:ascii="宋体" w:hAnsi="宋体"/>
                <w:b w:val="0"/>
                <w:bCs w:val="0"/>
                <w:color w:val="auto"/>
                <w:sz w:val="24"/>
                <w:szCs w:val="24"/>
                <w:lang w:val="zh-CN"/>
              </w:rPr>
              <w:t>，可打印运行程序与程序设定的参数、灭菌过程各阶段的时间、高低温度检测数据、压力、灭菌过程是否合格、操作人员的签名。并具备曲线图是否打印选择功能。</w:t>
            </w:r>
          </w:p>
          <w:p w14:paraId="4C0231B1">
            <w:pPr>
              <w:pStyle w:val="11"/>
              <w:numPr>
                <w:ilvl w:val="0"/>
                <w:numId w:val="1"/>
              </w:numPr>
            </w:pPr>
            <w:r>
              <w:rPr>
                <w:rFonts w:ascii="宋体" w:hAnsi="宋体"/>
                <w:b w:val="0"/>
                <w:bCs w:val="0"/>
                <w:sz w:val="24"/>
                <w:szCs w:val="24"/>
                <w:lang w:val="zh-CN"/>
              </w:rPr>
              <w:t>程序选择：设备具有</w:t>
            </w:r>
            <w:r>
              <w:rPr>
                <w:rFonts w:hint="eastAsia" w:ascii="宋体" w:hAnsi="宋体"/>
                <w:b w:val="0"/>
                <w:bCs w:val="0"/>
                <w:sz w:val="24"/>
                <w:szCs w:val="24"/>
                <w:lang w:val="zh-CN"/>
              </w:rPr>
              <w:t>敷料、</w:t>
            </w:r>
            <w:r>
              <w:rPr>
                <w:rFonts w:ascii="宋体" w:hAnsi="宋体"/>
                <w:b w:val="0"/>
                <w:bCs w:val="0"/>
                <w:sz w:val="24"/>
                <w:szCs w:val="24"/>
                <w:lang w:val="zh-CN"/>
              </w:rPr>
              <w:t>器械、</w:t>
            </w:r>
            <w:r>
              <w:rPr>
                <w:rFonts w:hint="eastAsia" w:ascii="宋体" w:hAnsi="宋体"/>
                <w:b w:val="0"/>
                <w:bCs w:val="0"/>
                <w:sz w:val="24"/>
                <w:szCs w:val="24"/>
                <w:lang w:val="zh-CN"/>
              </w:rPr>
              <w:t>下排汽</w:t>
            </w:r>
            <w:r>
              <w:rPr>
                <w:rFonts w:ascii="宋体" w:hAnsi="宋体"/>
                <w:b w:val="0"/>
                <w:bCs w:val="0"/>
                <w:sz w:val="24"/>
                <w:szCs w:val="24"/>
                <w:lang w:val="zh-CN"/>
              </w:rPr>
              <w:t>、B—D试验</w:t>
            </w:r>
            <w:r>
              <w:rPr>
                <w:rFonts w:hint="eastAsia" w:ascii="宋体" w:hAnsi="宋体"/>
                <w:b w:val="0"/>
                <w:bCs w:val="0"/>
                <w:sz w:val="24"/>
                <w:szCs w:val="24"/>
                <w:lang w:val="en-US" w:eastAsia="zh-CN"/>
              </w:rPr>
              <w:t xml:space="preserve"> 负压检漏 PCD测试及</w:t>
            </w:r>
            <w:r>
              <w:rPr>
                <w:rFonts w:hint="eastAsia" w:ascii="宋体" w:hAnsi="宋体"/>
                <w:b w:val="0"/>
                <w:bCs w:val="0"/>
                <w:sz w:val="24"/>
                <w:szCs w:val="24"/>
                <w:lang w:val="zh-CN"/>
              </w:rPr>
              <w:t>若干个用户自定义</w:t>
            </w:r>
            <w:r>
              <w:rPr>
                <w:rFonts w:ascii="宋体" w:hAnsi="宋体"/>
                <w:b w:val="0"/>
                <w:bCs w:val="0"/>
                <w:sz w:val="24"/>
                <w:szCs w:val="24"/>
                <w:lang w:val="zh-CN"/>
              </w:rPr>
              <w:t>程序等。整个过程自动控制</w:t>
            </w:r>
            <w:r>
              <w:rPr>
                <w:rFonts w:hint="eastAsia" w:ascii="宋体" w:hAnsi="宋体"/>
                <w:b w:val="0"/>
                <w:bCs w:val="0"/>
                <w:sz w:val="24"/>
                <w:szCs w:val="24"/>
                <w:lang w:val="zh-CN"/>
              </w:rPr>
              <w:t>。有手动操作功能，内室温度压力在灭菌过程中可根据实时情况进行手动调整；有手动操作功能。</w:t>
            </w:r>
          </w:p>
          <w:p w14:paraId="61A040E0">
            <w:pPr>
              <w:pStyle w:val="11"/>
              <w:numPr>
                <w:ilvl w:val="0"/>
                <w:numId w:val="1"/>
              </w:numPr>
            </w:pPr>
            <w:r>
              <w:rPr>
                <w:rFonts w:hint="eastAsia" w:ascii="宋体" w:hAnsi="宋体"/>
                <w:b/>
                <w:bCs/>
                <w:sz w:val="24"/>
                <w:szCs w:val="24"/>
                <w:lang w:val="zh-CN"/>
              </w:rPr>
              <w:t>主要元器件：电磁阀、PLC、触摸屏、先导阀、气动阀、行程开关、门电机等主要部件为进口品牌</w:t>
            </w:r>
          </w:p>
          <w:p w14:paraId="59C1C4A0">
            <w:pPr>
              <w:pStyle w:val="11"/>
              <w:numPr>
                <w:ilvl w:val="0"/>
                <w:numId w:val="1"/>
              </w:numPr>
            </w:pPr>
            <w:r>
              <w:rPr>
                <w:rFonts w:ascii="宋体" w:hAnsi="宋体"/>
                <w:b w:val="0"/>
                <w:bCs w:val="0"/>
                <w:sz w:val="24"/>
                <w:szCs w:val="24"/>
                <w:lang w:val="zh-CN"/>
              </w:rPr>
              <w:t>内室疏水装置：为气动阀控制</w:t>
            </w:r>
            <w:r>
              <w:rPr>
                <w:rFonts w:hint="eastAsia" w:ascii="宋体" w:hAnsi="宋体"/>
                <w:b w:val="0"/>
                <w:bCs w:val="0"/>
                <w:sz w:val="24"/>
                <w:szCs w:val="24"/>
                <w:lang w:val="zh-CN"/>
              </w:rPr>
              <w:t>，可自由设置疏水时间及频率。</w:t>
            </w:r>
          </w:p>
          <w:p w14:paraId="27FD4716">
            <w:pPr>
              <w:pStyle w:val="11"/>
              <w:numPr>
                <w:ilvl w:val="0"/>
                <w:numId w:val="1"/>
              </w:numPr>
            </w:pPr>
            <w:r>
              <w:rPr>
                <w:rFonts w:ascii="宋体" w:hAnsi="宋体"/>
                <w:b w:val="0"/>
                <w:bCs w:val="0"/>
                <w:sz w:val="24"/>
                <w:szCs w:val="24"/>
                <w:lang w:val="zh-CN"/>
              </w:rPr>
              <w:t>抽</w:t>
            </w:r>
            <w:r>
              <w:rPr>
                <w:rFonts w:hint="eastAsia" w:ascii="宋体" w:hAnsi="宋体"/>
                <w:b w:val="0"/>
                <w:bCs w:val="0"/>
                <w:sz w:val="24"/>
                <w:szCs w:val="24"/>
                <w:lang w:val="zh-CN"/>
              </w:rPr>
              <w:t>真</w:t>
            </w:r>
            <w:r>
              <w:rPr>
                <w:rFonts w:ascii="宋体" w:hAnsi="宋体"/>
                <w:b w:val="0"/>
                <w:bCs w:val="0"/>
                <w:sz w:val="24"/>
                <w:szCs w:val="24"/>
                <w:lang w:val="zh-CN"/>
              </w:rPr>
              <w:t>空装置</w:t>
            </w:r>
            <w:r>
              <w:rPr>
                <w:rFonts w:hint="eastAsia" w:ascii="宋体" w:hAnsi="宋体"/>
                <w:b w:val="0"/>
                <w:bCs w:val="0"/>
                <w:sz w:val="24"/>
                <w:szCs w:val="24"/>
                <w:lang w:val="zh-CN"/>
              </w:rPr>
              <w:t>：</w:t>
            </w:r>
            <w:r>
              <w:rPr>
                <w:rFonts w:ascii="宋体" w:hAnsi="宋体"/>
                <w:b w:val="0"/>
                <w:bCs w:val="0"/>
                <w:sz w:val="24"/>
                <w:szCs w:val="24"/>
                <w:lang w:val="zh-CN"/>
              </w:rPr>
              <w:t>真空泵</w:t>
            </w:r>
            <w:r>
              <w:rPr>
                <w:rFonts w:hint="eastAsia" w:ascii="宋体" w:hAnsi="宋体"/>
                <w:b w:val="0"/>
                <w:bCs w:val="0"/>
                <w:sz w:val="24"/>
                <w:szCs w:val="24"/>
                <w:lang w:val="zh-CN"/>
              </w:rPr>
              <w:t>：分体式双极水循环式真空泵，噪声≤60dB。</w:t>
            </w:r>
          </w:p>
          <w:p w14:paraId="78E8362B">
            <w:pPr>
              <w:pStyle w:val="11"/>
              <w:numPr>
                <w:ilvl w:val="0"/>
                <w:numId w:val="1"/>
              </w:numPr>
            </w:pPr>
            <w:r>
              <w:rPr>
                <w:rFonts w:ascii="宋体" w:hAnsi="宋体"/>
                <w:b w:val="0"/>
                <w:bCs w:val="0"/>
                <w:sz w:val="24"/>
                <w:szCs w:val="24"/>
                <w:lang w:val="zh-CN"/>
              </w:rPr>
              <w:t>管路要求：</w:t>
            </w:r>
            <w:r>
              <w:rPr>
                <w:rFonts w:hint="eastAsia" w:ascii="宋体" w:hAnsi="宋体"/>
                <w:b w:val="0"/>
                <w:bCs w:val="0"/>
                <w:sz w:val="24"/>
                <w:szCs w:val="24"/>
                <w:lang w:val="zh-CN"/>
              </w:rPr>
              <w:t>真空泵、管道、电器及所有需要维修的配件都要装在设备的一侧，独立悬挂</w:t>
            </w:r>
            <w:r>
              <w:rPr>
                <w:rFonts w:ascii="宋体" w:hAnsi="宋体"/>
                <w:b w:val="0"/>
                <w:bCs w:val="0"/>
                <w:sz w:val="24"/>
                <w:szCs w:val="24"/>
                <w:lang w:val="zh-CN"/>
              </w:rPr>
              <w:t>,</w:t>
            </w:r>
            <w:r>
              <w:rPr>
                <w:rFonts w:hint="eastAsia" w:ascii="宋体" w:hAnsi="宋体"/>
                <w:b w:val="0"/>
                <w:bCs w:val="0"/>
                <w:sz w:val="24"/>
                <w:szCs w:val="24"/>
                <w:lang w:val="zh-CN"/>
              </w:rPr>
              <w:t>降低震动</w:t>
            </w:r>
            <w:r>
              <w:rPr>
                <w:rFonts w:ascii="宋体" w:hAnsi="宋体"/>
                <w:b w:val="0"/>
                <w:bCs w:val="0"/>
                <w:sz w:val="24"/>
                <w:szCs w:val="24"/>
                <w:lang w:val="zh-CN"/>
              </w:rPr>
              <w:t>,</w:t>
            </w:r>
            <w:r>
              <w:rPr>
                <w:rFonts w:hint="eastAsia" w:ascii="宋体" w:hAnsi="宋体"/>
                <w:b w:val="0"/>
                <w:bCs w:val="0"/>
                <w:sz w:val="24"/>
                <w:szCs w:val="24"/>
                <w:lang w:val="zh-CN"/>
              </w:rPr>
              <w:t>便于维修，减轻震动，延长设备使用寿命。</w:t>
            </w:r>
          </w:p>
          <w:p w14:paraId="0285EE24">
            <w:pPr>
              <w:pStyle w:val="11"/>
              <w:numPr>
                <w:ilvl w:val="0"/>
                <w:numId w:val="1"/>
              </w:numPr>
            </w:pPr>
            <w:r>
              <w:rPr>
                <w:rFonts w:hint="eastAsia" w:ascii="宋体" w:hAnsi="宋体"/>
                <w:b w:val="0"/>
                <w:bCs w:val="0"/>
                <w:sz w:val="24"/>
                <w:szCs w:val="24"/>
                <w:lang w:val="zh-CN"/>
              </w:rPr>
              <w:t>密封门及门胶条要求 ：</w:t>
            </w:r>
            <w:r>
              <w:rPr>
                <w:rFonts w:ascii="宋体" w:hAnsi="宋体"/>
                <w:b w:val="0"/>
                <w:bCs w:val="0"/>
                <w:sz w:val="24"/>
                <w:szCs w:val="24"/>
                <w:lang w:val="zh-CN"/>
              </w:rPr>
              <w:t>密封门设有安全连锁装置</w:t>
            </w:r>
            <w:r>
              <w:rPr>
                <w:rFonts w:hint="eastAsia" w:ascii="宋体" w:hAnsi="宋体"/>
                <w:b w:val="0"/>
                <w:bCs w:val="0"/>
                <w:sz w:val="24"/>
                <w:szCs w:val="24"/>
                <w:lang w:val="zh-CN"/>
              </w:rPr>
              <w:t>、</w:t>
            </w:r>
            <w:r>
              <w:rPr>
                <w:rFonts w:ascii="宋体" w:hAnsi="宋体"/>
                <w:b w:val="0"/>
                <w:bCs w:val="0"/>
                <w:sz w:val="24"/>
                <w:szCs w:val="24"/>
                <w:lang w:val="zh-CN"/>
              </w:rPr>
              <w:t>密封圈</w:t>
            </w:r>
            <w:r>
              <w:rPr>
                <w:rFonts w:hint="eastAsia" w:ascii="宋体" w:hAnsi="宋体"/>
                <w:b w:val="0"/>
                <w:bCs w:val="0"/>
                <w:sz w:val="24"/>
                <w:szCs w:val="24"/>
                <w:lang w:val="zh-CN"/>
              </w:rPr>
              <w:t>采用V槽梯形结构，</w:t>
            </w:r>
            <w:r>
              <w:rPr>
                <w:rFonts w:ascii="宋体" w:hAnsi="宋体"/>
                <w:b w:val="0"/>
                <w:bCs w:val="0"/>
                <w:sz w:val="24"/>
                <w:szCs w:val="24"/>
                <w:lang w:val="zh-CN"/>
              </w:rPr>
              <w:t>耐温</w:t>
            </w:r>
            <w:r>
              <w:rPr>
                <w:rFonts w:hint="eastAsia" w:ascii="宋体" w:hAnsi="宋体"/>
                <w:b w:val="0"/>
                <w:bCs w:val="0"/>
                <w:sz w:val="24"/>
                <w:szCs w:val="24"/>
                <w:lang w:val="en-US" w:eastAsia="zh-CN"/>
              </w:rPr>
              <w:t>达到</w:t>
            </w:r>
            <w:r>
              <w:rPr>
                <w:rFonts w:hint="eastAsia" w:ascii="宋体" w:hAnsi="宋体"/>
                <w:b w:val="0"/>
                <w:bCs w:val="0"/>
                <w:sz w:val="24"/>
                <w:szCs w:val="24"/>
                <w:lang w:val="zh-CN"/>
              </w:rPr>
              <w:t>2</w:t>
            </w:r>
            <w:r>
              <w:rPr>
                <w:rFonts w:ascii="宋体" w:hAnsi="宋体"/>
                <w:b w:val="0"/>
                <w:bCs w:val="0"/>
                <w:sz w:val="24"/>
                <w:szCs w:val="24"/>
                <w:lang w:val="zh-CN"/>
              </w:rPr>
              <w:t>00度</w:t>
            </w:r>
            <w:r>
              <w:rPr>
                <w:rFonts w:hint="eastAsia" w:ascii="宋体" w:hAnsi="宋体"/>
                <w:b w:val="0"/>
                <w:bCs w:val="0"/>
                <w:sz w:val="24"/>
                <w:szCs w:val="24"/>
                <w:lang w:val="zh-CN"/>
              </w:rPr>
              <w:t>，门胶条装在设备大门上面，减少受热时间延长门胶条使用寿命。</w:t>
            </w:r>
          </w:p>
          <w:p w14:paraId="7D4F39AC">
            <w:pPr>
              <w:pStyle w:val="11"/>
              <w:numPr>
                <w:ilvl w:val="0"/>
                <w:numId w:val="1"/>
              </w:numPr>
            </w:pPr>
            <w:r>
              <w:rPr>
                <w:rFonts w:hint="eastAsia" w:ascii="宋体" w:hAnsi="宋体"/>
                <w:b w:val="0"/>
                <w:bCs w:val="0"/>
                <w:sz w:val="24"/>
                <w:szCs w:val="24"/>
                <w:lang w:val="zh-CN"/>
              </w:rPr>
              <w:t>蒸汽发生器：</w:t>
            </w:r>
            <w:r>
              <w:rPr>
                <w:rFonts w:hint="eastAsia" w:ascii="宋体" w:hAnsi="宋体"/>
                <w:b w:val="0"/>
                <w:bCs w:val="0"/>
                <w:color w:val="auto"/>
                <w:sz w:val="24"/>
                <w:szCs w:val="24"/>
                <w:lang w:val="zh-CN"/>
              </w:rPr>
              <w:t>电加热蒸汽发生器一体化设计，设备自带蒸汽发生器，蒸汽发生器要求焊接在设备缸体上面，不</w:t>
            </w:r>
            <w:r>
              <w:rPr>
                <w:rFonts w:hint="eastAsia" w:ascii="宋体" w:hAnsi="宋体"/>
                <w:b w:val="0"/>
                <w:bCs w:val="0"/>
                <w:color w:val="auto"/>
                <w:sz w:val="24"/>
                <w:szCs w:val="24"/>
                <w:lang w:val="en-US" w:eastAsia="zh-CN"/>
              </w:rPr>
              <w:t>得</w:t>
            </w:r>
            <w:r>
              <w:rPr>
                <w:rFonts w:hint="eastAsia" w:ascii="宋体" w:hAnsi="宋体"/>
                <w:b w:val="0"/>
                <w:bCs w:val="0"/>
                <w:color w:val="auto"/>
                <w:sz w:val="24"/>
                <w:szCs w:val="24"/>
                <w:lang w:val="zh-CN"/>
              </w:rPr>
              <w:t>采用管路连接。设备只需一本质量证明书，无需办理蒸发器使用证件</w:t>
            </w:r>
            <w:r>
              <w:rPr>
                <w:rFonts w:hint="eastAsia" w:ascii="宋体" w:hAnsi="宋体"/>
                <w:b w:val="0"/>
                <w:bCs w:val="0"/>
                <w:color w:val="FF0000"/>
                <w:sz w:val="24"/>
                <w:szCs w:val="24"/>
                <w:lang w:val="zh-CN"/>
              </w:rPr>
              <w:t>。</w:t>
            </w:r>
          </w:p>
          <w:p w14:paraId="12F84DB2">
            <w:pPr>
              <w:pStyle w:val="11"/>
              <w:numPr>
                <w:ilvl w:val="0"/>
                <w:numId w:val="1"/>
              </w:numPr>
            </w:pPr>
            <w:r>
              <w:rPr>
                <w:rFonts w:hint="eastAsia" w:ascii="宋体" w:hAnsi="宋体"/>
                <w:b w:val="0"/>
                <w:bCs w:val="0"/>
                <w:sz w:val="24"/>
                <w:szCs w:val="24"/>
                <w:lang w:val="zh-CN"/>
              </w:rPr>
              <w:t xml:space="preserve">蒸汽发生器功率：≤380v/50HZ   </w:t>
            </w:r>
            <w:r>
              <w:rPr>
                <w:rFonts w:hint="eastAsia" w:ascii="宋体" w:hAnsi="宋体"/>
                <w:b w:val="0"/>
                <w:bCs w:val="0"/>
                <w:sz w:val="24"/>
                <w:szCs w:val="24"/>
                <w:lang w:val="en-US" w:eastAsia="zh-CN"/>
              </w:rPr>
              <w:t>30</w:t>
            </w:r>
            <w:r>
              <w:rPr>
                <w:rFonts w:hint="eastAsia" w:ascii="宋体" w:hAnsi="宋体"/>
                <w:b w:val="0"/>
                <w:bCs w:val="0"/>
                <w:sz w:val="24"/>
                <w:szCs w:val="24"/>
                <w:lang w:val="zh-CN"/>
              </w:rPr>
              <w:t>Kw</w:t>
            </w:r>
          </w:p>
          <w:p w14:paraId="493F4834">
            <w:pPr>
              <w:pStyle w:val="11"/>
              <w:numPr>
                <w:ilvl w:val="0"/>
                <w:numId w:val="1"/>
              </w:numPr>
            </w:pPr>
            <w:r>
              <w:rPr>
                <w:rFonts w:hint="eastAsia" w:ascii="宋体" w:hAnsi="宋体"/>
                <w:b w:val="0"/>
                <w:bCs w:val="0"/>
                <w:color w:val="000000"/>
                <w:sz w:val="24"/>
                <w:szCs w:val="24"/>
                <w:lang w:val="zh-CN"/>
              </w:rPr>
              <w:t>消毒车要求：消毒内车为不锈钢材质。</w:t>
            </w:r>
            <w:r>
              <w:rPr>
                <w:rFonts w:ascii="宋体" w:hAnsi="宋体"/>
                <w:b w:val="0"/>
                <w:bCs w:val="0"/>
                <w:color w:val="000000"/>
                <w:sz w:val="24"/>
                <w:szCs w:val="24"/>
                <w:lang w:val="zh-CN"/>
              </w:rPr>
              <w:t>配备与灭菌器数量相匹配的灭菌物品装卸车</w:t>
            </w:r>
            <w:r>
              <w:rPr>
                <w:rFonts w:hint="eastAsia" w:ascii="宋体" w:hAnsi="宋体"/>
                <w:b w:val="0"/>
                <w:bCs w:val="0"/>
                <w:color w:val="000000"/>
                <w:sz w:val="24"/>
                <w:szCs w:val="24"/>
                <w:lang w:val="zh-CN"/>
              </w:rPr>
              <w:t>。</w:t>
            </w:r>
          </w:p>
          <w:p w14:paraId="3A5F9655">
            <w:pPr>
              <w:pStyle w:val="11"/>
              <w:numPr>
                <w:ilvl w:val="0"/>
                <w:numId w:val="1"/>
              </w:numPr>
            </w:pPr>
            <w:r>
              <w:rPr>
                <w:rFonts w:hint="eastAsia" w:ascii="宋体" w:hAnsi="宋体"/>
                <w:b w:val="0"/>
                <w:bCs w:val="0"/>
                <w:color w:val="000000"/>
                <w:sz w:val="24"/>
                <w:szCs w:val="24"/>
                <w:lang w:val="en-US" w:eastAsia="zh-CN"/>
              </w:rPr>
              <w:t>设备设计寿命≥15年。</w:t>
            </w:r>
          </w:p>
          <w:p w14:paraId="4B00F1CD">
            <w:pPr>
              <w:pStyle w:val="11"/>
              <w:numPr>
                <w:ilvl w:val="0"/>
                <w:numId w:val="1"/>
              </w:numPr>
            </w:pPr>
            <w:bookmarkStart w:id="2" w:name="_GoBack"/>
            <w:r>
              <w:rPr>
                <w:rFonts w:hint="eastAsia" w:ascii="宋体" w:hAnsi="宋体"/>
                <w:b w:val="0"/>
                <w:bCs w:val="0"/>
                <w:color w:val="000000"/>
                <w:sz w:val="24"/>
                <w:szCs w:val="24"/>
                <w:lang w:val="en-US" w:eastAsia="zh-CN"/>
              </w:rPr>
              <w:t>产品制造商具有</w:t>
            </w:r>
            <w:r>
              <w:rPr>
                <w:rFonts w:hint="eastAsia" w:ascii="宋体" w:hAnsi="宋体"/>
                <w:b w:val="0"/>
                <w:bCs w:val="0"/>
                <w:color w:val="000000"/>
                <w:sz w:val="24"/>
                <w:szCs w:val="24"/>
                <w:lang w:val="zh-CN"/>
              </w:rPr>
              <w:t>特种设备制造许可证</w:t>
            </w:r>
            <w:r>
              <w:rPr>
                <w:rFonts w:hint="eastAsia" w:ascii="宋体" w:hAnsi="宋体"/>
                <w:b/>
                <w:bCs/>
                <w:color w:val="000000"/>
                <w:sz w:val="24"/>
                <w:szCs w:val="24"/>
                <w:lang w:val="zh-CN"/>
              </w:rPr>
              <w:t>（</w:t>
            </w:r>
            <w:r>
              <w:rPr>
                <w:rFonts w:hint="eastAsia" w:ascii="宋体" w:hAnsi="宋体"/>
                <w:b/>
                <w:bCs/>
                <w:color w:val="000000"/>
                <w:sz w:val="24"/>
                <w:szCs w:val="24"/>
                <w:lang w:val="en-US" w:eastAsia="zh-CN"/>
              </w:rPr>
              <w:t>响应文件中提供许可证复印件或扫描件</w:t>
            </w:r>
            <w:r>
              <w:rPr>
                <w:rFonts w:hint="eastAsia" w:ascii="宋体" w:hAnsi="宋体"/>
                <w:b/>
                <w:bCs/>
                <w:color w:val="000000"/>
                <w:sz w:val="24"/>
                <w:szCs w:val="24"/>
                <w:lang w:val="zh-CN"/>
              </w:rPr>
              <w:t>）</w:t>
            </w:r>
            <w:bookmarkEnd w:id="2"/>
          </w:p>
        </w:tc>
        <w:tc>
          <w:tcPr>
            <w:tcW w:w="600" w:type="pct"/>
            <w:vAlign w:val="center"/>
          </w:tcPr>
          <w:p w14:paraId="0821F9AF">
            <w:pPr>
              <w:spacing w:line="360" w:lineRule="auto"/>
              <w:jc w:val="center"/>
              <w:rPr>
                <w:rFonts w:hint="default" w:asciiTheme="minorEastAsia" w:hAnsiTheme="minorEastAsia" w:eastAsiaTheme="minorEastAsia"/>
                <w:bCs/>
                <w:color w:val="auto"/>
                <w:sz w:val="24"/>
                <w:szCs w:val="24"/>
                <w:highlight w:val="none"/>
                <w:lang w:val="en-US" w:eastAsia="zh-CN"/>
              </w:rPr>
            </w:pPr>
            <w:r>
              <w:rPr>
                <w:rFonts w:hint="eastAsia" w:asciiTheme="minorEastAsia" w:hAnsiTheme="minorEastAsia" w:eastAsiaTheme="minorEastAsia"/>
                <w:bCs/>
                <w:color w:val="auto"/>
                <w:sz w:val="24"/>
                <w:szCs w:val="24"/>
                <w:highlight w:val="none"/>
                <w:lang w:val="en-US" w:eastAsia="zh-CN"/>
              </w:rPr>
              <w:t>2</w:t>
            </w:r>
            <w:r>
              <w:rPr>
                <w:rFonts w:hint="eastAsia" w:asciiTheme="minorEastAsia" w:hAnsiTheme="minorEastAsia"/>
                <w:bCs/>
                <w:color w:val="auto"/>
                <w:sz w:val="24"/>
                <w:szCs w:val="24"/>
                <w:highlight w:val="none"/>
                <w:lang w:val="en-US" w:eastAsia="zh-CN"/>
              </w:rPr>
              <w:t>台</w:t>
            </w:r>
          </w:p>
        </w:tc>
        <w:tc>
          <w:tcPr>
            <w:tcW w:w="421" w:type="pct"/>
            <w:vAlign w:val="center"/>
          </w:tcPr>
          <w:p w14:paraId="2282E2D0">
            <w:pPr>
              <w:spacing w:line="360" w:lineRule="auto"/>
              <w:jc w:val="center"/>
              <w:rPr>
                <w:rFonts w:hint="eastAsia" w:asciiTheme="minorEastAsia" w:hAnsiTheme="minorEastAsia" w:eastAsiaTheme="minorEastAsia"/>
                <w:bCs/>
                <w:color w:val="auto"/>
                <w:sz w:val="24"/>
                <w:szCs w:val="24"/>
                <w:highlight w:val="none"/>
                <w:lang w:val="en-US" w:eastAsia="zh-CN"/>
              </w:rPr>
            </w:pPr>
            <w:r>
              <w:rPr>
                <w:rFonts w:hint="eastAsia" w:asciiTheme="minorEastAsia" w:hAnsiTheme="minorEastAsia" w:eastAsiaTheme="minorEastAsia"/>
                <w:bCs/>
                <w:color w:val="auto"/>
                <w:sz w:val="24"/>
                <w:szCs w:val="24"/>
                <w:highlight w:val="none"/>
                <w:lang w:val="en-US" w:eastAsia="zh-CN"/>
              </w:rPr>
              <w:t>工业</w:t>
            </w:r>
          </w:p>
        </w:tc>
        <w:tc>
          <w:tcPr>
            <w:tcW w:w="665" w:type="pct"/>
            <w:vAlign w:val="center"/>
          </w:tcPr>
          <w:p w14:paraId="499E6A40">
            <w:pPr>
              <w:spacing w:line="360" w:lineRule="auto"/>
              <w:jc w:val="center"/>
              <w:rPr>
                <w:rFonts w:hint="eastAsia" w:asciiTheme="minorEastAsia" w:hAnsiTheme="minorEastAsia" w:eastAsiaTheme="minorEastAsia"/>
                <w:bCs/>
                <w:color w:val="auto"/>
                <w:sz w:val="24"/>
                <w:szCs w:val="24"/>
                <w:highlight w:val="none"/>
                <w:lang w:val="en-US" w:eastAsia="zh-CN"/>
              </w:rPr>
            </w:pPr>
            <w:r>
              <w:rPr>
                <w:rFonts w:hint="eastAsia" w:asciiTheme="minorEastAsia" w:hAnsiTheme="minorEastAsia" w:eastAsiaTheme="minorEastAsia"/>
                <w:bCs/>
                <w:color w:val="auto"/>
                <w:sz w:val="24"/>
                <w:szCs w:val="24"/>
                <w:highlight w:val="none"/>
                <w:lang w:val="en-US" w:eastAsia="zh-CN"/>
              </w:rPr>
              <w:t>是</w:t>
            </w:r>
          </w:p>
        </w:tc>
        <w:tc>
          <w:tcPr>
            <w:tcW w:w="479" w:type="pct"/>
            <w:vAlign w:val="center"/>
          </w:tcPr>
          <w:p w14:paraId="628BA59B">
            <w:pPr>
              <w:spacing w:line="360" w:lineRule="auto"/>
              <w:jc w:val="center"/>
              <w:rPr>
                <w:rFonts w:asciiTheme="minorEastAsia" w:hAnsiTheme="minorEastAsia" w:eastAsiaTheme="minorEastAsia"/>
                <w:bCs/>
                <w:color w:val="auto"/>
                <w:sz w:val="24"/>
                <w:szCs w:val="24"/>
                <w:highlight w:val="none"/>
              </w:rPr>
            </w:pPr>
          </w:p>
        </w:tc>
      </w:tr>
    </w:tbl>
    <w:p w14:paraId="445CEC0E">
      <w:pPr>
        <w:spacing w:line="360" w:lineRule="auto"/>
        <w:ind w:firstLine="437"/>
        <w:rPr>
          <w:rFonts w:hint="eastAsia" w:ascii="宋体" w:hAnsi="宋体" w:eastAsia="宋体"/>
          <w:b/>
          <w:bCs w:val="0"/>
          <w:color w:val="auto"/>
          <w:sz w:val="24"/>
          <w:szCs w:val="18"/>
          <w:highlight w:val="none"/>
          <w:lang w:val="en-US" w:eastAsia="zh-CN"/>
        </w:rPr>
      </w:pPr>
    </w:p>
    <w:p w14:paraId="78A172D9">
      <w:pPr>
        <w:spacing w:line="360" w:lineRule="auto"/>
        <w:ind w:firstLine="437"/>
        <w:rPr>
          <w:rFonts w:hint="eastAsia" w:ascii="宋体" w:hAnsi="宋体" w:eastAsia="宋体"/>
          <w:b/>
          <w:bCs w:val="0"/>
          <w:color w:val="auto"/>
          <w:sz w:val="24"/>
          <w:szCs w:val="18"/>
          <w:highlight w:val="none"/>
          <w:lang w:val="en-US" w:eastAsia="zh-CN"/>
        </w:rPr>
      </w:pPr>
      <w:r>
        <w:rPr>
          <w:rFonts w:hint="eastAsia" w:ascii="宋体" w:hAnsi="宋体" w:eastAsia="宋体"/>
          <w:b/>
          <w:bCs w:val="0"/>
          <w:color w:val="auto"/>
          <w:sz w:val="24"/>
          <w:szCs w:val="18"/>
          <w:highlight w:val="none"/>
          <w:lang w:val="en-US" w:eastAsia="zh-CN"/>
        </w:rPr>
        <w:t>注：</w:t>
      </w:r>
    </w:p>
    <w:p w14:paraId="69336DFC">
      <w:pPr>
        <w:spacing w:line="360" w:lineRule="auto"/>
        <w:ind w:firstLine="437"/>
        <w:rPr>
          <w:rFonts w:hint="eastAsia" w:ascii="宋体" w:hAnsi="宋体" w:eastAsia="宋体"/>
          <w:b/>
          <w:bCs w:val="0"/>
          <w:color w:val="auto"/>
          <w:sz w:val="24"/>
          <w:szCs w:val="18"/>
          <w:highlight w:val="none"/>
          <w:lang w:val="en-US" w:eastAsia="zh-CN"/>
        </w:rPr>
      </w:pPr>
      <w:r>
        <w:rPr>
          <w:rFonts w:hint="eastAsia" w:ascii="宋体" w:hAnsi="宋体" w:eastAsia="宋体"/>
          <w:b/>
          <w:bCs w:val="0"/>
          <w:color w:val="auto"/>
          <w:sz w:val="24"/>
          <w:szCs w:val="18"/>
          <w:highlight w:val="none"/>
          <w:lang w:val="en-US" w:eastAsia="zh-CN"/>
        </w:rPr>
        <w:t>1.设备供货后采购人对成交供应商供货的产品按照响应文件技术参数要求进行验收，若存在技术参数的虚假响应，采购人有权做退货处理并不承担由此产生的任何费用，所有损失均由成交供应商自行承担，供应商承担相应的法律责任。</w:t>
      </w:r>
    </w:p>
    <w:p w14:paraId="4E05539A">
      <w:pPr>
        <w:rPr>
          <w:highlight w:val="no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57AA9FE"/>
    <w:multiLevelType w:val="singleLevel"/>
    <w:tmpl w:val="157AA9FE"/>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EF14060"/>
    <w:rsid w:val="2A0D3B63"/>
    <w:rsid w:val="39872211"/>
    <w:rsid w:val="3E757986"/>
    <w:rsid w:val="46E824C5"/>
    <w:rsid w:val="7901620D"/>
    <w:rsid w:val="792830BC"/>
    <w:rsid w:val="7EA135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4">
    <w:name w:val="heading 3"/>
    <w:basedOn w:val="1"/>
    <w:next w:val="1"/>
    <w:unhideWhenUsed/>
    <w:qFormat/>
    <w:uiPriority w:val="0"/>
    <w:pPr>
      <w:keepNext/>
      <w:keepLines/>
      <w:spacing w:before="260" w:beforeLines="0" w:beforeAutospacing="0" w:after="260" w:afterLines="0" w:afterAutospacing="0" w:line="413" w:lineRule="auto"/>
      <w:outlineLvl w:val="2"/>
    </w:pPr>
    <w:rPr>
      <w:b/>
      <w:sz w:val="32"/>
    </w:rPr>
  </w:style>
  <w:style w:type="paragraph" w:styleId="5">
    <w:name w:val="heading 4"/>
    <w:basedOn w:val="1"/>
    <w:next w:val="1"/>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13">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6">
    <w:name w:val="Normal Indent"/>
    <w:basedOn w:val="1"/>
    <w:qFormat/>
    <w:uiPriority w:val="0"/>
    <w:pPr>
      <w:ind w:firstLine="420" w:firstLineChars="200"/>
    </w:pPr>
  </w:style>
  <w:style w:type="paragraph" w:styleId="7">
    <w:name w:val="Body Text"/>
    <w:basedOn w:val="1"/>
    <w:next w:val="8"/>
    <w:qFormat/>
    <w:uiPriority w:val="0"/>
    <w:pPr>
      <w:spacing w:after="120"/>
    </w:pPr>
    <w:rPr>
      <w:szCs w:val="24"/>
    </w:rPr>
  </w:style>
  <w:style w:type="paragraph" w:customStyle="1" w:styleId="8">
    <w:name w:val="目录 71"/>
    <w:basedOn w:val="1"/>
    <w:next w:val="1"/>
    <w:autoRedefine/>
    <w:qFormat/>
    <w:uiPriority w:val="0"/>
    <w:pPr>
      <w:ind w:left="2520"/>
    </w:pPr>
    <w:rPr>
      <w:rFonts w:ascii="Calibri"/>
    </w:rPr>
  </w:style>
  <w:style w:type="paragraph" w:styleId="9">
    <w:name w:val="Plain Text"/>
    <w:basedOn w:val="1"/>
    <w:qFormat/>
    <w:uiPriority w:val="0"/>
    <w:rPr>
      <w:rFonts w:ascii="宋体" w:hAnsi="Courier New"/>
    </w:rPr>
  </w:style>
  <w:style w:type="paragraph" w:styleId="10">
    <w:name w:val="Title"/>
    <w:basedOn w:val="1"/>
    <w:qFormat/>
    <w:uiPriority w:val="0"/>
    <w:pPr>
      <w:spacing w:before="240" w:beforeLines="0" w:beforeAutospacing="0" w:after="60" w:afterLines="0" w:afterAutospacing="0"/>
      <w:jc w:val="center"/>
      <w:outlineLvl w:val="0"/>
    </w:pPr>
    <w:rPr>
      <w:rFonts w:ascii="Arial" w:hAnsi="Arial"/>
      <w:b/>
      <w:sz w:val="32"/>
    </w:rPr>
  </w:style>
  <w:style w:type="paragraph" w:styleId="11">
    <w:name w:val="Body Text First Indent"/>
    <w:basedOn w:val="7"/>
    <w:unhideWhenUsed/>
    <w:qFormat/>
    <w:uiPriority w:val="99"/>
    <w:pPr>
      <w:spacing w:line="400" w:lineRule="atLeast"/>
      <w:ind w:firstLine="426"/>
    </w:pPr>
    <w:rPr>
      <w:sz w:val="24"/>
      <w:szCs w:val="20"/>
    </w:rPr>
  </w:style>
  <w:style w:type="paragraph" w:styleId="14">
    <w:name w:val="List Paragraph"/>
    <w:basedOn w:val="1"/>
    <w:autoRedefine/>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1016</Words>
  <Characters>1048</Characters>
  <Lines>0</Lines>
  <Paragraphs>0</Paragraphs>
  <TotalTime>1</TotalTime>
  <ScaleCrop>false</ScaleCrop>
  <LinksUpToDate>false</LinksUpToDate>
  <CharactersWithSpaces>1054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2024-12-23T02:07:00Z</dcterms:created>
  <dc:creator>75885</dc:creator>
  <cp:lastModifiedBy>Administrator</cp:lastModifiedBy>
  <dcterms:modified xsi:type="dcterms:W3CDTF">2025-04-25T01:33:44Z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8D3A1F0AED7A4107ADCE08185EF92126_12</vt:lpwstr>
  </property>
  <property fmtid="{D5CDD505-2E9C-101B-9397-08002B2CF9AE}" pid="4" name="KSOTemplateDocerSaveRecord">
    <vt:lpwstr>eyJoZGlkIjoiOTA4Y2RhOWY2OTBlODEyNDI0OTllNTdhODc3NmMxNDIiLCJ1c2VySWQiOiI0NDU5NTEzNTgifQ==</vt:lpwstr>
  </property>
</Properties>
</file>