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B215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FD9A1D2">
      <w:pPr>
        <w:keepNext w:val="0"/>
        <w:keepLines w:val="0"/>
        <w:pageBreakBefore w:val="0"/>
        <w:widowControl w:val="0"/>
        <w:tabs>
          <w:tab w:val="left" w:pos="2321"/>
        </w:tabs>
        <w:kinsoku/>
        <w:wordWrap w:val="0"/>
        <w:overflowPunct/>
        <w:topLinePunct/>
        <w:autoSpaceDE w:val="0"/>
        <w:autoSpaceDN/>
        <w:bidi w:val="0"/>
        <w:adjustRightInd/>
        <w:snapToGrid/>
        <w:spacing w:line="360" w:lineRule="auto"/>
        <w:ind w:left="0" w:right="0"/>
        <w:jc w:val="center"/>
        <w:textAlignment w:val="baseline"/>
        <w:outlineLvl w:val="9"/>
        <w:rPr>
          <w:rFonts w:hint="eastAsia" w:ascii="宋体" w:hAnsi="宋体" w:eastAsia="宋体" w:cs="宋体"/>
          <w:b/>
          <w:bCs/>
          <w:snapToGrid/>
          <w:color w:val="auto"/>
          <w:spacing w:val="0"/>
          <w:w w:val="100"/>
          <w:kern w:val="21"/>
          <w:position w:val="0"/>
          <w:sz w:val="36"/>
          <w:szCs w:val="36"/>
          <w:u w:val="single" w:color="auto"/>
        </w:rPr>
      </w:pPr>
      <w:r>
        <w:rPr>
          <w:rFonts w:hint="eastAsia" w:ascii="宋体" w:hAnsi="宋体" w:eastAsia="宋体" w:cs="宋体"/>
          <w:b/>
          <w:bCs/>
          <w:snapToGrid/>
          <w:color w:val="auto"/>
          <w:spacing w:val="0"/>
          <w:w w:val="100"/>
          <w:kern w:val="21"/>
          <w:position w:val="0"/>
          <w:sz w:val="36"/>
          <w:szCs w:val="36"/>
          <w:u w:val="single" w:color="auto"/>
        </w:rPr>
        <w:t>2025年霍邱县高标准农田建设项目(夏店镇增发国债项目)</w:t>
      </w:r>
    </w:p>
    <w:p w14:paraId="4740197C">
      <w:pPr>
        <w:keepNext w:val="0"/>
        <w:keepLines w:val="0"/>
        <w:pageBreakBefore w:val="0"/>
        <w:widowControl w:val="0"/>
        <w:tabs>
          <w:tab w:val="left" w:pos="2321"/>
        </w:tabs>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6"/>
          <w:szCs w:val="36"/>
        </w:rPr>
        <w:t>施工招标</w:t>
      </w:r>
    </w:p>
    <w:p w14:paraId="68E000E9">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7919A41C">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b/>
          <w:bCs/>
          <w:snapToGrid/>
          <w:spacing w:val="0"/>
          <w:w w:val="100"/>
          <w:kern w:val="21"/>
          <w:position w:val="0"/>
          <w:sz w:val="71"/>
          <w:szCs w:val="71"/>
        </w:rPr>
      </w:pPr>
    </w:p>
    <w:p w14:paraId="506FD8FD">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snapToGrid/>
          <w:spacing w:val="0"/>
          <w:w w:val="100"/>
          <w:kern w:val="21"/>
          <w:position w:val="0"/>
          <w:sz w:val="71"/>
          <w:szCs w:val="71"/>
        </w:rPr>
      </w:pPr>
      <w:r>
        <w:rPr>
          <w:rFonts w:ascii="宋体" w:hAnsi="宋体" w:eastAsia="宋体" w:cs="宋体"/>
          <w:b/>
          <w:bCs/>
          <w:snapToGrid/>
          <w:spacing w:val="0"/>
          <w:w w:val="100"/>
          <w:kern w:val="21"/>
          <w:position w:val="0"/>
          <w:sz w:val="71"/>
          <w:szCs w:val="71"/>
        </w:rPr>
        <w:t>招</w:t>
      </w:r>
      <w:r>
        <w:rPr>
          <w:rFonts w:ascii="宋体" w:hAnsi="宋体" w:eastAsia="宋体" w:cs="宋体"/>
          <w:snapToGrid/>
          <w:spacing w:val="0"/>
          <w:w w:val="100"/>
          <w:kern w:val="21"/>
          <w:position w:val="0"/>
          <w:sz w:val="71"/>
          <w:szCs w:val="71"/>
        </w:rPr>
        <w:t xml:space="preserve">  </w:t>
      </w:r>
      <w:r>
        <w:rPr>
          <w:rFonts w:ascii="宋体" w:hAnsi="宋体" w:eastAsia="宋体" w:cs="宋体"/>
          <w:b/>
          <w:bCs/>
          <w:snapToGrid/>
          <w:spacing w:val="0"/>
          <w:w w:val="100"/>
          <w:kern w:val="21"/>
          <w:position w:val="0"/>
          <w:sz w:val="71"/>
          <w:szCs w:val="71"/>
        </w:rPr>
        <w:t>标</w:t>
      </w:r>
      <w:r>
        <w:rPr>
          <w:rFonts w:ascii="宋体" w:hAnsi="宋体" w:eastAsia="宋体" w:cs="宋体"/>
          <w:snapToGrid/>
          <w:spacing w:val="0"/>
          <w:w w:val="100"/>
          <w:kern w:val="21"/>
          <w:position w:val="0"/>
          <w:sz w:val="71"/>
          <w:szCs w:val="71"/>
        </w:rPr>
        <w:t xml:space="preserve">  </w:t>
      </w:r>
      <w:r>
        <w:rPr>
          <w:rFonts w:ascii="宋体" w:hAnsi="宋体" w:eastAsia="宋体" w:cs="宋体"/>
          <w:b/>
          <w:bCs/>
          <w:snapToGrid/>
          <w:spacing w:val="0"/>
          <w:w w:val="100"/>
          <w:kern w:val="21"/>
          <w:position w:val="0"/>
          <w:sz w:val="71"/>
          <w:szCs w:val="71"/>
        </w:rPr>
        <w:t>文</w:t>
      </w:r>
      <w:r>
        <w:rPr>
          <w:rFonts w:ascii="宋体" w:hAnsi="宋体" w:eastAsia="宋体" w:cs="宋体"/>
          <w:snapToGrid/>
          <w:spacing w:val="0"/>
          <w:w w:val="100"/>
          <w:kern w:val="21"/>
          <w:position w:val="0"/>
          <w:sz w:val="71"/>
          <w:szCs w:val="71"/>
        </w:rPr>
        <w:t xml:space="preserve">  </w:t>
      </w:r>
      <w:r>
        <w:rPr>
          <w:rFonts w:ascii="宋体" w:hAnsi="宋体" w:eastAsia="宋体" w:cs="宋体"/>
          <w:b/>
          <w:bCs/>
          <w:snapToGrid/>
          <w:spacing w:val="0"/>
          <w:w w:val="100"/>
          <w:kern w:val="21"/>
          <w:position w:val="0"/>
          <w:sz w:val="71"/>
          <w:szCs w:val="71"/>
        </w:rPr>
        <w:t>件</w:t>
      </w:r>
    </w:p>
    <w:p w14:paraId="7D2F441D">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6D6E9DBC">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（招标项目编号：</w:t>
      </w:r>
      <w:r>
        <w:rPr>
          <w:rFonts w:ascii="宋体" w:hAnsi="宋体" w:eastAsia="宋体" w:cs="宋体"/>
          <w:snapToGrid/>
          <w:color w:val="0000FF"/>
          <w:spacing w:val="0"/>
          <w:w w:val="100"/>
          <w:kern w:val="21"/>
          <w:position w:val="0"/>
          <w:sz w:val="31"/>
          <w:szCs w:val="31"/>
          <w:u w:val="single" w:color="auto"/>
        </w:rPr>
        <w:t>【招标项目编号】</w:t>
      </w:r>
      <w:r>
        <w:rPr>
          <w:rFonts w:ascii="宋体" w:hAnsi="宋体" w:eastAsia="宋体" w:cs="宋体"/>
          <w:b/>
          <w:bCs/>
          <w:snapToGrid/>
          <w:spacing w:val="0"/>
          <w:w w:val="100"/>
          <w:kern w:val="21"/>
          <w:position w:val="0"/>
          <w:sz w:val="31"/>
          <w:szCs w:val="31"/>
        </w:rPr>
        <w:t>）</w:t>
      </w:r>
    </w:p>
    <w:p w14:paraId="02CC8230">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6A9D0D3D">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6674223D">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0F463F61">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7B2F8728">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432FA195">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599DA4F3">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2B08C622">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77FD9632">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39C432BB">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Arial"/>
          <w:snapToGrid/>
          <w:spacing w:val="0"/>
          <w:w w:val="100"/>
          <w:kern w:val="21"/>
          <w:position w:val="0"/>
          <w:sz w:val="21"/>
        </w:rPr>
      </w:pPr>
    </w:p>
    <w:p w14:paraId="7E82A576">
      <w:pPr>
        <w:keepNext w:val="0"/>
        <w:keepLines w:val="0"/>
        <w:pageBreakBefore w:val="0"/>
        <w:widowControl w:val="0"/>
        <w:kinsoku/>
        <w:wordWrap w:val="0"/>
        <w:overflowPunct/>
        <w:topLinePunct/>
        <w:autoSpaceDE w:val="0"/>
        <w:autoSpaceDN/>
        <w:bidi w:val="0"/>
        <w:adjustRightInd/>
        <w:snapToGrid/>
        <w:spacing w:line="360" w:lineRule="auto"/>
        <w:ind w:left="0" w:right="0"/>
        <w:jc w:val="left"/>
        <w:textAlignment w:val="baseline"/>
        <w:outlineLvl w:val="9"/>
        <w:rPr>
          <w:rFonts w:ascii="宋体" w:hAnsi="宋体" w:eastAsia="宋体" w:cs="宋体"/>
          <w:b/>
          <w:bCs/>
          <w:snapToGrid/>
          <w:spacing w:val="0"/>
          <w:w w:val="100"/>
          <w:kern w:val="21"/>
          <w:position w:val="0"/>
          <w:sz w:val="31"/>
          <w:szCs w:val="31"/>
        </w:rPr>
      </w:pPr>
    </w:p>
    <w:p w14:paraId="5F815605">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招标人：</w:t>
      </w:r>
      <w:r>
        <w:rPr>
          <w:rFonts w:hint="eastAsia" w:ascii="宋体" w:hAnsi="宋体" w:eastAsia="宋体" w:cs="宋体"/>
          <w:b/>
          <w:bCs/>
          <w:snapToGrid/>
          <w:spacing w:val="0"/>
          <w:w w:val="100"/>
          <w:kern w:val="21"/>
          <w:position w:val="0"/>
          <w:sz w:val="31"/>
          <w:szCs w:val="31"/>
        </w:rPr>
        <w:t>霍邱县农业农村局</w:t>
      </w:r>
      <w:r>
        <w:rPr>
          <w:rFonts w:hint="eastAsia" w:ascii="宋体" w:hAnsi="宋体" w:eastAsia="宋体" w:cs="宋体"/>
          <w:b/>
          <w:bCs/>
          <w:snapToGrid/>
          <w:spacing w:val="0"/>
          <w:w w:val="100"/>
          <w:kern w:val="21"/>
          <w:position w:val="0"/>
          <w:sz w:val="31"/>
          <w:szCs w:val="31"/>
          <w:lang w:eastAsia="zh-CN"/>
        </w:rPr>
        <w:t>、</w:t>
      </w:r>
      <w:r>
        <w:rPr>
          <w:rFonts w:hint="eastAsia" w:ascii="宋体" w:hAnsi="宋体" w:eastAsia="宋体" w:cs="宋体"/>
          <w:b/>
          <w:bCs/>
          <w:snapToGrid/>
          <w:spacing w:val="0"/>
          <w:w w:val="100"/>
          <w:kern w:val="21"/>
          <w:position w:val="0"/>
          <w:sz w:val="31"/>
          <w:szCs w:val="31"/>
          <w:lang w:val="en-US" w:eastAsia="zh-CN"/>
        </w:rPr>
        <w:t>霍邱县夏店镇人民政府</w:t>
      </w:r>
      <w:r>
        <w:rPr>
          <w:rFonts w:ascii="宋体" w:hAnsi="宋体" w:eastAsia="宋体" w:cs="宋体"/>
          <w:b/>
          <w:bCs/>
          <w:snapToGrid/>
          <w:spacing w:val="0"/>
          <w:w w:val="100"/>
          <w:kern w:val="21"/>
          <w:position w:val="0"/>
          <w:sz w:val="31"/>
          <w:szCs w:val="31"/>
        </w:rPr>
        <w:t>（盖单位章）</w:t>
      </w:r>
    </w:p>
    <w:p w14:paraId="644C9340">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b/>
          <w:bCs/>
          <w:snapToGrid/>
          <w:spacing w:val="0"/>
          <w:w w:val="100"/>
          <w:kern w:val="21"/>
          <w:position w:val="0"/>
          <w:sz w:val="31"/>
          <w:szCs w:val="31"/>
        </w:rPr>
      </w:pPr>
      <w:r>
        <w:rPr>
          <w:rFonts w:ascii="宋体" w:hAnsi="宋体" w:eastAsia="宋体" w:cs="宋体"/>
          <w:b/>
          <w:bCs/>
          <w:snapToGrid/>
          <w:spacing w:val="0"/>
          <w:w w:val="100"/>
          <w:kern w:val="21"/>
          <w:position w:val="0"/>
          <w:sz w:val="31"/>
          <w:szCs w:val="31"/>
        </w:rPr>
        <w:t>招标代理机构：</w:t>
      </w:r>
      <w:r>
        <w:rPr>
          <w:rFonts w:hint="eastAsia" w:ascii="宋体" w:hAnsi="宋体" w:eastAsia="宋体" w:cs="宋体"/>
          <w:b/>
          <w:bCs/>
          <w:snapToGrid/>
          <w:spacing w:val="0"/>
          <w:w w:val="100"/>
          <w:kern w:val="21"/>
          <w:position w:val="0"/>
          <w:sz w:val="31"/>
          <w:szCs w:val="31"/>
          <w:lang w:val="en-US" w:eastAsia="zh-CN"/>
        </w:rPr>
        <w:t>福建安华发展有限公司</w:t>
      </w:r>
      <w:r>
        <w:rPr>
          <w:rFonts w:ascii="宋体" w:hAnsi="宋体" w:eastAsia="宋体" w:cs="宋体"/>
          <w:b/>
          <w:bCs/>
          <w:snapToGrid/>
          <w:spacing w:val="0"/>
          <w:w w:val="100"/>
          <w:kern w:val="21"/>
          <w:position w:val="0"/>
          <w:sz w:val="31"/>
          <w:szCs w:val="31"/>
        </w:rPr>
        <w:t>（盖单位章）</w:t>
      </w:r>
    </w:p>
    <w:p w14:paraId="4A383229">
      <w:pPr>
        <w:keepNext w:val="0"/>
        <w:keepLines w:val="0"/>
        <w:pageBreakBefore w:val="0"/>
        <w:widowControl w:val="0"/>
        <w:kinsoku/>
        <w:wordWrap w:val="0"/>
        <w:overflowPunct/>
        <w:topLinePunct/>
        <w:autoSpaceDE w:val="0"/>
        <w:autoSpaceDN/>
        <w:bidi w:val="0"/>
        <w:adjustRightInd/>
        <w:snapToGrid/>
        <w:spacing w:line="360" w:lineRule="auto"/>
        <w:ind w:left="0" w:right="0"/>
        <w:jc w:val="center"/>
        <w:textAlignment w:val="baseline"/>
        <w:outlineLvl w:val="9"/>
        <w:rPr>
          <w:rFonts w:ascii="宋体" w:hAnsi="宋体" w:eastAsia="宋体" w:cs="宋体"/>
          <w:snapToGrid/>
          <w:spacing w:val="0"/>
          <w:w w:val="100"/>
          <w:kern w:val="21"/>
          <w:position w:val="0"/>
          <w:sz w:val="31"/>
          <w:szCs w:val="31"/>
        </w:rPr>
      </w:pPr>
      <w:r>
        <w:rPr>
          <w:rFonts w:hint="eastAsia" w:ascii="宋体" w:hAnsi="宋体" w:eastAsia="宋体" w:cs="宋体"/>
          <w:snapToGrid/>
          <w:spacing w:val="0"/>
          <w:w w:val="100"/>
          <w:kern w:val="21"/>
          <w:position w:val="0"/>
          <w:sz w:val="31"/>
          <w:szCs w:val="31"/>
          <w:u w:val="single" w:color="auto"/>
          <w:lang w:val="en-US" w:eastAsia="zh-CN"/>
        </w:rPr>
        <w:t>2025</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年</w:t>
      </w:r>
      <w:r>
        <w:rPr>
          <w:rFonts w:ascii="宋体" w:hAnsi="宋体" w:eastAsia="宋体" w:cs="宋体"/>
          <w:snapToGrid/>
          <w:spacing w:val="0"/>
          <w:w w:val="100"/>
          <w:kern w:val="21"/>
          <w:position w:val="0"/>
          <w:sz w:val="31"/>
          <w:szCs w:val="31"/>
        </w:rPr>
        <w:t xml:space="preserve"> </w:t>
      </w:r>
      <w:r>
        <w:rPr>
          <w:rFonts w:hint="eastAsia" w:ascii="宋体" w:hAnsi="宋体" w:eastAsia="宋体" w:cs="宋体"/>
          <w:snapToGrid/>
          <w:spacing w:val="0"/>
          <w:w w:val="100"/>
          <w:kern w:val="21"/>
          <w:position w:val="0"/>
          <w:sz w:val="31"/>
          <w:szCs w:val="31"/>
          <w:u w:val="single" w:color="auto"/>
          <w:lang w:val="en-US" w:eastAsia="zh-CN"/>
        </w:rPr>
        <w:t>9</w:t>
      </w:r>
      <w:r>
        <w:rPr>
          <w:rFonts w:ascii="宋体" w:hAnsi="宋体" w:eastAsia="宋体" w:cs="宋体"/>
          <w:b/>
          <w:bCs/>
          <w:snapToGrid/>
          <w:spacing w:val="0"/>
          <w:w w:val="100"/>
          <w:kern w:val="21"/>
          <w:position w:val="0"/>
          <w:sz w:val="31"/>
          <w:szCs w:val="31"/>
        </w:rPr>
        <w:t>月</w:t>
      </w:r>
      <w:r>
        <w:rPr>
          <w:rFonts w:hint="eastAsia" w:ascii="宋体" w:hAnsi="宋体" w:eastAsia="宋体" w:cs="宋体"/>
          <w:snapToGrid/>
          <w:spacing w:val="0"/>
          <w:w w:val="100"/>
          <w:kern w:val="21"/>
          <w:position w:val="0"/>
          <w:sz w:val="31"/>
          <w:szCs w:val="31"/>
          <w:u w:val="single" w:color="auto"/>
          <w:lang w:val="en-US" w:eastAsia="zh-CN"/>
        </w:rPr>
        <w:t>16</w:t>
      </w:r>
      <w:r>
        <w:rPr>
          <w:rFonts w:ascii="宋体" w:hAnsi="宋体" w:eastAsia="宋体" w:cs="宋体"/>
          <w:b/>
          <w:bCs/>
          <w:snapToGrid/>
          <w:spacing w:val="0"/>
          <w:w w:val="100"/>
          <w:kern w:val="21"/>
          <w:position w:val="0"/>
          <w:sz w:val="31"/>
          <w:szCs w:val="31"/>
        </w:rPr>
        <w:t>日</w:t>
      </w:r>
    </w:p>
    <w:p w14:paraId="3C3615D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31"/>
          <w:szCs w:val="31"/>
        </w:rPr>
        <w:sectPr>
          <w:footerReference r:id="rId7" w:type="default"/>
          <w:pgSz w:w="11906" w:h="16838"/>
          <w:pgMar w:top="1440" w:right="1080" w:bottom="1440" w:left="1080" w:header="0" w:footer="0" w:gutter="0"/>
          <w:cols w:space="720" w:num="1"/>
        </w:sectPr>
      </w:pPr>
    </w:p>
    <w:p w14:paraId="0CC4751B">
      <w:pPr>
        <w:keepNext w:val="0"/>
        <w:keepLines w:val="0"/>
        <w:pageBreakBefore w:val="0"/>
        <w:widowControl w:val="0"/>
        <w:kinsoku/>
        <w:wordWrap/>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43"/>
          <w:szCs w:val="43"/>
        </w:rPr>
      </w:pPr>
      <w:r>
        <w:rPr>
          <w:rFonts w:ascii="宋体" w:hAnsi="宋体" w:eastAsia="宋体" w:cs="宋体"/>
          <w:b/>
          <w:bCs/>
          <w:snapToGrid/>
          <w:spacing w:val="0"/>
          <w:w w:val="100"/>
          <w:kern w:val="21"/>
          <w:position w:val="0"/>
          <w:sz w:val="43"/>
          <w:szCs w:val="43"/>
        </w:rPr>
        <w:t>目</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录</w:t>
      </w:r>
    </w:p>
    <w:sdt>
      <w:sdtPr>
        <w:rPr>
          <w:rFonts w:ascii="宋体" w:hAnsi="宋体" w:eastAsia="宋体" w:cs="Arial"/>
          <w:snapToGrid w:val="0"/>
          <w:color w:val="000000"/>
          <w:kern w:val="0"/>
          <w:sz w:val="21"/>
          <w:szCs w:val="21"/>
          <w:lang w:val="en-US" w:eastAsia="en-US" w:bidi="ar-SA"/>
        </w:rPr>
        <w:id w:val="147473396"/>
        <w15:color w:val="DBDBDB"/>
        <w:docPartObj>
          <w:docPartGallery w:val="Table of Contents"/>
          <w:docPartUnique/>
        </w:docPartObj>
      </w:sdtPr>
      <w:sdtEndPr>
        <w:rPr>
          <w:rFonts w:ascii="Times New Roman" w:hAnsi="Times New Roman" w:eastAsia="Times New Roman" w:cs="Times New Roman"/>
          <w:snapToGrid/>
          <w:color w:val="000000"/>
          <w:spacing w:val="0"/>
          <w:w w:val="100"/>
          <w:kern w:val="21"/>
          <w:position w:val="0"/>
          <w:sz w:val="21"/>
          <w:szCs w:val="20"/>
          <w:lang w:val="en-US" w:eastAsia="en-US" w:bidi="ar-SA"/>
        </w:rPr>
      </w:sdtEndPr>
      <w:sdtContent>
        <w:p w14:paraId="48CEFF6E">
          <w:pPr>
            <w:spacing w:before="0" w:beforeLines="0" w:after="0" w:afterLines="0" w:line="240" w:lineRule="auto"/>
            <w:ind w:left="0" w:leftChars="0" w:right="0" w:rightChars="0" w:firstLine="0" w:firstLineChars="0"/>
            <w:jc w:val="center"/>
          </w:pPr>
        </w:p>
        <w:p w14:paraId="5C2A02C2">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color w:val="000000"/>
              <w:spacing w:val="0"/>
              <w:w w:val="100"/>
              <w:kern w:val="21"/>
              <w:position w:val="0"/>
              <w:sz w:val="30"/>
              <w:szCs w:val="30"/>
              <w:lang w:val="en-US" w:eastAsia="en-US" w:bidi="ar-SA"/>
            </w:rPr>
            <w:instrText xml:space="preserve">TOC \o "1-1" \h \u </w:instrText>
          </w:r>
          <w:r>
            <w:rPr>
              <w:rFonts w:hint="eastAsia" w:ascii="仿宋" w:hAnsi="仿宋" w:eastAsia="仿宋" w:cs="仿宋"/>
              <w:snapToGrid/>
              <w:color w:val="000000"/>
              <w:spacing w:val="0"/>
              <w:w w:val="100"/>
              <w:kern w:val="21"/>
              <w:position w:val="0"/>
              <w:sz w:val="30"/>
              <w:szCs w:val="30"/>
              <w:lang w:val="en-US" w:eastAsia="en-US" w:bidi="ar-SA"/>
            </w:rPr>
            <w:fldChar w:fldCharType="separate"/>
          </w: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_Toc20160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第一章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招标公告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_Toc20160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43361443">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_Toc224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第二章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投标人须知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_Toc224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4F0E1153">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_Toc251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第三章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评标办法（综合评估法（综合评分））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_Toc251 \h </w:instrText>
          </w:r>
          <w:r>
            <w:rPr>
              <w:rFonts w:hint="eastAsia" w:ascii="仿宋" w:hAnsi="仿宋" w:eastAsia="仿宋" w:cs="仿宋"/>
              <w:sz w:val="30"/>
              <w:szCs w:val="30"/>
            </w:rPr>
            <w:fldChar w:fldCharType="separate"/>
          </w:r>
          <w:r>
            <w:rPr>
              <w:rFonts w:hint="eastAsia" w:ascii="仿宋" w:hAnsi="仿宋" w:eastAsia="仿宋" w:cs="仿宋"/>
              <w:sz w:val="30"/>
              <w:szCs w:val="30"/>
            </w:rPr>
            <w:t>38</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2A31AC50">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_Toc14247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第四章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合同条款及格式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_Toc14247 \h </w:instrText>
          </w:r>
          <w:r>
            <w:rPr>
              <w:rFonts w:hint="eastAsia" w:ascii="仿宋" w:hAnsi="仿宋" w:eastAsia="仿宋" w:cs="仿宋"/>
              <w:sz w:val="30"/>
              <w:szCs w:val="30"/>
            </w:rPr>
            <w:fldChar w:fldCharType="separate"/>
          </w:r>
          <w:r>
            <w:rPr>
              <w:rFonts w:hint="eastAsia" w:ascii="仿宋" w:hAnsi="仿宋" w:eastAsia="仿宋" w:cs="仿宋"/>
              <w:sz w:val="30"/>
              <w:szCs w:val="30"/>
            </w:rPr>
            <w:t>51</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183248E1">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_Toc25466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第五章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工程量清单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_Toc25466 \h </w:instrText>
          </w:r>
          <w:r>
            <w:rPr>
              <w:rFonts w:hint="eastAsia" w:ascii="仿宋" w:hAnsi="仿宋" w:eastAsia="仿宋" w:cs="仿宋"/>
              <w:sz w:val="30"/>
              <w:szCs w:val="30"/>
            </w:rPr>
            <w:fldChar w:fldCharType="separate"/>
          </w:r>
          <w:r>
            <w:rPr>
              <w:rFonts w:hint="eastAsia" w:ascii="仿宋" w:hAnsi="仿宋" w:eastAsia="仿宋" w:cs="仿宋"/>
              <w:sz w:val="30"/>
              <w:szCs w:val="30"/>
            </w:rPr>
            <w:t>124</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6540A6CE">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_Toc17241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第七章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技术标准和要求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_Toc17241 \h </w:instrText>
          </w:r>
          <w:r>
            <w:rPr>
              <w:rFonts w:hint="eastAsia" w:ascii="仿宋" w:hAnsi="仿宋" w:eastAsia="仿宋" w:cs="仿宋"/>
              <w:sz w:val="30"/>
              <w:szCs w:val="30"/>
            </w:rPr>
            <w:fldChar w:fldCharType="separate"/>
          </w:r>
          <w:r>
            <w:rPr>
              <w:rFonts w:hint="eastAsia" w:ascii="仿宋" w:hAnsi="仿宋" w:eastAsia="仿宋" w:cs="仿宋"/>
              <w:sz w:val="30"/>
              <w:szCs w:val="30"/>
            </w:rPr>
            <w:t>128</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6FAAD81B">
          <w:pPr>
            <w:pStyle w:val="8"/>
            <w:tabs>
              <w:tab w:val="right" w:leader="dot" w:pos="9746"/>
            </w:tabs>
            <w:spacing w:line="360" w:lineRule="auto"/>
            <w:rPr>
              <w:rFonts w:hint="eastAsia" w:ascii="仿宋" w:hAnsi="仿宋" w:eastAsia="仿宋" w:cs="仿宋"/>
              <w:sz w:val="30"/>
              <w:szCs w:val="30"/>
            </w:rPr>
          </w:pPr>
          <w:r>
            <w:rPr>
              <w:rFonts w:hint="eastAsia" w:ascii="仿宋" w:hAnsi="仿宋" w:eastAsia="仿宋" w:cs="仿宋"/>
              <w:snapToGrid/>
              <w:color w:val="000000"/>
              <w:spacing w:val="0"/>
              <w:w w:val="100"/>
              <w:kern w:val="21"/>
              <w:position w:val="0"/>
              <w:sz w:val="30"/>
              <w:szCs w:val="30"/>
              <w:lang w:val="en-US" w:eastAsia="en-US" w:bidi="ar-SA"/>
            </w:rPr>
            <w:fldChar w:fldCharType="begin"/>
          </w:r>
          <w:r>
            <w:rPr>
              <w:rFonts w:hint="eastAsia" w:ascii="仿宋" w:hAnsi="仿宋" w:eastAsia="仿宋" w:cs="仿宋"/>
              <w:snapToGrid/>
              <w:spacing w:val="0"/>
              <w:w w:val="100"/>
              <w:kern w:val="21"/>
              <w:position w:val="0"/>
              <w:sz w:val="30"/>
              <w:szCs w:val="30"/>
              <w:lang w:val="en-US" w:eastAsia="en-US" w:bidi="ar-SA"/>
            </w:rPr>
            <w:instrText xml:space="preserve"> HYPERLINK \l _Toc32752 </w:instrText>
          </w:r>
          <w:r>
            <w:rPr>
              <w:rFonts w:hint="eastAsia" w:ascii="仿宋" w:hAnsi="仿宋" w:eastAsia="仿宋" w:cs="仿宋"/>
              <w:snapToGrid/>
              <w:spacing w:val="0"/>
              <w:w w:val="100"/>
              <w:kern w:val="21"/>
              <w:position w:val="0"/>
              <w:sz w:val="30"/>
              <w:szCs w:val="30"/>
              <w:lang w:val="en-US" w:eastAsia="en-US" w:bidi="ar-SA"/>
            </w:rPr>
            <w:fldChar w:fldCharType="separate"/>
          </w:r>
          <w:r>
            <w:rPr>
              <w:rFonts w:hint="eastAsia" w:ascii="仿宋" w:hAnsi="仿宋" w:eastAsia="仿宋" w:cs="仿宋"/>
              <w:bCs/>
              <w:snapToGrid/>
              <w:spacing w:val="0"/>
              <w:w w:val="100"/>
              <w:kern w:val="21"/>
              <w:position w:val="0"/>
              <w:sz w:val="30"/>
              <w:szCs w:val="30"/>
            </w:rPr>
            <w:t>第八章</w:t>
          </w:r>
          <w:r>
            <w:rPr>
              <w:rFonts w:hint="eastAsia" w:ascii="仿宋" w:hAnsi="仿宋" w:eastAsia="仿宋" w:cs="仿宋"/>
              <w:snapToGrid/>
              <w:spacing w:val="0"/>
              <w:w w:val="100"/>
              <w:kern w:val="21"/>
              <w:position w:val="0"/>
              <w:sz w:val="30"/>
              <w:szCs w:val="30"/>
            </w:rPr>
            <w:t xml:space="preserve"> </w:t>
          </w:r>
          <w:r>
            <w:rPr>
              <w:rFonts w:hint="eastAsia" w:ascii="仿宋" w:hAnsi="仿宋" w:eastAsia="仿宋" w:cs="仿宋"/>
              <w:bCs/>
              <w:snapToGrid/>
              <w:spacing w:val="0"/>
              <w:w w:val="100"/>
              <w:kern w:val="21"/>
              <w:position w:val="0"/>
              <w:sz w:val="30"/>
              <w:szCs w:val="30"/>
            </w:rPr>
            <w:t>投标文件格式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_Toc32752 \h </w:instrText>
          </w:r>
          <w:r>
            <w:rPr>
              <w:rFonts w:hint="eastAsia" w:ascii="仿宋" w:hAnsi="仿宋" w:eastAsia="仿宋" w:cs="仿宋"/>
              <w:sz w:val="30"/>
              <w:szCs w:val="30"/>
            </w:rPr>
            <w:fldChar w:fldCharType="separate"/>
          </w:r>
          <w:r>
            <w:rPr>
              <w:rFonts w:hint="eastAsia" w:ascii="仿宋" w:hAnsi="仿宋" w:eastAsia="仿宋" w:cs="仿宋"/>
              <w:sz w:val="30"/>
              <w:szCs w:val="30"/>
            </w:rPr>
            <w:t>129</w:t>
          </w:r>
          <w:r>
            <w:rPr>
              <w:rFonts w:hint="eastAsia" w:ascii="仿宋" w:hAnsi="仿宋" w:eastAsia="仿宋" w:cs="仿宋"/>
              <w:sz w:val="30"/>
              <w:szCs w:val="30"/>
            </w:rPr>
            <w:fldChar w:fldCharType="end"/>
          </w:r>
          <w:r>
            <w:rPr>
              <w:rFonts w:hint="eastAsia" w:ascii="仿宋" w:hAnsi="仿宋" w:eastAsia="仿宋" w:cs="仿宋"/>
              <w:snapToGrid/>
              <w:color w:val="000000"/>
              <w:spacing w:val="0"/>
              <w:w w:val="100"/>
              <w:kern w:val="21"/>
              <w:position w:val="0"/>
              <w:sz w:val="30"/>
              <w:szCs w:val="30"/>
              <w:lang w:val="en-US" w:eastAsia="en-US" w:bidi="ar-SA"/>
            </w:rPr>
            <w:fldChar w:fldCharType="end"/>
          </w:r>
        </w:p>
        <w:p w14:paraId="7987E6C4">
          <w:pPr>
            <w:keepNext w:val="0"/>
            <w:keepLines w:val="0"/>
            <w:pageBreakBefore w:val="0"/>
            <w:widowControl w:val="0"/>
            <w:tabs>
              <w:tab w:val="right" w:leader="dot" w:pos="9057"/>
            </w:tabs>
            <w:kinsoku/>
            <w:wordWrap w:val="0"/>
            <w:overflowPunct/>
            <w:topLinePunct/>
            <w:autoSpaceDE w:val="0"/>
            <w:autoSpaceDN/>
            <w:bidi w:val="0"/>
            <w:adjustRightInd/>
            <w:snapToGrid/>
            <w:spacing w:line="360" w:lineRule="auto"/>
            <w:ind w:left="0" w:right="0"/>
            <w:jc w:val="left"/>
            <w:textAlignment w:val="baseline"/>
            <w:outlineLvl w:val="9"/>
            <w:rPr>
              <w:rFonts w:ascii="Times New Roman" w:hAnsi="Times New Roman" w:eastAsia="Times New Roman" w:cs="Times New Roman"/>
              <w:snapToGrid/>
              <w:color w:val="000000"/>
              <w:spacing w:val="0"/>
              <w:w w:val="100"/>
              <w:kern w:val="21"/>
              <w:position w:val="0"/>
              <w:sz w:val="21"/>
              <w:szCs w:val="20"/>
              <w:lang w:val="en-US" w:eastAsia="en-US" w:bidi="ar-SA"/>
            </w:rPr>
          </w:pPr>
          <w:r>
            <w:rPr>
              <w:rFonts w:hint="eastAsia" w:ascii="仿宋" w:hAnsi="仿宋" w:eastAsia="仿宋" w:cs="仿宋"/>
              <w:snapToGrid/>
              <w:color w:val="000000"/>
              <w:spacing w:val="0"/>
              <w:w w:val="100"/>
              <w:kern w:val="21"/>
              <w:position w:val="0"/>
              <w:sz w:val="30"/>
              <w:szCs w:val="30"/>
              <w:lang w:val="en-US" w:eastAsia="en-US" w:bidi="ar-SA"/>
            </w:rPr>
            <w:fldChar w:fldCharType="end"/>
          </w:r>
        </w:p>
      </w:sdtContent>
    </w:sdt>
    <w:p w14:paraId="40883512">
      <w:pPr>
        <w:pStyle w:val="2"/>
        <w:rPr>
          <w:lang w:val="en-US" w:eastAsia="en-US"/>
        </w:rPr>
      </w:pPr>
    </w:p>
    <w:p w14:paraId="2AB9A9C4">
      <w:pPr>
        <w:pStyle w:val="2"/>
      </w:pPr>
    </w:p>
    <w:p w14:paraId="7199848B">
      <w:pPr>
        <w:keepNext w:val="0"/>
        <w:keepLines w:val="0"/>
        <w:pageBreakBefore w:val="0"/>
        <w:widowControl w:val="0"/>
        <w:tabs>
          <w:tab w:val="right" w:leader="dot" w:pos="9057"/>
        </w:tabs>
        <w:kinsoku/>
        <w:wordWrap w:val="0"/>
        <w:overflowPunct/>
        <w:topLinePunct/>
        <w:autoSpaceDE w:val="0"/>
        <w:autoSpaceDN/>
        <w:bidi w:val="0"/>
        <w:adjustRightInd/>
        <w:snapToGrid/>
        <w:spacing w:line="560" w:lineRule="exact"/>
        <w:ind w:left="0" w:right="0"/>
        <w:jc w:val="left"/>
        <w:textAlignment w:val="baseline"/>
        <w:outlineLvl w:val="9"/>
        <w:rPr>
          <w:rFonts w:ascii="Times New Roman" w:hAnsi="Times New Roman" w:eastAsia="Times New Roman" w:cs="Times New Roman"/>
          <w:snapToGrid/>
          <w:spacing w:val="0"/>
          <w:w w:val="100"/>
          <w:kern w:val="21"/>
          <w:position w:val="0"/>
          <w:sz w:val="20"/>
          <w:szCs w:val="20"/>
        </w:rPr>
        <w:sectPr>
          <w:pgSz w:w="11906" w:h="16838"/>
          <w:pgMar w:top="1440" w:right="1080" w:bottom="1440" w:left="1080" w:header="0" w:footer="0" w:gutter="0"/>
          <w:cols w:space="720" w:num="1"/>
        </w:sectPr>
      </w:pPr>
    </w:p>
    <w:p w14:paraId="040215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0"/>
        <w:rPr>
          <w:rFonts w:hint="eastAsia" w:ascii="黑体" w:hAnsi="黑体" w:eastAsia="黑体" w:cs="黑体"/>
          <w:snapToGrid/>
          <w:spacing w:val="0"/>
          <w:w w:val="100"/>
          <w:kern w:val="21"/>
          <w:position w:val="0"/>
          <w:sz w:val="36"/>
          <w:szCs w:val="36"/>
        </w:rPr>
      </w:pPr>
      <w:bookmarkStart w:id="0" w:name="bookmark99"/>
      <w:bookmarkEnd w:id="0"/>
      <w:bookmarkStart w:id="1" w:name="bookmark98"/>
      <w:bookmarkEnd w:id="1"/>
      <w:bookmarkStart w:id="2" w:name="_Toc14327"/>
      <w:bookmarkStart w:id="3" w:name="_Toc20160"/>
      <w:r>
        <w:rPr>
          <w:rFonts w:hint="eastAsia" w:ascii="黑体" w:hAnsi="黑体" w:eastAsia="黑体" w:cs="黑体"/>
          <w:b/>
          <w:bCs/>
          <w:snapToGrid/>
          <w:spacing w:val="0"/>
          <w:w w:val="100"/>
          <w:kern w:val="21"/>
          <w:position w:val="0"/>
          <w:sz w:val="36"/>
          <w:szCs w:val="36"/>
        </w:rPr>
        <w:t>第一章</w:t>
      </w:r>
      <w:r>
        <w:rPr>
          <w:rFonts w:hint="eastAsia" w:ascii="黑体" w:hAnsi="黑体" w:eastAsia="黑体" w:cs="黑体"/>
          <w:snapToGrid/>
          <w:spacing w:val="0"/>
          <w:w w:val="100"/>
          <w:kern w:val="21"/>
          <w:position w:val="0"/>
          <w:sz w:val="36"/>
          <w:szCs w:val="36"/>
        </w:rPr>
        <w:t xml:space="preserve"> </w:t>
      </w:r>
      <w:r>
        <w:rPr>
          <w:rFonts w:hint="eastAsia" w:ascii="黑体" w:hAnsi="黑体" w:eastAsia="黑体" w:cs="黑体"/>
          <w:b/>
          <w:bCs/>
          <w:snapToGrid/>
          <w:spacing w:val="0"/>
          <w:w w:val="100"/>
          <w:kern w:val="21"/>
          <w:position w:val="0"/>
          <w:sz w:val="36"/>
          <w:szCs w:val="36"/>
        </w:rPr>
        <w:t>招标公告</w:t>
      </w:r>
      <w:bookmarkEnd w:id="2"/>
      <w:bookmarkEnd w:id="3"/>
    </w:p>
    <w:p w14:paraId="2017A93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AD54EF2">
      <w:pPr>
        <w:pStyle w:val="4"/>
        <w:keepNext w:val="0"/>
        <w:keepLines w:val="0"/>
        <w:pageBreakBefore w:val="0"/>
        <w:widowControl w:val="0"/>
        <w:tabs>
          <w:tab w:val="left" w:pos="1220"/>
        </w:tabs>
        <w:kinsoku/>
        <w:wordWrap w:val="0"/>
        <w:overflowPunct/>
        <w:topLinePunct/>
        <w:autoSpaceDE w:val="0"/>
        <w:autoSpaceDN/>
        <w:bidi w:val="0"/>
        <w:adjustRightInd/>
        <w:snapToGrid/>
        <w:spacing w:line="560" w:lineRule="exact"/>
        <w:ind w:left="0" w:right="0"/>
        <w:jc w:val="center"/>
        <w:textAlignment w:val="baseline"/>
        <w:outlineLvl w:val="9"/>
        <w:rPr>
          <w:rFonts w:hint="eastAsia" w:ascii="华文中宋" w:hAnsi="华文中宋" w:eastAsia="华文中宋" w:cs="华文中宋"/>
          <w:b/>
          <w:bCs/>
          <w:snapToGrid/>
          <w:spacing w:val="0"/>
          <w:w w:val="100"/>
          <w:kern w:val="21"/>
          <w:position w:val="0"/>
          <w:sz w:val="36"/>
          <w:szCs w:val="36"/>
          <w:u w:val="single"/>
        </w:rPr>
      </w:pPr>
      <w:r>
        <w:rPr>
          <w:rFonts w:hint="eastAsia" w:ascii="华文中宋" w:hAnsi="华文中宋" w:eastAsia="华文中宋" w:cs="华文中宋"/>
          <w:b/>
          <w:bCs/>
          <w:snapToGrid/>
          <w:spacing w:val="0"/>
          <w:w w:val="100"/>
          <w:kern w:val="21"/>
          <w:position w:val="0"/>
          <w:sz w:val="36"/>
          <w:szCs w:val="36"/>
          <w:u w:val="single"/>
        </w:rPr>
        <w:t>2025年霍邱县高标准农田建设项目(夏店镇增发国债项目)</w:t>
      </w:r>
    </w:p>
    <w:p w14:paraId="20F91D68">
      <w:pPr>
        <w:pStyle w:val="4"/>
        <w:keepNext w:val="0"/>
        <w:keepLines w:val="0"/>
        <w:pageBreakBefore w:val="0"/>
        <w:widowControl w:val="0"/>
        <w:tabs>
          <w:tab w:val="left" w:pos="1220"/>
        </w:tabs>
        <w:kinsoku/>
        <w:wordWrap w:val="0"/>
        <w:overflowPunct/>
        <w:topLinePunct/>
        <w:autoSpaceDE w:val="0"/>
        <w:autoSpaceDN/>
        <w:bidi w:val="0"/>
        <w:adjustRightInd/>
        <w:snapToGrid/>
        <w:spacing w:line="560" w:lineRule="exact"/>
        <w:ind w:left="0" w:right="0"/>
        <w:jc w:val="center"/>
        <w:textAlignment w:val="baseline"/>
        <w:outlineLvl w:val="9"/>
        <w:rPr>
          <w:rFonts w:hint="eastAsia" w:ascii="华文中宋" w:hAnsi="华文中宋" w:eastAsia="华文中宋" w:cs="华文中宋"/>
          <w:snapToGrid/>
          <w:spacing w:val="0"/>
          <w:w w:val="100"/>
          <w:kern w:val="21"/>
          <w:position w:val="0"/>
          <w:sz w:val="36"/>
          <w:szCs w:val="36"/>
        </w:rPr>
      </w:pPr>
      <w:r>
        <w:rPr>
          <w:rFonts w:hint="eastAsia" w:ascii="华文中宋" w:hAnsi="华文中宋" w:eastAsia="华文中宋" w:cs="华文中宋"/>
          <w:b/>
          <w:bCs/>
          <w:snapToGrid/>
          <w:spacing w:val="0"/>
          <w:w w:val="100"/>
          <w:kern w:val="21"/>
          <w:position w:val="0"/>
          <w:sz w:val="36"/>
          <w:szCs w:val="36"/>
        </w:rPr>
        <w:t>施工招标公告（电子招标投标）</w:t>
      </w:r>
    </w:p>
    <w:p w14:paraId="6C70042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 w:name="_Toc3626"/>
      <w:r>
        <w:rPr>
          <w:rFonts w:ascii="宋体" w:hAnsi="宋体" w:eastAsia="宋体" w:cs="宋体"/>
          <w:b/>
          <w:bCs/>
          <w:snapToGrid/>
          <w:spacing w:val="0"/>
          <w:w w:val="100"/>
          <w:kern w:val="21"/>
          <w:position w:val="0"/>
          <w:sz w:val="28"/>
          <w:szCs w:val="28"/>
        </w:rPr>
        <w:t>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招标条件</w:t>
      </w:r>
      <w:bookmarkEnd w:id="4"/>
    </w:p>
    <w:p w14:paraId="55165CE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b w:val="0"/>
          <w:bCs w:val="0"/>
          <w:snapToGrid/>
          <w:spacing w:val="0"/>
          <w:w w:val="100"/>
          <w:kern w:val="21"/>
          <w:position w:val="0"/>
          <w:sz w:val="20"/>
          <w:szCs w:val="20"/>
        </w:rPr>
      </w:pPr>
      <w:r>
        <w:rPr>
          <w:rFonts w:ascii="宋体" w:hAnsi="宋体" w:eastAsia="宋体" w:cs="宋体"/>
          <w:b w:val="0"/>
          <w:bCs w:val="0"/>
          <w:snapToGrid/>
          <w:spacing w:val="0"/>
          <w:w w:val="100"/>
          <w:kern w:val="21"/>
          <w:position w:val="0"/>
          <w:sz w:val="20"/>
          <w:szCs w:val="20"/>
        </w:rPr>
        <w:t>1.1 项目名称：</w:t>
      </w:r>
      <w:r>
        <w:rPr>
          <w:rFonts w:hint="eastAsia" w:ascii="宋体" w:hAnsi="宋体" w:eastAsia="宋体" w:cs="宋体"/>
          <w:b w:val="0"/>
          <w:bCs w:val="0"/>
          <w:snapToGrid/>
          <w:color w:val="0000FF"/>
          <w:spacing w:val="0"/>
          <w:w w:val="100"/>
          <w:kern w:val="21"/>
          <w:position w:val="0"/>
          <w:sz w:val="20"/>
          <w:szCs w:val="20"/>
          <w:u w:val="single" w:color="auto"/>
        </w:rPr>
        <w:t>2025年霍邱县高标准农田建设项目(夏店镇增发国债项目)</w:t>
      </w:r>
    </w:p>
    <w:p w14:paraId="5FB1818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b w:val="0"/>
          <w:bCs w:val="0"/>
          <w:snapToGrid/>
          <w:spacing w:val="0"/>
          <w:w w:val="100"/>
          <w:kern w:val="21"/>
          <w:position w:val="0"/>
          <w:sz w:val="20"/>
          <w:szCs w:val="20"/>
          <w:lang w:val="en-US" w:eastAsia="zh-CN"/>
        </w:rPr>
      </w:pPr>
      <w:r>
        <w:rPr>
          <w:rFonts w:ascii="宋体" w:hAnsi="宋体" w:eastAsia="宋体" w:cs="宋体"/>
          <w:b w:val="0"/>
          <w:bCs w:val="0"/>
          <w:snapToGrid/>
          <w:spacing w:val="0"/>
          <w:w w:val="100"/>
          <w:kern w:val="21"/>
          <w:position w:val="0"/>
          <w:sz w:val="20"/>
          <w:szCs w:val="20"/>
        </w:rPr>
        <w:t>1.2 项目审批、核准或备案机关名称：</w:t>
      </w:r>
      <w:r>
        <w:rPr>
          <w:rFonts w:hint="eastAsia" w:ascii="宋体" w:hAnsi="宋体" w:eastAsia="宋体" w:cs="宋体"/>
          <w:b w:val="0"/>
          <w:bCs w:val="0"/>
          <w:snapToGrid/>
          <w:color w:val="0000FF"/>
          <w:spacing w:val="0"/>
          <w:w w:val="100"/>
          <w:kern w:val="21"/>
          <w:position w:val="0"/>
          <w:sz w:val="20"/>
          <w:szCs w:val="20"/>
          <w:u w:val="single" w:color="auto"/>
          <w:lang w:val="en-US" w:eastAsia="zh-CN"/>
        </w:rPr>
        <w:t>六安市农业农村局</w:t>
      </w:r>
    </w:p>
    <w:p w14:paraId="58B8269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b w:val="0"/>
          <w:bCs w:val="0"/>
          <w:snapToGrid/>
          <w:spacing w:val="0"/>
          <w:w w:val="100"/>
          <w:kern w:val="21"/>
          <w:position w:val="0"/>
          <w:sz w:val="20"/>
          <w:szCs w:val="20"/>
          <w:lang w:val="en-US" w:eastAsia="zh-CN"/>
        </w:rPr>
      </w:pPr>
      <w:r>
        <w:rPr>
          <w:rFonts w:ascii="宋体" w:hAnsi="宋体" w:eastAsia="宋体" w:cs="宋体"/>
          <w:b w:val="0"/>
          <w:bCs w:val="0"/>
          <w:snapToGrid/>
          <w:spacing w:val="0"/>
          <w:w w:val="100"/>
          <w:kern w:val="21"/>
          <w:position w:val="0"/>
          <w:sz w:val="20"/>
          <w:szCs w:val="20"/>
        </w:rPr>
        <w:t>1.3 批文名称及编号：</w:t>
      </w:r>
      <w:r>
        <w:rPr>
          <w:rFonts w:hint="eastAsia" w:ascii="宋体" w:hAnsi="宋体" w:eastAsia="宋体" w:cs="宋体"/>
          <w:b w:val="0"/>
          <w:bCs w:val="0"/>
          <w:snapToGrid/>
          <w:color w:val="0000FF"/>
          <w:spacing w:val="0"/>
          <w:w w:val="100"/>
          <w:kern w:val="21"/>
          <w:position w:val="0"/>
          <w:sz w:val="20"/>
          <w:szCs w:val="20"/>
          <w:u w:val="single" w:color="auto"/>
          <w:lang w:val="en-US" w:eastAsia="zh-CN"/>
        </w:rPr>
        <w:t>六安市农业农村局关于对霍邱县2025年高标准农田建设项目（“两重”建设项目）初步设计的批复（六农办【2025】4号）</w:t>
      </w:r>
    </w:p>
    <w:p w14:paraId="710673C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b w:val="0"/>
          <w:bCs w:val="0"/>
          <w:snapToGrid/>
          <w:spacing w:val="0"/>
          <w:w w:val="100"/>
          <w:kern w:val="21"/>
          <w:position w:val="0"/>
          <w:sz w:val="20"/>
          <w:szCs w:val="20"/>
        </w:rPr>
      </w:pPr>
      <w:r>
        <w:rPr>
          <w:rFonts w:ascii="宋体" w:hAnsi="宋体" w:eastAsia="宋体" w:cs="宋体"/>
          <w:b w:val="0"/>
          <w:bCs w:val="0"/>
          <w:snapToGrid/>
          <w:spacing w:val="0"/>
          <w:w w:val="100"/>
          <w:kern w:val="21"/>
          <w:position w:val="0"/>
          <w:sz w:val="20"/>
          <w:szCs w:val="20"/>
        </w:rPr>
        <w:t>1.4 招标人：</w:t>
      </w:r>
      <w:r>
        <w:rPr>
          <w:rFonts w:hint="eastAsia" w:ascii="宋体" w:hAnsi="宋体" w:eastAsia="宋体" w:cs="宋体"/>
          <w:b w:val="0"/>
          <w:bCs w:val="0"/>
          <w:snapToGrid/>
          <w:color w:val="0000FF"/>
          <w:spacing w:val="0"/>
          <w:w w:val="100"/>
          <w:kern w:val="21"/>
          <w:position w:val="0"/>
          <w:sz w:val="20"/>
          <w:szCs w:val="20"/>
          <w:u w:val="single" w:color="auto"/>
        </w:rPr>
        <w:t>霍邱县农业农村局</w:t>
      </w:r>
      <w:r>
        <w:rPr>
          <w:rFonts w:hint="eastAsia" w:ascii="宋体" w:hAnsi="宋体" w:eastAsia="宋体" w:cs="宋体"/>
          <w:b w:val="0"/>
          <w:bCs w:val="0"/>
          <w:snapToGrid/>
          <w:color w:val="0000FF"/>
          <w:spacing w:val="0"/>
          <w:w w:val="100"/>
          <w:kern w:val="21"/>
          <w:position w:val="0"/>
          <w:sz w:val="20"/>
          <w:szCs w:val="20"/>
          <w:u w:val="single" w:color="auto"/>
          <w:lang w:eastAsia="zh-CN"/>
        </w:rPr>
        <w:t>、</w:t>
      </w:r>
      <w:r>
        <w:rPr>
          <w:rFonts w:hint="eastAsia" w:ascii="宋体" w:hAnsi="宋体" w:eastAsia="宋体" w:cs="宋体"/>
          <w:b w:val="0"/>
          <w:bCs w:val="0"/>
          <w:snapToGrid/>
          <w:color w:val="0000FF"/>
          <w:spacing w:val="0"/>
          <w:w w:val="100"/>
          <w:kern w:val="21"/>
          <w:position w:val="0"/>
          <w:sz w:val="20"/>
          <w:szCs w:val="20"/>
          <w:u w:val="single" w:color="auto"/>
          <w:lang w:val="en-US" w:eastAsia="zh-CN"/>
        </w:rPr>
        <w:t>霍邱县夏店镇人民政府</w:t>
      </w:r>
    </w:p>
    <w:p w14:paraId="04DC412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b w:val="0"/>
          <w:bCs w:val="0"/>
          <w:snapToGrid/>
          <w:color w:val="0000FF"/>
          <w:spacing w:val="0"/>
          <w:w w:val="100"/>
          <w:kern w:val="21"/>
          <w:position w:val="0"/>
          <w:sz w:val="20"/>
          <w:szCs w:val="20"/>
          <w:u w:val="single" w:color="auto"/>
          <w:lang w:val="en-US" w:eastAsia="zh-CN"/>
        </w:rPr>
      </w:pPr>
      <w:r>
        <w:rPr>
          <w:rFonts w:ascii="宋体" w:hAnsi="宋体" w:eastAsia="宋体" w:cs="宋体"/>
          <w:b w:val="0"/>
          <w:bCs w:val="0"/>
          <w:snapToGrid/>
          <w:spacing w:val="0"/>
          <w:w w:val="100"/>
          <w:kern w:val="21"/>
          <w:position w:val="0"/>
          <w:sz w:val="20"/>
          <w:szCs w:val="20"/>
        </w:rPr>
        <w:t>1.5 项目法人：</w:t>
      </w:r>
      <w:r>
        <w:rPr>
          <w:rFonts w:hint="eastAsia" w:ascii="宋体" w:hAnsi="宋体" w:eastAsia="宋体" w:cs="宋体"/>
          <w:b w:val="0"/>
          <w:bCs w:val="0"/>
          <w:snapToGrid/>
          <w:color w:val="0000FF"/>
          <w:spacing w:val="0"/>
          <w:w w:val="100"/>
          <w:kern w:val="21"/>
          <w:position w:val="0"/>
          <w:sz w:val="20"/>
          <w:szCs w:val="20"/>
          <w:u w:val="single" w:color="auto"/>
        </w:rPr>
        <w:t>霍邱县农业农村局</w:t>
      </w:r>
      <w:r>
        <w:rPr>
          <w:rFonts w:hint="eastAsia" w:ascii="宋体" w:hAnsi="宋体" w:eastAsia="宋体" w:cs="宋体"/>
          <w:b w:val="0"/>
          <w:bCs w:val="0"/>
          <w:snapToGrid/>
          <w:color w:val="0000FF"/>
          <w:spacing w:val="0"/>
          <w:w w:val="100"/>
          <w:kern w:val="21"/>
          <w:position w:val="0"/>
          <w:sz w:val="20"/>
          <w:szCs w:val="20"/>
          <w:u w:val="single" w:color="auto"/>
          <w:lang w:eastAsia="zh-CN"/>
        </w:rPr>
        <w:t>、</w:t>
      </w:r>
      <w:r>
        <w:rPr>
          <w:rFonts w:hint="eastAsia" w:ascii="宋体" w:hAnsi="宋体" w:eastAsia="宋体" w:cs="宋体"/>
          <w:b w:val="0"/>
          <w:bCs w:val="0"/>
          <w:snapToGrid/>
          <w:color w:val="0000FF"/>
          <w:spacing w:val="0"/>
          <w:w w:val="100"/>
          <w:kern w:val="21"/>
          <w:position w:val="0"/>
          <w:sz w:val="20"/>
          <w:szCs w:val="20"/>
          <w:u w:val="single" w:color="auto"/>
          <w:lang w:val="en-US" w:eastAsia="zh-CN"/>
        </w:rPr>
        <w:t>霍邱县夏店镇人民政府</w:t>
      </w:r>
    </w:p>
    <w:p w14:paraId="7EA4A3C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b w:val="0"/>
          <w:bCs w:val="0"/>
          <w:snapToGrid/>
          <w:color w:val="0000FF"/>
          <w:spacing w:val="0"/>
          <w:w w:val="100"/>
          <w:kern w:val="21"/>
          <w:position w:val="0"/>
          <w:sz w:val="20"/>
          <w:szCs w:val="20"/>
          <w:u w:val="single" w:color="auto"/>
          <w:lang w:val="en-US" w:eastAsia="zh-CN"/>
        </w:rPr>
      </w:pPr>
      <w:r>
        <w:rPr>
          <w:rFonts w:ascii="宋体" w:hAnsi="宋体" w:eastAsia="宋体" w:cs="宋体"/>
          <w:b w:val="0"/>
          <w:bCs w:val="0"/>
          <w:snapToGrid/>
          <w:spacing w:val="0"/>
          <w:w w:val="100"/>
          <w:kern w:val="21"/>
          <w:position w:val="0"/>
          <w:sz w:val="20"/>
          <w:szCs w:val="20"/>
        </w:rPr>
        <w:t>1.6 招标代理机构：</w:t>
      </w:r>
      <w:r>
        <w:rPr>
          <w:rFonts w:hint="eastAsia" w:ascii="宋体" w:hAnsi="宋体" w:eastAsia="宋体" w:cs="宋体"/>
          <w:b w:val="0"/>
          <w:bCs w:val="0"/>
          <w:snapToGrid/>
          <w:color w:val="0000FF"/>
          <w:spacing w:val="0"/>
          <w:w w:val="100"/>
          <w:kern w:val="21"/>
          <w:position w:val="0"/>
          <w:sz w:val="20"/>
          <w:szCs w:val="20"/>
          <w:u w:val="single" w:color="auto"/>
          <w:lang w:val="en-US" w:eastAsia="zh-CN"/>
        </w:rPr>
        <w:t>福建安华发展有限公司</w:t>
      </w:r>
    </w:p>
    <w:p w14:paraId="0386CC8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b w:val="0"/>
          <w:bCs w:val="0"/>
          <w:snapToGrid/>
          <w:spacing w:val="0"/>
          <w:w w:val="100"/>
          <w:kern w:val="21"/>
          <w:position w:val="0"/>
          <w:sz w:val="20"/>
          <w:szCs w:val="20"/>
        </w:rPr>
      </w:pPr>
      <w:r>
        <w:rPr>
          <w:rFonts w:ascii="宋体" w:hAnsi="宋体" w:eastAsia="宋体" w:cs="宋体"/>
          <w:b w:val="0"/>
          <w:bCs w:val="0"/>
          <w:snapToGrid/>
          <w:spacing w:val="0"/>
          <w:w w:val="100"/>
          <w:kern w:val="21"/>
          <w:position w:val="0"/>
          <w:sz w:val="20"/>
          <w:szCs w:val="20"/>
        </w:rPr>
        <w:t>1.7 资金来源：</w:t>
      </w:r>
      <w:r>
        <w:rPr>
          <w:rFonts w:hint="eastAsia" w:ascii="宋体" w:hAnsi="宋体" w:eastAsia="宋体" w:cs="宋体"/>
          <w:b w:val="0"/>
          <w:bCs w:val="0"/>
          <w:snapToGrid/>
          <w:color w:val="0000FF"/>
          <w:spacing w:val="0"/>
          <w:w w:val="100"/>
          <w:kern w:val="21"/>
          <w:position w:val="0"/>
          <w:sz w:val="20"/>
          <w:szCs w:val="20"/>
          <w:u w:val="single" w:color="auto"/>
        </w:rPr>
        <w:t>国债,政府投资</w:t>
      </w:r>
    </w:p>
    <w:p w14:paraId="44B7893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b w:val="0"/>
          <w:bCs w:val="0"/>
          <w:snapToGrid/>
          <w:spacing w:val="0"/>
          <w:w w:val="100"/>
          <w:kern w:val="21"/>
          <w:position w:val="0"/>
          <w:sz w:val="20"/>
          <w:szCs w:val="20"/>
          <w:lang w:val="en-US" w:eastAsia="zh-CN"/>
        </w:rPr>
      </w:pPr>
      <w:r>
        <w:rPr>
          <w:rFonts w:ascii="宋体" w:hAnsi="宋体" w:eastAsia="宋体" w:cs="宋体"/>
          <w:b w:val="0"/>
          <w:bCs w:val="0"/>
          <w:snapToGrid/>
          <w:spacing w:val="0"/>
          <w:w w:val="100"/>
          <w:kern w:val="21"/>
          <w:position w:val="0"/>
          <w:sz w:val="20"/>
          <w:szCs w:val="20"/>
        </w:rPr>
        <w:t>1.8 项目出资比例：</w:t>
      </w:r>
      <w:r>
        <w:rPr>
          <w:rFonts w:hint="eastAsia" w:ascii="宋体" w:hAnsi="宋体" w:eastAsia="宋体" w:cs="宋体"/>
          <w:b w:val="0"/>
          <w:bCs w:val="0"/>
          <w:snapToGrid/>
          <w:color w:val="0000FF"/>
          <w:spacing w:val="0"/>
          <w:w w:val="100"/>
          <w:kern w:val="21"/>
          <w:position w:val="0"/>
          <w:sz w:val="20"/>
          <w:szCs w:val="20"/>
          <w:u w:val="single" w:color="auto"/>
          <w:lang w:val="en-US" w:eastAsia="zh-CN"/>
        </w:rPr>
        <w:t xml:space="preserve">          </w:t>
      </w:r>
    </w:p>
    <w:p w14:paraId="1A71064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b w:val="0"/>
          <w:bCs w:val="0"/>
          <w:snapToGrid/>
          <w:spacing w:val="0"/>
          <w:w w:val="100"/>
          <w:kern w:val="21"/>
          <w:position w:val="0"/>
          <w:sz w:val="20"/>
          <w:szCs w:val="20"/>
          <w:lang w:eastAsia="zh-CN"/>
        </w:rPr>
      </w:pPr>
      <w:r>
        <w:rPr>
          <w:rFonts w:ascii="宋体" w:hAnsi="宋体" w:eastAsia="宋体" w:cs="宋体"/>
          <w:b w:val="0"/>
          <w:bCs w:val="0"/>
          <w:snapToGrid/>
          <w:spacing w:val="0"/>
          <w:w w:val="100"/>
          <w:kern w:val="21"/>
          <w:position w:val="0"/>
          <w:sz w:val="20"/>
          <w:szCs w:val="20"/>
        </w:rPr>
        <w:t>1.9 资金落实情况：</w:t>
      </w:r>
      <w:r>
        <w:rPr>
          <w:rFonts w:hint="eastAsia" w:ascii="宋体" w:hAnsi="宋体" w:eastAsia="宋体" w:cs="宋体"/>
          <w:b w:val="0"/>
          <w:bCs w:val="0"/>
          <w:snapToGrid/>
          <w:color w:val="0000FF"/>
          <w:spacing w:val="0"/>
          <w:w w:val="100"/>
          <w:kern w:val="21"/>
          <w:position w:val="0"/>
          <w:sz w:val="20"/>
          <w:szCs w:val="20"/>
          <w:u w:val="single" w:color="auto"/>
          <w:lang w:val="en-US" w:eastAsia="zh-CN"/>
        </w:rPr>
        <w:t>已落实</w:t>
      </w:r>
    </w:p>
    <w:p w14:paraId="0915AA3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 w:name="bookmark100"/>
      <w:bookmarkEnd w:id="5"/>
      <w:bookmarkStart w:id="6" w:name="_Toc24344"/>
      <w:r>
        <w:rPr>
          <w:rFonts w:ascii="宋体" w:hAnsi="宋体" w:eastAsia="宋体" w:cs="宋体"/>
          <w:b/>
          <w:bCs/>
          <w:snapToGrid/>
          <w:spacing w:val="0"/>
          <w:w w:val="100"/>
          <w:kern w:val="21"/>
          <w:position w:val="0"/>
          <w:sz w:val="28"/>
          <w:szCs w:val="28"/>
        </w:rPr>
        <w:t>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项目概况与招标范围</w:t>
      </w:r>
      <w:bookmarkEnd w:id="6"/>
    </w:p>
    <w:p w14:paraId="7791F98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b w:val="0"/>
          <w:bCs w:val="0"/>
          <w:snapToGrid/>
          <w:color w:val="0000FF"/>
          <w:spacing w:val="0"/>
          <w:w w:val="100"/>
          <w:kern w:val="21"/>
          <w:position w:val="0"/>
          <w:sz w:val="20"/>
          <w:szCs w:val="20"/>
          <w:u w:val="single" w:color="auto"/>
        </w:rPr>
      </w:pPr>
      <w:r>
        <w:rPr>
          <w:rFonts w:ascii="宋体" w:hAnsi="宋体" w:eastAsia="宋体" w:cs="宋体"/>
          <w:snapToGrid/>
          <w:spacing w:val="0"/>
          <w:w w:val="100"/>
          <w:kern w:val="21"/>
          <w:position w:val="0"/>
          <w:sz w:val="20"/>
          <w:szCs w:val="20"/>
        </w:rPr>
        <w:t>2.1 招标项目名称：</w:t>
      </w:r>
      <w:r>
        <w:rPr>
          <w:rFonts w:hint="eastAsia" w:ascii="宋体" w:hAnsi="宋体" w:eastAsia="宋体" w:cs="宋体"/>
          <w:b w:val="0"/>
          <w:bCs w:val="0"/>
          <w:snapToGrid/>
          <w:color w:val="0000FF"/>
          <w:spacing w:val="0"/>
          <w:w w:val="100"/>
          <w:kern w:val="21"/>
          <w:position w:val="0"/>
          <w:sz w:val="20"/>
          <w:szCs w:val="20"/>
          <w:u w:val="single" w:color="auto"/>
        </w:rPr>
        <w:t>2025年霍邱县高标准农田建设项目(夏店镇增发国债项目)</w:t>
      </w:r>
    </w:p>
    <w:p w14:paraId="3ECDBBA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2.2 招标项目编号：</w:t>
      </w:r>
      <w:r>
        <w:rPr>
          <w:rFonts w:hint="eastAsia" w:ascii="宋体" w:hAnsi="宋体" w:eastAsia="宋体" w:cs="宋体"/>
          <w:snapToGrid/>
          <w:color w:val="0000FF"/>
          <w:spacing w:val="0"/>
          <w:w w:val="100"/>
          <w:kern w:val="21"/>
          <w:position w:val="0"/>
          <w:sz w:val="20"/>
          <w:szCs w:val="20"/>
          <w:u w:val="single" w:color="auto"/>
          <w:lang w:val="en-US" w:eastAsia="zh-CN"/>
        </w:rPr>
        <w:t xml:space="preserve">         </w:t>
      </w:r>
    </w:p>
    <w:p w14:paraId="74D872E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 标段划分：</w:t>
      </w:r>
      <w:r>
        <w:rPr>
          <w:rFonts w:hint="eastAsia" w:ascii="宋体" w:hAnsi="宋体" w:eastAsia="宋体" w:cs="宋体"/>
          <w:snapToGrid/>
          <w:color w:val="0000FF"/>
          <w:spacing w:val="0"/>
          <w:w w:val="100"/>
          <w:kern w:val="21"/>
          <w:position w:val="0"/>
          <w:sz w:val="20"/>
          <w:szCs w:val="20"/>
          <w:u w:val="single" w:color="auto"/>
          <w:lang w:val="en-US" w:eastAsia="zh-CN"/>
        </w:rPr>
        <w:t>本招标项目共划分1个标段</w:t>
      </w:r>
    </w:p>
    <w:p w14:paraId="6833241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 招标项目标段编号：</w:t>
      </w:r>
      <w:r>
        <w:rPr>
          <w:rFonts w:hint="eastAsia" w:ascii="宋体" w:hAnsi="宋体" w:eastAsia="宋体" w:cs="宋体"/>
          <w:snapToGrid/>
          <w:color w:val="0000FF"/>
          <w:spacing w:val="0"/>
          <w:w w:val="100"/>
          <w:kern w:val="21"/>
          <w:position w:val="0"/>
          <w:sz w:val="20"/>
          <w:szCs w:val="20"/>
          <w:u w:val="single" w:color="auto"/>
          <w:lang w:val="en-US" w:eastAsia="zh-CN"/>
        </w:rPr>
        <w:t xml:space="preserve">         </w:t>
      </w:r>
    </w:p>
    <w:p w14:paraId="153E1DF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2.5 建设地点：</w:t>
      </w:r>
      <w:r>
        <w:rPr>
          <w:rFonts w:hint="eastAsia" w:ascii="宋体" w:hAnsi="宋体" w:eastAsia="宋体" w:cs="宋体"/>
          <w:b w:val="0"/>
          <w:bCs w:val="0"/>
          <w:snapToGrid/>
          <w:color w:val="0000FF"/>
          <w:spacing w:val="0"/>
          <w:w w:val="100"/>
          <w:kern w:val="21"/>
          <w:position w:val="0"/>
          <w:sz w:val="20"/>
          <w:szCs w:val="20"/>
          <w:u w:val="single" w:color="auto"/>
        </w:rPr>
        <w:t>霍邱县</w:t>
      </w:r>
      <w:r>
        <w:rPr>
          <w:rFonts w:hint="eastAsia" w:ascii="宋体" w:hAnsi="宋体" w:eastAsia="宋体" w:cs="宋体"/>
          <w:b w:val="0"/>
          <w:bCs w:val="0"/>
          <w:snapToGrid/>
          <w:color w:val="0000FF"/>
          <w:spacing w:val="0"/>
          <w:w w:val="100"/>
          <w:kern w:val="21"/>
          <w:position w:val="0"/>
          <w:sz w:val="20"/>
          <w:szCs w:val="20"/>
          <w:u w:val="single" w:color="auto"/>
          <w:lang w:val="en-US" w:eastAsia="zh-CN"/>
        </w:rPr>
        <w:t>夏店</w:t>
      </w:r>
      <w:r>
        <w:rPr>
          <w:rFonts w:hint="eastAsia" w:ascii="宋体" w:hAnsi="宋体" w:eastAsia="宋体" w:cs="宋体"/>
          <w:b w:val="0"/>
          <w:bCs w:val="0"/>
          <w:snapToGrid/>
          <w:color w:val="0000FF"/>
          <w:spacing w:val="0"/>
          <w:w w:val="100"/>
          <w:kern w:val="21"/>
          <w:position w:val="0"/>
          <w:sz w:val="20"/>
          <w:szCs w:val="20"/>
          <w:u w:val="single" w:color="auto"/>
        </w:rPr>
        <w:t>镇</w:t>
      </w:r>
    </w:p>
    <w:p w14:paraId="43F8E57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spacing w:val="0"/>
          <w:w w:val="100"/>
          <w:kern w:val="21"/>
          <w:position w:val="0"/>
          <w:sz w:val="20"/>
          <w:szCs w:val="20"/>
          <w:lang w:eastAsia="zh-CN"/>
        </w:rPr>
      </w:pPr>
      <w:r>
        <w:rPr>
          <w:rFonts w:ascii="宋体" w:hAnsi="宋体" w:eastAsia="宋体" w:cs="宋体"/>
          <w:snapToGrid/>
          <w:spacing w:val="0"/>
          <w:w w:val="100"/>
          <w:kern w:val="21"/>
          <w:position w:val="0"/>
          <w:sz w:val="20"/>
          <w:szCs w:val="20"/>
        </w:rPr>
        <w:t>2.6 建设规模：</w:t>
      </w:r>
      <w:r>
        <w:rPr>
          <w:rFonts w:hint="eastAsia" w:ascii="宋体" w:hAnsi="宋体" w:eastAsia="宋体" w:cs="宋体"/>
          <w:snapToGrid/>
          <w:color w:val="0000FF"/>
          <w:spacing w:val="0"/>
          <w:w w:val="100"/>
          <w:kern w:val="21"/>
          <w:position w:val="0"/>
          <w:sz w:val="20"/>
          <w:szCs w:val="20"/>
          <w:u w:val="single" w:color="auto"/>
        </w:rPr>
        <w:t>本项目高标准农田建设13600亩，建设内容包括田块整治、灌溉与排水、田间道路、农田防护与生态环境保护、农田输配电等</w:t>
      </w:r>
      <w:r>
        <w:rPr>
          <w:rFonts w:hint="eastAsia" w:ascii="宋体" w:hAnsi="宋体" w:eastAsia="宋体" w:cs="宋体"/>
          <w:snapToGrid/>
          <w:color w:val="0000FF"/>
          <w:spacing w:val="0"/>
          <w:w w:val="100"/>
          <w:kern w:val="21"/>
          <w:position w:val="0"/>
          <w:sz w:val="20"/>
          <w:szCs w:val="20"/>
          <w:u w:val="single" w:color="auto"/>
          <w:lang w:eastAsia="zh-CN"/>
        </w:rPr>
        <w:t>。</w:t>
      </w:r>
    </w:p>
    <w:p w14:paraId="3B64794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2.7 合同估算价：</w:t>
      </w:r>
      <w:r>
        <w:rPr>
          <w:rFonts w:hint="eastAsia" w:ascii="宋体" w:hAnsi="宋体" w:eastAsia="宋体" w:cs="宋体"/>
          <w:snapToGrid/>
          <w:color w:val="0000FF"/>
          <w:spacing w:val="0"/>
          <w:w w:val="100"/>
          <w:kern w:val="21"/>
          <w:position w:val="0"/>
          <w:sz w:val="20"/>
          <w:szCs w:val="20"/>
          <w:u w:val="single" w:color="auto"/>
          <w:lang w:val="en-US" w:eastAsia="zh-CN"/>
        </w:rPr>
        <w:t>约4080万元</w:t>
      </w:r>
    </w:p>
    <w:p w14:paraId="76CE726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2.8 计划工期：</w:t>
      </w:r>
      <w:r>
        <w:rPr>
          <w:rFonts w:hint="eastAsia" w:ascii="宋体" w:hAnsi="宋体" w:eastAsia="宋体" w:cs="宋体"/>
          <w:snapToGrid/>
          <w:color w:val="0000FF"/>
          <w:spacing w:val="0"/>
          <w:w w:val="100"/>
          <w:kern w:val="21"/>
          <w:position w:val="0"/>
          <w:sz w:val="20"/>
          <w:szCs w:val="20"/>
          <w:highlight w:val="none"/>
          <w:lang w:val="en-US" w:eastAsia="zh-CN"/>
        </w:rPr>
        <w:t>18</w:t>
      </w:r>
      <w:r>
        <w:rPr>
          <w:rFonts w:hint="eastAsia" w:ascii="宋体" w:hAnsi="宋体" w:eastAsia="宋体" w:cs="宋体"/>
          <w:snapToGrid/>
          <w:color w:val="0000FF"/>
          <w:spacing w:val="0"/>
          <w:w w:val="100"/>
          <w:kern w:val="21"/>
          <w:position w:val="0"/>
          <w:sz w:val="20"/>
          <w:szCs w:val="20"/>
          <w:highlight w:val="none"/>
          <w:u w:val="single" w:color="auto"/>
          <w:lang w:val="en-US" w:eastAsia="zh-CN"/>
        </w:rPr>
        <w:t>0日历天</w:t>
      </w:r>
    </w:p>
    <w:p w14:paraId="4F6FB9B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2.9 招标范围：</w:t>
      </w:r>
      <w:r>
        <w:rPr>
          <w:rFonts w:hint="eastAsia" w:ascii="宋体" w:hAnsi="宋体" w:eastAsia="宋体" w:cs="宋体"/>
          <w:snapToGrid/>
          <w:color w:val="0000FF"/>
          <w:spacing w:val="0"/>
          <w:w w:val="100"/>
          <w:kern w:val="21"/>
          <w:position w:val="0"/>
          <w:sz w:val="20"/>
          <w:szCs w:val="20"/>
          <w:u w:val="single" w:color="auto"/>
        </w:rPr>
        <w:t>本项目高标准农田建设13600亩，建设内容包括田块整治、灌溉与排水、田间道路、农田防护与生态环境保护、农田输配电等。具体详见清单控制价及图纸资料。</w:t>
      </w:r>
    </w:p>
    <w:p w14:paraId="59FC84F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2.10 项目类别：</w:t>
      </w:r>
      <w:r>
        <w:rPr>
          <w:rFonts w:hint="eastAsia" w:ascii="宋体" w:hAnsi="宋体" w:eastAsia="宋体" w:cs="宋体"/>
          <w:snapToGrid/>
          <w:color w:val="0000FF"/>
          <w:spacing w:val="0"/>
          <w:w w:val="100"/>
          <w:kern w:val="21"/>
          <w:position w:val="0"/>
          <w:sz w:val="20"/>
          <w:szCs w:val="20"/>
          <w:u w:val="single" w:color="auto"/>
        </w:rPr>
        <w:t>工程</w:t>
      </w:r>
      <w:r>
        <w:rPr>
          <w:rFonts w:hint="eastAsia" w:ascii="宋体" w:hAnsi="宋体" w:eastAsia="宋体" w:cs="宋体"/>
          <w:snapToGrid/>
          <w:color w:val="0000FF"/>
          <w:spacing w:val="0"/>
          <w:w w:val="100"/>
          <w:kern w:val="21"/>
          <w:position w:val="0"/>
          <w:sz w:val="20"/>
          <w:szCs w:val="20"/>
          <w:u w:val="single" w:color="auto"/>
          <w:lang w:val="en-US" w:eastAsia="zh-CN"/>
        </w:rPr>
        <w:t>类</w:t>
      </w:r>
    </w:p>
    <w:p w14:paraId="39E93C2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2.11 其他：</w:t>
      </w:r>
      <w:r>
        <w:rPr>
          <w:rFonts w:ascii="宋体" w:hAnsi="宋体" w:eastAsia="宋体" w:cs="宋体"/>
          <w:snapToGrid/>
          <w:color w:val="0000FF"/>
          <w:spacing w:val="0"/>
          <w:w w:val="100"/>
          <w:kern w:val="21"/>
          <w:position w:val="0"/>
          <w:sz w:val="20"/>
          <w:szCs w:val="20"/>
          <w:u w:val="single" w:color="auto"/>
        </w:rPr>
        <w:t xml:space="preserve">【其他】 </w:t>
      </w:r>
    </w:p>
    <w:p w14:paraId="04DB9D6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7" w:name="bookmark101"/>
      <w:bookmarkEnd w:id="7"/>
      <w:bookmarkStart w:id="8" w:name="_Toc20217"/>
      <w:r>
        <w:rPr>
          <w:rFonts w:ascii="宋体" w:hAnsi="宋体" w:eastAsia="宋体" w:cs="宋体"/>
          <w:b/>
          <w:bCs/>
          <w:snapToGrid/>
          <w:spacing w:val="0"/>
          <w:w w:val="100"/>
          <w:kern w:val="21"/>
          <w:position w:val="0"/>
          <w:sz w:val="31"/>
          <w:szCs w:val="31"/>
        </w:rPr>
        <w:t>3.</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投标人资格要求</w:t>
      </w:r>
      <w:bookmarkEnd w:id="8"/>
    </w:p>
    <w:p w14:paraId="57FFB42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  </w:t>
      </w:r>
      <w:r>
        <w:rPr>
          <w:rFonts w:ascii="宋体" w:hAnsi="宋体" w:eastAsia="宋体" w:cs="宋体"/>
          <w:snapToGrid/>
          <w:spacing w:val="0"/>
          <w:w w:val="100"/>
          <w:kern w:val="21"/>
          <w:position w:val="0"/>
          <w:sz w:val="20"/>
          <w:szCs w:val="20"/>
        </w:rPr>
        <w:t>投标人应依法设立并具备承担本招标项目的如下条件：</w:t>
      </w:r>
    </w:p>
    <w:p w14:paraId="0CA86B6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3.1.1 投标人资质要求：</w:t>
      </w:r>
      <w:r>
        <w:rPr>
          <w:rFonts w:hint="eastAsia" w:ascii="宋体" w:hAnsi="宋体" w:eastAsia="宋体" w:cs="宋体"/>
          <w:snapToGrid/>
          <w:color w:val="0000FF"/>
          <w:spacing w:val="0"/>
          <w:w w:val="100"/>
          <w:kern w:val="21"/>
          <w:position w:val="0"/>
          <w:sz w:val="20"/>
          <w:szCs w:val="20"/>
          <w:u w:val="single" w:color="auto"/>
        </w:rPr>
        <w:t>具备水利水电工程施工总承包三级及以上资质，有效的安全生产许可证；</w:t>
      </w:r>
    </w:p>
    <w:p w14:paraId="59B1CED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3.1.2 投标人财务要求：</w:t>
      </w:r>
      <w:r>
        <w:rPr>
          <w:rFonts w:hint="eastAsia" w:ascii="宋体" w:hAnsi="宋体" w:eastAsia="宋体" w:cs="宋体"/>
          <w:snapToGrid/>
          <w:color w:val="0000FF"/>
          <w:spacing w:val="0"/>
          <w:w w:val="100"/>
          <w:kern w:val="21"/>
          <w:position w:val="0"/>
          <w:sz w:val="20"/>
          <w:szCs w:val="20"/>
          <w:u w:val="single" w:color="auto"/>
        </w:rPr>
        <w:t>财务状况满足履约要求</w:t>
      </w:r>
      <w:r>
        <w:rPr>
          <w:rFonts w:ascii="宋体" w:hAnsi="宋体" w:eastAsia="宋体" w:cs="宋体"/>
          <w:snapToGrid/>
          <w:spacing w:val="0"/>
          <w:w w:val="100"/>
          <w:kern w:val="21"/>
          <w:position w:val="0"/>
          <w:sz w:val="20"/>
          <w:szCs w:val="20"/>
          <w:u w:val="single" w:color="auto"/>
        </w:rPr>
        <w:t>；</w:t>
      </w:r>
    </w:p>
    <w:p w14:paraId="76A680D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trike/>
          <w:dstrike w:val="0"/>
          <w:snapToGrid/>
          <w:color w:val="FF0000"/>
          <w:spacing w:val="0"/>
          <w:w w:val="100"/>
          <w:kern w:val="21"/>
          <w:position w:val="0"/>
          <w:sz w:val="20"/>
          <w:szCs w:val="20"/>
        </w:rPr>
      </w:pPr>
      <w:r>
        <w:rPr>
          <w:rFonts w:ascii="宋体" w:hAnsi="宋体" w:eastAsia="宋体" w:cs="宋体"/>
          <w:snapToGrid/>
          <w:spacing w:val="0"/>
          <w:w w:val="100"/>
          <w:kern w:val="21"/>
          <w:position w:val="0"/>
          <w:sz w:val="20"/>
          <w:szCs w:val="20"/>
        </w:rPr>
        <w:t>3.1.3 投标人业绩要求：【投标人业绩要求】；</w:t>
      </w:r>
      <w:r>
        <w:rPr>
          <w:rFonts w:hint="eastAsia" w:ascii="宋体" w:hAnsi="宋体" w:eastAsia="宋体" w:cs="宋体"/>
          <w:snapToGrid/>
          <w:color w:val="0000FF"/>
          <w:spacing w:val="0"/>
          <w:w w:val="100"/>
          <w:kern w:val="21"/>
          <w:position w:val="0"/>
          <w:sz w:val="20"/>
          <w:szCs w:val="20"/>
          <w:u w:val="single" w:color="auto"/>
        </w:rPr>
        <w:t>2022年1月1日至投标截止时间（以工程完工时间或竣工验收时间为准），具有至少1个单项合同额不低于</w:t>
      </w:r>
      <w:r>
        <w:rPr>
          <w:rFonts w:hint="eastAsia" w:ascii="宋体" w:hAnsi="宋体" w:eastAsia="宋体" w:cs="宋体"/>
          <w:snapToGrid/>
          <w:color w:val="0000FF"/>
          <w:spacing w:val="0"/>
          <w:w w:val="100"/>
          <w:kern w:val="21"/>
          <w:position w:val="0"/>
          <w:sz w:val="20"/>
          <w:szCs w:val="20"/>
          <w:u w:val="single" w:color="auto"/>
          <w:lang w:val="en-US" w:eastAsia="zh-CN"/>
        </w:rPr>
        <w:t>2000</w:t>
      </w:r>
      <w:r>
        <w:rPr>
          <w:rFonts w:hint="eastAsia" w:ascii="宋体" w:hAnsi="宋体" w:eastAsia="宋体" w:cs="宋体"/>
          <w:snapToGrid/>
          <w:color w:val="0000FF"/>
          <w:spacing w:val="0"/>
          <w:w w:val="100"/>
          <w:kern w:val="21"/>
          <w:position w:val="0"/>
          <w:sz w:val="20"/>
          <w:szCs w:val="20"/>
          <w:u w:val="single" w:color="auto"/>
        </w:rPr>
        <w:t>万元的农田水利建设项目(包括高标准农田建设或农田水利最后一公里或节水灌溉或田间工程项目）施工业绩。</w:t>
      </w:r>
    </w:p>
    <w:p w14:paraId="19ACFDD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ascii="宋体" w:hAnsi="宋体" w:eastAsia="宋体" w:cs="宋体"/>
          <w:snapToGrid/>
          <w:spacing w:val="0"/>
          <w:w w:val="100"/>
          <w:kern w:val="21"/>
          <w:position w:val="0"/>
          <w:sz w:val="20"/>
          <w:szCs w:val="20"/>
        </w:rPr>
        <w:t>3.1.4 投标人信誉要求：</w:t>
      </w:r>
      <w:r>
        <w:rPr>
          <w:rFonts w:hint="eastAsia" w:ascii="宋体" w:hAnsi="宋体" w:eastAsia="宋体" w:cs="宋体"/>
          <w:snapToGrid/>
          <w:color w:val="0000FF"/>
          <w:spacing w:val="0"/>
          <w:w w:val="100"/>
          <w:kern w:val="21"/>
          <w:position w:val="0"/>
          <w:sz w:val="20"/>
          <w:szCs w:val="20"/>
          <w:u w:val="single" w:color="auto"/>
        </w:rPr>
        <w:t>投标人未被六安市及其所辖县、区公共资源交易监督管理部门记不良行为记录的；或被记不良行为记录（以公布日期为准），但同时符合下列情形的：</w:t>
      </w:r>
    </w:p>
    <w:p w14:paraId="255EA43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（1）开标日前（含当日）6个月内记分累计未满10分的；</w:t>
      </w:r>
    </w:p>
    <w:p w14:paraId="731B98E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（2）开标日前（含当日）12个月内记分累计未满15分的；</w:t>
      </w:r>
    </w:p>
    <w:p w14:paraId="2C5CAC6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（3）开标日前（含当日）18个月内记分累计未满20分的；</w:t>
      </w:r>
    </w:p>
    <w:p w14:paraId="05EF508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（4）开标日前（含当日）24个月内记分累计未满25分的。</w:t>
      </w:r>
    </w:p>
    <w:p w14:paraId="6B3C5D6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color w:val="0000FF"/>
          <w:spacing w:val="0"/>
          <w:w w:val="100"/>
          <w:kern w:val="21"/>
          <w:position w:val="0"/>
          <w:sz w:val="20"/>
          <w:szCs w:val="20"/>
          <w:u w:val="single" w:color="auto"/>
        </w:rPr>
      </w:pPr>
      <w:r>
        <w:rPr>
          <w:rFonts w:ascii="宋体" w:hAnsi="宋体" w:eastAsia="宋体" w:cs="宋体"/>
          <w:snapToGrid/>
          <w:spacing w:val="0"/>
          <w:w w:val="100"/>
          <w:kern w:val="21"/>
          <w:position w:val="0"/>
          <w:sz w:val="20"/>
          <w:szCs w:val="20"/>
        </w:rPr>
        <w:t>3.1.5 项目经理的资格要求：</w:t>
      </w:r>
      <w:r>
        <w:rPr>
          <w:rFonts w:hint="eastAsia" w:ascii="宋体" w:hAnsi="宋体" w:eastAsia="宋体" w:cs="宋体"/>
          <w:snapToGrid/>
          <w:color w:val="0000FF"/>
          <w:spacing w:val="0"/>
          <w:w w:val="100"/>
          <w:kern w:val="21"/>
          <w:position w:val="0"/>
          <w:sz w:val="20"/>
          <w:szCs w:val="20"/>
          <w:u w:val="single" w:color="auto"/>
          <w:lang w:val="en-US" w:eastAsia="zh-CN"/>
        </w:rPr>
        <w:t>①具有水利水电工程专业二级及以上建造师注册证书，建造师电子注册证书应由建造师本人在个人签名栏手写本人签名（证书无个人签名栏的除外），否则该证书无效；持有水行政主管部门颁发的B类安全生产考核合格证书；②社保要求：项目负责人须为投标人本单位员工，须提供项目经理在投标单位近半年内任意连续三个月的社保缴纳证明。</w:t>
      </w:r>
    </w:p>
    <w:p w14:paraId="13FFB48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color w:val="0000FF"/>
          <w:spacing w:val="0"/>
          <w:w w:val="100"/>
          <w:kern w:val="21"/>
          <w:position w:val="0"/>
          <w:sz w:val="20"/>
          <w:szCs w:val="20"/>
          <w:u w:val="single" w:color="auto"/>
          <w:lang w:val="en-US" w:eastAsia="zh-CN"/>
        </w:rPr>
        <w:t>注：①近半年指自开标时间所在月份（含当月）往前追溯六个月。②截止开标时间，企业成立或新增本专业资质时间不足3个月的，社保须于企业成立之月或资质核准之月起缴纳且不少于1个月。③退休人员符合执业年限要求的须提供相关部门出具的退休证明。</w:t>
      </w:r>
    </w:p>
    <w:p w14:paraId="3B5A5E8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3.1.6 其他主要人员要求：</w:t>
      </w:r>
      <w:r>
        <w:rPr>
          <w:rFonts w:hint="eastAsia" w:ascii="宋体" w:hAnsi="宋体" w:eastAsia="宋体" w:cs="宋体"/>
          <w:snapToGrid/>
          <w:color w:val="0000FF"/>
          <w:spacing w:val="0"/>
          <w:w w:val="100"/>
          <w:kern w:val="21"/>
          <w:position w:val="0"/>
          <w:sz w:val="20"/>
          <w:szCs w:val="20"/>
          <w:u w:val="single" w:color="auto"/>
        </w:rPr>
        <w:t>项目技术负责人应具备农业工程或水利水电工程相关专业中级及以上职称，社保要求与项目经理一致；其他人员配置由招标人和中标人在签订合同时确定</w:t>
      </w:r>
      <w:r>
        <w:rPr>
          <w:rFonts w:ascii="宋体" w:hAnsi="宋体" w:eastAsia="宋体" w:cs="宋体"/>
          <w:snapToGrid/>
          <w:spacing w:val="0"/>
          <w:w w:val="100"/>
          <w:kern w:val="21"/>
          <w:position w:val="0"/>
          <w:sz w:val="20"/>
          <w:szCs w:val="20"/>
          <w:u w:val="single" w:color="auto"/>
        </w:rPr>
        <w:t>；</w:t>
      </w:r>
    </w:p>
    <w:p w14:paraId="7B0071B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3.1.7 其他要求：</w:t>
      </w:r>
      <w:r>
        <w:rPr>
          <w:rFonts w:hint="eastAsia" w:ascii="宋体" w:hAnsi="宋体" w:eastAsia="宋体" w:cs="宋体"/>
          <w:snapToGrid/>
          <w:color w:val="0000FF"/>
          <w:spacing w:val="0"/>
          <w:w w:val="100"/>
          <w:kern w:val="21"/>
          <w:position w:val="0"/>
          <w:sz w:val="20"/>
          <w:szCs w:val="20"/>
          <w:u w:val="single" w:color="auto"/>
        </w:rPr>
        <w:t>项目经理未在其他建设工程项目上担任施工单位项目负责人或虽在其他项目上任职但本项目中标后能够从该项目撤离</w:t>
      </w:r>
      <w:r>
        <w:rPr>
          <w:rFonts w:ascii="宋体" w:hAnsi="宋体" w:eastAsia="宋体" w:cs="宋体"/>
          <w:snapToGrid/>
          <w:spacing w:val="0"/>
          <w:w w:val="100"/>
          <w:kern w:val="21"/>
          <w:position w:val="0"/>
          <w:sz w:val="20"/>
          <w:szCs w:val="20"/>
        </w:rPr>
        <w:t>。</w:t>
      </w:r>
    </w:p>
    <w:p w14:paraId="08B99DE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  </w:t>
      </w:r>
      <w:r>
        <w:rPr>
          <w:rFonts w:ascii="宋体" w:hAnsi="宋体" w:eastAsia="宋体" w:cs="宋体"/>
          <w:snapToGrid/>
          <w:spacing w:val="0"/>
          <w:w w:val="100"/>
          <w:kern w:val="21"/>
          <w:position w:val="0"/>
          <w:sz w:val="20"/>
          <w:szCs w:val="20"/>
        </w:rPr>
        <w:t>本次招标</w:t>
      </w:r>
      <w:r>
        <w:rPr>
          <w:rFonts w:ascii="宋体" w:hAnsi="宋体" w:eastAsia="宋体" w:cs="宋体"/>
          <w:snapToGrid/>
          <w:color w:val="0000FF"/>
          <w:spacing w:val="0"/>
          <w:w w:val="100"/>
          <w:kern w:val="21"/>
          <w:position w:val="0"/>
          <w:sz w:val="20"/>
          <w:szCs w:val="20"/>
          <w:u w:val="single" w:color="auto"/>
        </w:rPr>
        <w:t>接受</w:t>
      </w:r>
      <w:r>
        <w:rPr>
          <w:rFonts w:ascii="宋体" w:hAnsi="宋体" w:eastAsia="宋体" w:cs="宋体"/>
          <w:snapToGrid/>
          <w:spacing w:val="0"/>
          <w:w w:val="100"/>
          <w:kern w:val="21"/>
          <w:position w:val="0"/>
          <w:sz w:val="20"/>
          <w:szCs w:val="20"/>
        </w:rPr>
        <w:t>联合体投标。</w:t>
      </w:r>
    </w:p>
    <w:p w14:paraId="7F21EFD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联合体投标的，应满足下列要求：</w:t>
      </w:r>
      <w:r>
        <w:rPr>
          <w:rFonts w:ascii="宋体" w:hAnsi="宋体" w:eastAsia="宋体" w:cs="宋体"/>
          <w:snapToGrid/>
          <w:color w:val="0000FF"/>
          <w:spacing w:val="0"/>
          <w:w w:val="100"/>
          <w:kern w:val="21"/>
          <w:position w:val="0"/>
          <w:sz w:val="20"/>
          <w:szCs w:val="20"/>
          <w:u w:val="single" w:color="auto"/>
        </w:rPr>
        <w:t>【联合体投标具体要求】</w:t>
      </w:r>
      <w:r>
        <w:rPr>
          <w:rFonts w:ascii="宋体" w:hAnsi="宋体" w:eastAsia="宋体" w:cs="宋体"/>
          <w:snapToGrid/>
          <w:spacing w:val="0"/>
          <w:w w:val="100"/>
          <w:kern w:val="21"/>
          <w:position w:val="0"/>
          <w:sz w:val="20"/>
          <w:szCs w:val="20"/>
        </w:rPr>
        <w:t>。</w:t>
      </w:r>
    </w:p>
    <w:p w14:paraId="7D650DA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rPr>
        <w:t>3.3 鉴于2025年霍邱县高标准农田建设项目有多个，可能出现中标候选人</w:t>
      </w:r>
      <w:r>
        <w:rPr>
          <w:rFonts w:hint="eastAsia" w:ascii="宋体" w:hAnsi="宋体" w:eastAsia="宋体" w:cs="宋体"/>
          <w:snapToGrid/>
          <w:color w:val="0000FF"/>
          <w:spacing w:val="0"/>
          <w:w w:val="100"/>
          <w:kern w:val="21"/>
          <w:position w:val="0"/>
          <w:sz w:val="20"/>
          <w:szCs w:val="20"/>
          <w:u w:val="single" w:color="auto"/>
          <w:lang w:val="en-US" w:eastAsia="zh-CN"/>
        </w:rPr>
        <w:t>一致</w:t>
      </w:r>
      <w:r>
        <w:rPr>
          <w:rFonts w:hint="eastAsia" w:ascii="宋体" w:hAnsi="宋体" w:eastAsia="宋体" w:cs="宋体"/>
          <w:snapToGrid/>
          <w:color w:val="0000FF"/>
          <w:spacing w:val="0"/>
          <w:w w:val="100"/>
          <w:kern w:val="21"/>
          <w:position w:val="0"/>
          <w:sz w:val="20"/>
          <w:szCs w:val="20"/>
          <w:u w:val="single" w:color="auto"/>
        </w:rPr>
        <w:t>的情况，若已经被前一个项目(以项目当天评审结果先后顺序为准)确定为第一中标候选人的，将不再推荐后续开标项目的中标候选人(含联合体各方)。同一投标人(含联合体各方)最多只能获得2025年霍邱县高标准农田建设项目中任意1个标段的中标资格。</w:t>
      </w:r>
    </w:p>
    <w:p w14:paraId="6118EC6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3.4  </w:t>
      </w:r>
      <w:r>
        <w:rPr>
          <w:rFonts w:ascii="宋体" w:hAnsi="宋体" w:eastAsia="宋体" w:cs="宋体"/>
          <w:snapToGrid/>
          <w:spacing w:val="0"/>
          <w:w w:val="100"/>
          <w:kern w:val="21"/>
          <w:position w:val="0"/>
          <w:sz w:val="20"/>
          <w:szCs w:val="20"/>
        </w:rPr>
        <w:t xml:space="preserve">投标人不得存在招标文件第二章投标人须知第 </w:t>
      </w:r>
      <w:r>
        <w:rPr>
          <w:rFonts w:ascii="Times New Roman" w:hAnsi="Times New Roman" w:eastAsia="Times New Roman" w:cs="Times New Roman"/>
          <w:snapToGrid/>
          <w:spacing w:val="0"/>
          <w:w w:val="100"/>
          <w:kern w:val="21"/>
          <w:position w:val="0"/>
          <w:sz w:val="20"/>
          <w:szCs w:val="20"/>
        </w:rPr>
        <w:t xml:space="preserve">1.4.3 </w:t>
      </w:r>
      <w:r>
        <w:rPr>
          <w:rFonts w:ascii="宋体" w:hAnsi="宋体" w:eastAsia="宋体" w:cs="宋体"/>
          <w:snapToGrid/>
          <w:spacing w:val="0"/>
          <w:w w:val="100"/>
          <w:kern w:val="21"/>
          <w:position w:val="0"/>
          <w:sz w:val="20"/>
          <w:szCs w:val="20"/>
        </w:rPr>
        <w:t>项规定的情形。</w:t>
      </w:r>
    </w:p>
    <w:p w14:paraId="31B9D72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3.5  </w:t>
      </w:r>
      <w:r>
        <w:rPr>
          <w:rFonts w:ascii="宋体" w:hAnsi="宋体" w:eastAsia="宋体" w:cs="宋体"/>
          <w:snapToGrid/>
          <w:spacing w:val="0"/>
          <w:w w:val="100"/>
          <w:kern w:val="21"/>
          <w:position w:val="0"/>
          <w:sz w:val="20"/>
          <w:szCs w:val="20"/>
        </w:rPr>
        <w:t>与招标人存在利害关系可能影响招标公正性的单位，不得参加投标。单位负责人为同一人或存在控股、管理关系的不同单位，不得参加同一标段投标，否则，相关投标均无效。</w:t>
      </w:r>
    </w:p>
    <w:p w14:paraId="27FC20D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3.6  </w:t>
      </w:r>
      <w:r>
        <w:rPr>
          <w:rFonts w:ascii="宋体" w:hAnsi="宋体" w:eastAsia="宋体" w:cs="宋体"/>
          <w:snapToGrid/>
          <w:spacing w:val="0"/>
          <w:w w:val="100"/>
          <w:kern w:val="21"/>
          <w:position w:val="0"/>
          <w:sz w:val="20"/>
          <w:szCs w:val="20"/>
        </w:rPr>
        <w:t>落实政府采购政策需满足的资格要求：</w:t>
      </w:r>
      <w:r>
        <w:rPr>
          <w:rFonts w:hint="eastAsia" w:ascii="宋体" w:hAnsi="宋体" w:eastAsia="宋体" w:cs="宋体"/>
          <w:snapToGrid/>
          <w:color w:val="0000FF"/>
          <w:spacing w:val="0"/>
          <w:w w:val="100"/>
          <w:kern w:val="21"/>
          <w:position w:val="0"/>
          <w:sz w:val="20"/>
          <w:szCs w:val="20"/>
          <w:u w:val="single" w:color="auto"/>
        </w:rPr>
        <w:t>本项目适宜由中小企业提供，预留该部分采购项目预算总额的</w:t>
      </w:r>
      <w:r>
        <w:rPr>
          <w:rFonts w:hint="eastAsia" w:ascii="宋体" w:hAnsi="宋体" w:eastAsia="宋体" w:cs="宋体"/>
          <w:snapToGrid/>
          <w:color w:val="0000FF"/>
          <w:spacing w:val="0"/>
          <w:w w:val="100"/>
          <w:kern w:val="21"/>
          <w:position w:val="0"/>
          <w:sz w:val="20"/>
          <w:szCs w:val="20"/>
          <w:u w:val="single" w:color="auto"/>
          <w:lang w:val="en-US" w:eastAsia="zh-CN"/>
        </w:rPr>
        <w:t>8</w:t>
      </w:r>
      <w:r>
        <w:rPr>
          <w:rFonts w:hint="default" w:ascii="宋体" w:hAnsi="宋体" w:eastAsia="宋体" w:cs="宋体"/>
          <w:snapToGrid/>
          <w:color w:val="0000FF"/>
          <w:spacing w:val="0"/>
          <w:w w:val="100"/>
          <w:kern w:val="21"/>
          <w:position w:val="0"/>
          <w:sz w:val="20"/>
          <w:szCs w:val="20"/>
          <w:u w:val="single" w:color="auto"/>
        </w:rPr>
        <w:t>0%</w:t>
      </w:r>
      <w:r>
        <w:rPr>
          <w:rFonts w:hint="eastAsia" w:ascii="宋体" w:hAnsi="宋体" w:eastAsia="宋体" w:cs="宋体"/>
          <w:snapToGrid/>
          <w:color w:val="0000FF"/>
          <w:spacing w:val="0"/>
          <w:w w:val="100"/>
          <w:kern w:val="21"/>
          <w:position w:val="0"/>
          <w:sz w:val="20"/>
          <w:szCs w:val="20"/>
          <w:u w:val="single" w:color="auto"/>
        </w:rPr>
        <w:t>以上专门面向中小企业采购。联合体投标的，中小企业所占份额不得少于</w:t>
      </w:r>
      <w:r>
        <w:rPr>
          <w:rFonts w:hint="eastAsia" w:ascii="宋体" w:hAnsi="宋体" w:eastAsia="宋体" w:cs="宋体"/>
          <w:snapToGrid/>
          <w:color w:val="0000FF"/>
          <w:spacing w:val="0"/>
          <w:w w:val="100"/>
          <w:kern w:val="21"/>
          <w:position w:val="0"/>
          <w:sz w:val="20"/>
          <w:szCs w:val="20"/>
          <w:u w:val="single" w:color="auto"/>
          <w:lang w:val="en-US" w:eastAsia="zh-CN"/>
        </w:rPr>
        <w:t>80</w:t>
      </w:r>
      <w:r>
        <w:rPr>
          <w:rFonts w:hint="default" w:ascii="宋体" w:hAnsi="宋体" w:eastAsia="宋体" w:cs="宋体"/>
          <w:snapToGrid/>
          <w:color w:val="0000FF"/>
          <w:spacing w:val="0"/>
          <w:w w:val="100"/>
          <w:kern w:val="21"/>
          <w:position w:val="0"/>
          <w:sz w:val="20"/>
          <w:szCs w:val="20"/>
          <w:u w:val="single" w:color="auto"/>
        </w:rPr>
        <w:t>%</w:t>
      </w:r>
      <w:r>
        <w:commentReference w:id="0"/>
      </w:r>
      <w:r>
        <w:rPr>
          <w:rFonts w:hint="eastAsia" w:ascii="宋体" w:hAnsi="宋体" w:eastAsia="宋体" w:cs="宋体"/>
          <w:snapToGrid/>
          <w:color w:val="0000FF"/>
          <w:spacing w:val="0"/>
          <w:w w:val="100"/>
          <w:kern w:val="21"/>
          <w:position w:val="0"/>
          <w:sz w:val="20"/>
          <w:szCs w:val="20"/>
          <w:u w:val="single" w:color="auto"/>
        </w:rPr>
        <w:t>。企业划型按照《关于印发中小企业划型标准规定的通知》</w:t>
      </w:r>
      <w:r>
        <w:rPr>
          <w:rFonts w:hint="default" w:ascii="宋体" w:hAnsi="宋体" w:eastAsia="宋体" w:cs="宋体"/>
          <w:snapToGrid/>
          <w:color w:val="0000FF"/>
          <w:spacing w:val="0"/>
          <w:w w:val="100"/>
          <w:kern w:val="21"/>
          <w:position w:val="0"/>
          <w:sz w:val="20"/>
          <w:szCs w:val="20"/>
          <w:u w:val="single" w:color="auto"/>
        </w:rPr>
        <w:t>(</w:t>
      </w:r>
      <w:r>
        <w:rPr>
          <w:rFonts w:hint="eastAsia" w:ascii="宋体" w:hAnsi="宋体" w:eastAsia="宋体" w:cs="宋体"/>
          <w:snapToGrid/>
          <w:color w:val="0000FF"/>
          <w:spacing w:val="0"/>
          <w:w w:val="100"/>
          <w:kern w:val="21"/>
          <w:position w:val="0"/>
          <w:sz w:val="20"/>
          <w:szCs w:val="20"/>
          <w:u w:val="single" w:color="auto"/>
        </w:rPr>
        <w:t>工信部联企业〔</w:t>
      </w:r>
      <w:r>
        <w:rPr>
          <w:rFonts w:hint="default" w:ascii="宋体" w:hAnsi="宋体" w:eastAsia="宋体" w:cs="宋体"/>
          <w:snapToGrid/>
          <w:color w:val="0000FF"/>
          <w:spacing w:val="0"/>
          <w:w w:val="100"/>
          <w:kern w:val="21"/>
          <w:position w:val="0"/>
          <w:sz w:val="20"/>
          <w:szCs w:val="20"/>
          <w:u w:val="single" w:color="auto"/>
        </w:rPr>
        <w:t>2011</w:t>
      </w:r>
      <w:r>
        <w:rPr>
          <w:rFonts w:hint="eastAsia" w:ascii="宋体" w:hAnsi="宋体" w:eastAsia="宋体" w:cs="宋体"/>
          <w:snapToGrid/>
          <w:color w:val="0000FF"/>
          <w:spacing w:val="0"/>
          <w:w w:val="100"/>
          <w:kern w:val="21"/>
          <w:position w:val="0"/>
          <w:sz w:val="20"/>
          <w:szCs w:val="20"/>
          <w:u w:val="single" w:color="auto"/>
        </w:rPr>
        <w:t>〕</w:t>
      </w:r>
      <w:r>
        <w:rPr>
          <w:rFonts w:hint="default" w:ascii="宋体" w:hAnsi="宋体" w:eastAsia="宋体" w:cs="宋体"/>
          <w:snapToGrid/>
          <w:color w:val="0000FF"/>
          <w:spacing w:val="0"/>
          <w:w w:val="100"/>
          <w:kern w:val="21"/>
          <w:position w:val="0"/>
          <w:sz w:val="20"/>
          <w:szCs w:val="20"/>
          <w:u w:val="single" w:color="auto"/>
        </w:rPr>
        <w:t>300</w:t>
      </w:r>
      <w:r>
        <w:rPr>
          <w:rFonts w:hint="eastAsia" w:ascii="宋体" w:hAnsi="宋体" w:eastAsia="宋体" w:cs="宋体"/>
          <w:snapToGrid/>
          <w:color w:val="0000FF"/>
          <w:spacing w:val="0"/>
          <w:w w:val="100"/>
          <w:kern w:val="21"/>
          <w:position w:val="0"/>
          <w:sz w:val="20"/>
          <w:szCs w:val="20"/>
          <w:u w:val="single" w:color="auto"/>
        </w:rPr>
        <w:t>号</w:t>
      </w:r>
      <w:r>
        <w:rPr>
          <w:rFonts w:hint="default" w:ascii="宋体" w:hAnsi="宋体" w:eastAsia="宋体" w:cs="宋体"/>
          <w:snapToGrid/>
          <w:color w:val="0000FF"/>
          <w:spacing w:val="0"/>
          <w:w w:val="100"/>
          <w:kern w:val="21"/>
          <w:position w:val="0"/>
          <w:sz w:val="20"/>
          <w:szCs w:val="20"/>
          <w:u w:val="single" w:color="auto"/>
        </w:rPr>
        <w:t>)</w:t>
      </w:r>
      <w:r>
        <w:rPr>
          <w:rFonts w:hint="eastAsia" w:ascii="宋体" w:hAnsi="宋体" w:eastAsia="宋体" w:cs="宋体"/>
          <w:snapToGrid/>
          <w:color w:val="0000FF"/>
          <w:spacing w:val="0"/>
          <w:w w:val="100"/>
          <w:kern w:val="21"/>
          <w:position w:val="0"/>
          <w:sz w:val="20"/>
          <w:szCs w:val="20"/>
          <w:u w:val="single" w:color="auto"/>
        </w:rPr>
        <w:t>中“建筑业”标准执行。投标文件中应按照招标文件附件格式提供《中小企业声明函》。</w:t>
      </w:r>
    </w:p>
    <w:p w14:paraId="5CFC23A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9" w:name="bookmark102"/>
      <w:bookmarkEnd w:id="9"/>
      <w:bookmarkStart w:id="10" w:name="_Toc6536"/>
      <w:r>
        <w:rPr>
          <w:rFonts w:ascii="宋体" w:hAnsi="宋体" w:eastAsia="宋体" w:cs="宋体"/>
          <w:b/>
          <w:bCs/>
          <w:snapToGrid/>
          <w:spacing w:val="0"/>
          <w:w w:val="100"/>
          <w:kern w:val="21"/>
          <w:position w:val="0"/>
          <w:sz w:val="28"/>
          <w:szCs w:val="28"/>
        </w:rPr>
        <w:t>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招标文件的获取</w:t>
      </w:r>
      <w:bookmarkEnd w:id="10"/>
    </w:p>
    <w:p w14:paraId="70BC8B9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4.1 </w:t>
      </w:r>
      <w:r>
        <w:rPr>
          <w:rFonts w:ascii="宋体" w:hAnsi="宋体" w:eastAsia="宋体" w:cs="宋体"/>
          <w:snapToGrid/>
          <w:spacing w:val="0"/>
          <w:w w:val="100"/>
          <w:kern w:val="21"/>
          <w:position w:val="0"/>
          <w:sz w:val="20"/>
          <w:szCs w:val="20"/>
        </w:rPr>
        <w:t>获取时间：</w:t>
      </w:r>
      <w:r>
        <w:rPr>
          <w:rFonts w:hint="eastAsia" w:ascii="宋体" w:hAnsi="宋体" w:eastAsia="宋体" w:cs="宋体"/>
          <w:snapToGrid/>
          <w:color w:val="0000FF"/>
          <w:spacing w:val="0"/>
          <w:w w:val="100"/>
          <w:kern w:val="21"/>
          <w:position w:val="0"/>
          <w:sz w:val="20"/>
          <w:szCs w:val="20"/>
          <w:u w:val="single" w:color="auto"/>
        </w:rPr>
        <w:t>公告发布时间至投标截止时间</w:t>
      </w:r>
      <w:r>
        <w:rPr>
          <w:rFonts w:ascii="宋体" w:hAnsi="宋体" w:eastAsia="宋体" w:cs="宋体"/>
          <w:snapToGrid/>
          <w:spacing w:val="0"/>
          <w:w w:val="100"/>
          <w:kern w:val="21"/>
          <w:position w:val="0"/>
          <w:sz w:val="20"/>
          <w:szCs w:val="20"/>
        </w:rPr>
        <w:t>。</w:t>
      </w:r>
    </w:p>
    <w:p w14:paraId="308A5EA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 </w:t>
      </w:r>
      <w:r>
        <w:rPr>
          <w:rFonts w:ascii="宋体" w:hAnsi="宋体" w:eastAsia="宋体" w:cs="宋体"/>
          <w:snapToGrid/>
          <w:spacing w:val="0"/>
          <w:w w:val="100"/>
          <w:kern w:val="21"/>
          <w:position w:val="0"/>
          <w:sz w:val="20"/>
          <w:szCs w:val="20"/>
        </w:rPr>
        <w:t>获取方式：</w:t>
      </w:r>
    </w:p>
    <w:p w14:paraId="3AC851E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）本招标项目实行全流程电子化交易。</w:t>
      </w:r>
    </w:p>
    <w:p w14:paraId="6665842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）潜在投标人可登录</w:t>
      </w:r>
      <w:r>
        <w:rPr>
          <w:rFonts w:hint="eastAsia" w:ascii="宋体" w:hAnsi="宋体" w:eastAsia="宋体" w:cs="宋体"/>
          <w:snapToGrid/>
          <w:spacing w:val="0"/>
          <w:w w:val="100"/>
          <w:kern w:val="21"/>
          <w:position w:val="0"/>
          <w:sz w:val="20"/>
          <w:szCs w:val="20"/>
        </w:rPr>
        <w:t>六安市公共资源交易电子服务系统（以下简称“电子服务系统”，网址：http://ggzy.luan.gov.cn/，下同）</w:t>
      </w:r>
      <w:r>
        <w:rPr>
          <w:rFonts w:ascii="宋体" w:hAnsi="宋体" w:eastAsia="宋体" w:cs="宋体"/>
          <w:snapToGrid/>
          <w:spacing w:val="0"/>
          <w:w w:val="100"/>
          <w:kern w:val="21"/>
          <w:position w:val="0"/>
          <w:sz w:val="20"/>
          <w:szCs w:val="20"/>
        </w:rPr>
        <w:t xml:space="preserve">查阅招标文件，如参与投标，则须在本条第 </w:t>
      </w:r>
      <w:r>
        <w:rPr>
          <w:rFonts w:ascii="Times New Roman" w:hAnsi="Times New Roman" w:eastAsia="Times New Roman" w:cs="Times New Roman"/>
          <w:snapToGrid/>
          <w:spacing w:val="0"/>
          <w:w w:val="100"/>
          <w:kern w:val="21"/>
          <w:position w:val="0"/>
          <w:sz w:val="20"/>
          <w:szCs w:val="20"/>
        </w:rPr>
        <w:t xml:space="preserve">4.1 </w:t>
      </w:r>
      <w:r>
        <w:rPr>
          <w:rFonts w:ascii="宋体" w:hAnsi="宋体" w:eastAsia="宋体" w:cs="宋体"/>
          <w:snapToGrid/>
          <w:spacing w:val="0"/>
          <w:w w:val="100"/>
          <w:kern w:val="21"/>
          <w:position w:val="0"/>
          <w:sz w:val="20"/>
          <w:szCs w:val="20"/>
        </w:rPr>
        <w:t>款规定的招标文件获取时间内通过</w:t>
      </w:r>
      <w:r>
        <w:rPr>
          <w:rFonts w:hint="eastAsia" w:ascii="宋体" w:hAnsi="宋体" w:eastAsia="宋体" w:cs="宋体"/>
          <w:snapToGrid/>
          <w:spacing w:val="0"/>
          <w:w w:val="100"/>
          <w:kern w:val="21"/>
          <w:position w:val="0"/>
          <w:sz w:val="20"/>
          <w:szCs w:val="20"/>
        </w:rPr>
        <w:t>（http://183.162.78.64:9016/TPBidder，下同）</w:t>
      </w:r>
      <w:r>
        <w:rPr>
          <w:rFonts w:ascii="宋体" w:hAnsi="宋体" w:eastAsia="宋体" w:cs="宋体"/>
          <w:snapToGrid/>
          <w:spacing w:val="0"/>
          <w:w w:val="100"/>
          <w:kern w:val="21"/>
          <w:position w:val="0"/>
          <w:sz w:val="20"/>
          <w:szCs w:val="20"/>
        </w:rPr>
        <w:t>获取招标文件。</w:t>
      </w:r>
    </w:p>
    <w:p w14:paraId="354ADBB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）招标文件获取过程中有任何疑问，请在工作时间（</w:t>
      </w:r>
      <w:r>
        <w:rPr>
          <w:rFonts w:hint="eastAsia" w:ascii="宋体" w:hAnsi="宋体" w:eastAsia="宋体" w:cs="宋体"/>
          <w:snapToGrid/>
          <w:spacing w:val="0"/>
          <w:w w:val="100"/>
          <w:kern w:val="21"/>
          <w:position w:val="0"/>
          <w:sz w:val="20"/>
          <w:szCs w:val="20"/>
        </w:rPr>
        <w:t>工作时间：8：00至11：30分，14：30至17时30分</w:t>
      </w:r>
      <w:r>
        <w:rPr>
          <w:rFonts w:ascii="宋体" w:hAnsi="宋体" w:eastAsia="宋体" w:cs="宋体"/>
          <w:snapToGrid/>
          <w:spacing w:val="0"/>
          <w:w w:val="100"/>
          <w:kern w:val="21"/>
          <w:position w:val="0"/>
          <w:sz w:val="20"/>
          <w:szCs w:val="20"/>
        </w:rPr>
        <w:t>，节假日休息）拨打技术支持热线（非项目咨询）：</w:t>
      </w:r>
      <w:r>
        <w:rPr>
          <w:rFonts w:hint="eastAsia" w:ascii="宋体" w:hAnsi="宋体" w:eastAsia="宋体" w:cs="宋体"/>
          <w:snapToGrid/>
          <w:spacing w:val="0"/>
          <w:w w:val="100"/>
          <w:kern w:val="21"/>
          <w:position w:val="0"/>
          <w:sz w:val="20"/>
          <w:szCs w:val="20"/>
        </w:rPr>
        <w:t>400-998-0000</w:t>
      </w:r>
      <w:r>
        <w:rPr>
          <w:rFonts w:ascii="宋体" w:hAnsi="宋体" w:eastAsia="宋体" w:cs="宋体"/>
          <w:snapToGrid/>
          <w:spacing w:val="0"/>
          <w:w w:val="100"/>
          <w:kern w:val="21"/>
          <w:position w:val="0"/>
          <w:sz w:val="20"/>
          <w:szCs w:val="20"/>
        </w:rPr>
        <w:t>。项目咨询</w:t>
      </w:r>
      <w:r>
        <w:rPr>
          <w:rFonts w:hint="eastAsia" w:ascii="宋体" w:hAnsi="宋体" w:eastAsia="宋体" w:cs="宋体"/>
          <w:snapToGrid/>
          <w:spacing w:val="0"/>
          <w:w w:val="100"/>
          <w:kern w:val="21"/>
          <w:position w:val="0"/>
          <w:sz w:val="20"/>
          <w:szCs w:val="20"/>
        </w:rPr>
        <w:t>联系方式见招标公告第10.1款和第10.2款</w:t>
      </w:r>
      <w:r>
        <w:rPr>
          <w:rFonts w:ascii="宋体" w:hAnsi="宋体" w:eastAsia="宋体" w:cs="宋体"/>
          <w:snapToGrid/>
          <w:spacing w:val="0"/>
          <w:w w:val="100"/>
          <w:kern w:val="21"/>
          <w:position w:val="0"/>
          <w:sz w:val="20"/>
          <w:szCs w:val="20"/>
        </w:rPr>
        <w:t>。</w:t>
      </w:r>
    </w:p>
    <w:p w14:paraId="4CCFFF0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4.3  </w:t>
      </w:r>
      <w:r>
        <w:rPr>
          <w:rFonts w:ascii="宋体" w:hAnsi="宋体" w:eastAsia="宋体" w:cs="宋体"/>
          <w:snapToGrid/>
          <w:spacing w:val="0"/>
          <w:w w:val="100"/>
          <w:kern w:val="21"/>
          <w:position w:val="0"/>
          <w:sz w:val="20"/>
          <w:szCs w:val="20"/>
        </w:rPr>
        <w:t>招标文件价格：</w:t>
      </w:r>
      <w:r>
        <w:rPr>
          <w:rFonts w:ascii="Times New Roman" w:hAnsi="Times New Roman" w:eastAsia="Times New Roman" w:cs="Times New Roman"/>
          <w:snapToGrid/>
          <w:spacing w:val="0"/>
          <w:w w:val="100"/>
          <w:kern w:val="21"/>
          <w:position w:val="0"/>
          <w:sz w:val="20"/>
          <w:szCs w:val="20"/>
          <w:u w:val="none" w:color="auto"/>
        </w:rPr>
        <w:t>0</w:t>
      </w:r>
      <w:r>
        <w:rPr>
          <w:rFonts w:ascii="宋体" w:hAnsi="宋体" w:eastAsia="宋体" w:cs="宋体"/>
          <w:snapToGrid/>
          <w:spacing w:val="0"/>
          <w:w w:val="100"/>
          <w:kern w:val="21"/>
          <w:position w:val="0"/>
          <w:sz w:val="20"/>
          <w:szCs w:val="20"/>
        </w:rPr>
        <w:t>元。</w:t>
      </w:r>
    </w:p>
    <w:p w14:paraId="0D5B149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11" w:name="bookmark103"/>
      <w:bookmarkEnd w:id="11"/>
      <w:bookmarkStart w:id="12" w:name="_Toc25788"/>
      <w:r>
        <w:rPr>
          <w:rFonts w:ascii="宋体" w:hAnsi="宋体" w:eastAsia="宋体" w:cs="宋体"/>
          <w:b/>
          <w:bCs/>
          <w:snapToGrid/>
          <w:spacing w:val="0"/>
          <w:w w:val="100"/>
          <w:kern w:val="21"/>
          <w:position w:val="0"/>
          <w:sz w:val="28"/>
          <w:szCs w:val="28"/>
        </w:rPr>
        <w:t>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投标文件的递交</w:t>
      </w:r>
      <w:bookmarkEnd w:id="12"/>
    </w:p>
    <w:p w14:paraId="4859802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5.1 </w:t>
      </w:r>
      <w:r>
        <w:rPr>
          <w:rFonts w:ascii="宋体" w:hAnsi="宋体" w:eastAsia="宋体" w:cs="宋体"/>
          <w:snapToGrid/>
          <w:spacing w:val="0"/>
          <w:w w:val="100"/>
          <w:kern w:val="21"/>
          <w:position w:val="0"/>
          <w:sz w:val="20"/>
          <w:szCs w:val="20"/>
        </w:rPr>
        <w:t>投标文件递交的截止时间（投标截止时间，下同）：</w:t>
      </w:r>
      <w:r>
        <w:rPr>
          <w:rFonts w:hint="eastAsia" w:ascii="宋体" w:hAnsi="宋体" w:eastAsia="宋体" w:cs="宋体"/>
          <w:snapToGrid/>
          <w:color w:val="0000FF"/>
          <w:spacing w:val="0"/>
          <w:w w:val="100"/>
          <w:kern w:val="21"/>
          <w:position w:val="0"/>
          <w:sz w:val="20"/>
          <w:szCs w:val="20"/>
          <w:u w:val="single" w:color="auto"/>
          <w:lang w:val="en-US" w:eastAsia="zh-CN"/>
        </w:rPr>
        <w:t xml:space="preserve">         </w:t>
      </w:r>
    </w:p>
    <w:p w14:paraId="5BB6BBF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5.2 </w:t>
      </w:r>
      <w:r>
        <w:rPr>
          <w:rFonts w:ascii="宋体" w:hAnsi="宋体" w:eastAsia="宋体" w:cs="宋体"/>
          <w:snapToGrid/>
          <w:spacing w:val="0"/>
          <w:w w:val="100"/>
          <w:kern w:val="21"/>
          <w:position w:val="0"/>
          <w:sz w:val="20"/>
          <w:szCs w:val="20"/>
        </w:rPr>
        <w:t>投标文件递交方式：投标人应在截止时间前通过</w:t>
      </w:r>
      <w:r>
        <w:rPr>
          <w:rFonts w:hint="eastAsia" w:ascii="宋体" w:hAnsi="宋体" w:eastAsia="宋体" w:cs="宋体"/>
          <w:snapToGrid/>
          <w:color w:val="0000FF"/>
          <w:spacing w:val="0"/>
          <w:w w:val="100"/>
          <w:kern w:val="21"/>
          <w:position w:val="0"/>
          <w:sz w:val="20"/>
          <w:szCs w:val="20"/>
          <w:u w:val="single" w:color="auto"/>
          <w:lang w:val="en-US" w:eastAsia="zh-CN"/>
        </w:rPr>
        <w:t>六安市公共资源电子交易系统</w:t>
      </w:r>
      <w:r>
        <w:rPr>
          <w:rFonts w:ascii="宋体" w:hAnsi="宋体" w:eastAsia="宋体" w:cs="宋体"/>
          <w:snapToGrid/>
          <w:spacing w:val="0"/>
          <w:w w:val="100"/>
          <w:kern w:val="21"/>
          <w:position w:val="0"/>
          <w:sz w:val="20"/>
          <w:szCs w:val="20"/>
        </w:rPr>
        <w:t>递交电子投标文件。</w:t>
      </w:r>
    </w:p>
    <w:p w14:paraId="5A0B53D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5.3 </w:t>
      </w:r>
      <w:r>
        <w:rPr>
          <w:rFonts w:ascii="宋体" w:hAnsi="宋体" w:eastAsia="宋体" w:cs="宋体"/>
          <w:snapToGrid/>
          <w:spacing w:val="0"/>
          <w:w w:val="100"/>
          <w:kern w:val="21"/>
          <w:position w:val="0"/>
          <w:sz w:val="20"/>
          <w:szCs w:val="20"/>
        </w:rPr>
        <w:t>投标人应充分考虑网上递交投标文件时的不可预见因素，逾期未完成上传或未按规定加密的投标文件，电子交易平台将拒绝接收并提示。</w:t>
      </w:r>
    </w:p>
    <w:p w14:paraId="37C456F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13" w:name="bookmark104"/>
      <w:bookmarkEnd w:id="13"/>
      <w:bookmarkStart w:id="14" w:name="_Toc22060"/>
      <w:r>
        <w:rPr>
          <w:rFonts w:ascii="宋体" w:hAnsi="宋体" w:eastAsia="宋体" w:cs="宋体"/>
          <w:b/>
          <w:bCs/>
          <w:snapToGrid/>
          <w:spacing w:val="0"/>
          <w:w w:val="100"/>
          <w:kern w:val="21"/>
          <w:position w:val="0"/>
          <w:sz w:val="28"/>
          <w:szCs w:val="28"/>
        </w:rPr>
        <w:t>6.资格审查方式</w:t>
      </w:r>
      <w:bookmarkEnd w:id="14"/>
    </w:p>
    <w:p w14:paraId="68C9347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本招标项目采用</w:t>
      </w:r>
      <w:r>
        <w:rPr>
          <w:rFonts w:ascii="宋体" w:hAnsi="宋体" w:eastAsia="宋体" w:cs="宋体"/>
          <w:snapToGrid/>
          <w:spacing w:val="0"/>
          <w:w w:val="100"/>
          <w:kern w:val="21"/>
          <w:position w:val="0"/>
          <w:sz w:val="20"/>
          <w:szCs w:val="20"/>
          <w:u w:val="single" w:color="auto"/>
        </w:rPr>
        <w:t>资格后审</w:t>
      </w:r>
      <w:r>
        <w:rPr>
          <w:rFonts w:ascii="宋体" w:hAnsi="宋体" w:eastAsia="宋体" w:cs="宋体"/>
          <w:snapToGrid/>
          <w:spacing w:val="0"/>
          <w:w w:val="100"/>
          <w:kern w:val="21"/>
          <w:position w:val="0"/>
          <w:sz w:val="20"/>
          <w:szCs w:val="20"/>
        </w:rPr>
        <w:t>方式进行资格审查。</w:t>
      </w:r>
    </w:p>
    <w:p w14:paraId="4D970A1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15" w:name="bookmark105"/>
      <w:bookmarkEnd w:id="15"/>
      <w:bookmarkStart w:id="16" w:name="_Toc19877"/>
      <w:r>
        <w:rPr>
          <w:rFonts w:ascii="宋体" w:hAnsi="宋体" w:eastAsia="宋体" w:cs="宋体"/>
          <w:b/>
          <w:bCs/>
          <w:snapToGrid/>
          <w:spacing w:val="0"/>
          <w:w w:val="100"/>
          <w:kern w:val="21"/>
          <w:position w:val="0"/>
          <w:sz w:val="28"/>
          <w:szCs w:val="28"/>
        </w:rPr>
        <w:t>7.评标办法</w:t>
      </w:r>
      <w:bookmarkEnd w:id="16"/>
    </w:p>
    <w:p w14:paraId="645C1FB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本招标项目评标办法采用</w:t>
      </w:r>
      <w:r>
        <w:rPr>
          <w:rFonts w:hint="eastAsia" w:ascii="宋体" w:hAnsi="宋体" w:eastAsia="宋体" w:cs="宋体"/>
          <w:snapToGrid/>
          <w:color w:val="0000FF"/>
          <w:spacing w:val="0"/>
          <w:w w:val="100"/>
          <w:kern w:val="21"/>
          <w:position w:val="0"/>
          <w:sz w:val="20"/>
          <w:szCs w:val="20"/>
          <w:u w:val="single" w:color="auto"/>
        </w:rPr>
        <w:t>综合评估法</w:t>
      </w:r>
      <w:r>
        <w:rPr>
          <w:rFonts w:ascii="宋体" w:hAnsi="宋体" w:eastAsia="宋体" w:cs="宋体"/>
          <w:snapToGrid/>
          <w:spacing w:val="0"/>
          <w:w w:val="100"/>
          <w:kern w:val="21"/>
          <w:position w:val="0"/>
          <w:sz w:val="20"/>
          <w:szCs w:val="20"/>
        </w:rPr>
        <w:t>。</w:t>
      </w:r>
    </w:p>
    <w:p w14:paraId="6A0C9EB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17" w:name="bookmark106"/>
      <w:bookmarkEnd w:id="17"/>
      <w:bookmarkStart w:id="18" w:name="_Toc29962"/>
      <w:r>
        <w:rPr>
          <w:rFonts w:ascii="宋体" w:hAnsi="宋体" w:eastAsia="宋体" w:cs="宋体"/>
          <w:b/>
          <w:bCs/>
          <w:snapToGrid/>
          <w:spacing w:val="0"/>
          <w:w w:val="100"/>
          <w:kern w:val="21"/>
          <w:position w:val="0"/>
          <w:sz w:val="28"/>
          <w:szCs w:val="28"/>
        </w:rPr>
        <w:t>8.开标时间及地点</w:t>
      </w:r>
      <w:bookmarkEnd w:id="18"/>
    </w:p>
    <w:p w14:paraId="24BD10B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8.1 开标时间：</w:t>
      </w:r>
      <w:r>
        <w:rPr>
          <w:rFonts w:hint="eastAsia" w:ascii="宋体" w:hAnsi="宋体" w:eastAsia="宋体" w:cs="宋体"/>
          <w:snapToGrid/>
          <w:color w:val="0000FF"/>
          <w:spacing w:val="0"/>
          <w:w w:val="100"/>
          <w:kern w:val="21"/>
          <w:position w:val="0"/>
          <w:sz w:val="20"/>
          <w:szCs w:val="20"/>
          <w:u w:val="single" w:color="auto"/>
          <w:lang w:val="en-US" w:eastAsia="zh-CN"/>
        </w:rPr>
        <w:t xml:space="preserve">         </w:t>
      </w:r>
    </w:p>
    <w:p w14:paraId="69AF18A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8.2 开标地点：</w:t>
      </w:r>
      <w:r>
        <w:rPr>
          <w:rFonts w:hint="eastAsia" w:ascii="宋体" w:hAnsi="宋体" w:eastAsia="宋体" w:cs="宋体"/>
          <w:snapToGrid/>
          <w:color w:val="0000FF"/>
          <w:spacing w:val="0"/>
          <w:w w:val="100"/>
          <w:kern w:val="21"/>
          <w:position w:val="0"/>
          <w:sz w:val="20"/>
          <w:szCs w:val="20"/>
          <w:u w:val="single" w:color="auto"/>
          <w:lang w:val="en-US" w:eastAsia="zh-CN"/>
        </w:rPr>
        <w:t xml:space="preserve">         </w:t>
      </w:r>
    </w:p>
    <w:p w14:paraId="0396BBE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19" w:name="bookmark107"/>
      <w:bookmarkEnd w:id="19"/>
      <w:bookmarkStart w:id="20" w:name="_Toc16858"/>
      <w:r>
        <w:rPr>
          <w:rFonts w:ascii="宋体" w:hAnsi="宋体" w:eastAsia="宋体" w:cs="宋体"/>
          <w:b/>
          <w:bCs/>
          <w:snapToGrid/>
          <w:spacing w:val="0"/>
          <w:w w:val="100"/>
          <w:kern w:val="21"/>
          <w:position w:val="0"/>
          <w:sz w:val="28"/>
          <w:szCs w:val="28"/>
        </w:rPr>
        <w:t>9.</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发布公告的媒介</w:t>
      </w:r>
      <w:bookmarkEnd w:id="20"/>
    </w:p>
    <w:p w14:paraId="0D7313E6">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本次招标公告同时在</w:t>
      </w:r>
      <w:r>
        <w:rPr>
          <w:rFonts w:hint="eastAsia" w:ascii="宋体" w:hAnsi="宋体" w:eastAsia="宋体" w:cs="宋体"/>
          <w:snapToGrid/>
          <w:color w:val="0000FF"/>
          <w:spacing w:val="0"/>
          <w:w w:val="100"/>
          <w:kern w:val="21"/>
          <w:position w:val="0"/>
          <w:sz w:val="20"/>
          <w:szCs w:val="20"/>
          <w:u w:val="single" w:color="auto"/>
        </w:rPr>
        <w:t>六安市公共资源交易电子服务系统（http://ggzy.luan.gov.cn</w:t>
      </w:r>
      <w:r>
        <w:rPr>
          <w:rFonts w:hint="eastAsia" w:ascii="宋体" w:hAnsi="宋体" w:eastAsia="宋体" w:cs="宋体"/>
          <w:snapToGrid/>
          <w:color w:val="0000FF"/>
          <w:spacing w:val="0"/>
          <w:w w:val="100"/>
          <w:kern w:val="21"/>
          <w:position w:val="0"/>
          <w:sz w:val="20"/>
          <w:szCs w:val="20"/>
          <w:u w:val="single" w:color="auto"/>
          <w:lang w:eastAsia="zh-CN"/>
        </w:rPr>
        <w:t>）</w:t>
      </w:r>
      <w:r>
        <w:rPr>
          <w:rFonts w:ascii="宋体" w:hAnsi="宋体" w:eastAsia="宋体" w:cs="宋体"/>
          <w:snapToGrid/>
          <w:spacing w:val="0"/>
          <w:w w:val="100"/>
          <w:kern w:val="21"/>
          <w:position w:val="0"/>
          <w:sz w:val="20"/>
          <w:szCs w:val="20"/>
          <w:u w:val="single" w:color="auto"/>
        </w:rPr>
        <w:t>、安徽省公共资源</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交易监管网</w:t>
      </w:r>
      <w:r>
        <w:rPr>
          <w:rFonts w:hint="eastAsia" w:ascii="宋体" w:hAnsi="宋体" w:eastAsia="宋体" w:cs="宋体"/>
          <w:snapToGrid/>
          <w:color w:val="0000FF"/>
          <w:spacing w:val="0"/>
          <w:w w:val="100"/>
          <w:kern w:val="21"/>
          <w:position w:val="0"/>
          <w:sz w:val="20"/>
          <w:szCs w:val="20"/>
          <w:u w:val="single" w:color="auto"/>
        </w:rPr>
        <w:t>（http://ggzy.ah.gov.cn）</w:t>
      </w:r>
      <w:r>
        <w:rPr>
          <w:rFonts w:ascii="宋体" w:hAnsi="宋体" w:eastAsia="宋体" w:cs="宋体"/>
          <w:snapToGrid/>
          <w:spacing w:val="0"/>
          <w:w w:val="100"/>
          <w:kern w:val="21"/>
          <w:position w:val="0"/>
          <w:sz w:val="20"/>
          <w:szCs w:val="20"/>
          <w:u w:val="single" w:color="auto"/>
        </w:rPr>
        <w:t>、全国公共资源交易平台</w:t>
      </w:r>
      <w:r>
        <w:rPr>
          <w:rFonts w:hint="eastAsia" w:ascii="宋体" w:hAnsi="宋体" w:eastAsia="宋体" w:cs="宋体"/>
          <w:snapToGrid/>
          <w:color w:val="0000FF"/>
          <w:spacing w:val="0"/>
          <w:w w:val="100"/>
          <w:kern w:val="21"/>
          <w:position w:val="0"/>
          <w:sz w:val="20"/>
          <w:szCs w:val="20"/>
          <w:u w:val="single" w:color="auto"/>
        </w:rPr>
        <w:t>（http://www.ggzy.gov.cn）</w:t>
      </w:r>
      <w:r>
        <w:rPr>
          <w:rFonts w:ascii="宋体" w:hAnsi="宋体" w:eastAsia="宋体" w:cs="宋体"/>
          <w:snapToGrid/>
          <w:spacing w:val="0"/>
          <w:w w:val="100"/>
          <w:kern w:val="21"/>
          <w:position w:val="0"/>
          <w:sz w:val="20"/>
          <w:szCs w:val="20"/>
        </w:rPr>
        <w:t>发布。</w:t>
      </w:r>
    </w:p>
    <w:p w14:paraId="30133C4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21" w:name="bookmark108"/>
      <w:bookmarkEnd w:id="21"/>
      <w:bookmarkStart w:id="22" w:name="_Toc3358"/>
      <w:r>
        <w:rPr>
          <w:rFonts w:ascii="宋体" w:hAnsi="宋体" w:eastAsia="宋体" w:cs="宋体"/>
          <w:b/>
          <w:bCs/>
          <w:snapToGrid/>
          <w:spacing w:val="0"/>
          <w:w w:val="100"/>
          <w:kern w:val="21"/>
          <w:position w:val="0"/>
          <w:sz w:val="28"/>
          <w:szCs w:val="28"/>
        </w:rPr>
        <w:t>10.</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联系方式</w:t>
      </w:r>
      <w:bookmarkEnd w:id="22"/>
    </w:p>
    <w:p w14:paraId="42F0385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23" w:name="_Toc26154"/>
      <w:r>
        <w:rPr>
          <w:rFonts w:ascii="宋体" w:hAnsi="宋体" w:eastAsia="宋体" w:cs="宋体"/>
          <w:snapToGrid/>
          <w:spacing w:val="0"/>
          <w:w w:val="100"/>
          <w:kern w:val="21"/>
          <w:position w:val="0"/>
          <w:sz w:val="20"/>
          <w:szCs w:val="20"/>
        </w:rPr>
        <w:t>10.1 招标人</w:t>
      </w:r>
      <w:bookmarkEnd w:id="23"/>
    </w:p>
    <w:p w14:paraId="2830616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招 标 人：</w:t>
      </w:r>
      <w:r>
        <w:rPr>
          <w:rFonts w:hint="eastAsia" w:ascii="宋体" w:hAnsi="宋体" w:eastAsia="宋体" w:cs="宋体"/>
          <w:b w:val="0"/>
          <w:bCs w:val="0"/>
          <w:snapToGrid/>
          <w:color w:val="0000FF"/>
          <w:spacing w:val="0"/>
          <w:w w:val="100"/>
          <w:kern w:val="21"/>
          <w:position w:val="0"/>
          <w:sz w:val="20"/>
          <w:szCs w:val="20"/>
          <w:u w:val="single" w:color="auto"/>
        </w:rPr>
        <w:t>霍邱县农业农村局</w:t>
      </w:r>
      <w:r>
        <w:rPr>
          <w:rFonts w:hint="eastAsia" w:ascii="宋体" w:hAnsi="宋体" w:eastAsia="宋体" w:cs="宋体"/>
          <w:b w:val="0"/>
          <w:bCs w:val="0"/>
          <w:snapToGrid/>
          <w:color w:val="0000FF"/>
          <w:spacing w:val="0"/>
          <w:w w:val="100"/>
          <w:kern w:val="21"/>
          <w:position w:val="0"/>
          <w:sz w:val="20"/>
          <w:szCs w:val="20"/>
          <w:u w:val="single" w:color="auto"/>
          <w:lang w:eastAsia="zh-CN"/>
        </w:rPr>
        <w:t>、</w:t>
      </w:r>
      <w:r>
        <w:rPr>
          <w:rFonts w:hint="eastAsia" w:ascii="宋体" w:hAnsi="宋体" w:eastAsia="宋体" w:cs="宋体"/>
          <w:b w:val="0"/>
          <w:bCs w:val="0"/>
          <w:snapToGrid/>
          <w:color w:val="0000FF"/>
          <w:spacing w:val="0"/>
          <w:w w:val="100"/>
          <w:kern w:val="21"/>
          <w:position w:val="0"/>
          <w:sz w:val="20"/>
          <w:szCs w:val="20"/>
          <w:u w:val="single" w:color="auto"/>
          <w:lang w:val="en-US" w:eastAsia="zh-CN"/>
        </w:rPr>
        <w:t>霍邱县夏店镇人民政府</w:t>
      </w:r>
    </w:p>
    <w:p w14:paraId="13D96C3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地    址：</w:t>
      </w:r>
      <w:r>
        <w:rPr>
          <w:rFonts w:hint="eastAsia" w:ascii="宋体" w:hAnsi="宋体" w:eastAsia="宋体" w:cs="宋体"/>
          <w:snapToGrid/>
          <w:color w:val="0000FF"/>
          <w:spacing w:val="0"/>
          <w:w w:val="100"/>
          <w:kern w:val="21"/>
          <w:position w:val="0"/>
          <w:sz w:val="20"/>
          <w:szCs w:val="20"/>
          <w:u w:val="single" w:color="auto"/>
        </w:rPr>
        <w:t>霍邱县政务中心A区10楼、六安霍邱县夏店镇街道</w:t>
      </w:r>
    </w:p>
    <w:p w14:paraId="604843A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联 系 人：</w:t>
      </w:r>
      <w:r>
        <w:rPr>
          <w:rFonts w:hint="eastAsia" w:ascii="宋体" w:hAnsi="宋体" w:eastAsia="宋体" w:cs="宋体"/>
          <w:snapToGrid/>
          <w:color w:val="0000FF"/>
          <w:spacing w:val="0"/>
          <w:w w:val="100"/>
          <w:kern w:val="21"/>
          <w:position w:val="0"/>
          <w:sz w:val="20"/>
          <w:szCs w:val="20"/>
          <w:u w:val="single" w:color="auto"/>
          <w:lang w:val="en-US" w:eastAsia="zh-CN"/>
        </w:rPr>
        <w:t>瞿先生/冯先生</w:t>
      </w:r>
    </w:p>
    <w:p w14:paraId="277B6E2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rPr>
      </w:pPr>
      <w:r>
        <w:rPr>
          <w:rFonts w:ascii="宋体" w:hAnsi="宋体" w:eastAsia="宋体" w:cs="宋体"/>
          <w:snapToGrid/>
          <w:spacing w:val="0"/>
          <w:w w:val="100"/>
          <w:kern w:val="21"/>
          <w:position w:val="0"/>
          <w:sz w:val="20"/>
          <w:szCs w:val="20"/>
        </w:rPr>
        <w:t>电    话：</w:t>
      </w:r>
      <w:r>
        <w:rPr>
          <w:rFonts w:hint="eastAsia" w:ascii="宋体" w:hAnsi="宋体" w:eastAsia="宋体" w:cs="宋体"/>
          <w:snapToGrid/>
          <w:color w:val="0000FF"/>
          <w:spacing w:val="0"/>
          <w:w w:val="100"/>
          <w:kern w:val="21"/>
          <w:position w:val="0"/>
          <w:sz w:val="20"/>
          <w:szCs w:val="20"/>
          <w:u w:val="single" w:color="auto"/>
          <w:lang w:val="en-US" w:eastAsia="zh-CN"/>
        </w:rPr>
        <w:t>0564-2718692/0564-2772880</w:t>
      </w:r>
    </w:p>
    <w:p w14:paraId="1FF0110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24" w:name="_Toc31410"/>
      <w:r>
        <w:rPr>
          <w:rFonts w:ascii="宋体" w:hAnsi="宋体" w:eastAsia="宋体" w:cs="宋体"/>
          <w:snapToGrid/>
          <w:spacing w:val="0"/>
          <w:w w:val="100"/>
          <w:kern w:val="21"/>
          <w:position w:val="0"/>
          <w:sz w:val="20"/>
          <w:szCs w:val="20"/>
        </w:rPr>
        <w:t>10.2 招标代理机构</w:t>
      </w:r>
      <w:bookmarkEnd w:id="24"/>
    </w:p>
    <w:p w14:paraId="6960C45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招标代理机构：</w:t>
      </w:r>
      <w:r>
        <w:rPr>
          <w:rFonts w:hint="eastAsia" w:ascii="宋体" w:hAnsi="宋体" w:eastAsia="宋体" w:cs="宋体"/>
          <w:b w:val="0"/>
          <w:bCs w:val="0"/>
          <w:snapToGrid/>
          <w:color w:val="0000FF"/>
          <w:spacing w:val="0"/>
          <w:w w:val="100"/>
          <w:kern w:val="21"/>
          <w:position w:val="0"/>
          <w:sz w:val="20"/>
          <w:szCs w:val="20"/>
          <w:u w:val="single" w:color="auto"/>
          <w:lang w:val="en-US" w:eastAsia="zh-CN"/>
        </w:rPr>
        <w:t>福建安华发展有限公司</w:t>
      </w:r>
    </w:p>
    <w:p w14:paraId="159AB84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hint="eastAsia" w:ascii="宋体" w:hAnsi="宋体" w:eastAsia="宋体" w:cs="宋体"/>
          <w:snapToGrid/>
          <w:color w:val="0000FF"/>
          <w:spacing w:val="0"/>
          <w:w w:val="100"/>
          <w:kern w:val="21"/>
          <w:position w:val="0"/>
          <w:sz w:val="20"/>
          <w:szCs w:val="20"/>
          <w:u w:val="single" w:color="auto"/>
          <w:lang w:val="en-US" w:eastAsia="zh-CN"/>
        </w:rPr>
        <w:t>霍邱县城关镇金城新都汇</w:t>
      </w:r>
    </w:p>
    <w:p w14:paraId="00F35A0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联 系 人：</w:t>
      </w:r>
      <w:r>
        <w:rPr>
          <w:rFonts w:hint="eastAsia" w:ascii="宋体" w:hAnsi="宋体" w:eastAsia="宋体" w:cs="宋体"/>
          <w:snapToGrid/>
          <w:color w:val="0000FF"/>
          <w:spacing w:val="0"/>
          <w:w w:val="100"/>
          <w:kern w:val="21"/>
          <w:position w:val="0"/>
          <w:sz w:val="20"/>
          <w:szCs w:val="20"/>
          <w:u w:val="single" w:color="auto"/>
          <w:lang w:val="en-US" w:eastAsia="zh-CN"/>
        </w:rPr>
        <w:t>王工</w:t>
      </w:r>
    </w:p>
    <w:p w14:paraId="47B43CF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default" w:ascii="宋体" w:hAnsi="宋体" w:eastAsia="宋体" w:cs="宋体"/>
          <w:snapToGrid/>
          <w:spacing w:val="0"/>
          <w:w w:val="100"/>
          <w:kern w:val="21"/>
          <w:position w:val="0"/>
          <w:sz w:val="20"/>
          <w:szCs w:val="20"/>
          <w:lang w:val="en-US"/>
        </w:rPr>
      </w:pPr>
      <w:r>
        <w:rPr>
          <w:rFonts w:ascii="宋体" w:hAnsi="宋体" w:eastAsia="宋体" w:cs="宋体"/>
          <w:snapToGrid/>
          <w:spacing w:val="0"/>
          <w:w w:val="100"/>
          <w:kern w:val="21"/>
          <w:position w:val="0"/>
          <w:sz w:val="20"/>
          <w:szCs w:val="20"/>
        </w:rPr>
        <w:t>电    话：</w:t>
      </w:r>
      <w:r>
        <w:rPr>
          <w:rFonts w:hint="eastAsia" w:ascii="宋体" w:hAnsi="宋体" w:eastAsia="宋体" w:cs="宋体"/>
          <w:snapToGrid/>
          <w:color w:val="0000FF"/>
          <w:spacing w:val="0"/>
          <w:w w:val="100"/>
          <w:kern w:val="21"/>
          <w:position w:val="0"/>
          <w:sz w:val="20"/>
          <w:szCs w:val="20"/>
          <w:u w:val="single" w:color="auto"/>
          <w:lang w:val="en-US" w:eastAsia="zh-CN"/>
        </w:rPr>
        <w:t xml:space="preserve">0564-6661211 </w:t>
      </w:r>
    </w:p>
    <w:p w14:paraId="08BC9A5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25" w:name="_Toc11651"/>
      <w:r>
        <w:rPr>
          <w:rFonts w:ascii="宋体" w:hAnsi="宋体" w:eastAsia="宋体" w:cs="宋体"/>
          <w:snapToGrid/>
          <w:spacing w:val="0"/>
          <w:w w:val="100"/>
          <w:kern w:val="21"/>
          <w:position w:val="0"/>
          <w:sz w:val="20"/>
          <w:szCs w:val="20"/>
        </w:rPr>
        <w:t>10.3 电子交易系统</w:t>
      </w:r>
      <w:bookmarkEnd w:id="25"/>
    </w:p>
    <w:p w14:paraId="1DF09B0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电子交易系统名称：</w:t>
      </w:r>
      <w:r>
        <w:rPr>
          <w:rFonts w:hint="eastAsia" w:ascii="宋体" w:hAnsi="宋体" w:eastAsia="宋体" w:cs="宋体"/>
          <w:snapToGrid/>
          <w:color w:val="0000FF"/>
          <w:spacing w:val="0"/>
          <w:w w:val="100"/>
          <w:kern w:val="21"/>
          <w:position w:val="0"/>
          <w:sz w:val="20"/>
          <w:szCs w:val="20"/>
          <w:u w:val="single" w:color="auto"/>
        </w:rPr>
        <w:t>六安市公共资源电子交易系统</w:t>
      </w:r>
      <w:r>
        <w:rPr>
          <w:rFonts w:ascii="宋体" w:hAnsi="宋体" w:eastAsia="宋体" w:cs="宋体"/>
          <w:snapToGrid/>
          <w:color w:val="0000FF"/>
          <w:spacing w:val="0"/>
          <w:w w:val="100"/>
          <w:kern w:val="21"/>
          <w:position w:val="0"/>
          <w:sz w:val="20"/>
          <w:szCs w:val="20"/>
          <w:u w:val="single" w:color="auto"/>
        </w:rPr>
        <w:t xml:space="preserve"> </w:t>
      </w:r>
    </w:p>
    <w:p w14:paraId="7CA8382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电子交易系统电话：</w:t>
      </w:r>
      <w:r>
        <w:rPr>
          <w:rFonts w:ascii="宋体" w:hAnsi="宋体" w:eastAsia="宋体" w:cs="宋体"/>
          <w:snapToGrid/>
          <w:color w:val="0000FF"/>
          <w:spacing w:val="0"/>
          <w:w w:val="100"/>
          <w:kern w:val="21"/>
          <w:position w:val="0"/>
          <w:sz w:val="20"/>
          <w:szCs w:val="20"/>
          <w:u w:val="single" w:color="auto"/>
        </w:rPr>
        <w:t xml:space="preserve"> </w:t>
      </w:r>
      <w:r>
        <w:rPr>
          <w:rFonts w:hint="eastAsia" w:ascii="宋体" w:hAnsi="宋体" w:eastAsia="宋体" w:cs="宋体"/>
          <w:snapToGrid/>
          <w:color w:val="0000FF"/>
          <w:spacing w:val="0"/>
          <w:w w:val="100"/>
          <w:kern w:val="21"/>
          <w:position w:val="0"/>
          <w:sz w:val="20"/>
          <w:szCs w:val="20"/>
          <w:u w:val="single" w:color="auto"/>
        </w:rPr>
        <w:t>0512-58188516</w:t>
      </w:r>
    </w:p>
    <w:p w14:paraId="2AC01B4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26" w:name="_Toc5509"/>
      <w:r>
        <w:rPr>
          <w:rFonts w:ascii="宋体" w:hAnsi="宋体" w:eastAsia="宋体" w:cs="宋体"/>
          <w:snapToGrid/>
          <w:spacing w:val="0"/>
          <w:w w:val="100"/>
          <w:kern w:val="21"/>
          <w:position w:val="0"/>
          <w:sz w:val="20"/>
          <w:szCs w:val="20"/>
        </w:rPr>
        <w:t>10.4 电子服务系统</w:t>
      </w:r>
      <w:bookmarkEnd w:id="26"/>
    </w:p>
    <w:p w14:paraId="62AEB61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电子服务系统名称：</w:t>
      </w:r>
      <w:r>
        <w:rPr>
          <w:rFonts w:hint="eastAsia" w:ascii="宋体" w:hAnsi="宋体" w:eastAsia="宋体" w:cs="宋体"/>
          <w:snapToGrid/>
          <w:color w:val="0000FF"/>
          <w:spacing w:val="0"/>
          <w:w w:val="100"/>
          <w:kern w:val="21"/>
          <w:position w:val="0"/>
          <w:sz w:val="20"/>
          <w:szCs w:val="20"/>
          <w:u w:val="single" w:color="auto"/>
        </w:rPr>
        <w:t>六安市公共资源交易电子服务系统</w:t>
      </w:r>
    </w:p>
    <w:p w14:paraId="0936D49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电子服务系统电话：</w:t>
      </w:r>
      <w:r>
        <w:rPr>
          <w:rFonts w:hint="eastAsia" w:ascii="宋体" w:hAnsi="宋体" w:eastAsia="宋体" w:cs="宋体"/>
          <w:snapToGrid/>
          <w:color w:val="0000FF"/>
          <w:spacing w:val="0"/>
          <w:w w:val="100"/>
          <w:kern w:val="21"/>
          <w:position w:val="0"/>
          <w:sz w:val="20"/>
          <w:szCs w:val="20"/>
          <w:u w:val="single" w:color="auto"/>
        </w:rPr>
        <w:t>0512-58188516</w:t>
      </w:r>
    </w:p>
    <w:p w14:paraId="26597D0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27" w:name="_Toc9997"/>
      <w:r>
        <w:rPr>
          <w:rFonts w:ascii="宋体" w:hAnsi="宋体" w:eastAsia="宋体" w:cs="宋体"/>
          <w:snapToGrid/>
          <w:spacing w:val="0"/>
          <w:w w:val="100"/>
          <w:kern w:val="21"/>
          <w:position w:val="0"/>
          <w:sz w:val="20"/>
          <w:szCs w:val="20"/>
        </w:rPr>
        <w:t>10.5 招标投标行政监督部门</w:t>
      </w:r>
      <w:bookmarkEnd w:id="27"/>
    </w:p>
    <w:p w14:paraId="11B5A5E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招标投标行政监督部门：</w:t>
      </w:r>
      <w:r>
        <w:rPr>
          <w:rFonts w:hint="eastAsia" w:ascii="宋体" w:hAnsi="宋体" w:eastAsia="宋体" w:cs="宋体"/>
          <w:snapToGrid/>
          <w:color w:val="0000FF"/>
          <w:spacing w:val="0"/>
          <w:w w:val="100"/>
          <w:kern w:val="21"/>
          <w:position w:val="0"/>
          <w:sz w:val="20"/>
          <w:szCs w:val="20"/>
          <w:u w:val="single" w:color="auto"/>
          <w:lang w:val="en-US" w:eastAsia="zh-CN"/>
        </w:rPr>
        <w:t>霍邱县</w:t>
      </w:r>
      <w:r>
        <w:rPr>
          <w:rFonts w:hint="eastAsia" w:ascii="宋体" w:hAnsi="宋体" w:eastAsia="宋体" w:cs="宋体"/>
          <w:snapToGrid/>
          <w:color w:val="0000FF"/>
          <w:spacing w:val="0"/>
          <w:w w:val="100"/>
          <w:kern w:val="21"/>
          <w:position w:val="0"/>
          <w:sz w:val="20"/>
          <w:szCs w:val="20"/>
          <w:u w:val="single" w:color="auto"/>
        </w:rPr>
        <w:t>公共资源交易监督管理局</w:t>
      </w:r>
    </w:p>
    <w:p w14:paraId="7772288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ascii="宋体" w:hAnsi="宋体" w:eastAsia="宋体" w:cs="宋体"/>
          <w:snapToGrid/>
          <w:spacing w:val="0"/>
          <w:w w:val="100"/>
          <w:kern w:val="21"/>
          <w:position w:val="0"/>
          <w:sz w:val="20"/>
          <w:szCs w:val="20"/>
        </w:rPr>
        <w:t>地    址：</w:t>
      </w:r>
      <w:r>
        <w:rPr>
          <w:rFonts w:ascii="宋体" w:hAnsi="宋体" w:eastAsia="宋体" w:cs="宋体"/>
          <w:snapToGrid/>
          <w:color w:val="0000FF"/>
          <w:spacing w:val="0"/>
          <w:w w:val="100"/>
          <w:kern w:val="21"/>
          <w:position w:val="0"/>
          <w:sz w:val="20"/>
          <w:szCs w:val="20"/>
          <w:u w:val="single" w:color="auto"/>
        </w:rPr>
        <w:t>霍邱县蓼源国控集团综合楼四</w:t>
      </w:r>
      <w:r>
        <w:rPr>
          <w:rFonts w:hint="eastAsia" w:ascii="宋体" w:hAnsi="宋体" w:eastAsia="宋体" w:cs="宋体"/>
          <w:snapToGrid/>
          <w:color w:val="0000FF"/>
          <w:spacing w:val="0"/>
          <w:w w:val="100"/>
          <w:kern w:val="21"/>
          <w:position w:val="0"/>
          <w:sz w:val="20"/>
          <w:szCs w:val="20"/>
          <w:u w:val="single" w:color="auto"/>
          <w:lang w:val="en-US" w:eastAsia="zh-CN"/>
        </w:rPr>
        <w:t>层</w:t>
      </w:r>
    </w:p>
    <w:p w14:paraId="1E19767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hint="default" w:ascii="宋体" w:hAnsi="宋体" w:eastAsia="宋体" w:cs="宋体"/>
          <w:snapToGrid/>
          <w:color w:val="0000FF"/>
          <w:spacing w:val="0"/>
          <w:w w:val="100"/>
          <w:kern w:val="21"/>
          <w:position w:val="0"/>
          <w:sz w:val="20"/>
          <w:szCs w:val="20"/>
          <w:u w:val="single" w:color="auto"/>
        </w:rPr>
        <w:t>0564-2717089</w:t>
      </w:r>
    </w:p>
    <w:p w14:paraId="5AC117A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28" w:name="bookmark109"/>
      <w:bookmarkEnd w:id="28"/>
      <w:bookmarkStart w:id="29" w:name="_Toc29947"/>
      <w:r>
        <w:rPr>
          <w:rFonts w:ascii="宋体" w:hAnsi="宋体" w:eastAsia="宋体" w:cs="宋体"/>
          <w:b/>
          <w:bCs/>
          <w:snapToGrid/>
          <w:spacing w:val="0"/>
          <w:w w:val="100"/>
          <w:kern w:val="21"/>
          <w:position w:val="0"/>
          <w:sz w:val="28"/>
          <w:szCs w:val="28"/>
        </w:rPr>
        <w:t>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招标文件的异议、投诉</w:t>
      </w:r>
      <w:bookmarkEnd w:id="29"/>
    </w:p>
    <w:p w14:paraId="1993475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 投标人或者其他利害关系人对招标文件有异议的，应当在规定时间通过电子交易系统在线 提出或以其他书面形式提出。</w:t>
      </w:r>
    </w:p>
    <w:p w14:paraId="7BA8427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 投标人或者其他利害关系人对招标人、招标代理机构的答复不满意，或者招标人、招标代 理机构未在规定时间内作出答复的，可以在规定时间内通过网上投诉系统或以其他书面形式向招标 投标行政监督部门提出投诉。</w:t>
      </w:r>
    </w:p>
    <w:p w14:paraId="084AEA3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 受理异议的联系人和联系方式见招标公告第 10.1 款和第 10.2 款。</w:t>
      </w:r>
    </w:p>
    <w:p w14:paraId="2A5843C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0" w:name="bookmark110"/>
      <w:bookmarkEnd w:id="30"/>
      <w:bookmarkStart w:id="31" w:name="_Toc9743"/>
      <w:r>
        <w:rPr>
          <w:rFonts w:ascii="宋体" w:hAnsi="宋体" w:eastAsia="宋体" w:cs="宋体"/>
          <w:b/>
          <w:bCs/>
          <w:snapToGrid/>
          <w:spacing w:val="0"/>
          <w:w w:val="100"/>
          <w:kern w:val="21"/>
          <w:position w:val="0"/>
          <w:sz w:val="28"/>
          <w:szCs w:val="28"/>
        </w:rPr>
        <w:t>12.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其他事项说明</w:t>
      </w:r>
      <w:bookmarkEnd w:id="31"/>
    </w:p>
    <w:p w14:paraId="5A3AD82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12.1 投标人应合理安排招标文件获取时间，特别是网络速度慢的地区防止在系统关闭前网络拥堵无法操作。如果因计算机及网络故障造成无法完成招标文件获取，责任自负。</w:t>
      </w:r>
    </w:p>
    <w:p w14:paraId="2D33428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color w:val="0000FF"/>
          <w:spacing w:val="0"/>
          <w:w w:val="100"/>
          <w:kern w:val="21"/>
          <w:position w:val="0"/>
          <w:sz w:val="20"/>
          <w:szCs w:val="20"/>
          <w:u w:val="single" w:color="auto"/>
        </w:rPr>
      </w:pPr>
      <w:r>
        <w:rPr>
          <w:rFonts w:ascii="宋体" w:hAnsi="宋体" w:eastAsia="宋体" w:cs="宋体"/>
          <w:snapToGrid/>
          <w:spacing w:val="0"/>
          <w:w w:val="100"/>
          <w:kern w:val="21"/>
          <w:position w:val="0"/>
          <w:sz w:val="20"/>
          <w:szCs w:val="20"/>
        </w:rPr>
        <w:t>12.2</w:t>
      </w:r>
      <w:r>
        <w:rPr>
          <w:rFonts w:hint="eastAsia" w:ascii="宋体" w:hAnsi="宋体" w:eastAsia="宋体" w:cs="宋体"/>
          <w:snapToGrid/>
          <w:color w:val="0000FF"/>
          <w:spacing w:val="0"/>
          <w:w w:val="100"/>
          <w:kern w:val="21"/>
          <w:position w:val="0"/>
          <w:sz w:val="20"/>
          <w:szCs w:val="20"/>
          <w:u w:val="single" w:color="auto"/>
          <w:lang w:val="en-US" w:eastAsia="zh-CN"/>
        </w:rPr>
        <w:t>本项目采用不见面开标（网上解密）方式，投标人无需到开标现场进行解密，采取网上解密方式解密投标文件。投标人在开标时间前使用 CA 数字证书登录“六安市公共资源交易不见面开标系统”，等待开标并按系统提示进行相应的投标人解密等事项,采用本方式可以观看开标现场音视频直播并进行互动交流。具体操作方法见六安市公共资源交易中心网站“服务指引—交易微课堂”栏目中“六安市公共资源交易不见面开标系统操作手册（投标人）”。</w:t>
      </w:r>
    </w:p>
    <w:p w14:paraId="4C9B22C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解密时间：解密程序开始后每个投标人均应在解密指令发出后 30 分钟内完成解密，否则投标文件将被拒绝。</w:t>
      </w:r>
    </w:p>
    <w:p w14:paraId="0A74975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参加本项目的投标人提前准备好电脑、耳麦等相关设备，确保开标顺利进行，如因设备造成的问题由投标人自行负责。</w:t>
      </w:r>
    </w:p>
    <w:p w14:paraId="1FB2BA1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12.3 有意向参与本项目投标的投标人，应在投标截止时间前自行在六安市公共资源电子交易系统下载招标公告、补充公告、招标文件和澄清文件等资料。</w:t>
      </w:r>
    </w:p>
    <w:p w14:paraId="308592E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12.4 投标人自行在安徽省公共资源交易平台电子服务系统注册用户名，填报企业基本信息、项目经理、项目班子成员、委托代理人信息、企业和项目经理业绩、企业和项目经理获奖等相关信息。投标人自行更新、维护本单位信息。以上所有信息的真实性、准确性和完整性由投标人负责。</w:t>
      </w:r>
    </w:p>
    <w:p w14:paraId="6E151FF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安徽省公共资源交易市场主体库注册联系电话：010-86483801转5-2</w:t>
      </w:r>
    </w:p>
    <w:p w14:paraId="083C175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六安市公共资源交易平台电子交易系统联系电话：0512-58188516</w:t>
      </w:r>
    </w:p>
    <w:p w14:paraId="5806150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六安市公共资源交易平台电子交易系统CA证书办理机构：</w:t>
      </w:r>
    </w:p>
    <w:p w14:paraId="5D88B4D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安徽CA（安徽省电子认证管理中心有限责任公司）联系电话：400-880-4959</w:t>
      </w:r>
    </w:p>
    <w:p w14:paraId="1FD182F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hint="eastAsia" w:ascii="宋体" w:hAnsi="宋体" w:eastAsia="宋体" w:cs="宋体"/>
          <w:snapToGrid/>
          <w:color w:val="0000FF"/>
          <w:spacing w:val="0"/>
          <w:w w:val="100"/>
          <w:kern w:val="21"/>
          <w:position w:val="0"/>
          <w:sz w:val="20"/>
          <w:szCs w:val="20"/>
          <w:u w:val="single" w:color="auto"/>
        </w:rPr>
      </w:pPr>
      <w:r>
        <w:rPr>
          <w:rFonts w:hint="eastAsia" w:ascii="宋体" w:hAnsi="宋体" w:eastAsia="宋体" w:cs="宋体"/>
          <w:snapToGrid/>
          <w:color w:val="0000FF"/>
          <w:spacing w:val="0"/>
          <w:w w:val="100"/>
          <w:kern w:val="21"/>
          <w:position w:val="0"/>
          <w:sz w:val="20"/>
          <w:szCs w:val="20"/>
          <w:u w:val="single" w:color="auto"/>
          <w:lang w:val="en-US" w:eastAsia="zh-CN"/>
        </w:rPr>
        <w:t>CFCA（江苏翔晟信息技术股份有限公司）联系电话：025-66085508</w:t>
      </w:r>
    </w:p>
    <w:p w14:paraId="7F1C0C5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2" w:name="bookmark112"/>
      <w:bookmarkEnd w:id="32"/>
      <w:bookmarkStart w:id="33" w:name="bookmark111"/>
      <w:bookmarkEnd w:id="33"/>
      <w:bookmarkStart w:id="34" w:name="_Toc6890"/>
      <w:r>
        <w:rPr>
          <w:rFonts w:ascii="宋体" w:hAnsi="宋体" w:eastAsia="宋体" w:cs="宋体"/>
          <w:b/>
          <w:bCs/>
          <w:snapToGrid/>
          <w:spacing w:val="0"/>
          <w:w w:val="100"/>
          <w:kern w:val="21"/>
          <w:position w:val="0"/>
          <w:sz w:val="28"/>
          <w:szCs w:val="28"/>
        </w:rPr>
        <w:t>13.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投标保证金账户</w:t>
      </w:r>
      <w:bookmarkEnd w:id="34"/>
    </w:p>
    <w:p w14:paraId="08E69B2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户名：</w:t>
      </w:r>
      <w:r>
        <w:rPr>
          <w:rFonts w:ascii="宋体" w:hAnsi="宋体" w:eastAsia="宋体" w:cs="宋体"/>
          <w:snapToGrid/>
          <w:color w:val="0000FF"/>
          <w:spacing w:val="0"/>
          <w:w w:val="100"/>
          <w:kern w:val="21"/>
          <w:position w:val="0"/>
          <w:sz w:val="20"/>
          <w:szCs w:val="20"/>
          <w:u w:val="single" w:color="auto"/>
        </w:rPr>
        <w:t>【投标保证金收取户名】</w:t>
      </w:r>
    </w:p>
    <w:p w14:paraId="75D6527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账号：</w:t>
      </w:r>
      <w:r>
        <w:rPr>
          <w:rFonts w:ascii="宋体" w:hAnsi="宋体" w:eastAsia="宋体" w:cs="宋体"/>
          <w:snapToGrid/>
          <w:color w:val="0000FF"/>
          <w:spacing w:val="0"/>
          <w:w w:val="100"/>
          <w:kern w:val="21"/>
          <w:position w:val="0"/>
          <w:sz w:val="20"/>
          <w:szCs w:val="20"/>
          <w:u w:val="single" w:color="auto"/>
        </w:rPr>
        <w:t>【账号 1】</w:t>
      </w:r>
    </w:p>
    <w:p w14:paraId="7F5118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开户银行：</w:t>
      </w:r>
      <w:r>
        <w:rPr>
          <w:rFonts w:ascii="宋体" w:hAnsi="宋体" w:eastAsia="宋体" w:cs="宋体"/>
          <w:snapToGrid/>
          <w:color w:val="0000FF"/>
          <w:spacing w:val="0"/>
          <w:w w:val="100"/>
          <w:kern w:val="21"/>
          <w:position w:val="0"/>
          <w:sz w:val="20"/>
          <w:szCs w:val="20"/>
          <w:u w:val="single" w:color="auto"/>
        </w:rPr>
        <w:t>【开户银行 1】</w:t>
      </w:r>
    </w:p>
    <w:p w14:paraId="79D6683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户名：</w:t>
      </w:r>
      <w:r>
        <w:rPr>
          <w:rFonts w:ascii="宋体" w:hAnsi="宋体" w:eastAsia="宋体" w:cs="宋体"/>
          <w:snapToGrid/>
          <w:color w:val="0000FF"/>
          <w:spacing w:val="0"/>
          <w:w w:val="100"/>
          <w:kern w:val="21"/>
          <w:position w:val="0"/>
          <w:sz w:val="20"/>
          <w:szCs w:val="20"/>
          <w:u w:val="single" w:color="auto"/>
        </w:rPr>
        <w:t>【投标保证金收取户名】</w:t>
      </w:r>
    </w:p>
    <w:p w14:paraId="715E0F6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账号：</w:t>
      </w:r>
      <w:r>
        <w:rPr>
          <w:rFonts w:ascii="宋体" w:hAnsi="宋体" w:eastAsia="宋体" w:cs="宋体"/>
          <w:snapToGrid/>
          <w:color w:val="0000FF"/>
          <w:spacing w:val="0"/>
          <w:w w:val="100"/>
          <w:kern w:val="21"/>
          <w:position w:val="0"/>
          <w:sz w:val="20"/>
          <w:szCs w:val="20"/>
          <w:u w:val="single" w:color="auto"/>
        </w:rPr>
        <w:t>【账号 2】</w:t>
      </w:r>
    </w:p>
    <w:p w14:paraId="08E812A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8" w:type="default"/>
          <w:pgSz w:w="11906" w:h="16838"/>
          <w:pgMar w:top="1440" w:right="1080" w:bottom="1440" w:left="1080" w:header="0" w:footer="1203" w:gutter="0"/>
          <w:pgNumType w:fmt="decimal" w:start="1"/>
          <w:cols w:space="720" w:num="1"/>
        </w:sectPr>
      </w:pPr>
      <w:r>
        <w:rPr>
          <w:rFonts w:ascii="宋体" w:hAnsi="宋体" w:eastAsia="宋体" w:cs="宋体"/>
          <w:snapToGrid/>
          <w:spacing w:val="0"/>
          <w:w w:val="100"/>
          <w:kern w:val="21"/>
          <w:position w:val="0"/>
          <w:sz w:val="20"/>
          <w:szCs w:val="20"/>
        </w:rPr>
        <w:t>开户银行：</w:t>
      </w:r>
      <w:r>
        <w:rPr>
          <w:rFonts w:ascii="宋体" w:hAnsi="宋体" w:eastAsia="宋体" w:cs="宋体"/>
          <w:snapToGrid/>
          <w:color w:val="0000FF"/>
          <w:spacing w:val="0"/>
          <w:w w:val="100"/>
          <w:kern w:val="21"/>
          <w:position w:val="0"/>
          <w:sz w:val="20"/>
          <w:szCs w:val="20"/>
          <w:u w:val="single" w:color="auto"/>
        </w:rPr>
        <w:t>【开户银行 2】</w:t>
      </w:r>
    </w:p>
    <w:p w14:paraId="78FCA1E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35" w:name="bookmark113"/>
      <w:bookmarkEnd w:id="35"/>
      <w:bookmarkStart w:id="36" w:name="_Toc224"/>
      <w:bookmarkStart w:id="37" w:name="_Toc23050"/>
      <w:bookmarkStart w:id="38" w:name="_Toc9589"/>
      <w:r>
        <w:rPr>
          <w:rFonts w:ascii="宋体" w:hAnsi="宋体" w:eastAsia="宋体" w:cs="宋体"/>
          <w:b/>
          <w:bCs/>
          <w:snapToGrid/>
          <w:spacing w:val="0"/>
          <w:w w:val="100"/>
          <w:kern w:val="21"/>
          <w:position w:val="0"/>
          <w:sz w:val="43"/>
          <w:szCs w:val="43"/>
        </w:rPr>
        <w:t>第二章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投标人须知</w:t>
      </w:r>
      <w:bookmarkEnd w:id="36"/>
      <w:bookmarkEnd w:id="37"/>
      <w:bookmarkEnd w:id="38"/>
    </w:p>
    <w:p w14:paraId="73E0A1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1"/>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投标人须知前附表</w:t>
      </w:r>
    </w:p>
    <w:tbl>
      <w:tblPr>
        <w:tblStyle w:val="26"/>
        <w:tblW w:w="98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3018"/>
        <w:gridCol w:w="5978"/>
      </w:tblGrid>
      <w:tr w14:paraId="18C5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826" w:type="dxa"/>
            <w:vAlign w:val="center"/>
          </w:tcPr>
          <w:p w14:paraId="40A259EF">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b/>
                <w:bCs/>
                <w:snapToGrid/>
                <w:spacing w:val="0"/>
                <w:w w:val="100"/>
                <w:kern w:val="21"/>
                <w:position w:val="0"/>
              </w:rPr>
              <w:t>条款号</w:t>
            </w:r>
          </w:p>
        </w:tc>
        <w:tc>
          <w:tcPr>
            <w:tcW w:w="3018" w:type="dxa"/>
            <w:vAlign w:val="center"/>
          </w:tcPr>
          <w:p w14:paraId="3D4FC7F1">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b/>
                <w:bCs/>
                <w:snapToGrid/>
                <w:spacing w:val="0"/>
                <w:w w:val="100"/>
                <w:kern w:val="21"/>
                <w:position w:val="0"/>
              </w:rPr>
              <w:t>条</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款</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名</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称</w:t>
            </w:r>
          </w:p>
        </w:tc>
        <w:tc>
          <w:tcPr>
            <w:tcW w:w="5978" w:type="dxa"/>
            <w:vAlign w:val="center"/>
          </w:tcPr>
          <w:p w14:paraId="66B55052">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b/>
                <w:bCs/>
                <w:snapToGrid/>
                <w:spacing w:val="0"/>
                <w:w w:val="100"/>
                <w:kern w:val="21"/>
                <w:position w:val="0"/>
              </w:rPr>
              <w:t>编</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列</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内</w:t>
            </w:r>
            <w:r>
              <w:rPr>
                <w:rFonts w:hint="eastAsia" w:ascii="宋体" w:hAnsi="宋体" w:eastAsia="宋体" w:cs="宋体"/>
                <w:snapToGrid/>
                <w:spacing w:val="0"/>
                <w:w w:val="100"/>
                <w:kern w:val="21"/>
                <w:position w:val="0"/>
              </w:rPr>
              <w:t xml:space="preserve"> </w:t>
            </w:r>
            <w:r>
              <w:rPr>
                <w:rFonts w:hint="eastAsia" w:ascii="宋体" w:hAnsi="宋体" w:eastAsia="宋体" w:cs="宋体"/>
                <w:b/>
                <w:bCs/>
                <w:snapToGrid/>
                <w:spacing w:val="0"/>
                <w:w w:val="100"/>
                <w:kern w:val="21"/>
                <w:position w:val="0"/>
              </w:rPr>
              <w:t>容</w:t>
            </w:r>
          </w:p>
        </w:tc>
      </w:tr>
      <w:tr w14:paraId="1C40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7032B38A">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1.1.2</w:t>
            </w:r>
          </w:p>
        </w:tc>
        <w:tc>
          <w:tcPr>
            <w:tcW w:w="3018" w:type="dxa"/>
            <w:vAlign w:val="center"/>
          </w:tcPr>
          <w:p w14:paraId="31A95628">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招标人</w:t>
            </w:r>
          </w:p>
        </w:tc>
        <w:tc>
          <w:tcPr>
            <w:tcW w:w="5978" w:type="dxa"/>
            <w:vAlign w:val="center"/>
          </w:tcPr>
          <w:p w14:paraId="0A56C559">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4BA9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23A04AD0">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1.1.3</w:t>
            </w:r>
          </w:p>
        </w:tc>
        <w:tc>
          <w:tcPr>
            <w:tcW w:w="3018" w:type="dxa"/>
            <w:vAlign w:val="center"/>
          </w:tcPr>
          <w:p w14:paraId="408B86B2">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招标代理机构</w:t>
            </w:r>
          </w:p>
        </w:tc>
        <w:tc>
          <w:tcPr>
            <w:tcW w:w="5978" w:type="dxa"/>
            <w:vAlign w:val="center"/>
          </w:tcPr>
          <w:p w14:paraId="25E99840">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4631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3946AEA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1.1.4</w:t>
            </w:r>
          </w:p>
        </w:tc>
        <w:tc>
          <w:tcPr>
            <w:tcW w:w="3018" w:type="dxa"/>
            <w:vAlign w:val="center"/>
          </w:tcPr>
          <w:p w14:paraId="1BBC9CD8">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招标项目名称</w:t>
            </w:r>
          </w:p>
        </w:tc>
        <w:tc>
          <w:tcPr>
            <w:tcW w:w="5978" w:type="dxa"/>
            <w:vAlign w:val="center"/>
          </w:tcPr>
          <w:p w14:paraId="4491FB73">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5E4F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13F97C26">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1.1.5</w:t>
            </w:r>
          </w:p>
        </w:tc>
        <w:tc>
          <w:tcPr>
            <w:tcW w:w="3018" w:type="dxa"/>
            <w:vAlign w:val="center"/>
          </w:tcPr>
          <w:p w14:paraId="7B705ED3">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建设地点</w:t>
            </w:r>
          </w:p>
        </w:tc>
        <w:tc>
          <w:tcPr>
            <w:tcW w:w="5978" w:type="dxa"/>
            <w:vAlign w:val="center"/>
          </w:tcPr>
          <w:p w14:paraId="7DED7265">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5A88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7F84C0F5">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1.1.6</w:t>
            </w:r>
          </w:p>
        </w:tc>
        <w:tc>
          <w:tcPr>
            <w:tcW w:w="3018" w:type="dxa"/>
            <w:vAlign w:val="center"/>
          </w:tcPr>
          <w:p w14:paraId="7456D50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现场管理机构</w:t>
            </w:r>
          </w:p>
        </w:tc>
        <w:tc>
          <w:tcPr>
            <w:tcW w:w="5978" w:type="dxa"/>
            <w:vAlign w:val="center"/>
          </w:tcPr>
          <w:p w14:paraId="5C80C2A0">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color w:val="0000FF"/>
                <w:spacing w:val="0"/>
                <w:w w:val="100"/>
                <w:kern w:val="21"/>
                <w:position w:val="0"/>
                <w:u w:val="single" w:color="auto"/>
              </w:rPr>
              <w:t>见招标公告</w:t>
            </w:r>
          </w:p>
        </w:tc>
      </w:tr>
      <w:tr w14:paraId="7F7D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6C8F9FE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1.1.7</w:t>
            </w:r>
          </w:p>
        </w:tc>
        <w:tc>
          <w:tcPr>
            <w:tcW w:w="3018" w:type="dxa"/>
            <w:vAlign w:val="center"/>
          </w:tcPr>
          <w:p w14:paraId="37DC8D31">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设计人</w:t>
            </w:r>
          </w:p>
        </w:tc>
        <w:tc>
          <w:tcPr>
            <w:tcW w:w="5978" w:type="dxa"/>
            <w:vAlign w:val="center"/>
          </w:tcPr>
          <w:p w14:paraId="1075D2FD">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lang w:val="en-US" w:eastAsia="zh-CN"/>
              </w:rPr>
            </w:pPr>
            <w:r>
              <w:rPr>
                <w:rFonts w:hint="eastAsia" w:ascii="宋体" w:hAnsi="宋体" w:eastAsia="宋体" w:cs="宋体"/>
                <w:snapToGrid/>
                <w:color w:val="0000FF"/>
                <w:spacing w:val="0"/>
                <w:w w:val="100"/>
                <w:kern w:val="21"/>
                <w:position w:val="0"/>
                <w:u w:val="single" w:color="auto"/>
                <w:lang w:val="en-US" w:eastAsia="zh-CN"/>
              </w:rPr>
              <w:t>详见图纸</w:t>
            </w:r>
          </w:p>
        </w:tc>
      </w:tr>
      <w:tr w14:paraId="0E51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136A27B1">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1.1.8</w:t>
            </w:r>
          </w:p>
        </w:tc>
        <w:tc>
          <w:tcPr>
            <w:tcW w:w="3018" w:type="dxa"/>
            <w:vAlign w:val="center"/>
          </w:tcPr>
          <w:p w14:paraId="4986F60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监理人</w:t>
            </w:r>
          </w:p>
        </w:tc>
        <w:tc>
          <w:tcPr>
            <w:tcW w:w="5978" w:type="dxa"/>
            <w:vAlign w:val="center"/>
          </w:tcPr>
          <w:p w14:paraId="3C1E017C">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lang w:eastAsia="zh-CN"/>
              </w:rPr>
            </w:pPr>
            <w:r>
              <w:rPr>
                <w:rFonts w:hint="eastAsia" w:ascii="宋体" w:hAnsi="宋体" w:eastAsia="宋体" w:cs="宋体"/>
                <w:snapToGrid/>
                <w:color w:val="0000FF"/>
                <w:spacing w:val="0"/>
                <w:w w:val="100"/>
                <w:kern w:val="21"/>
                <w:position w:val="0"/>
                <w:u w:val="single" w:color="auto"/>
                <w:lang w:val="en-US" w:eastAsia="zh-CN"/>
              </w:rPr>
              <w:t>/</w:t>
            </w:r>
          </w:p>
        </w:tc>
      </w:tr>
      <w:tr w14:paraId="05AC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5C9E6CB8">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1.1.9</w:t>
            </w:r>
          </w:p>
        </w:tc>
        <w:tc>
          <w:tcPr>
            <w:tcW w:w="3018" w:type="dxa"/>
            <w:vAlign w:val="center"/>
          </w:tcPr>
          <w:p w14:paraId="17BC45CC">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代建机构</w:t>
            </w:r>
          </w:p>
        </w:tc>
        <w:tc>
          <w:tcPr>
            <w:tcW w:w="5978" w:type="dxa"/>
            <w:vAlign w:val="center"/>
          </w:tcPr>
          <w:p w14:paraId="656FFBE4">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color w:val="0000FF"/>
                <w:spacing w:val="0"/>
                <w:w w:val="100"/>
                <w:kern w:val="21"/>
                <w:position w:val="0"/>
                <w:u w:val="single" w:color="auto"/>
                <w:lang w:val="en-US" w:eastAsia="zh-CN"/>
              </w:rPr>
              <w:t>/</w:t>
            </w:r>
          </w:p>
        </w:tc>
      </w:tr>
      <w:tr w14:paraId="33767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54F22D0D">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1.2.1</w:t>
            </w:r>
          </w:p>
        </w:tc>
        <w:tc>
          <w:tcPr>
            <w:tcW w:w="3018" w:type="dxa"/>
            <w:vAlign w:val="center"/>
          </w:tcPr>
          <w:p w14:paraId="1B071735">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资金来源和出资比例</w:t>
            </w:r>
          </w:p>
        </w:tc>
        <w:tc>
          <w:tcPr>
            <w:tcW w:w="5978" w:type="dxa"/>
            <w:vAlign w:val="center"/>
          </w:tcPr>
          <w:p w14:paraId="60D18069">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7AEC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1BA87BEB">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1.2.2</w:t>
            </w:r>
          </w:p>
        </w:tc>
        <w:tc>
          <w:tcPr>
            <w:tcW w:w="3018" w:type="dxa"/>
            <w:vAlign w:val="center"/>
          </w:tcPr>
          <w:p w14:paraId="38E1348E">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资金落实情况</w:t>
            </w:r>
          </w:p>
        </w:tc>
        <w:tc>
          <w:tcPr>
            <w:tcW w:w="5978" w:type="dxa"/>
            <w:vAlign w:val="center"/>
          </w:tcPr>
          <w:p w14:paraId="6F1AAAC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已落实</w:t>
            </w:r>
          </w:p>
        </w:tc>
      </w:tr>
      <w:tr w14:paraId="1636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2936F3CB">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1.3.1</w:t>
            </w:r>
          </w:p>
        </w:tc>
        <w:tc>
          <w:tcPr>
            <w:tcW w:w="3018" w:type="dxa"/>
            <w:vAlign w:val="center"/>
          </w:tcPr>
          <w:p w14:paraId="65260700">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招标范围</w:t>
            </w:r>
          </w:p>
        </w:tc>
        <w:tc>
          <w:tcPr>
            <w:tcW w:w="5978" w:type="dxa"/>
            <w:vAlign w:val="center"/>
          </w:tcPr>
          <w:p w14:paraId="5F3E2853">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4034B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4788AF7C">
            <w:pPr>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rPr>
              <w:t>1.3.2</w:t>
            </w:r>
          </w:p>
        </w:tc>
        <w:tc>
          <w:tcPr>
            <w:tcW w:w="3018" w:type="dxa"/>
            <w:vAlign w:val="center"/>
          </w:tcPr>
          <w:p w14:paraId="4E8E28FA">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计划工期</w:t>
            </w:r>
          </w:p>
        </w:tc>
        <w:tc>
          <w:tcPr>
            <w:tcW w:w="5978" w:type="dxa"/>
            <w:vAlign w:val="center"/>
          </w:tcPr>
          <w:p w14:paraId="647B13E2">
            <w:pPr>
              <w:pStyle w:val="27"/>
              <w:keepNext w:val="0"/>
              <w:keepLines w:val="0"/>
              <w:pageBreakBefore w:val="0"/>
              <w:widowControl w:val="0"/>
              <w:kinsoku/>
              <w:wordWrap w:val="0"/>
              <w:overflowPunct/>
              <w:topLinePunct/>
              <w:autoSpaceDE/>
              <w:autoSpaceDN/>
              <w:bidi w:val="0"/>
              <w:adjustRightInd/>
              <w:snapToGrid/>
              <w:spacing w:line="400" w:lineRule="exact"/>
              <w:ind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计划施工工期：</w:t>
            </w:r>
            <w:r>
              <w:rPr>
                <w:rFonts w:hint="eastAsia" w:cs="宋体"/>
                <w:snapToGrid/>
                <w:spacing w:val="0"/>
                <w:w w:val="100"/>
                <w:kern w:val="21"/>
                <w:position w:val="0"/>
                <w:u w:val="single" w:color="auto"/>
                <w:lang w:val="en-US" w:eastAsia="zh-CN"/>
              </w:rPr>
              <w:t>180</w:t>
            </w:r>
            <w:r>
              <w:rPr>
                <w:rFonts w:hint="eastAsia" w:ascii="宋体" w:hAnsi="宋体" w:eastAsia="宋体" w:cs="宋体"/>
                <w:snapToGrid/>
                <w:spacing w:val="0"/>
                <w:w w:val="100"/>
                <w:kern w:val="21"/>
                <w:position w:val="0"/>
              </w:rPr>
              <w:t>日历天（具体开工日期以监理开工令为准。）</w:t>
            </w:r>
          </w:p>
        </w:tc>
      </w:tr>
      <w:tr w14:paraId="1C28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5C703BF1">
            <w:pPr>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rPr>
              <w:t>1.3.3</w:t>
            </w:r>
          </w:p>
        </w:tc>
        <w:tc>
          <w:tcPr>
            <w:tcW w:w="3018" w:type="dxa"/>
            <w:vAlign w:val="center"/>
          </w:tcPr>
          <w:p w14:paraId="54FF3644">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质量要求</w:t>
            </w:r>
          </w:p>
        </w:tc>
        <w:tc>
          <w:tcPr>
            <w:tcW w:w="5978" w:type="dxa"/>
            <w:vAlign w:val="center"/>
          </w:tcPr>
          <w:p w14:paraId="77A54EB8">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lang w:eastAsia="zh-CN"/>
              </w:rPr>
            </w:pPr>
            <w:r>
              <w:rPr>
                <w:rFonts w:hint="eastAsia" w:ascii="宋体" w:hAnsi="宋体" w:eastAsia="宋体" w:cs="宋体"/>
                <w:snapToGrid/>
                <w:color w:val="0000FF"/>
                <w:spacing w:val="0"/>
                <w:w w:val="100"/>
                <w:kern w:val="21"/>
                <w:position w:val="0"/>
                <w:u w:val="single" w:color="auto"/>
                <w:lang w:val="en-US" w:eastAsia="zh-CN"/>
              </w:rPr>
              <w:t>合格</w:t>
            </w:r>
          </w:p>
        </w:tc>
      </w:tr>
      <w:tr w14:paraId="65746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12932CB3">
            <w:pPr>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rPr>
              <w:t>1.3.4</w:t>
            </w:r>
          </w:p>
        </w:tc>
        <w:tc>
          <w:tcPr>
            <w:tcW w:w="3018" w:type="dxa"/>
            <w:vAlign w:val="center"/>
          </w:tcPr>
          <w:p w14:paraId="1046770C">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安全目标</w:t>
            </w:r>
          </w:p>
        </w:tc>
        <w:tc>
          <w:tcPr>
            <w:tcW w:w="5978" w:type="dxa"/>
            <w:vAlign w:val="center"/>
          </w:tcPr>
          <w:p w14:paraId="68E0ECE8">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color w:val="0000FF"/>
                <w:spacing w:val="0"/>
                <w:w w:val="100"/>
                <w:kern w:val="21"/>
                <w:position w:val="0"/>
                <w:u w:val="single" w:color="auto"/>
                <w:lang w:val="en-US" w:eastAsia="zh-CN"/>
              </w:rPr>
              <w:t>达到安全文明施工要求，不得发生安全生产事故。</w:t>
            </w:r>
          </w:p>
        </w:tc>
      </w:tr>
      <w:tr w14:paraId="71E1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2C74F7F5">
            <w:pPr>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rPr>
              <w:t>1.3.5</w:t>
            </w:r>
          </w:p>
        </w:tc>
        <w:tc>
          <w:tcPr>
            <w:tcW w:w="3018" w:type="dxa"/>
            <w:vAlign w:val="center"/>
          </w:tcPr>
          <w:p w14:paraId="187BBB6E">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环保目标</w:t>
            </w:r>
          </w:p>
        </w:tc>
        <w:tc>
          <w:tcPr>
            <w:tcW w:w="5978" w:type="dxa"/>
            <w:vAlign w:val="center"/>
          </w:tcPr>
          <w:p w14:paraId="30913A81">
            <w:pPr>
              <w:pStyle w:val="27"/>
              <w:keepNext w:val="0"/>
              <w:keepLines w:val="0"/>
              <w:pageBreakBefore w:val="0"/>
              <w:widowControl w:val="0"/>
              <w:tabs>
                <w:tab w:val="left" w:pos="207"/>
              </w:tabs>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color w:val="0000FF"/>
                <w:spacing w:val="0"/>
                <w:w w:val="100"/>
                <w:kern w:val="21"/>
                <w:position w:val="0"/>
                <w:u w:val="single" w:color="auto"/>
                <w:lang w:val="en-US" w:eastAsia="zh-CN"/>
              </w:rPr>
              <w:t>符合国家环保有关要求。</w:t>
            </w:r>
          </w:p>
        </w:tc>
      </w:tr>
      <w:tr w14:paraId="58BA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Align w:val="center"/>
          </w:tcPr>
          <w:p w14:paraId="4B93E718">
            <w:pPr>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rPr>
              <w:t>1.4.1</w:t>
            </w:r>
          </w:p>
        </w:tc>
        <w:tc>
          <w:tcPr>
            <w:tcW w:w="3018" w:type="dxa"/>
            <w:vAlign w:val="center"/>
          </w:tcPr>
          <w:p w14:paraId="77AF2ADE">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投标人资质条件、能力、信誉</w:t>
            </w:r>
          </w:p>
        </w:tc>
        <w:tc>
          <w:tcPr>
            <w:tcW w:w="5978" w:type="dxa"/>
            <w:vAlign w:val="center"/>
          </w:tcPr>
          <w:p w14:paraId="4D65189B">
            <w:pPr>
              <w:pStyle w:val="27"/>
              <w:keepNext w:val="0"/>
              <w:keepLines w:val="0"/>
              <w:pageBreakBefore w:val="0"/>
              <w:widowControl w:val="0"/>
              <w:kinsoku/>
              <w:wordWrap w:val="0"/>
              <w:overflowPunct/>
              <w:topLinePunct/>
              <w:autoSpaceDE/>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见招标公告</w:t>
            </w:r>
          </w:p>
        </w:tc>
      </w:tr>
      <w:tr w14:paraId="7081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A85D547">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1.4.2</w:t>
            </w:r>
          </w:p>
        </w:tc>
        <w:tc>
          <w:tcPr>
            <w:tcW w:w="3018" w:type="dxa"/>
            <w:shd w:val="clear" w:color="auto" w:fill="auto"/>
            <w:vAlign w:val="center"/>
          </w:tcPr>
          <w:p w14:paraId="567E37A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是否接受联合体投标</w:t>
            </w:r>
          </w:p>
        </w:tc>
        <w:tc>
          <w:tcPr>
            <w:tcW w:w="5978" w:type="dxa"/>
            <w:shd w:val="clear" w:color="auto" w:fill="auto"/>
            <w:vAlign w:val="center"/>
          </w:tcPr>
          <w:p w14:paraId="27AF145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□不接受</w:t>
            </w:r>
          </w:p>
          <w:p w14:paraId="134C2E31">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接受，</w:t>
            </w:r>
            <w:r>
              <w:rPr>
                <w:rFonts w:hint="eastAsia" w:ascii="宋体" w:hAnsi="宋体" w:eastAsia="宋体" w:cs="宋体"/>
                <w:snapToGrid/>
                <w:color w:val="0000FF"/>
                <w:spacing w:val="0"/>
                <w:w w:val="100"/>
                <w:kern w:val="21"/>
                <w:position w:val="0"/>
                <w:u w:val="single" w:color="auto"/>
                <w:lang w:val="en-US" w:eastAsia="zh-CN"/>
              </w:rPr>
              <w:t xml:space="preserve">应满足下列要求：应满足下列要求：1.联合体投标的，开标时以签署的联合体投标协议为准，联合体协议需明确牵头单位。联合具体需明确的事项见附件。项目经理、技术负责人的委派由组成联合体的企业自行商定。 </w:t>
            </w:r>
          </w:p>
          <w:p w14:paraId="3E0475E7">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2.联合体投标，不同专业分工由不同单位分别承担的，按照各自的专业资质确定联合体的资质；同一专业分工由不同联合体成员共同承担的，按照资质等级较低的单位确定资质等级 </w:t>
            </w:r>
          </w:p>
          <w:p w14:paraId="5D1A4D3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3.独立投标的不得再与其他企业组成联合体投标，组成联合体投标的企业不能分别与不同的企业分别签署协议组成不同的联合体投标即只能组成一次。 </w:t>
            </w:r>
          </w:p>
          <w:p w14:paraId="2AB7C0C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4.联合体的企业类似业绩可以共享，但项目经理、技术负责人的类似业绩不予共享。 </w:t>
            </w:r>
          </w:p>
          <w:p w14:paraId="7BE60B06">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color w:val="0000FF"/>
                <w:spacing w:val="0"/>
                <w:w w:val="100"/>
                <w:kern w:val="21"/>
                <w:position w:val="0"/>
                <w:u w:val="single" w:color="auto"/>
                <w:lang w:val="en-US" w:eastAsia="zh-CN"/>
              </w:rPr>
              <w:t>5.联合体投标的双方资质资格证书、协议等原件的扫描件需编入投标文件中。</w:t>
            </w:r>
          </w:p>
        </w:tc>
      </w:tr>
      <w:tr w14:paraId="2D228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2A38F78">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1.4.3</w:t>
            </w:r>
          </w:p>
        </w:tc>
        <w:tc>
          <w:tcPr>
            <w:tcW w:w="3018" w:type="dxa"/>
            <w:shd w:val="clear" w:color="auto" w:fill="auto"/>
            <w:vAlign w:val="center"/>
          </w:tcPr>
          <w:p w14:paraId="7721624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投标人不得存在的其他情形</w:t>
            </w:r>
          </w:p>
        </w:tc>
        <w:tc>
          <w:tcPr>
            <w:tcW w:w="5978" w:type="dxa"/>
            <w:shd w:val="clear" w:color="auto" w:fill="auto"/>
            <w:vAlign w:val="center"/>
          </w:tcPr>
          <w:p w14:paraId="21319B8C">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default" w:ascii="宋体" w:hAnsi="宋体" w:eastAsia="宋体" w:cs="宋体"/>
                <w:snapToGrid/>
                <w:color w:val="000000"/>
                <w:spacing w:val="0"/>
                <w:w w:val="100"/>
                <w:kern w:val="21"/>
                <w:position w:val="0"/>
                <w:sz w:val="20"/>
                <w:szCs w:val="20"/>
                <w:lang w:val="en-US" w:eastAsia="zh-CN" w:bidi="ar-SA"/>
              </w:rPr>
            </w:pPr>
            <w:r>
              <w:rPr>
                <w:rFonts w:hint="eastAsia" w:cs="宋体"/>
                <w:snapToGrid/>
                <w:color w:val="0000FF"/>
                <w:spacing w:val="0"/>
                <w:w w:val="100"/>
                <w:kern w:val="21"/>
                <w:position w:val="0"/>
                <w:u w:val="single" w:color="auto"/>
                <w:lang w:val="en-US" w:eastAsia="zh-CN"/>
              </w:rPr>
              <w:t xml:space="preserve">  / </w:t>
            </w:r>
          </w:p>
        </w:tc>
      </w:tr>
      <w:tr w14:paraId="40B9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8D5550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1.9.1</w:t>
            </w:r>
          </w:p>
        </w:tc>
        <w:tc>
          <w:tcPr>
            <w:tcW w:w="3018" w:type="dxa"/>
            <w:shd w:val="clear" w:color="auto" w:fill="auto"/>
            <w:vAlign w:val="center"/>
          </w:tcPr>
          <w:p w14:paraId="34B757F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踏勘现场</w:t>
            </w:r>
          </w:p>
        </w:tc>
        <w:tc>
          <w:tcPr>
            <w:tcW w:w="5978" w:type="dxa"/>
            <w:shd w:val="clear" w:color="auto" w:fill="auto"/>
            <w:vAlign w:val="center"/>
          </w:tcPr>
          <w:p w14:paraId="15DABFE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不组织</w:t>
            </w:r>
          </w:p>
          <w:p w14:paraId="12DB23C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 xml:space="preserve">□组织，踏勘时间： </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踏勘集中地点：</w:t>
            </w:r>
          </w:p>
        </w:tc>
      </w:tr>
      <w:tr w14:paraId="50D0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36A673E">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1.10.1</w:t>
            </w:r>
          </w:p>
        </w:tc>
        <w:tc>
          <w:tcPr>
            <w:tcW w:w="3018" w:type="dxa"/>
            <w:shd w:val="clear" w:color="auto" w:fill="auto"/>
            <w:vAlign w:val="center"/>
          </w:tcPr>
          <w:p w14:paraId="084BA94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投标预备会</w:t>
            </w:r>
          </w:p>
        </w:tc>
        <w:tc>
          <w:tcPr>
            <w:tcW w:w="5978" w:type="dxa"/>
            <w:shd w:val="clear" w:color="auto" w:fill="auto"/>
            <w:vAlign w:val="center"/>
          </w:tcPr>
          <w:p w14:paraId="6A59867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不召开</w:t>
            </w:r>
          </w:p>
          <w:p w14:paraId="2F460A8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rPr>
              <w:t xml:space="preserve">召开，召开时间： </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召开地点：</w:t>
            </w:r>
          </w:p>
        </w:tc>
      </w:tr>
      <w:tr w14:paraId="7F3CA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Merge w:val="restart"/>
            <w:shd w:val="clear" w:color="auto" w:fill="auto"/>
            <w:vAlign w:val="center"/>
          </w:tcPr>
          <w:p w14:paraId="3AB7B0F2">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1.10.2</w:t>
            </w:r>
          </w:p>
        </w:tc>
        <w:tc>
          <w:tcPr>
            <w:tcW w:w="3018" w:type="dxa"/>
            <w:vMerge w:val="restart"/>
            <w:shd w:val="clear" w:color="auto" w:fill="auto"/>
            <w:vAlign w:val="center"/>
          </w:tcPr>
          <w:p w14:paraId="30A304F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投标人在投标预备会前提出问题</w:t>
            </w:r>
          </w:p>
        </w:tc>
        <w:tc>
          <w:tcPr>
            <w:tcW w:w="5978" w:type="dxa"/>
            <w:shd w:val="clear" w:color="auto" w:fill="auto"/>
            <w:vAlign w:val="center"/>
          </w:tcPr>
          <w:p w14:paraId="7B67A96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时间：</w:t>
            </w:r>
            <w:r>
              <w:rPr>
                <w:rFonts w:hint="eastAsia" w:cs="宋体"/>
                <w:snapToGrid/>
                <w:color w:val="0000FF"/>
                <w:spacing w:val="0"/>
                <w:w w:val="100"/>
                <w:kern w:val="21"/>
                <w:position w:val="0"/>
                <w:u w:val="single" w:color="auto"/>
                <w:lang w:val="en-US" w:eastAsia="zh-CN"/>
              </w:rPr>
              <w:t xml:space="preserve">  / </w:t>
            </w:r>
          </w:p>
        </w:tc>
      </w:tr>
      <w:tr w14:paraId="1CF9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Merge w:val="continue"/>
            <w:shd w:val="clear" w:color="auto" w:fill="auto"/>
            <w:vAlign w:val="center"/>
          </w:tcPr>
          <w:p w14:paraId="307EE84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rPr>
            </w:pPr>
          </w:p>
        </w:tc>
        <w:tc>
          <w:tcPr>
            <w:tcW w:w="3018" w:type="dxa"/>
            <w:vMerge w:val="continue"/>
            <w:shd w:val="clear" w:color="auto" w:fill="auto"/>
            <w:vAlign w:val="center"/>
          </w:tcPr>
          <w:p w14:paraId="5C1E449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rPr>
            </w:pPr>
          </w:p>
        </w:tc>
        <w:tc>
          <w:tcPr>
            <w:tcW w:w="5978" w:type="dxa"/>
            <w:shd w:val="clear" w:color="auto" w:fill="auto"/>
            <w:vAlign w:val="center"/>
          </w:tcPr>
          <w:p w14:paraId="0D9F29F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形式：</w:t>
            </w:r>
            <w:r>
              <w:rPr>
                <w:rFonts w:hint="eastAsia" w:cs="宋体"/>
                <w:snapToGrid/>
                <w:color w:val="0000FF"/>
                <w:spacing w:val="0"/>
                <w:w w:val="100"/>
                <w:kern w:val="21"/>
                <w:position w:val="0"/>
                <w:u w:val="single" w:color="auto"/>
                <w:lang w:val="en-US" w:eastAsia="zh-CN"/>
              </w:rPr>
              <w:t xml:space="preserve">  / </w:t>
            </w:r>
          </w:p>
        </w:tc>
      </w:tr>
      <w:tr w14:paraId="6D227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40AD986">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1.10.3</w:t>
            </w:r>
          </w:p>
        </w:tc>
        <w:tc>
          <w:tcPr>
            <w:tcW w:w="3018" w:type="dxa"/>
            <w:shd w:val="clear" w:color="auto" w:fill="auto"/>
            <w:vAlign w:val="center"/>
          </w:tcPr>
          <w:p w14:paraId="4AB1C5A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招标文件澄清发出的形式</w:t>
            </w:r>
          </w:p>
        </w:tc>
        <w:tc>
          <w:tcPr>
            <w:tcW w:w="5978" w:type="dxa"/>
            <w:shd w:val="clear" w:color="auto" w:fill="auto"/>
            <w:vAlign w:val="center"/>
          </w:tcPr>
          <w:p w14:paraId="25C2ECC3">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1"/>
                <w:szCs w:val="21"/>
                <w:lang w:val="en-US" w:eastAsia="en-US" w:bidi="ar-SA"/>
              </w:rPr>
            </w:pPr>
            <w:r>
              <w:rPr>
                <w:rFonts w:hint="eastAsia" w:cs="宋体"/>
                <w:snapToGrid/>
                <w:color w:val="0000FF"/>
                <w:spacing w:val="0"/>
                <w:w w:val="100"/>
                <w:kern w:val="21"/>
                <w:position w:val="0"/>
                <w:u w:val="single" w:color="auto"/>
                <w:lang w:val="en-US" w:eastAsia="zh-CN"/>
              </w:rPr>
              <w:t xml:space="preserve">  / </w:t>
            </w:r>
          </w:p>
        </w:tc>
      </w:tr>
      <w:tr w14:paraId="083E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D6A8F09">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1.11.1</w:t>
            </w:r>
          </w:p>
        </w:tc>
        <w:tc>
          <w:tcPr>
            <w:tcW w:w="3018" w:type="dxa"/>
            <w:shd w:val="clear" w:color="auto" w:fill="auto"/>
            <w:vAlign w:val="center"/>
          </w:tcPr>
          <w:p w14:paraId="6A78BFE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分包</w:t>
            </w:r>
          </w:p>
        </w:tc>
        <w:tc>
          <w:tcPr>
            <w:tcW w:w="5978" w:type="dxa"/>
            <w:shd w:val="clear" w:color="auto" w:fill="auto"/>
            <w:vAlign w:val="center"/>
          </w:tcPr>
          <w:p w14:paraId="73AEAD11">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不允许</w:t>
            </w:r>
          </w:p>
          <w:p w14:paraId="2281A91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□允许，分包内容要求：</w:t>
            </w:r>
          </w:p>
          <w:p w14:paraId="2BAF3F7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分包金额要求：</w:t>
            </w:r>
          </w:p>
          <w:p w14:paraId="483BA93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对分包人的资质要求：</w:t>
            </w:r>
          </w:p>
        </w:tc>
      </w:tr>
      <w:tr w14:paraId="2A9C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6FE78DF">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1.12.3</w:t>
            </w:r>
          </w:p>
        </w:tc>
        <w:tc>
          <w:tcPr>
            <w:tcW w:w="3018" w:type="dxa"/>
            <w:shd w:val="clear" w:color="auto" w:fill="auto"/>
            <w:vAlign w:val="center"/>
          </w:tcPr>
          <w:p w14:paraId="28FB703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偏差</w:t>
            </w:r>
          </w:p>
        </w:tc>
        <w:tc>
          <w:tcPr>
            <w:tcW w:w="5978" w:type="dxa"/>
            <w:shd w:val="clear" w:color="auto" w:fill="auto"/>
            <w:vAlign w:val="center"/>
          </w:tcPr>
          <w:p w14:paraId="22F734D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不允许</w:t>
            </w:r>
          </w:p>
          <w:p w14:paraId="1AF6C57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818"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 xml:space="preserve">□允许，偏差范围： </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偏差幅度：</w:t>
            </w:r>
          </w:p>
        </w:tc>
      </w:tr>
      <w:tr w14:paraId="0E4F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822849C">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2.1</w:t>
            </w:r>
          </w:p>
        </w:tc>
        <w:tc>
          <w:tcPr>
            <w:tcW w:w="3018" w:type="dxa"/>
            <w:shd w:val="clear" w:color="auto" w:fill="auto"/>
            <w:vAlign w:val="center"/>
          </w:tcPr>
          <w:p w14:paraId="16F2044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构成招标文件的其他资料</w:t>
            </w:r>
          </w:p>
        </w:tc>
        <w:tc>
          <w:tcPr>
            <w:tcW w:w="5978" w:type="dxa"/>
            <w:shd w:val="clear" w:color="auto" w:fill="auto"/>
            <w:vAlign w:val="center"/>
          </w:tcPr>
          <w:p w14:paraId="10BB931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1"/>
                <w:szCs w:val="21"/>
                <w:lang w:val="en-US" w:eastAsia="en-US" w:bidi="ar-SA"/>
              </w:rPr>
            </w:pPr>
            <w:r>
              <w:rPr>
                <w:rFonts w:hint="eastAsia" w:ascii="宋体" w:hAnsi="宋体" w:eastAsia="宋体" w:cs="宋体"/>
                <w:snapToGrid/>
                <w:color w:val="0000FF"/>
                <w:spacing w:val="0"/>
                <w:w w:val="100"/>
                <w:kern w:val="21"/>
                <w:position w:val="0"/>
                <w:u w:val="single" w:color="auto"/>
                <w:lang w:val="en-US" w:eastAsia="zh-CN"/>
              </w:rPr>
              <w:t>招标过程中发出的澄清（答疑）、修改补充通知等。</w:t>
            </w:r>
          </w:p>
        </w:tc>
      </w:tr>
      <w:tr w14:paraId="1CE83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Merge w:val="restart"/>
            <w:shd w:val="clear" w:color="auto" w:fill="auto"/>
            <w:vAlign w:val="center"/>
          </w:tcPr>
          <w:p w14:paraId="79ABC7EE">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spacing w:val="0"/>
                <w:w w:val="100"/>
                <w:kern w:val="21"/>
                <w:position w:val="0"/>
                <w:sz w:val="20"/>
                <w:szCs w:val="20"/>
                <w:lang w:eastAsia="zh-CN"/>
              </w:rPr>
            </w:pPr>
            <w:r>
              <w:rPr>
                <w:rFonts w:hint="eastAsia" w:ascii="宋体" w:hAnsi="宋体" w:eastAsia="宋体" w:cs="宋体"/>
                <w:snapToGrid/>
                <w:spacing w:val="0"/>
                <w:w w:val="100"/>
                <w:kern w:val="21"/>
                <w:position w:val="0"/>
                <w:sz w:val="20"/>
                <w:szCs w:val="20"/>
              </w:rPr>
              <w:t>2.2.1</w:t>
            </w:r>
          </w:p>
        </w:tc>
        <w:tc>
          <w:tcPr>
            <w:tcW w:w="3018" w:type="dxa"/>
            <w:vMerge w:val="restart"/>
            <w:shd w:val="clear" w:color="auto" w:fill="auto"/>
            <w:vAlign w:val="center"/>
          </w:tcPr>
          <w:p w14:paraId="22387DB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spacing w:val="0"/>
                <w:w w:val="100"/>
                <w:kern w:val="21"/>
                <w:position w:val="0"/>
                <w:lang w:eastAsia="zh-CN"/>
              </w:rPr>
            </w:pPr>
            <w:r>
              <w:rPr>
                <w:rFonts w:hint="eastAsia" w:ascii="宋体" w:hAnsi="宋体" w:eastAsia="宋体" w:cs="宋体"/>
                <w:snapToGrid/>
                <w:spacing w:val="0"/>
                <w:w w:val="100"/>
                <w:kern w:val="21"/>
                <w:position w:val="0"/>
              </w:rPr>
              <w:t>投标人要求澄清招标文件</w:t>
            </w:r>
          </w:p>
        </w:tc>
        <w:tc>
          <w:tcPr>
            <w:tcW w:w="5978" w:type="dxa"/>
            <w:shd w:val="clear" w:color="auto" w:fill="auto"/>
            <w:vAlign w:val="center"/>
          </w:tcPr>
          <w:p w14:paraId="5306E82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时间：</w:t>
            </w:r>
            <w:r>
              <w:rPr>
                <w:rFonts w:hint="eastAsia" w:cs="宋体"/>
                <w:snapToGrid/>
                <w:color w:val="0000FF"/>
                <w:spacing w:val="0"/>
                <w:w w:val="100"/>
                <w:kern w:val="21"/>
                <w:position w:val="0"/>
                <w:u w:val="single" w:color="auto"/>
                <w:lang w:val="en-US" w:eastAsia="zh-CN"/>
              </w:rPr>
              <w:t>详见招标公告</w:t>
            </w:r>
            <w:r>
              <w:rPr>
                <w:rFonts w:hint="eastAsia" w:ascii="宋体" w:hAnsi="宋体" w:eastAsia="宋体" w:cs="宋体"/>
                <w:snapToGrid/>
                <w:spacing w:val="0"/>
                <w:w w:val="100"/>
                <w:kern w:val="21"/>
                <w:position w:val="0"/>
              </w:rPr>
              <w:t>；</w:t>
            </w:r>
          </w:p>
        </w:tc>
      </w:tr>
      <w:tr w14:paraId="0FB6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vMerge w:val="continue"/>
            <w:shd w:val="clear" w:color="auto" w:fill="auto"/>
            <w:vAlign w:val="center"/>
          </w:tcPr>
          <w:p w14:paraId="13E910C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826" w:firstLineChars="0"/>
              <w:jc w:val="center"/>
              <w:textAlignment w:val="baseline"/>
              <w:outlineLvl w:val="9"/>
              <w:rPr>
                <w:rFonts w:hint="eastAsia" w:ascii="宋体" w:hAnsi="宋体" w:eastAsia="宋体" w:cs="宋体"/>
              </w:rPr>
            </w:pPr>
          </w:p>
        </w:tc>
        <w:tc>
          <w:tcPr>
            <w:tcW w:w="3018" w:type="dxa"/>
            <w:vMerge w:val="continue"/>
            <w:shd w:val="clear" w:color="auto" w:fill="auto"/>
            <w:vAlign w:val="center"/>
          </w:tcPr>
          <w:p w14:paraId="38EBA0F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826" w:firstLineChars="0"/>
              <w:jc w:val="center"/>
              <w:textAlignment w:val="baseline"/>
              <w:outlineLvl w:val="9"/>
              <w:rPr>
                <w:rFonts w:hint="eastAsia" w:ascii="宋体" w:hAnsi="宋体" w:eastAsia="宋体" w:cs="宋体"/>
              </w:rPr>
            </w:pPr>
          </w:p>
        </w:tc>
        <w:tc>
          <w:tcPr>
            <w:tcW w:w="5978" w:type="dxa"/>
            <w:shd w:val="clear" w:color="auto" w:fill="auto"/>
            <w:vAlign w:val="center"/>
          </w:tcPr>
          <w:p w14:paraId="29AD8A9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形式：通过电子交易系统在线提出</w:t>
            </w:r>
          </w:p>
        </w:tc>
      </w:tr>
      <w:tr w14:paraId="18568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C487F8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2.2.2</w:t>
            </w:r>
          </w:p>
        </w:tc>
        <w:tc>
          <w:tcPr>
            <w:tcW w:w="3018" w:type="dxa"/>
            <w:shd w:val="clear" w:color="auto" w:fill="auto"/>
            <w:vAlign w:val="center"/>
          </w:tcPr>
          <w:p w14:paraId="2F175622">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招标文件澄清发出的形式</w:t>
            </w:r>
          </w:p>
        </w:tc>
        <w:tc>
          <w:tcPr>
            <w:tcW w:w="5978" w:type="dxa"/>
            <w:shd w:val="clear" w:color="auto" w:fill="auto"/>
            <w:vAlign w:val="center"/>
          </w:tcPr>
          <w:p w14:paraId="0E606F6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通过电子服务系统发出</w:t>
            </w:r>
          </w:p>
        </w:tc>
      </w:tr>
      <w:tr w14:paraId="05C6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616777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2.3.1</w:t>
            </w:r>
          </w:p>
        </w:tc>
        <w:tc>
          <w:tcPr>
            <w:tcW w:w="3018" w:type="dxa"/>
            <w:shd w:val="clear" w:color="auto" w:fill="auto"/>
            <w:vAlign w:val="center"/>
          </w:tcPr>
          <w:p w14:paraId="480C236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招标文件修改发出的形式</w:t>
            </w:r>
          </w:p>
        </w:tc>
        <w:tc>
          <w:tcPr>
            <w:tcW w:w="5978" w:type="dxa"/>
            <w:shd w:val="clear" w:color="auto" w:fill="auto"/>
            <w:vAlign w:val="center"/>
          </w:tcPr>
          <w:p w14:paraId="4890792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通过电子服务系统发出</w:t>
            </w:r>
          </w:p>
        </w:tc>
      </w:tr>
      <w:tr w14:paraId="7384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9F839E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2.4</w:t>
            </w:r>
          </w:p>
        </w:tc>
        <w:tc>
          <w:tcPr>
            <w:tcW w:w="3018" w:type="dxa"/>
            <w:shd w:val="clear" w:color="auto" w:fill="auto"/>
            <w:vAlign w:val="center"/>
          </w:tcPr>
          <w:p w14:paraId="0530AC4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lang w:eastAsia="zh-CN"/>
              </w:rPr>
            </w:pPr>
            <w:r>
              <w:rPr>
                <w:rFonts w:hint="eastAsia" w:ascii="宋体" w:hAnsi="宋体" w:eastAsia="宋体" w:cs="宋体"/>
                <w:snapToGrid/>
                <w:spacing w:val="0"/>
                <w:w w:val="100"/>
                <w:kern w:val="21"/>
                <w:position w:val="0"/>
              </w:rPr>
              <w:t>对招标文件提出异议的形式</w:t>
            </w:r>
          </w:p>
        </w:tc>
        <w:tc>
          <w:tcPr>
            <w:tcW w:w="5978" w:type="dxa"/>
            <w:shd w:val="clear" w:color="auto" w:fill="auto"/>
            <w:vAlign w:val="center"/>
          </w:tcPr>
          <w:p w14:paraId="404EDFD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通过电子交易系统在线提出或以其他书面形式提出</w:t>
            </w:r>
          </w:p>
        </w:tc>
      </w:tr>
      <w:tr w14:paraId="6EF73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4BA4C43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3.1.1</w:t>
            </w:r>
          </w:p>
        </w:tc>
        <w:tc>
          <w:tcPr>
            <w:tcW w:w="3018" w:type="dxa"/>
            <w:shd w:val="clear" w:color="auto" w:fill="auto"/>
            <w:vAlign w:val="center"/>
          </w:tcPr>
          <w:p w14:paraId="7AF46E4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构成投标文件的其他资料</w:t>
            </w:r>
          </w:p>
        </w:tc>
        <w:tc>
          <w:tcPr>
            <w:tcW w:w="5978" w:type="dxa"/>
            <w:shd w:val="clear" w:color="auto" w:fill="auto"/>
            <w:vAlign w:val="center"/>
          </w:tcPr>
          <w:p w14:paraId="043A537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default" w:ascii="宋体" w:hAnsi="宋体" w:eastAsia="宋体" w:cs="宋体"/>
                <w:snapToGrid/>
                <w:color w:val="000000"/>
                <w:spacing w:val="0"/>
                <w:w w:val="100"/>
                <w:kern w:val="21"/>
                <w:position w:val="0"/>
                <w:sz w:val="20"/>
                <w:szCs w:val="20"/>
                <w:lang w:val="en-US" w:eastAsia="zh-CN" w:bidi="ar-SA"/>
              </w:rPr>
            </w:pPr>
            <w:r>
              <w:rPr>
                <w:rFonts w:hint="eastAsia" w:cs="宋体"/>
                <w:snapToGrid/>
                <w:color w:val="0000FF"/>
                <w:spacing w:val="0"/>
                <w:w w:val="100"/>
                <w:kern w:val="21"/>
                <w:position w:val="0"/>
                <w:u w:val="single" w:color="auto"/>
                <w:lang w:val="en-US" w:eastAsia="zh-CN"/>
              </w:rPr>
              <w:t xml:space="preserve">                     </w:t>
            </w:r>
          </w:p>
        </w:tc>
      </w:tr>
      <w:tr w14:paraId="2C67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B643D6A">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3.2.1</w:t>
            </w:r>
          </w:p>
        </w:tc>
        <w:tc>
          <w:tcPr>
            <w:tcW w:w="3018" w:type="dxa"/>
            <w:shd w:val="clear" w:color="auto" w:fill="auto"/>
            <w:vAlign w:val="center"/>
          </w:tcPr>
          <w:p w14:paraId="257BE60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增值税税金的计算方法</w:t>
            </w:r>
          </w:p>
        </w:tc>
        <w:tc>
          <w:tcPr>
            <w:tcW w:w="5978" w:type="dxa"/>
            <w:shd w:val="clear" w:color="auto" w:fill="auto"/>
            <w:vAlign w:val="center"/>
          </w:tcPr>
          <w:p w14:paraId="7924D60F">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default" w:ascii="宋体" w:hAnsi="宋体" w:eastAsia="宋体" w:cs="宋体"/>
                <w:snapToGrid/>
                <w:color w:val="000000"/>
                <w:spacing w:val="0"/>
                <w:w w:val="100"/>
                <w:kern w:val="21"/>
                <w:position w:val="0"/>
                <w:sz w:val="20"/>
                <w:szCs w:val="20"/>
                <w:lang w:val="en-US" w:eastAsia="zh-CN" w:bidi="ar-SA"/>
              </w:rPr>
            </w:pPr>
            <w:r>
              <w:rPr>
                <w:rFonts w:hint="eastAsia" w:cs="宋体"/>
                <w:snapToGrid/>
                <w:color w:val="0000FF"/>
                <w:spacing w:val="0"/>
                <w:w w:val="100"/>
                <w:kern w:val="21"/>
                <w:position w:val="0"/>
                <w:u w:val="single" w:color="auto"/>
                <w:lang w:val="en-US" w:eastAsia="zh-CN"/>
              </w:rPr>
              <w:t>一般计税方法</w:t>
            </w:r>
          </w:p>
        </w:tc>
      </w:tr>
      <w:tr w14:paraId="1ED5B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4E30487A">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3.2.4</w:t>
            </w:r>
          </w:p>
        </w:tc>
        <w:tc>
          <w:tcPr>
            <w:tcW w:w="3018" w:type="dxa"/>
            <w:shd w:val="clear" w:color="auto" w:fill="auto"/>
            <w:vAlign w:val="center"/>
          </w:tcPr>
          <w:p w14:paraId="26A2558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最高投标限价</w:t>
            </w:r>
          </w:p>
        </w:tc>
        <w:tc>
          <w:tcPr>
            <w:tcW w:w="5978" w:type="dxa"/>
            <w:shd w:val="clear" w:color="auto" w:fill="auto"/>
            <w:vAlign w:val="center"/>
          </w:tcPr>
          <w:p w14:paraId="25D5B3D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□无</w:t>
            </w:r>
          </w:p>
          <w:p w14:paraId="58CC96A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default" w:ascii="宋体" w:hAnsi="宋体" w:eastAsia="宋体" w:cs="宋体"/>
                <w:snapToGrid/>
                <w:color w:val="000000"/>
                <w:spacing w:val="0"/>
                <w:w w:val="100"/>
                <w:kern w:val="21"/>
                <w:position w:val="0"/>
                <w:sz w:val="20"/>
                <w:szCs w:val="20"/>
                <w:lang w:val="en-US" w:eastAsia="zh-CN" w:bidi="ar-SA"/>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有，最高投标限价：</w:t>
            </w:r>
            <w:r>
              <w:rPr>
                <w:rFonts w:hint="eastAsia" w:ascii="宋体" w:hAnsi="宋体" w:eastAsia="宋体" w:cs="宋体"/>
                <w:snapToGrid/>
                <w:color w:val="0000FF"/>
                <w:spacing w:val="0"/>
                <w:w w:val="100"/>
                <w:kern w:val="21"/>
                <w:position w:val="0"/>
                <w:u w:val="single" w:color="auto"/>
                <w:lang w:val="en-US" w:eastAsia="zh-CN"/>
              </w:rPr>
              <w:t xml:space="preserve">              元</w:t>
            </w:r>
          </w:p>
        </w:tc>
      </w:tr>
      <w:tr w14:paraId="77D2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C888E86">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3.2.5</w:t>
            </w:r>
          </w:p>
        </w:tc>
        <w:tc>
          <w:tcPr>
            <w:tcW w:w="3018" w:type="dxa"/>
            <w:shd w:val="clear" w:color="auto" w:fill="auto"/>
            <w:vAlign w:val="center"/>
          </w:tcPr>
          <w:p w14:paraId="4B1AA7F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投标报价的其他要求</w:t>
            </w:r>
          </w:p>
        </w:tc>
        <w:tc>
          <w:tcPr>
            <w:tcW w:w="5978" w:type="dxa"/>
            <w:shd w:val="clear" w:color="auto" w:fill="auto"/>
            <w:vAlign w:val="center"/>
          </w:tcPr>
          <w:p w14:paraId="354C53E4">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color w:val="0000FF"/>
                <w:spacing w:val="0"/>
                <w:w w:val="100"/>
                <w:kern w:val="21"/>
                <w:position w:val="0"/>
                <w:u w:val="single" w:color="auto"/>
                <w:lang w:val="en-US" w:eastAsia="zh-CN"/>
              </w:rPr>
              <w:t>投标报价应不超过招标人编制的最高投标限价，否则其投标文件将被否决。</w:t>
            </w:r>
          </w:p>
        </w:tc>
      </w:tr>
      <w:tr w14:paraId="1CDF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D04D55A">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3.3.1</w:t>
            </w:r>
          </w:p>
        </w:tc>
        <w:tc>
          <w:tcPr>
            <w:tcW w:w="3018" w:type="dxa"/>
            <w:shd w:val="clear" w:color="auto" w:fill="auto"/>
            <w:vAlign w:val="center"/>
          </w:tcPr>
          <w:p w14:paraId="51C3D4F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投标有效期</w:t>
            </w:r>
          </w:p>
        </w:tc>
        <w:tc>
          <w:tcPr>
            <w:tcW w:w="5978" w:type="dxa"/>
            <w:shd w:val="clear" w:color="auto" w:fill="auto"/>
            <w:vAlign w:val="center"/>
          </w:tcPr>
          <w:p w14:paraId="2071CC7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投标截止之日起</w:t>
            </w:r>
            <w:r>
              <w:rPr>
                <w:rFonts w:hint="eastAsia" w:ascii="宋体" w:hAnsi="宋体" w:eastAsia="宋体" w:cs="宋体"/>
                <w:snapToGrid/>
                <w:spacing w:val="0"/>
                <w:w w:val="100"/>
                <w:kern w:val="21"/>
                <w:position w:val="0"/>
                <w:u w:val="single" w:color="auto"/>
              </w:rPr>
              <w:t xml:space="preserve"> </w:t>
            </w:r>
            <w:r>
              <w:rPr>
                <w:rFonts w:hint="eastAsia" w:cs="宋体"/>
                <w:snapToGrid/>
                <w:spacing w:val="0"/>
                <w:w w:val="100"/>
                <w:kern w:val="21"/>
                <w:position w:val="0"/>
                <w:u w:val="single" w:color="auto"/>
                <w:lang w:val="en-US" w:eastAsia="zh-CN"/>
              </w:rPr>
              <w:t>90</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天。</w:t>
            </w:r>
          </w:p>
        </w:tc>
      </w:tr>
      <w:tr w14:paraId="798E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826" w:type="dxa"/>
            <w:shd w:val="clear" w:color="auto" w:fill="auto"/>
            <w:vAlign w:val="center"/>
          </w:tcPr>
          <w:p w14:paraId="6D1E1A34">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3.4.1</w:t>
            </w:r>
          </w:p>
        </w:tc>
        <w:tc>
          <w:tcPr>
            <w:tcW w:w="3018" w:type="dxa"/>
            <w:shd w:val="clear" w:color="auto" w:fill="auto"/>
            <w:vAlign w:val="center"/>
          </w:tcPr>
          <w:p w14:paraId="7AE907B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投标保证金</w:t>
            </w:r>
          </w:p>
        </w:tc>
        <w:tc>
          <w:tcPr>
            <w:tcW w:w="5978" w:type="dxa"/>
            <w:shd w:val="clear" w:color="auto" w:fill="auto"/>
            <w:vAlign w:val="center"/>
          </w:tcPr>
          <w:p w14:paraId="09B250C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是否要求投标人提交投标保证金：</w:t>
            </w:r>
          </w:p>
          <w:p w14:paraId="5B0E1FF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□不要求</w:t>
            </w:r>
          </w:p>
          <w:p w14:paraId="49A62DA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要求，具体如下：</w:t>
            </w:r>
          </w:p>
          <w:p w14:paraId="0284E1D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default" w:ascii="宋体" w:hAnsi="宋体" w:eastAsia="宋体" w:cs="宋体"/>
                <w:snapToGrid/>
                <w:spacing w:val="0"/>
                <w:w w:val="100"/>
                <w:kern w:val="21"/>
                <w:position w:val="0"/>
                <w:lang w:val="en-US" w:eastAsia="zh-CN"/>
              </w:rPr>
            </w:pPr>
            <w:r>
              <w:rPr>
                <w:rFonts w:hint="eastAsia" w:ascii="宋体" w:hAnsi="宋体" w:eastAsia="宋体" w:cs="宋体"/>
                <w:snapToGrid/>
                <w:spacing w:val="0"/>
                <w:w w:val="100"/>
                <w:kern w:val="21"/>
                <w:position w:val="0"/>
              </w:rPr>
              <w:t>（1）投标保证金的金额：</w:t>
            </w:r>
            <w:r>
              <w:rPr>
                <w:rFonts w:hint="eastAsia" w:cs="宋体"/>
                <w:snapToGrid/>
                <w:color w:val="0000FF"/>
                <w:spacing w:val="0"/>
                <w:w w:val="100"/>
                <w:kern w:val="21"/>
                <w:position w:val="0"/>
                <w:u w:val="single" w:color="auto"/>
                <w:lang w:val="en-US" w:eastAsia="zh-CN"/>
              </w:rPr>
              <w:t xml:space="preserve">50万元 </w:t>
            </w:r>
            <w:r>
              <w:commentReference w:id="1"/>
            </w:r>
          </w:p>
          <w:p w14:paraId="1C5BA9A6">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（2）投标保证金的形式：</w:t>
            </w:r>
          </w:p>
          <w:p w14:paraId="5D948D7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lang w:val="en-US" w:eastAsia="zh-CN"/>
              </w:rPr>
              <w:t>第一种方式：</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 xml:space="preserve">网银支付 </w:t>
            </w:r>
            <w:r>
              <w:rPr>
                <w:rFonts w:hint="eastAsia" w:cs="宋体"/>
                <w:snapToGrid/>
                <w:spacing w:val="0"/>
                <w:w w:val="100"/>
                <w:kern w:val="21"/>
                <w:position w:val="0"/>
                <w:lang w:val="en-US" w:eastAsia="zh-CN"/>
              </w:rPr>
              <w:t xml:space="preserve">    </w:t>
            </w:r>
            <w:r>
              <w:rPr>
                <w:rFonts w:hint="eastAsia" w:ascii="宋体" w:hAnsi="宋体" w:eastAsia="宋体" w:cs="宋体"/>
                <w:snapToGrid/>
                <w:spacing w:val="0"/>
                <w:w w:val="100"/>
                <w:kern w:val="21"/>
                <w:position w:val="0"/>
                <w:lang w:val="en-US" w:eastAsia="zh-CN"/>
              </w:rPr>
              <w:t></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 xml:space="preserve">银行转账 </w:t>
            </w:r>
          </w:p>
          <w:p w14:paraId="525FCEE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lang w:val="en-US" w:eastAsia="zh-CN"/>
              </w:rPr>
              <w:t>第二种方式：</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纸质银行保函 </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 xml:space="preserve">纸质保证保险、担保保函等 </w:t>
            </w:r>
          </w:p>
          <w:p w14:paraId="02CB70D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lang w:val="en-US" w:eastAsia="zh-CN"/>
              </w:rPr>
              <w:t>第三种方式：</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 xml:space="preserve">电子银行保函 </w:t>
            </w:r>
            <w:r>
              <w:rPr>
                <w:rFonts w:hint="eastAsia" w:cs="宋体"/>
                <w:snapToGrid/>
                <w:spacing w:val="0"/>
                <w:w w:val="100"/>
                <w:kern w:val="21"/>
                <w:position w:val="0"/>
                <w:lang w:val="en-US" w:eastAsia="zh-CN"/>
              </w:rPr>
              <w:t xml:space="preserve">  </w:t>
            </w:r>
            <w:r>
              <w:rPr>
                <w:rFonts w:hint="eastAsia" w:ascii="宋体" w:hAnsi="宋体" w:eastAsia="宋体" w:cs="宋体"/>
                <w:snapToGrid/>
                <w:spacing w:val="0"/>
                <w:w w:val="100"/>
                <w:kern w:val="21"/>
                <w:position w:val="0"/>
                <w:lang w:eastAsia="zh-CN"/>
              </w:rPr>
              <w:t>☑</w:t>
            </w:r>
            <w:r>
              <w:rPr>
                <w:rFonts w:hint="eastAsia" w:ascii="宋体" w:hAnsi="宋体" w:eastAsia="宋体" w:cs="宋体"/>
                <w:snapToGrid/>
                <w:spacing w:val="0"/>
                <w:w w:val="100"/>
                <w:kern w:val="21"/>
                <w:position w:val="0"/>
                <w:lang w:val="en-US" w:eastAsia="zh-CN"/>
              </w:rPr>
              <w:t>电子保证保险、担保保函等</w:t>
            </w:r>
          </w:p>
          <w:p w14:paraId="0623AA6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（3）具体要求：</w:t>
            </w:r>
          </w:p>
          <w:p w14:paraId="796D6B4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lang w:val="en-US" w:eastAsia="zh-CN"/>
              </w:rPr>
              <w:t xml:space="preserve">（1）如投标人采用第一种方式（即网银支付、银行转账）递交的，根据《中华人民共和国招标投标法实施条例》第二十六条规定之精神，需遵循下列规定： </w:t>
            </w:r>
          </w:p>
          <w:p w14:paraId="6C8AEBB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zh-CN"/>
              </w:rPr>
            </w:pPr>
            <w:r>
              <w:rPr>
                <w:rFonts w:hint="eastAsia" w:ascii="宋体" w:hAnsi="宋体" w:eastAsia="宋体" w:cs="宋体"/>
                <w:snapToGrid/>
                <w:spacing w:val="0"/>
                <w:w w:val="100"/>
                <w:kern w:val="21"/>
                <w:position w:val="0"/>
                <w:lang w:val="en-US" w:eastAsia="zh-CN"/>
              </w:rPr>
              <w:t xml:space="preserve">①汇出银行要求。应为投标人的基本账户开户银行。投标人的投标保证金应从投标人在安徽省公共资源交易市场主体库中公布的银行基本账户转出，否则一律视为无效，其投标无效。投标人的投标保证金是否从市场主体库中公布的银行基本账户转出，由招标人在开标、评标时通过开评标系统展示判断；若因系统故障无法展示，则以银行到账凭据作为判断的依据。 </w:t>
            </w:r>
          </w:p>
          <w:p w14:paraId="6AAD29B1">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zh-CN"/>
              </w:rPr>
            </w:pPr>
            <w:r>
              <w:rPr>
                <w:rFonts w:hint="eastAsia" w:ascii="宋体" w:hAnsi="宋体" w:eastAsia="宋体" w:cs="宋体"/>
                <w:snapToGrid/>
                <w:spacing w:val="0"/>
                <w:w w:val="100"/>
                <w:kern w:val="21"/>
                <w:position w:val="0"/>
                <w:lang w:val="en-US" w:eastAsia="zh-CN"/>
              </w:rPr>
              <w:t xml:space="preserve">②投标人对在安徽省公共资源交易市场主体库中公布的银行基本账户信息真实性、准确性负责。投标人有基本账户开户许可证的，应在投标文件中提供含有基本账户信息的基本账户开户许可证的原件扫描件；没有基本账户开户许可证的，应在投标文件中提供投标人基本账户开户银行出具的该投标人基本存款账户信息原件扫描件，并按所附格式承诺真实有效。由评标委员会在评标时审查认定基本账户是否与主体信息库信息一致,基本账户与主体信息库信息不一致的，其投标无效。未在投标文件中提供基本账户开户许可证的原件扫描件或基本账户开户银行出具的该投标人基本存款账户信息证明的原件扫描件，将视为基本账户不正确，导致投标无效。 </w:t>
            </w:r>
          </w:p>
          <w:p w14:paraId="31EE428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zh-CN"/>
              </w:rPr>
            </w:pPr>
            <w:r>
              <w:rPr>
                <w:rFonts w:hint="eastAsia" w:ascii="宋体" w:hAnsi="宋体" w:eastAsia="宋体" w:cs="宋体"/>
                <w:snapToGrid/>
                <w:spacing w:val="0"/>
                <w:w w:val="100"/>
                <w:kern w:val="21"/>
                <w:position w:val="0"/>
                <w:lang w:val="en-US" w:eastAsia="zh-CN"/>
              </w:rPr>
              <w:t>③网银支付、银行转账转入时限。投标截止时间前必须到下列指定的收款人账户，转入时间应满足网银支付、银行转账数据交换的时间需求。收款人名称、汇入银行及汇入账号应严格按照下列收款人名称、汇入银行及汇入账号填写，不出错,不得多字少字，否则责任自负。</w:t>
            </w:r>
          </w:p>
          <w:p w14:paraId="7379F49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b/>
                <w:bCs/>
                <w:snapToGrid/>
                <w:spacing w:val="0"/>
                <w:w w:val="100"/>
                <w:kern w:val="21"/>
                <w:position w:val="0"/>
                <w:lang w:val="en-US" w:eastAsia="en-US"/>
              </w:rPr>
            </w:pPr>
            <w:r>
              <w:rPr>
                <w:rFonts w:hint="eastAsia" w:ascii="宋体" w:hAnsi="宋体" w:eastAsia="宋体" w:cs="宋体"/>
                <w:b/>
                <w:bCs/>
                <w:snapToGrid/>
                <w:spacing w:val="0"/>
                <w:w w:val="100"/>
                <w:kern w:val="21"/>
                <w:position w:val="0"/>
                <w:lang w:val="en-US" w:eastAsia="en-US"/>
              </w:rPr>
              <w:t>收款人名称：</w:t>
            </w:r>
          </w:p>
          <w:p w14:paraId="6AB9F5D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b/>
                <w:bCs/>
                <w:snapToGrid/>
                <w:spacing w:val="0"/>
                <w:w w:val="100"/>
                <w:kern w:val="21"/>
                <w:position w:val="0"/>
                <w:lang w:val="en-US" w:eastAsia="en-US"/>
              </w:rPr>
            </w:pPr>
            <w:r>
              <w:rPr>
                <w:rFonts w:hint="eastAsia" w:ascii="宋体" w:hAnsi="宋体" w:eastAsia="宋体" w:cs="宋体"/>
                <w:b/>
                <w:bCs/>
                <w:snapToGrid/>
                <w:spacing w:val="0"/>
                <w:w w:val="100"/>
                <w:kern w:val="21"/>
                <w:position w:val="0"/>
                <w:lang w:val="en-US" w:eastAsia="en-US"/>
              </w:rPr>
              <w:t>汇入银行名称：</w:t>
            </w:r>
          </w:p>
          <w:p w14:paraId="6ABD8E3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b/>
                <w:bCs/>
                <w:snapToGrid/>
                <w:spacing w:val="0"/>
                <w:w w:val="100"/>
                <w:kern w:val="21"/>
                <w:position w:val="0"/>
                <w:lang w:val="en-US" w:eastAsia="en-US"/>
              </w:rPr>
            </w:pPr>
            <w:r>
              <w:rPr>
                <w:rFonts w:hint="eastAsia" w:ascii="宋体" w:hAnsi="宋体" w:eastAsia="宋体" w:cs="宋体"/>
                <w:b/>
                <w:bCs/>
                <w:snapToGrid/>
                <w:spacing w:val="0"/>
                <w:w w:val="100"/>
                <w:kern w:val="21"/>
                <w:position w:val="0"/>
                <w:lang w:val="en-US" w:eastAsia="en-US"/>
              </w:rPr>
              <w:t>汇入银行账号：</w:t>
            </w:r>
          </w:p>
          <w:p w14:paraId="32F22CF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（2）如采用第二种方式（纸质银行保函 、纸质保证保险、纸质担保保函等,见投标文件格式）递交，根据《中华人民共和国招标投标法实施条例》第二十六条规定之精神，需遵循下列规定： </w:t>
            </w:r>
          </w:p>
          <w:p w14:paraId="24B4D50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①采用纸质银行保函 、纸质保证保险、纸质担保保函，该保函、保险应当是无条件见索即付的银行保函、保证保险、担保保函（具体要求：见招标文件所附的银行保函格式文本、保证保险格式文本、担保保险格式文本载明的要素与包括权利义务方面的内容要求），保函期限必须大于投标有效期，受益人应为招标人。投标人须将采用的纸质保函、保险原件扫描件编入投标文件，未编入的视为未提供投标担保，其投标无效；虽提交了纸质保函、保险原件扫描件，但其载明的要素与权利义务的要求，不符合格式文本要求，没有按照招标文件约定、投标人的承诺承担所有保证事项、或者不是无条 件见索即付式的保函、保险，视为未提交保函保险，其投标无效。 </w:t>
            </w:r>
          </w:p>
          <w:p w14:paraId="71081A5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②采用纸质银行保函 、纸质保证保险、纸质担保保函，其办理保函或保证保险所需的费用，应从投标人在安徽省公共资源交易市场主体库中公布的银行基本账户汇（支）出，并承诺真实有效。费用是否从投标人在安徽省公共资源交易市场主体库中公布的银行基本账户汇（支）出，由投标人将本单位从基本账户汇出该项费用的原始凭证（载有基本账户信息、收取该费用的承担出具保函保险的单位名称、账户信息的原始凭证；属于基本账户银行出具保函的除外）扫描件、基本账户开户许可证（或基本账户开户银行出具的该投标人基本存款账户信息证明材料）的原件扫描件编入投标文件中，由 评标委员会在评标时审查认定。未从投标人在安徽省公共资源交易市场主体库中公布的银行基本账户汇（支）出或基本账户弄虚作假的，其投标无效。未在投标文件中提供本单位从基本账户支付该项费用的原始凭证扫描件、或未提供基本账户开户许可证的原件扫描件或基本账户开户银行出具的该投标人基本存款账户信息证明的原件扫描件的，将视为基本账户不正确，导致投标无效。 </w:t>
            </w:r>
          </w:p>
          <w:p w14:paraId="26A41E7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③投标人提交的纸质保函保险，必须明确载明有效的查询途径（包括电话、网址链接及查询方式），否则该保函保险无效。</w:t>
            </w:r>
          </w:p>
          <w:p w14:paraId="4712A2F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④中标候选人须在中标候选人公示期满后 3 个工作日内，将其开具至本项目的纸质保函保险原件提交招标人，其他非中标候选人的纸质保函保险原件留存备查,且原件须与投标文件中提供的扫描件一致。招标人及监管部门需查询查核时，投标人应当提供原件，如存在未按规定提交原件或提交内容不一致，或发现弄虚作假的，招标人将报监管部门依法处理。 </w:t>
            </w:r>
          </w:p>
          <w:p w14:paraId="1E02EB3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（3）如采用第三种方式即电子保函递交，根据《中华人民共和国招标投标法实施条例》第二十六条规定之精神，需遵循下列规定： </w:t>
            </w:r>
          </w:p>
          <w:p w14:paraId="60E9C13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①办理银行电子保函所需费用，应从投标人基本账户汇（支）出,并通过出具电子保函的银行系统校验，未通过校验的，投标无效。受益人应为招标人。投标人须在投标文件递交截止时间前提供与六安市公共资源交易中心交易系统对接的电子保函，否则视为投标保证金未按规定要求提交，由评标委员会否决其投标。 </w:t>
            </w:r>
          </w:p>
          <w:p w14:paraId="17260F8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②保险电子保函、担保电子保函由投标人协商委托的保险机构、担保机构出具，受益人为招标人。投标人须在投标文件递交截止时间前提供与六安市公共资源交易中心交易系统对接的电子保函，否则视为投标保证金未按规定要求提交，由评标委员会否决其投标。 </w:t>
            </w:r>
          </w:p>
          <w:p w14:paraId="6AD8670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5、招标人对中小微企业可免交投标保证金: </w:t>
            </w:r>
          </w:p>
          <w:p w14:paraId="55721E1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是否免交投标保证金：□是 ☑否，本项目免交对象是： / 。 </w:t>
            </w:r>
          </w:p>
          <w:p w14:paraId="2189E04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6、中标候选人若采用电子保函、纸质保函、电子保险、纸质保险形式递交投标保证金的,其电子保函、纸质保函、电子保险、纸质保险将随中标候选人公示一并公示。 </w:t>
            </w:r>
          </w:p>
          <w:p w14:paraId="08B1D30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7、其他注意事项： </w:t>
            </w:r>
          </w:p>
          <w:p w14:paraId="20BEC39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（1）投标人提交的保函保险（纸质）不符合本招标文件所附格式保函保险第一、二、三、四、五、六、七条款内容要求的，视为未提交投标保函保险，其投标无效。 </w:t>
            </w:r>
          </w:p>
          <w:p w14:paraId="4EAA6C9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2）投标人采用虚假保函、虚假保证保险方式提交投标保证金的，除依法承担弄虚作假的法律责任外，仍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 招标人因此发生的诉讼费、 律师代理费等费用均由投标人承担。不缴纳或不足额缴纳的，将承担不良行为记录、行政处罚、投标资格限制的处理，直至移送司法机关承担弄虚作假的刑事责任。 </w:t>
            </w:r>
          </w:p>
          <w:p w14:paraId="3235B51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8、退回时限：（1）非中标候选人投标保证金的退还。中标候选人公示期满次工作日，电子交易系统自动提交除中标候选人外的其他投标人的投标保证金及银行同期存款活期利息的退还指令。 </w:t>
            </w:r>
          </w:p>
          <w:p w14:paraId="6D7D8F8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（2）中标候选人投标保证金的退还。中标通知书发出后次工作日，电子交易系统自动提交除中标人外的其他中标候选人的投标保证金及银行同期存款活期利息的退还指令。 </w:t>
            </w:r>
          </w:p>
          <w:p w14:paraId="672AC51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（3）中标人投标保证金的退还。 </w:t>
            </w:r>
          </w:p>
          <w:p w14:paraId="2C5951B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①及时完成合同签订与公开的。中标通知书发出之日起30日内，招标人与中标人及时完成合同签订，并通过电子交易系统完成合同线上公开的，次工作日电子交易系统自动提交中标人的投标保证金及银行同期存款活期利息的退还指令。 </w:t>
            </w:r>
          </w:p>
          <w:p w14:paraId="5F070FD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 xml:space="preserve">②未及时完成合同签订与公开的。中标通知书发出之日起30日内，招标人与中标人未及时完成合同签订和合同线上公开的，电子交易系统于中标通知书发出后第 31 日（如果当天为节假日，则顺延至下一工作日）自动提交中标人的投标保证金及银行同期存款活期利息的退还指令。 </w:t>
            </w:r>
          </w:p>
          <w:p w14:paraId="4B2437F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2" w:firstLine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lang w:val="en-US" w:eastAsia="en-US"/>
              </w:rPr>
              <w:t>（4）特殊情况投标保证金的退还按六交易（2023）2 号文执行。</w:t>
            </w:r>
          </w:p>
        </w:tc>
      </w:tr>
      <w:tr w14:paraId="6529E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FFD88F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3.4.4</w:t>
            </w:r>
          </w:p>
        </w:tc>
        <w:tc>
          <w:tcPr>
            <w:tcW w:w="3018" w:type="dxa"/>
            <w:shd w:val="clear" w:color="auto" w:fill="auto"/>
            <w:vAlign w:val="center"/>
          </w:tcPr>
          <w:p w14:paraId="240E0B6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627" w:firstLine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其他可以不予退还投标保 证金的情形</w:t>
            </w:r>
          </w:p>
        </w:tc>
        <w:tc>
          <w:tcPr>
            <w:tcW w:w="5978" w:type="dxa"/>
            <w:shd w:val="clear" w:color="auto" w:fill="auto"/>
            <w:vAlign w:val="center"/>
          </w:tcPr>
          <w:p w14:paraId="46E7464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color w:val="0000FF"/>
                <w:spacing w:val="0"/>
                <w:w w:val="100"/>
                <w:kern w:val="21"/>
                <w:position w:val="0"/>
                <w:u w:val="single" w:color="auto"/>
              </w:rPr>
              <w:t>【其他可以不予退还投标保证金的情形】</w:t>
            </w:r>
          </w:p>
        </w:tc>
      </w:tr>
      <w:tr w14:paraId="6563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B06D263">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3.5</w:t>
            </w:r>
          </w:p>
        </w:tc>
        <w:tc>
          <w:tcPr>
            <w:tcW w:w="3018" w:type="dxa"/>
            <w:shd w:val="clear" w:color="auto" w:fill="auto"/>
            <w:vAlign w:val="center"/>
          </w:tcPr>
          <w:p w14:paraId="4AFD8FF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资格审查资料的特殊要求</w:t>
            </w:r>
          </w:p>
        </w:tc>
        <w:tc>
          <w:tcPr>
            <w:tcW w:w="5978" w:type="dxa"/>
            <w:shd w:val="clear" w:color="auto" w:fill="auto"/>
            <w:vAlign w:val="center"/>
          </w:tcPr>
          <w:p w14:paraId="6CE8B13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无</w:t>
            </w:r>
          </w:p>
          <w:p w14:paraId="0B085E3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□有，具体要求：</w:t>
            </w:r>
          </w:p>
        </w:tc>
      </w:tr>
      <w:tr w14:paraId="17D88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4D733870">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3.5.2</w:t>
            </w:r>
          </w:p>
        </w:tc>
        <w:tc>
          <w:tcPr>
            <w:tcW w:w="3018" w:type="dxa"/>
            <w:shd w:val="clear" w:color="auto" w:fill="auto"/>
            <w:vAlign w:val="center"/>
          </w:tcPr>
          <w:p w14:paraId="615983F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近年财务状况的年份要求</w:t>
            </w:r>
          </w:p>
        </w:tc>
        <w:tc>
          <w:tcPr>
            <w:tcW w:w="5978" w:type="dxa"/>
            <w:shd w:val="clear" w:color="auto" w:fill="auto"/>
            <w:vAlign w:val="center"/>
          </w:tcPr>
          <w:p w14:paraId="0AA37196">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default" w:ascii="宋体" w:hAnsi="宋体" w:eastAsia="宋体" w:cs="宋体"/>
                <w:snapToGrid/>
                <w:color w:val="000000"/>
                <w:spacing w:val="0"/>
                <w:w w:val="100"/>
                <w:kern w:val="21"/>
                <w:position w:val="0"/>
                <w:sz w:val="20"/>
                <w:szCs w:val="20"/>
                <w:lang w:val="en-US" w:eastAsia="zh-CN" w:bidi="ar-SA"/>
              </w:rPr>
            </w:pPr>
            <w:r>
              <w:rPr>
                <w:rFonts w:hint="eastAsia" w:ascii="宋体" w:hAnsi="宋体" w:eastAsia="宋体" w:cs="宋体"/>
                <w:snapToGrid/>
                <w:color w:val="0000FF"/>
                <w:spacing w:val="0"/>
                <w:w w:val="100"/>
                <w:kern w:val="21"/>
                <w:position w:val="0"/>
                <w:u w:val="single" w:color="auto"/>
                <w:lang w:val="en-US" w:eastAsia="zh-CN"/>
              </w:rPr>
              <w:t xml:space="preserve"> / </w:t>
            </w:r>
          </w:p>
        </w:tc>
      </w:tr>
      <w:tr w14:paraId="1E8E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3465334">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3.5.3</w:t>
            </w:r>
          </w:p>
        </w:tc>
        <w:tc>
          <w:tcPr>
            <w:tcW w:w="3018" w:type="dxa"/>
            <w:shd w:val="clear" w:color="auto" w:fill="auto"/>
            <w:vAlign w:val="center"/>
          </w:tcPr>
          <w:p w14:paraId="694FB8A6">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近年完成的类似项目的时间要求</w:t>
            </w:r>
          </w:p>
        </w:tc>
        <w:tc>
          <w:tcPr>
            <w:tcW w:w="5978" w:type="dxa"/>
            <w:shd w:val="clear" w:color="auto" w:fill="auto"/>
            <w:vAlign w:val="center"/>
          </w:tcPr>
          <w:p w14:paraId="18CECC3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近</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年（ </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年</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月</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日以来）， 以 </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 xml:space="preserve"> 为准</w:t>
            </w:r>
          </w:p>
        </w:tc>
      </w:tr>
      <w:tr w14:paraId="3C82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6D77FAB">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3.5.5</w:t>
            </w:r>
          </w:p>
        </w:tc>
        <w:tc>
          <w:tcPr>
            <w:tcW w:w="3018" w:type="dxa"/>
            <w:shd w:val="clear" w:color="auto" w:fill="auto"/>
            <w:vAlign w:val="center"/>
          </w:tcPr>
          <w:p w14:paraId="6EEF0543">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近年发生诉讼及仲裁情况的时间要求</w:t>
            </w:r>
          </w:p>
        </w:tc>
        <w:tc>
          <w:tcPr>
            <w:tcW w:w="5978" w:type="dxa"/>
            <w:shd w:val="clear" w:color="auto" w:fill="auto"/>
            <w:vAlign w:val="center"/>
          </w:tcPr>
          <w:p w14:paraId="55E27D1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color w:val="0000FF"/>
                <w:spacing w:val="0"/>
                <w:w w:val="100"/>
                <w:kern w:val="21"/>
                <w:position w:val="0"/>
                <w:u w:val="single" w:color="auto"/>
                <w:lang w:val="en-US" w:eastAsia="zh-CN"/>
              </w:rPr>
              <w:t xml:space="preserve"> / </w:t>
            </w:r>
          </w:p>
        </w:tc>
      </w:tr>
      <w:tr w14:paraId="6C1C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D1BEBBC">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3.6.1</w:t>
            </w:r>
          </w:p>
        </w:tc>
        <w:tc>
          <w:tcPr>
            <w:tcW w:w="3018" w:type="dxa"/>
            <w:shd w:val="clear" w:color="auto" w:fill="auto"/>
            <w:vAlign w:val="center"/>
          </w:tcPr>
          <w:p w14:paraId="3A3A958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是否允许递交备选投标方案</w:t>
            </w:r>
          </w:p>
        </w:tc>
        <w:tc>
          <w:tcPr>
            <w:tcW w:w="5978" w:type="dxa"/>
            <w:shd w:val="clear" w:color="auto" w:fill="auto"/>
            <w:vAlign w:val="center"/>
          </w:tcPr>
          <w:p w14:paraId="7109FEF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不允许 □允许</w:t>
            </w:r>
          </w:p>
        </w:tc>
      </w:tr>
      <w:tr w14:paraId="1DC10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D88716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3.7.4</w:t>
            </w:r>
          </w:p>
        </w:tc>
        <w:tc>
          <w:tcPr>
            <w:tcW w:w="3018" w:type="dxa"/>
            <w:shd w:val="clear" w:color="auto" w:fill="auto"/>
            <w:vAlign w:val="center"/>
          </w:tcPr>
          <w:p w14:paraId="33143B3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非加密投标文件递交</w:t>
            </w:r>
          </w:p>
        </w:tc>
        <w:tc>
          <w:tcPr>
            <w:tcW w:w="5978" w:type="dxa"/>
            <w:shd w:val="clear" w:color="auto" w:fill="auto"/>
            <w:vAlign w:val="center"/>
          </w:tcPr>
          <w:p w14:paraId="44DCF3C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不允许。</w:t>
            </w:r>
          </w:p>
          <w:p w14:paraId="66D9332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□允许，具体要求如下：</w:t>
            </w:r>
          </w:p>
          <w:p w14:paraId="6020B28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非加密投标文件由投标人自行确定是否递交。</w:t>
            </w:r>
          </w:p>
          <w:p w14:paraId="64519268">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如递交，应在投标截止时间前在开标地点递交，并提供以下 证明材料，否则招标人不予接收。</w:t>
            </w:r>
          </w:p>
          <w:p w14:paraId="4FF2E93F">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（1）法定代表人亲自递交的，应提供法定代表人身份证明和 法定代表人的有效身份证件；</w:t>
            </w:r>
          </w:p>
          <w:p w14:paraId="395B13BE">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（2）委托代理人递交的，应提供授权委托书和委托代理人的 有效身份证件。</w:t>
            </w:r>
          </w:p>
          <w:p w14:paraId="6AD67D92">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非加密投标文件介质：光盘或 U 盘</w:t>
            </w:r>
          </w:p>
        </w:tc>
      </w:tr>
      <w:tr w14:paraId="2AF65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9DE65B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3.7.6</w:t>
            </w:r>
          </w:p>
        </w:tc>
        <w:tc>
          <w:tcPr>
            <w:tcW w:w="3018" w:type="dxa"/>
            <w:shd w:val="clear" w:color="auto" w:fill="auto"/>
            <w:vAlign w:val="center"/>
          </w:tcPr>
          <w:p w14:paraId="09B27BDF">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施工组织设计评审是否采用暗标评审</w:t>
            </w:r>
          </w:p>
        </w:tc>
        <w:tc>
          <w:tcPr>
            <w:tcW w:w="5978" w:type="dxa"/>
            <w:shd w:val="clear" w:color="auto" w:fill="auto"/>
            <w:vAlign w:val="center"/>
          </w:tcPr>
          <w:p w14:paraId="09FE9B3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否</w:t>
            </w:r>
          </w:p>
          <w:p w14:paraId="65DB026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□是，制作投标文件时应符合以下要求：</w:t>
            </w:r>
          </w:p>
          <w:p w14:paraId="39C0DE17">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2"/>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（1）投标人应单独编制和提交施工组织设计，施工组织设计 部分应屏蔽投标人相关信息：包括投标人单位名称、简称、外文名称、投标人特有的标志、1ogo 及图案、人员姓名及曾 经承接过的项目名称等；</w:t>
            </w:r>
          </w:p>
          <w:p w14:paraId="25460496">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1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（2）施工组织设计部分不得出现可能泄露投标人单位及个人 信息的文字、图片、图表等有关表述；</w:t>
            </w:r>
          </w:p>
          <w:p w14:paraId="7EB3BC7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（3） ……</w:t>
            </w:r>
          </w:p>
          <w:p w14:paraId="7A6E35E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7"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b/>
                <w:bCs/>
                <w:i/>
                <w:iCs/>
                <w:snapToGrid/>
                <w:spacing w:val="0"/>
                <w:w w:val="100"/>
                <w:kern w:val="21"/>
                <w:position w:val="0"/>
                <w:sz w:val="21"/>
                <w:szCs w:val="21"/>
              </w:rPr>
              <w:t>（说明：招标项目交易所在地有关部门对于暗标评审另有规</w:t>
            </w:r>
            <w:r>
              <w:rPr>
                <w:rFonts w:hint="eastAsia" w:ascii="宋体" w:hAnsi="宋体" w:eastAsia="宋体" w:cs="宋体"/>
                <w:snapToGrid/>
                <w:spacing w:val="0"/>
                <w:w w:val="100"/>
                <w:kern w:val="21"/>
                <w:position w:val="0"/>
                <w:sz w:val="21"/>
                <w:szCs w:val="21"/>
              </w:rPr>
              <w:t xml:space="preserve"> </w:t>
            </w:r>
            <w:r>
              <w:rPr>
                <w:rFonts w:hint="eastAsia" w:ascii="宋体" w:hAnsi="宋体" w:eastAsia="宋体" w:cs="宋体"/>
                <w:b/>
                <w:bCs/>
                <w:i/>
                <w:iCs/>
                <w:snapToGrid/>
                <w:spacing w:val="0"/>
                <w:w w:val="100"/>
                <w:kern w:val="21"/>
                <w:position w:val="0"/>
                <w:sz w:val="21"/>
                <w:szCs w:val="21"/>
              </w:rPr>
              <w:t>定的，从其规定）</w:t>
            </w:r>
          </w:p>
        </w:tc>
      </w:tr>
      <w:tr w14:paraId="44A6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47BD9B9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4.2.1</w:t>
            </w:r>
          </w:p>
        </w:tc>
        <w:tc>
          <w:tcPr>
            <w:tcW w:w="3018" w:type="dxa"/>
            <w:shd w:val="clear" w:color="auto" w:fill="auto"/>
            <w:vAlign w:val="center"/>
          </w:tcPr>
          <w:p w14:paraId="794A3F8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投标截止时间</w:t>
            </w:r>
          </w:p>
        </w:tc>
        <w:tc>
          <w:tcPr>
            <w:tcW w:w="5978" w:type="dxa"/>
            <w:shd w:val="clear" w:color="auto" w:fill="auto"/>
            <w:vAlign w:val="center"/>
          </w:tcPr>
          <w:p w14:paraId="78A2412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投标截止时间为：</w:t>
            </w:r>
            <w:r>
              <w:rPr>
                <w:rFonts w:hint="eastAsia" w:ascii="宋体" w:hAnsi="宋体" w:eastAsia="宋体" w:cs="宋体"/>
                <w:snapToGrid/>
                <w:spacing w:val="0"/>
                <w:w w:val="100"/>
                <w:kern w:val="21"/>
                <w:position w:val="0"/>
                <w:u w:val="single" w:color="auto"/>
              </w:rPr>
              <w:t>见招标公告</w:t>
            </w:r>
          </w:p>
          <w:p w14:paraId="4C846AF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5" w:firstLine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注：投标截止时间以电子交易系统显示的时间为准，逾期系 统将自动关闭， 未完成上传的投标文件将被拒绝。</w:t>
            </w:r>
          </w:p>
        </w:tc>
      </w:tr>
      <w:tr w14:paraId="667A6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CEF260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4.2.2</w:t>
            </w:r>
          </w:p>
        </w:tc>
        <w:tc>
          <w:tcPr>
            <w:tcW w:w="3018" w:type="dxa"/>
            <w:shd w:val="clear" w:color="auto" w:fill="auto"/>
            <w:vAlign w:val="center"/>
          </w:tcPr>
          <w:p w14:paraId="7A1EC92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递交非加密投标文件地点</w:t>
            </w:r>
          </w:p>
        </w:tc>
        <w:tc>
          <w:tcPr>
            <w:tcW w:w="5978" w:type="dxa"/>
            <w:shd w:val="clear" w:color="auto" w:fill="auto"/>
            <w:vAlign w:val="center"/>
          </w:tcPr>
          <w:p w14:paraId="03804A6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同开标地点</w:t>
            </w:r>
          </w:p>
        </w:tc>
      </w:tr>
      <w:tr w14:paraId="1AAD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1E57C9E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4.2.3</w:t>
            </w:r>
          </w:p>
        </w:tc>
        <w:tc>
          <w:tcPr>
            <w:tcW w:w="3018" w:type="dxa"/>
            <w:shd w:val="clear" w:color="auto" w:fill="auto"/>
            <w:vAlign w:val="center"/>
          </w:tcPr>
          <w:p w14:paraId="6DE9DA8D">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是否退还投标文件</w:t>
            </w:r>
          </w:p>
        </w:tc>
        <w:tc>
          <w:tcPr>
            <w:tcW w:w="5978" w:type="dxa"/>
            <w:shd w:val="clear" w:color="auto" w:fill="auto"/>
            <w:vAlign w:val="center"/>
          </w:tcPr>
          <w:p w14:paraId="360A81C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否</w:t>
            </w:r>
          </w:p>
          <w:p w14:paraId="117F4C0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□是（指非加密投标文件），退还时间：</w:t>
            </w:r>
          </w:p>
        </w:tc>
      </w:tr>
      <w:tr w14:paraId="2EF88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E747FE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5.1</w:t>
            </w:r>
          </w:p>
        </w:tc>
        <w:tc>
          <w:tcPr>
            <w:tcW w:w="3018" w:type="dxa"/>
            <w:shd w:val="clear" w:color="auto" w:fill="auto"/>
            <w:vAlign w:val="center"/>
          </w:tcPr>
          <w:p w14:paraId="54448A4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开标时间和地点</w:t>
            </w:r>
          </w:p>
        </w:tc>
        <w:tc>
          <w:tcPr>
            <w:tcW w:w="5978" w:type="dxa"/>
            <w:shd w:val="clear" w:color="auto" w:fill="auto"/>
            <w:vAlign w:val="center"/>
          </w:tcPr>
          <w:p w14:paraId="2EC2FD3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开标时间：</w:t>
            </w:r>
            <w:r>
              <w:rPr>
                <w:rFonts w:hint="eastAsia" w:ascii="宋体" w:hAnsi="宋体" w:eastAsia="宋体" w:cs="宋体"/>
                <w:snapToGrid/>
                <w:spacing w:val="0"/>
                <w:w w:val="100"/>
                <w:kern w:val="21"/>
                <w:position w:val="0"/>
                <w:u w:val="single" w:color="auto"/>
              </w:rPr>
              <w:t>见招标公告</w:t>
            </w:r>
          </w:p>
          <w:p w14:paraId="7B7F049D">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开标地点：</w:t>
            </w:r>
            <w:r>
              <w:rPr>
                <w:rFonts w:hint="eastAsia" w:ascii="宋体" w:hAnsi="宋体" w:eastAsia="宋体" w:cs="宋体"/>
                <w:snapToGrid/>
                <w:spacing w:val="0"/>
                <w:w w:val="100"/>
                <w:kern w:val="21"/>
                <w:position w:val="0"/>
                <w:u w:val="single" w:color="auto"/>
              </w:rPr>
              <w:t>见招标公告</w:t>
            </w:r>
          </w:p>
        </w:tc>
      </w:tr>
      <w:tr w14:paraId="41374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2E85392">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5.2</w:t>
            </w:r>
          </w:p>
        </w:tc>
        <w:tc>
          <w:tcPr>
            <w:tcW w:w="3018" w:type="dxa"/>
            <w:shd w:val="clear" w:color="auto" w:fill="auto"/>
            <w:vAlign w:val="center"/>
          </w:tcPr>
          <w:p w14:paraId="43EA9851">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开标程序</w:t>
            </w:r>
          </w:p>
        </w:tc>
        <w:tc>
          <w:tcPr>
            <w:tcW w:w="5978" w:type="dxa"/>
            <w:shd w:val="clear" w:color="auto" w:fill="auto"/>
            <w:vAlign w:val="center"/>
          </w:tcPr>
          <w:p w14:paraId="62AC6D7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color w:val="000000"/>
                <w:spacing w:val="0"/>
                <w:w w:val="100"/>
                <w:kern w:val="21"/>
                <w:position w:val="0"/>
                <w:sz w:val="21"/>
                <w:szCs w:val="21"/>
                <w:lang w:val="en-US" w:eastAsia="en-US" w:bidi="ar-SA"/>
              </w:rPr>
            </w:pPr>
            <w:r>
              <w:rPr>
                <w:rFonts w:hint="eastAsia" w:ascii="宋体" w:hAnsi="宋体" w:eastAsia="宋体" w:cs="宋体"/>
                <w:snapToGrid/>
                <w:spacing w:val="0"/>
                <w:w w:val="100"/>
                <w:kern w:val="21"/>
                <w:position w:val="0"/>
              </w:rPr>
              <w:t>解密时间：</w:t>
            </w:r>
            <w:r>
              <w:rPr>
                <w:rFonts w:hint="eastAsia" w:ascii="宋体" w:hAnsi="宋体" w:eastAsia="宋体" w:cs="宋体"/>
                <w:snapToGrid/>
                <w:spacing w:val="0"/>
                <w:w w:val="100"/>
                <w:kern w:val="21"/>
                <w:position w:val="0"/>
                <w:u w:val="single" w:color="auto"/>
              </w:rPr>
              <w:t xml:space="preserve"> </w:t>
            </w:r>
            <w:r>
              <w:rPr>
                <w:rFonts w:hint="eastAsia" w:cs="宋体"/>
                <w:snapToGrid/>
                <w:spacing w:val="0"/>
                <w:w w:val="100"/>
                <w:kern w:val="21"/>
                <w:position w:val="0"/>
                <w:u w:val="single" w:color="auto"/>
                <w:lang w:val="en-US" w:eastAsia="zh-CN"/>
              </w:rPr>
              <w:t>30</w:t>
            </w:r>
            <w:r>
              <w:rPr>
                <w:rFonts w:hint="eastAsia" w:ascii="宋体" w:hAnsi="宋体" w:eastAsia="宋体" w:cs="宋体"/>
                <w:snapToGrid/>
                <w:spacing w:val="0"/>
                <w:w w:val="100"/>
                <w:kern w:val="21"/>
                <w:position w:val="0"/>
                <w:u w:val="single" w:color="auto"/>
              </w:rPr>
              <w:t xml:space="preserve"> </w:t>
            </w:r>
            <w:r>
              <w:rPr>
                <w:rFonts w:hint="eastAsia" w:ascii="宋体" w:hAnsi="宋体" w:eastAsia="宋体" w:cs="宋体"/>
                <w:snapToGrid/>
                <w:spacing w:val="0"/>
                <w:w w:val="100"/>
                <w:kern w:val="21"/>
                <w:position w:val="0"/>
              </w:rPr>
              <w:t>分钟（以电子交易系统解密倒计时为准）；</w:t>
            </w:r>
          </w:p>
        </w:tc>
      </w:tr>
      <w:tr w14:paraId="02051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17D1E60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6.1.1</w:t>
            </w:r>
          </w:p>
        </w:tc>
        <w:tc>
          <w:tcPr>
            <w:tcW w:w="3018" w:type="dxa"/>
            <w:shd w:val="clear" w:color="auto" w:fill="auto"/>
            <w:vAlign w:val="center"/>
          </w:tcPr>
          <w:p w14:paraId="6C69CC0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评标委员会的组建</w:t>
            </w:r>
          </w:p>
        </w:tc>
        <w:tc>
          <w:tcPr>
            <w:tcW w:w="5978" w:type="dxa"/>
            <w:shd w:val="clear" w:color="auto" w:fill="auto"/>
            <w:vAlign w:val="center"/>
          </w:tcPr>
          <w:p w14:paraId="49E68A3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评标委员会构成：</w:t>
            </w:r>
            <w:r>
              <w:rPr>
                <w:rFonts w:hint="eastAsia" w:ascii="宋体" w:hAnsi="宋体" w:eastAsia="宋体" w:cs="宋体"/>
                <w:snapToGrid/>
                <w:spacing w:val="0"/>
                <w:w w:val="100"/>
                <w:kern w:val="21"/>
                <w:position w:val="0"/>
                <w:lang w:val="en-US" w:eastAsia="zh-CN"/>
              </w:rPr>
              <w:t>招标人代表</w:t>
            </w:r>
            <w:r>
              <w:rPr>
                <w:rFonts w:hint="eastAsia" w:cs="宋体"/>
                <w:snapToGrid/>
                <w:spacing w:val="0"/>
                <w:w w:val="100"/>
                <w:kern w:val="21"/>
                <w:position w:val="0"/>
                <w:lang w:val="en-US" w:eastAsia="zh-CN"/>
              </w:rPr>
              <w:t>2</w:t>
            </w:r>
            <w:r>
              <w:rPr>
                <w:rFonts w:hint="eastAsia" w:ascii="宋体" w:hAnsi="宋体" w:eastAsia="宋体" w:cs="宋体"/>
                <w:snapToGrid/>
                <w:spacing w:val="0"/>
                <w:w w:val="100"/>
                <w:kern w:val="21"/>
                <w:position w:val="0"/>
                <w:lang w:val="en-US" w:eastAsia="zh-CN"/>
              </w:rPr>
              <w:t>人，专家</w:t>
            </w:r>
            <w:r>
              <w:rPr>
                <w:rFonts w:hint="eastAsia" w:cs="宋体"/>
                <w:snapToGrid/>
                <w:spacing w:val="0"/>
                <w:w w:val="100"/>
                <w:kern w:val="21"/>
                <w:position w:val="0"/>
                <w:lang w:val="en-US" w:eastAsia="zh-CN"/>
              </w:rPr>
              <w:t>5</w:t>
            </w:r>
            <w:r>
              <w:rPr>
                <w:rFonts w:hint="eastAsia" w:ascii="宋体" w:hAnsi="宋体" w:eastAsia="宋体" w:cs="宋体"/>
                <w:snapToGrid/>
                <w:spacing w:val="0"/>
                <w:w w:val="100"/>
                <w:kern w:val="21"/>
                <w:position w:val="0"/>
                <w:lang w:val="en-US" w:eastAsia="zh-CN"/>
              </w:rPr>
              <w:t>人。</w:t>
            </w:r>
          </w:p>
          <w:p w14:paraId="6A85D57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3"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评标专家确定方式：从安徽省综合评标评审专家库中随机抽取。</w:t>
            </w:r>
          </w:p>
        </w:tc>
      </w:tr>
      <w:tr w14:paraId="3AFC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6F7F35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6.3.2</w:t>
            </w:r>
          </w:p>
        </w:tc>
        <w:tc>
          <w:tcPr>
            <w:tcW w:w="3018" w:type="dxa"/>
            <w:shd w:val="clear" w:color="auto" w:fill="auto"/>
            <w:vAlign w:val="center"/>
          </w:tcPr>
          <w:p w14:paraId="289FF9A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评标委员会推荐中标候选人的人数</w:t>
            </w:r>
          </w:p>
        </w:tc>
        <w:tc>
          <w:tcPr>
            <w:tcW w:w="5978" w:type="dxa"/>
            <w:shd w:val="clear" w:color="auto" w:fill="auto"/>
            <w:vAlign w:val="center"/>
          </w:tcPr>
          <w:p w14:paraId="5D6CDCCB">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default" w:ascii="宋体" w:hAnsi="宋体" w:eastAsia="宋体" w:cs="宋体"/>
                <w:snapToGrid/>
                <w:color w:val="000000"/>
                <w:spacing w:val="0"/>
                <w:w w:val="100"/>
                <w:kern w:val="21"/>
                <w:position w:val="0"/>
                <w:sz w:val="21"/>
                <w:szCs w:val="21"/>
                <w:lang w:val="en-US" w:eastAsia="zh-CN" w:bidi="ar-SA"/>
              </w:rPr>
            </w:pPr>
            <w:r>
              <w:rPr>
                <w:rFonts w:hint="eastAsia" w:ascii="宋体" w:hAnsi="宋体" w:eastAsia="宋体" w:cs="宋体"/>
                <w:snapToGrid/>
                <w:color w:val="000000"/>
                <w:spacing w:val="0"/>
                <w:w w:val="100"/>
                <w:kern w:val="21"/>
                <w:position w:val="0"/>
                <w:sz w:val="21"/>
                <w:szCs w:val="21"/>
                <w:lang w:val="en-US" w:eastAsia="zh-CN" w:bidi="ar-SA"/>
              </w:rPr>
              <w:t>3名</w:t>
            </w:r>
            <w:r>
              <w:commentReference w:id="2"/>
            </w:r>
          </w:p>
        </w:tc>
      </w:tr>
      <w:tr w14:paraId="642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FA5A3F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7.1</w:t>
            </w:r>
          </w:p>
        </w:tc>
        <w:tc>
          <w:tcPr>
            <w:tcW w:w="3018" w:type="dxa"/>
            <w:shd w:val="clear" w:color="auto" w:fill="auto"/>
            <w:vAlign w:val="center"/>
          </w:tcPr>
          <w:p w14:paraId="2BCCFD1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中标候选人公示媒介及期限</w:t>
            </w:r>
          </w:p>
        </w:tc>
        <w:tc>
          <w:tcPr>
            <w:tcW w:w="5978" w:type="dxa"/>
            <w:shd w:val="clear" w:color="auto" w:fill="auto"/>
            <w:vAlign w:val="center"/>
          </w:tcPr>
          <w:p w14:paraId="5B0FAB8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（1）公示媒介： 同招标公告发布媒介</w:t>
            </w:r>
          </w:p>
        </w:tc>
      </w:tr>
      <w:tr w14:paraId="5709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EBFABB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7.4</w:t>
            </w:r>
          </w:p>
        </w:tc>
        <w:tc>
          <w:tcPr>
            <w:tcW w:w="3018" w:type="dxa"/>
            <w:shd w:val="clear" w:color="auto" w:fill="auto"/>
            <w:vAlign w:val="center"/>
          </w:tcPr>
          <w:p w14:paraId="04CDE26A">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是否授权评标委员会确定中标人</w:t>
            </w:r>
          </w:p>
        </w:tc>
        <w:tc>
          <w:tcPr>
            <w:tcW w:w="5978" w:type="dxa"/>
            <w:shd w:val="clear" w:color="auto" w:fill="auto"/>
            <w:vAlign w:val="center"/>
          </w:tcPr>
          <w:p w14:paraId="43DF694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是</w:t>
            </w:r>
          </w:p>
          <w:p w14:paraId="467CCF6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□否</w:t>
            </w:r>
          </w:p>
        </w:tc>
      </w:tr>
      <w:tr w14:paraId="24D9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1B6018D">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7.5</w:t>
            </w:r>
          </w:p>
        </w:tc>
        <w:tc>
          <w:tcPr>
            <w:tcW w:w="3018" w:type="dxa"/>
            <w:shd w:val="clear" w:color="auto" w:fill="auto"/>
            <w:vAlign w:val="center"/>
          </w:tcPr>
          <w:p w14:paraId="15BB0D3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中标结果公示媒介</w:t>
            </w:r>
          </w:p>
        </w:tc>
        <w:tc>
          <w:tcPr>
            <w:tcW w:w="5978" w:type="dxa"/>
            <w:shd w:val="clear" w:color="auto" w:fill="auto"/>
            <w:vAlign w:val="center"/>
          </w:tcPr>
          <w:p w14:paraId="75088B1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同招标公告发布媒介</w:t>
            </w:r>
          </w:p>
        </w:tc>
      </w:tr>
      <w:tr w14:paraId="3718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93D714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7.6</w:t>
            </w:r>
          </w:p>
        </w:tc>
        <w:tc>
          <w:tcPr>
            <w:tcW w:w="3018" w:type="dxa"/>
            <w:shd w:val="clear" w:color="auto" w:fill="auto"/>
            <w:vAlign w:val="center"/>
          </w:tcPr>
          <w:p w14:paraId="3E1EDA70">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中标通知书和中标结果通知发出的形式</w:t>
            </w:r>
          </w:p>
        </w:tc>
        <w:tc>
          <w:tcPr>
            <w:tcW w:w="5978" w:type="dxa"/>
            <w:shd w:val="clear" w:color="auto" w:fill="auto"/>
            <w:vAlign w:val="center"/>
          </w:tcPr>
          <w:p w14:paraId="27954B3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（1）中标通知书发出的形式：</w:t>
            </w:r>
            <w:r>
              <w:rPr>
                <w:rFonts w:hint="eastAsia" w:cs="宋体"/>
                <w:snapToGrid/>
                <w:spacing w:val="0"/>
                <w:w w:val="100"/>
                <w:kern w:val="21"/>
                <w:position w:val="0"/>
                <w:lang w:val="en-US" w:eastAsia="zh-CN"/>
              </w:rPr>
              <w:t xml:space="preserve">  </w:t>
            </w:r>
            <w:r>
              <w:rPr>
                <w:rFonts w:hint="eastAsia" w:ascii="宋体" w:hAnsi="宋体" w:eastAsia="宋体" w:cs="宋体"/>
                <w:snapToGrid/>
                <w:spacing w:val="0"/>
                <w:w w:val="100"/>
                <w:kern w:val="21"/>
                <w:position w:val="0"/>
              </w:rPr>
              <w:t xml:space="preserve"> </w:t>
            </w: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数据电文  □纸质</w:t>
            </w:r>
          </w:p>
          <w:p w14:paraId="4236C9B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 xml:space="preserve">（2）中标结果通知发出的形式： </w:t>
            </w: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数据电文  □纸质</w:t>
            </w:r>
          </w:p>
          <w:p w14:paraId="51B9072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25D4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F80F81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7.7.1</w:t>
            </w:r>
          </w:p>
        </w:tc>
        <w:tc>
          <w:tcPr>
            <w:tcW w:w="3018" w:type="dxa"/>
            <w:shd w:val="clear" w:color="auto" w:fill="auto"/>
            <w:vAlign w:val="center"/>
          </w:tcPr>
          <w:p w14:paraId="651A8EA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履约保证金</w:t>
            </w:r>
          </w:p>
        </w:tc>
        <w:tc>
          <w:tcPr>
            <w:tcW w:w="5978" w:type="dxa"/>
            <w:shd w:val="clear" w:color="auto" w:fill="auto"/>
            <w:vAlign w:val="center"/>
          </w:tcPr>
          <w:p w14:paraId="6E3D5320">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保证方式：中标人可以通过转账、网银支付、汇票、支票、担保保函、保证保险、保函（含电子保函）等方式提交履约保证金。 </w:t>
            </w:r>
          </w:p>
          <w:p w14:paraId="6BB45C40">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保证金数额：中标人按合同总价额即中标价的 2％提交履约保证金。</w:t>
            </w:r>
          </w:p>
          <w:p w14:paraId="08196C6F">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中标人以现金进行履约保证的，应将现金提交到以下指定的银行账户。 </w:t>
            </w:r>
          </w:p>
          <w:p w14:paraId="1D1C97EE">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 xml:space="preserve">中标人以保函或保证保险方式担保履约的，应将保函或保证保险交至招标人保管。中标人提交保函或保证保险的担保期限不得少于中标项目的合同期限。保函或保证保险担保期限到期但中标项目尚未竣工验收的，中标人应当进行续保或者补缴履约保证金。中标人应当续保或者补缴履约保证金而没有续保或者补缴履约保证金的，招标人可以暂停支付中标人同等金额的项目工程款。 </w:t>
            </w:r>
          </w:p>
          <w:p w14:paraId="21979B02">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 xml:space="preserve">提交时限：合同签订前提供。 </w:t>
            </w:r>
          </w:p>
          <w:p w14:paraId="5783F51E">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 xml:space="preserve">汇入账户名称：中标后另行提供 </w:t>
            </w:r>
          </w:p>
          <w:p w14:paraId="029E0DBD">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 xml:space="preserve">汇入银行名称：中标后另行提供 </w:t>
            </w:r>
          </w:p>
          <w:p w14:paraId="2FB39BFD">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rPr>
            </w:pPr>
            <w:r>
              <w:rPr>
                <w:rFonts w:hint="eastAsia" w:ascii="宋体" w:hAnsi="宋体" w:eastAsia="宋体" w:cs="宋体"/>
                <w:snapToGrid/>
                <w:color w:val="0000FF"/>
                <w:spacing w:val="0"/>
                <w:w w:val="100"/>
                <w:kern w:val="21"/>
                <w:position w:val="0"/>
                <w:u w:val="single" w:color="auto"/>
                <w:lang w:val="en-US" w:eastAsia="zh-CN"/>
              </w:rPr>
              <w:t xml:space="preserve">汇入银行帐号：中标后另行提供 </w:t>
            </w:r>
          </w:p>
          <w:p w14:paraId="71CA443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b/>
                <w:bCs/>
                <w:i/>
                <w:iCs/>
                <w:strike/>
                <w:dstrike w:val="0"/>
                <w:snapToGrid/>
                <w:color w:val="FF0000"/>
                <w:spacing w:val="0"/>
                <w:w w:val="100"/>
                <w:kern w:val="21"/>
                <w:position w:val="0"/>
                <w:sz w:val="21"/>
                <w:szCs w:val="21"/>
                <w:lang w:val="en-US" w:eastAsia="en-US"/>
              </w:rPr>
            </w:pPr>
            <w:r>
              <w:rPr>
                <w:rFonts w:hint="eastAsia" w:ascii="宋体" w:hAnsi="宋体" w:eastAsia="宋体" w:cs="宋体"/>
                <w:snapToGrid/>
                <w:color w:val="0000FF"/>
                <w:spacing w:val="0"/>
                <w:w w:val="100"/>
                <w:kern w:val="21"/>
                <w:position w:val="0"/>
                <w:u w:val="single" w:color="auto"/>
                <w:lang w:val="en-US" w:eastAsia="zh-CN"/>
              </w:rPr>
              <w:t>中标人必须按上述要求提交履约保证金并与招标人（发包人）签订合同，超过时限未提交履约保证金或因中标人自身原因未在招标文件约定时限内签订合同的，其中标资格无效，招标人依据《中华人民共和国招标投标法实施条例》第五十五条规定依次确定其他中标候选人为中标人或重新招标。</w:t>
            </w:r>
          </w:p>
        </w:tc>
      </w:tr>
      <w:tr w14:paraId="555AD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5E098AA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9.5.1</w:t>
            </w:r>
          </w:p>
        </w:tc>
        <w:tc>
          <w:tcPr>
            <w:tcW w:w="3018" w:type="dxa"/>
            <w:shd w:val="clear" w:color="auto" w:fill="auto"/>
            <w:vAlign w:val="center"/>
          </w:tcPr>
          <w:p w14:paraId="1F0AADC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hanging="315" w:firstLine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受理投诉的招标投标 行政监督部门</w:t>
            </w:r>
          </w:p>
        </w:tc>
        <w:tc>
          <w:tcPr>
            <w:tcW w:w="5978" w:type="dxa"/>
            <w:shd w:val="clear" w:color="auto" w:fill="auto"/>
            <w:vAlign w:val="center"/>
          </w:tcPr>
          <w:p w14:paraId="6B8D308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（1）招标投标行政监督部门：见招标公告第 10.5 款</w:t>
            </w:r>
          </w:p>
          <w:p w14:paraId="1D45D36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（2）地址：见招标公告第 10.5 款</w:t>
            </w:r>
          </w:p>
          <w:p w14:paraId="36F88A8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spacing w:val="0"/>
                <w:w w:val="100"/>
                <w:kern w:val="21"/>
                <w:position w:val="0"/>
                <w:lang w:val="en-US" w:eastAsia="en-US"/>
              </w:rPr>
            </w:pPr>
            <w:r>
              <w:rPr>
                <w:rFonts w:hint="eastAsia" w:ascii="宋体" w:hAnsi="宋体" w:eastAsia="宋体" w:cs="宋体"/>
                <w:snapToGrid/>
                <w:spacing w:val="0"/>
                <w:w w:val="100"/>
                <w:kern w:val="21"/>
                <w:position w:val="0"/>
              </w:rPr>
              <w:t>（3） 电话：见招标公告第 10.5 款</w:t>
            </w:r>
          </w:p>
        </w:tc>
      </w:tr>
      <w:tr w14:paraId="72090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29C37F7">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10</w:t>
            </w:r>
          </w:p>
        </w:tc>
        <w:tc>
          <w:tcPr>
            <w:tcW w:w="3018" w:type="dxa"/>
            <w:shd w:val="clear" w:color="auto" w:fill="auto"/>
            <w:vAlign w:val="center"/>
          </w:tcPr>
          <w:p w14:paraId="14B43E7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需要补充的其他内容</w:t>
            </w:r>
          </w:p>
        </w:tc>
        <w:tc>
          <w:tcPr>
            <w:tcW w:w="5978" w:type="dxa"/>
            <w:shd w:val="clear" w:color="auto" w:fill="auto"/>
            <w:vAlign w:val="center"/>
          </w:tcPr>
          <w:p w14:paraId="7ED0B5AD">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1"/>
                <w:szCs w:val="21"/>
                <w:lang w:val="en-US" w:eastAsia="en-US" w:bidi="ar-SA"/>
              </w:rPr>
            </w:pPr>
          </w:p>
        </w:tc>
      </w:tr>
      <w:tr w14:paraId="6BC8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0F8BDD8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10.1</w:t>
            </w:r>
          </w:p>
        </w:tc>
        <w:tc>
          <w:tcPr>
            <w:tcW w:w="3018" w:type="dxa"/>
            <w:shd w:val="clear" w:color="auto" w:fill="auto"/>
            <w:vAlign w:val="center"/>
          </w:tcPr>
          <w:p w14:paraId="14B1FC3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原则规定与定义</w:t>
            </w:r>
          </w:p>
        </w:tc>
        <w:tc>
          <w:tcPr>
            <w:tcW w:w="5978" w:type="dxa"/>
            <w:shd w:val="clear" w:color="auto" w:fill="auto"/>
            <w:vAlign w:val="center"/>
          </w:tcPr>
          <w:p w14:paraId="4A38F5DF">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8"/>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（1）投标人须知前附表是对投标人须知正文部分对应条款的补充、细化，投标人阅读时应与正文部分一并阅读，投标人须知前附表与正文部分不一致的，应以投标人须知前附表为准。</w:t>
            </w:r>
          </w:p>
          <w:p w14:paraId="5698EC9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9"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（2）“</w:t>
            </w: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”符号表示招标文件选定的内容；“□”符号表示招标文件未选定的内容；空格中的“/”表示没有具体内容。投标人应当按招标文件“</w:t>
            </w: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”符号选定的内容和要求进行响应。</w:t>
            </w:r>
          </w:p>
        </w:tc>
      </w:tr>
      <w:tr w14:paraId="1AC8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92837F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10.2</w:t>
            </w:r>
          </w:p>
        </w:tc>
        <w:tc>
          <w:tcPr>
            <w:tcW w:w="3018" w:type="dxa"/>
            <w:shd w:val="clear" w:color="auto" w:fill="auto"/>
            <w:vAlign w:val="center"/>
          </w:tcPr>
          <w:p w14:paraId="11A98132">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获取与查看通知</w:t>
            </w:r>
          </w:p>
        </w:tc>
        <w:tc>
          <w:tcPr>
            <w:tcW w:w="5978" w:type="dxa"/>
            <w:shd w:val="clear" w:color="auto" w:fill="auto"/>
            <w:vAlign w:val="center"/>
          </w:tcPr>
          <w:p w14:paraId="114CAC0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本招标项目的招标文件、澄清及修改等相关资料均通过电子服务系统发布，投标人应当及时登录电子服务系统自行查看并下载。</w:t>
            </w:r>
          </w:p>
        </w:tc>
      </w:tr>
      <w:tr w14:paraId="3821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81B4D7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10.3</w:t>
            </w:r>
          </w:p>
        </w:tc>
        <w:tc>
          <w:tcPr>
            <w:tcW w:w="3018" w:type="dxa"/>
            <w:shd w:val="clear" w:color="auto" w:fill="auto"/>
            <w:vAlign w:val="center"/>
          </w:tcPr>
          <w:p w14:paraId="3AFC2A6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电子招标投标</w:t>
            </w:r>
          </w:p>
        </w:tc>
        <w:tc>
          <w:tcPr>
            <w:tcW w:w="5978" w:type="dxa"/>
            <w:shd w:val="clear" w:color="auto" w:fill="auto"/>
            <w:vAlign w:val="center"/>
          </w:tcPr>
          <w:p w14:paraId="0B229A2A">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en-US"/>
              </w:rPr>
            </w:pPr>
            <w:r>
              <w:rPr>
                <w:rFonts w:hint="eastAsia" w:ascii="宋体" w:hAnsi="宋体" w:eastAsia="宋体" w:cs="宋体"/>
                <w:snapToGrid/>
                <w:color w:val="0000FF"/>
                <w:spacing w:val="0"/>
                <w:w w:val="100"/>
                <w:kern w:val="21"/>
                <w:position w:val="0"/>
                <w:u w:val="single" w:color="auto"/>
                <w:lang w:val="en-US" w:eastAsia="zh-CN"/>
              </w:rPr>
              <w:t>各投标人应使用六安市公共资源交易中心提供的电子标书制作工具软件（http://ggzy.luan.gov.cn下载中心栏目自行下载）制作生成加密版电子投标文件。</w:t>
            </w:r>
          </w:p>
          <w:p w14:paraId="698788E1">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trike/>
                <w:dstrike w:val="0"/>
                <w:snapToGrid/>
                <w:color w:val="FF0000"/>
                <w:spacing w:val="0"/>
                <w:w w:val="100"/>
                <w:kern w:val="21"/>
                <w:position w:val="0"/>
                <w:lang w:val="en-US" w:eastAsia="en-US"/>
              </w:rPr>
            </w:pPr>
            <w:r>
              <w:rPr>
                <w:rFonts w:hint="eastAsia" w:ascii="宋体" w:hAnsi="宋体" w:eastAsia="宋体" w:cs="宋体"/>
                <w:snapToGrid/>
                <w:color w:val="0000FF"/>
                <w:spacing w:val="0"/>
                <w:w w:val="100"/>
                <w:kern w:val="21"/>
                <w:position w:val="0"/>
                <w:u w:val="single" w:color="auto"/>
                <w:lang w:val="en-US" w:eastAsia="zh-CN"/>
              </w:rPr>
              <w:t>特别提示：投标人需采用最新版投标文件制作工具，具体请在六安市公共资源交易平台电子服务系统下载中心栏目下载，软件启动时也将进行提示（需在互联网络通畅状态），各投标人需注意及时更新，以免造成投标文件制作错误，因此导致无效标，责任自负。</w:t>
            </w:r>
          </w:p>
        </w:tc>
      </w:tr>
      <w:tr w14:paraId="2DE5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8AB309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10.4</w:t>
            </w:r>
          </w:p>
        </w:tc>
        <w:tc>
          <w:tcPr>
            <w:tcW w:w="3018" w:type="dxa"/>
            <w:shd w:val="clear" w:color="auto" w:fill="auto"/>
            <w:vAlign w:val="center"/>
          </w:tcPr>
          <w:p w14:paraId="39F3DA76">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评标过程中的澄清、说明或补正</w:t>
            </w:r>
          </w:p>
        </w:tc>
        <w:tc>
          <w:tcPr>
            <w:tcW w:w="5978" w:type="dxa"/>
            <w:shd w:val="clear" w:color="auto" w:fill="auto"/>
            <w:vAlign w:val="center"/>
          </w:tcPr>
          <w:p w14:paraId="44AB3C1C">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（1）评标委员会通过电子交易系统将需要澄清、说明或补正的内容以询标函的形式发送给投标人，投标人应安排专人登录电子交易系统并保持在线状态，以便及时接收评标委员会可能发出的询标函。</w:t>
            </w:r>
          </w:p>
          <w:p w14:paraId="31EF26E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10"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（2）因投标人未登录电子交易系统导致无法及时接收询标函（远程网上询标）或未在规定时间（</w:t>
            </w:r>
            <w:r>
              <w:rPr>
                <w:rFonts w:hint="eastAsia" w:cs="宋体"/>
                <w:snapToGrid/>
                <w:color w:val="0000FF"/>
                <w:spacing w:val="0"/>
                <w:w w:val="100"/>
                <w:kern w:val="21"/>
                <w:position w:val="0"/>
                <w:u w:val="single" w:color="auto"/>
                <w:lang w:val="en-US" w:eastAsia="zh-CN"/>
              </w:rPr>
              <w:t>30</w:t>
            </w:r>
            <w:r>
              <w:rPr>
                <w:rFonts w:hint="eastAsia" w:ascii="宋体" w:hAnsi="宋体" w:eastAsia="宋体" w:cs="宋体"/>
                <w:snapToGrid/>
                <w:spacing w:val="0"/>
                <w:w w:val="100"/>
                <w:kern w:val="21"/>
                <w:position w:val="0"/>
              </w:rPr>
              <w:t>分钟）内按照评标委员会要求进行澄清、说明或补正内容的，视同投标人放弃澄清、说明或补正内容的权利，评标委员会可按照对投标人不利的解释进行判定。</w:t>
            </w:r>
          </w:p>
        </w:tc>
      </w:tr>
      <w:tr w14:paraId="7F0B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0AFD62D">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10.5</w:t>
            </w:r>
          </w:p>
        </w:tc>
        <w:tc>
          <w:tcPr>
            <w:tcW w:w="3018" w:type="dxa"/>
            <w:shd w:val="clear" w:color="auto" w:fill="auto"/>
            <w:vAlign w:val="center"/>
          </w:tcPr>
          <w:p w14:paraId="378FECFF">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投标人对所提供材料应承担的责任</w:t>
            </w:r>
          </w:p>
        </w:tc>
        <w:tc>
          <w:tcPr>
            <w:tcW w:w="5978" w:type="dxa"/>
            <w:shd w:val="clear" w:color="auto" w:fill="auto"/>
            <w:vAlign w:val="center"/>
          </w:tcPr>
          <w:p w14:paraId="236E3D06">
            <w:pPr>
              <w:pStyle w:val="27"/>
              <w:keepNext w:val="0"/>
              <w:keepLines w:val="0"/>
              <w:pageBreakBefore w:val="0"/>
              <w:widowControl w:val="0"/>
              <w:kinsoku/>
              <w:wordWrap w:val="0"/>
              <w:overflowPunct/>
              <w:topLinePunct/>
              <w:autoSpaceDE w:val="0"/>
              <w:autoSpaceDN/>
              <w:bidi w:val="0"/>
              <w:adjustRightInd/>
              <w:snapToGrid/>
              <w:spacing w:line="400" w:lineRule="exact"/>
              <w:ind w:left="0" w:right="0" w:hanging="13"/>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（1）投标人提供虚假材料谋取中标的，招标投标行政监督部门将依法处理，并记入不良行为记录，予以披露。</w:t>
            </w:r>
          </w:p>
          <w:p w14:paraId="3F377661">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11"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14:paraId="0D037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F323851">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10.6</w:t>
            </w:r>
          </w:p>
        </w:tc>
        <w:tc>
          <w:tcPr>
            <w:tcW w:w="3018" w:type="dxa"/>
            <w:shd w:val="clear" w:color="auto" w:fill="auto"/>
            <w:vAlign w:val="center"/>
          </w:tcPr>
          <w:p w14:paraId="0DF98A0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中标人未履行相关义务的责任</w:t>
            </w:r>
          </w:p>
        </w:tc>
        <w:tc>
          <w:tcPr>
            <w:tcW w:w="5978" w:type="dxa"/>
            <w:shd w:val="clear" w:color="auto" w:fill="auto"/>
            <w:vAlign w:val="center"/>
          </w:tcPr>
          <w:p w14:paraId="2294BEAF">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中标人未履行相关义务的，招标投标行政监督部门将依法对中标人进行处理，追究相关责任：</w:t>
            </w:r>
          </w:p>
          <w:p w14:paraId="16E8863A">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（1）中标后，中标人被招标投标行政监督部门查实存在违法行为，不满足中标条件的，由招标人取消其中标资格，并做好项目后续工作；</w:t>
            </w:r>
          </w:p>
          <w:p w14:paraId="67E8B2F2">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9"/>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（2）中标人应在规定期限内提交履约保证金并与招标人签订合同，若中标人未能在规定期限内提交履约保证金或签订合同，招标人有权取消其中标资格，并报招标投标行政监督部门；</w:t>
            </w:r>
          </w:p>
          <w:p w14:paraId="242128C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6" w:firstLine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（3）合同签订后，中标人存在规定时间内不组织人员进场开工、不履行合同义务等情况，招标人有权解除合同，追究其违约责任，并报招标投标行政监督部门。</w:t>
            </w:r>
          </w:p>
        </w:tc>
      </w:tr>
      <w:tr w14:paraId="64A0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5E463B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10.7</w:t>
            </w:r>
          </w:p>
        </w:tc>
        <w:tc>
          <w:tcPr>
            <w:tcW w:w="3018" w:type="dxa"/>
            <w:shd w:val="clear" w:color="auto" w:fill="auto"/>
            <w:vAlign w:val="center"/>
          </w:tcPr>
          <w:p w14:paraId="26B86E1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同义词语</w:t>
            </w:r>
          </w:p>
        </w:tc>
        <w:tc>
          <w:tcPr>
            <w:tcW w:w="5978" w:type="dxa"/>
            <w:shd w:val="clear" w:color="auto" w:fill="auto"/>
            <w:vAlign w:val="center"/>
          </w:tcPr>
          <w:p w14:paraId="2F9D5726">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构成招标文件组成部分的“通用合同条款”、“专用合同条款”、“工程量清单”和“技术标准和要求”等章节中“发包人”和“承包人”，等同于招标投标阶段的“招标人”和“投标人/中标人”。</w:t>
            </w:r>
          </w:p>
        </w:tc>
      </w:tr>
      <w:tr w14:paraId="6163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511141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10.8</w:t>
            </w:r>
          </w:p>
        </w:tc>
        <w:tc>
          <w:tcPr>
            <w:tcW w:w="3018" w:type="dxa"/>
            <w:shd w:val="clear" w:color="auto" w:fill="auto"/>
            <w:vAlign w:val="center"/>
          </w:tcPr>
          <w:p w14:paraId="5D15C60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解释权</w:t>
            </w:r>
          </w:p>
        </w:tc>
        <w:tc>
          <w:tcPr>
            <w:tcW w:w="5978" w:type="dxa"/>
            <w:shd w:val="clear" w:color="auto" w:fill="auto"/>
            <w:vAlign w:val="center"/>
          </w:tcPr>
          <w:p w14:paraId="282AA4C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(1)构成本招标文件的各个组成文件应互为解释，互为说明；</w:t>
            </w:r>
          </w:p>
          <w:p w14:paraId="4390606F">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(2)同一组成文件中就同一事项的规定或约定不一致的，以编排顺序在后者为准；</w:t>
            </w:r>
          </w:p>
          <w:p w14:paraId="4F83B8C9">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(3)如有不明确或不一致，构成合同文件组成内容的，以合同文件约定内容为准，且以专用合同条款约定的合同文件优先顺序解释；</w:t>
            </w:r>
          </w:p>
          <w:p w14:paraId="55A6D8D2">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(4)除招标文件中有特别规定外，仅适用于招标投标阶段的规定，按招标公告、投标人须知、评标办法、投标文件格式的先后顺序解释；</w:t>
            </w:r>
          </w:p>
          <w:p w14:paraId="206D9D15">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(5)按本款前述规定仍不能形成结论的，由招标人负责解释。</w:t>
            </w:r>
          </w:p>
        </w:tc>
      </w:tr>
      <w:tr w14:paraId="4318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78D12EF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10.9</w:t>
            </w:r>
          </w:p>
        </w:tc>
        <w:tc>
          <w:tcPr>
            <w:tcW w:w="3018" w:type="dxa"/>
            <w:shd w:val="clear" w:color="auto" w:fill="auto"/>
            <w:vAlign w:val="center"/>
          </w:tcPr>
          <w:p w14:paraId="1A01F43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创优目标</w:t>
            </w:r>
          </w:p>
        </w:tc>
        <w:tc>
          <w:tcPr>
            <w:tcW w:w="5978" w:type="dxa"/>
            <w:shd w:val="clear" w:color="auto" w:fill="auto"/>
            <w:vAlign w:val="center"/>
          </w:tcPr>
          <w:p w14:paraId="4E72C81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ascii="宋体" w:hAnsi="宋体" w:eastAsia="宋体" w:cs="宋体"/>
                <w:snapToGrid/>
                <w:spacing w:val="0"/>
                <w:w w:val="100"/>
                <w:kern w:val="21"/>
                <w:position w:val="0"/>
              </w:rPr>
            </w:pPr>
            <w:r>
              <w:rPr>
                <w:rFonts w:hint="eastAsia" w:cs="宋体"/>
                <w:snapToGrid/>
                <w:spacing w:val="0"/>
                <w:w w:val="100"/>
                <w:kern w:val="21"/>
                <w:position w:val="0"/>
                <w:lang w:eastAsia="zh-CN"/>
              </w:rPr>
              <w:t>☑</w:t>
            </w:r>
            <w:r>
              <w:rPr>
                <w:rFonts w:hint="eastAsia" w:ascii="宋体" w:hAnsi="宋体" w:eastAsia="宋体" w:cs="宋体"/>
                <w:snapToGrid/>
                <w:spacing w:val="0"/>
                <w:w w:val="100"/>
                <w:kern w:val="21"/>
                <w:position w:val="0"/>
              </w:rPr>
              <w:t>无</w:t>
            </w:r>
          </w:p>
          <w:p w14:paraId="5ED2C779">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□有，具体要求如下：</w:t>
            </w:r>
          </w:p>
        </w:tc>
      </w:tr>
      <w:tr w14:paraId="66D89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113991F9">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sz w:val="20"/>
                <w:szCs w:val="20"/>
              </w:rPr>
              <w:t>10.10</w:t>
            </w:r>
          </w:p>
        </w:tc>
        <w:tc>
          <w:tcPr>
            <w:tcW w:w="3018" w:type="dxa"/>
            <w:shd w:val="clear" w:color="auto" w:fill="auto"/>
            <w:vAlign w:val="center"/>
          </w:tcPr>
          <w:p w14:paraId="1021264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招标代理服务费及工程量清单和最高投标限价（招标控制价）编制费</w:t>
            </w:r>
          </w:p>
        </w:tc>
        <w:tc>
          <w:tcPr>
            <w:tcW w:w="5978" w:type="dxa"/>
            <w:shd w:val="clear" w:color="auto" w:fill="auto"/>
            <w:vAlign w:val="center"/>
          </w:tcPr>
          <w:p w14:paraId="798FCBBA">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1、支付方：□采购人  ☑中标（成交）供应商</w:t>
            </w:r>
          </w:p>
          <w:p w14:paraId="228FEA2D">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2、收费标准：按下列标准收取：代理服务费的收取采用差额定率累进计费方式，具体收费标准为下表：</w:t>
            </w:r>
          </w:p>
          <w:tbl>
            <w:tblPr>
              <w:tblStyle w:val="11"/>
              <w:tblW w:w="6518"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627"/>
              <w:gridCol w:w="1322"/>
              <w:gridCol w:w="1262"/>
              <w:gridCol w:w="1307"/>
            </w:tblGrid>
            <w:tr w14:paraId="0CF7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trPr>
              <w:tc>
                <w:tcPr>
                  <w:tcW w:w="2627" w:type="dxa"/>
                  <w:shd w:val="clear" w:color="auto" w:fill="auto"/>
                  <w:noWrap/>
                  <w:vAlign w:val="center"/>
                </w:tcPr>
                <w:p w14:paraId="3BB124FC">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中标（成交）金额（万元）</w:t>
                  </w:r>
                </w:p>
              </w:tc>
              <w:tc>
                <w:tcPr>
                  <w:tcW w:w="1322" w:type="dxa"/>
                  <w:shd w:val="clear" w:color="auto" w:fill="auto"/>
                  <w:noWrap/>
                  <w:vAlign w:val="center"/>
                </w:tcPr>
                <w:p w14:paraId="09432817">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货物类项目</w:t>
                  </w:r>
                </w:p>
              </w:tc>
              <w:tc>
                <w:tcPr>
                  <w:tcW w:w="1262" w:type="dxa"/>
                  <w:shd w:val="clear" w:color="auto" w:fill="auto"/>
                  <w:noWrap/>
                  <w:vAlign w:val="center"/>
                </w:tcPr>
                <w:p w14:paraId="6D8A9AE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服务类项目</w:t>
                  </w:r>
                </w:p>
              </w:tc>
              <w:tc>
                <w:tcPr>
                  <w:tcW w:w="1307" w:type="dxa"/>
                  <w:shd w:val="clear" w:color="auto" w:fill="auto"/>
                  <w:noWrap/>
                  <w:vAlign w:val="center"/>
                </w:tcPr>
                <w:p w14:paraId="143F7491">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工程类项目</w:t>
                  </w:r>
                </w:p>
              </w:tc>
            </w:tr>
            <w:tr w14:paraId="6ED2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trPr>
              <w:tc>
                <w:tcPr>
                  <w:tcW w:w="2627" w:type="dxa"/>
                  <w:shd w:val="clear" w:color="auto" w:fill="auto"/>
                  <w:noWrap/>
                  <w:vAlign w:val="center"/>
                </w:tcPr>
                <w:p w14:paraId="03EE577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100以下</w:t>
                  </w:r>
                </w:p>
              </w:tc>
              <w:tc>
                <w:tcPr>
                  <w:tcW w:w="1322" w:type="dxa"/>
                  <w:shd w:val="clear" w:color="auto" w:fill="auto"/>
                  <w:noWrap/>
                  <w:vAlign w:val="center"/>
                </w:tcPr>
                <w:p w14:paraId="56C4D35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1.5%</w:t>
                  </w:r>
                </w:p>
              </w:tc>
              <w:tc>
                <w:tcPr>
                  <w:tcW w:w="1262" w:type="dxa"/>
                  <w:shd w:val="clear" w:color="auto" w:fill="auto"/>
                  <w:noWrap/>
                  <w:vAlign w:val="center"/>
                </w:tcPr>
                <w:p w14:paraId="43B03A4C">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1.5%</w:t>
                  </w:r>
                </w:p>
              </w:tc>
              <w:tc>
                <w:tcPr>
                  <w:tcW w:w="1307" w:type="dxa"/>
                  <w:shd w:val="clear" w:color="auto" w:fill="auto"/>
                  <w:noWrap/>
                  <w:vAlign w:val="center"/>
                </w:tcPr>
                <w:p w14:paraId="46FD639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w:t>
                  </w:r>
                </w:p>
              </w:tc>
            </w:tr>
            <w:tr w14:paraId="3C8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 w:hRule="atLeast"/>
              </w:trPr>
              <w:tc>
                <w:tcPr>
                  <w:tcW w:w="2627" w:type="dxa"/>
                  <w:shd w:val="clear" w:color="auto" w:fill="auto"/>
                  <w:noWrap/>
                  <w:vAlign w:val="center"/>
                </w:tcPr>
                <w:p w14:paraId="2979A247">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100-500</w:t>
                  </w:r>
                </w:p>
              </w:tc>
              <w:tc>
                <w:tcPr>
                  <w:tcW w:w="1322" w:type="dxa"/>
                  <w:shd w:val="clear" w:color="auto" w:fill="auto"/>
                  <w:noWrap/>
                  <w:vAlign w:val="center"/>
                </w:tcPr>
                <w:p w14:paraId="3EA86516">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1.1%</w:t>
                  </w:r>
                </w:p>
              </w:tc>
              <w:tc>
                <w:tcPr>
                  <w:tcW w:w="1262" w:type="dxa"/>
                  <w:shd w:val="clear" w:color="auto" w:fill="auto"/>
                  <w:noWrap/>
                  <w:vAlign w:val="center"/>
                </w:tcPr>
                <w:p w14:paraId="54B2CC45">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0.8%</w:t>
                  </w:r>
                </w:p>
              </w:tc>
              <w:tc>
                <w:tcPr>
                  <w:tcW w:w="1307" w:type="dxa"/>
                  <w:shd w:val="clear" w:color="auto" w:fill="auto"/>
                  <w:noWrap/>
                  <w:vAlign w:val="center"/>
                </w:tcPr>
                <w:p w14:paraId="26F7256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0.7%</w:t>
                  </w:r>
                </w:p>
              </w:tc>
            </w:tr>
            <w:tr w14:paraId="705A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 w:hRule="atLeast"/>
              </w:trPr>
              <w:tc>
                <w:tcPr>
                  <w:tcW w:w="2627" w:type="dxa"/>
                  <w:shd w:val="clear" w:color="auto" w:fill="auto"/>
                  <w:noWrap/>
                  <w:vAlign w:val="center"/>
                </w:tcPr>
                <w:p w14:paraId="1EB1D6EE">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500-1000</w:t>
                  </w:r>
                </w:p>
              </w:tc>
              <w:tc>
                <w:tcPr>
                  <w:tcW w:w="1322" w:type="dxa"/>
                  <w:shd w:val="clear" w:color="auto" w:fill="auto"/>
                  <w:noWrap/>
                  <w:vAlign w:val="center"/>
                </w:tcPr>
                <w:p w14:paraId="36F563A2">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0.8%</w:t>
                  </w:r>
                </w:p>
              </w:tc>
              <w:tc>
                <w:tcPr>
                  <w:tcW w:w="1262" w:type="dxa"/>
                  <w:shd w:val="clear" w:color="auto" w:fill="auto"/>
                  <w:noWrap/>
                  <w:vAlign w:val="center"/>
                </w:tcPr>
                <w:p w14:paraId="3A1C3B0C">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0.45%</w:t>
                  </w:r>
                </w:p>
              </w:tc>
              <w:tc>
                <w:tcPr>
                  <w:tcW w:w="1307" w:type="dxa"/>
                  <w:shd w:val="clear" w:color="auto" w:fill="auto"/>
                  <w:noWrap/>
                  <w:vAlign w:val="center"/>
                </w:tcPr>
                <w:p w14:paraId="48BA4CF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0.55%</w:t>
                  </w:r>
                </w:p>
              </w:tc>
            </w:tr>
            <w:tr w14:paraId="26E3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trPr>
              <w:tc>
                <w:tcPr>
                  <w:tcW w:w="2627" w:type="dxa"/>
                  <w:shd w:val="clear" w:color="auto" w:fill="auto"/>
                  <w:noWrap/>
                  <w:vAlign w:val="center"/>
                </w:tcPr>
                <w:p w14:paraId="4EDF4B4E">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1000-5000</w:t>
                  </w:r>
                </w:p>
              </w:tc>
              <w:tc>
                <w:tcPr>
                  <w:tcW w:w="1322" w:type="dxa"/>
                  <w:shd w:val="clear" w:color="auto" w:fill="auto"/>
                  <w:noWrap/>
                  <w:vAlign w:val="center"/>
                </w:tcPr>
                <w:p w14:paraId="7A6EC64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0.5%</w:t>
                  </w:r>
                </w:p>
              </w:tc>
              <w:tc>
                <w:tcPr>
                  <w:tcW w:w="1262" w:type="dxa"/>
                  <w:shd w:val="clear" w:color="auto" w:fill="auto"/>
                  <w:noWrap/>
                  <w:vAlign w:val="center"/>
                </w:tcPr>
                <w:p w14:paraId="4635954F">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0.25%</w:t>
                  </w:r>
                </w:p>
              </w:tc>
              <w:tc>
                <w:tcPr>
                  <w:tcW w:w="1307" w:type="dxa"/>
                  <w:shd w:val="clear" w:color="auto" w:fill="auto"/>
                  <w:noWrap/>
                  <w:vAlign w:val="center"/>
                </w:tcPr>
                <w:p w14:paraId="7180B2FC">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0.35%</w:t>
                  </w:r>
                </w:p>
              </w:tc>
            </w:tr>
            <w:tr w14:paraId="304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 w:hRule="atLeast"/>
              </w:trPr>
              <w:tc>
                <w:tcPr>
                  <w:tcW w:w="2627" w:type="dxa"/>
                  <w:shd w:val="clear" w:color="auto" w:fill="auto"/>
                  <w:noWrap/>
                  <w:vAlign w:val="center"/>
                </w:tcPr>
                <w:p w14:paraId="1AC0D66E">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5000-10000</w:t>
                  </w:r>
                </w:p>
              </w:tc>
              <w:tc>
                <w:tcPr>
                  <w:tcW w:w="1322" w:type="dxa"/>
                  <w:shd w:val="clear" w:color="auto" w:fill="auto"/>
                  <w:noWrap/>
                  <w:vAlign w:val="center"/>
                </w:tcPr>
                <w:p w14:paraId="037BB070">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0.25%</w:t>
                  </w:r>
                </w:p>
              </w:tc>
              <w:tc>
                <w:tcPr>
                  <w:tcW w:w="1262" w:type="dxa"/>
                  <w:shd w:val="clear" w:color="auto" w:fill="auto"/>
                  <w:noWrap/>
                  <w:vAlign w:val="center"/>
                </w:tcPr>
                <w:p w14:paraId="263C3D48">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0.1%</w:t>
                  </w:r>
                </w:p>
              </w:tc>
              <w:tc>
                <w:tcPr>
                  <w:tcW w:w="1307" w:type="dxa"/>
                  <w:shd w:val="clear" w:color="auto" w:fill="auto"/>
                  <w:noWrap/>
                  <w:vAlign w:val="center"/>
                </w:tcPr>
                <w:p w14:paraId="3D1668AF">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0.2%</w:t>
                  </w:r>
                </w:p>
              </w:tc>
            </w:tr>
            <w:tr w14:paraId="6579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trPr>
              <w:tc>
                <w:tcPr>
                  <w:tcW w:w="2627" w:type="dxa"/>
                  <w:shd w:val="clear" w:color="auto" w:fill="auto"/>
                  <w:noWrap/>
                  <w:vAlign w:val="center"/>
                </w:tcPr>
                <w:p w14:paraId="5AEBD8CD">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10000-100000</w:t>
                  </w:r>
                </w:p>
              </w:tc>
              <w:tc>
                <w:tcPr>
                  <w:tcW w:w="1322" w:type="dxa"/>
                  <w:shd w:val="clear" w:color="auto" w:fill="auto"/>
                  <w:noWrap/>
                  <w:vAlign w:val="center"/>
                </w:tcPr>
                <w:p w14:paraId="5607A394">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0.05%</w:t>
                  </w:r>
                </w:p>
              </w:tc>
              <w:tc>
                <w:tcPr>
                  <w:tcW w:w="1262" w:type="dxa"/>
                  <w:shd w:val="clear" w:color="auto" w:fill="auto"/>
                  <w:noWrap/>
                  <w:vAlign w:val="center"/>
                </w:tcPr>
                <w:p w14:paraId="2C795115">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0.05%</w:t>
                  </w:r>
                </w:p>
              </w:tc>
              <w:tc>
                <w:tcPr>
                  <w:tcW w:w="1307" w:type="dxa"/>
                  <w:shd w:val="clear" w:color="auto" w:fill="auto"/>
                  <w:noWrap/>
                  <w:vAlign w:val="center"/>
                </w:tcPr>
                <w:p w14:paraId="07F9987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0.05%</w:t>
                  </w:r>
                </w:p>
              </w:tc>
            </w:tr>
            <w:tr w14:paraId="6800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 w:hRule="atLeast"/>
              </w:trPr>
              <w:tc>
                <w:tcPr>
                  <w:tcW w:w="2627" w:type="dxa"/>
                  <w:shd w:val="clear" w:color="auto" w:fill="auto"/>
                  <w:noWrap/>
                  <w:vAlign w:val="center"/>
                </w:tcPr>
                <w:p w14:paraId="0F5FC60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100000以上</w:t>
                  </w:r>
                </w:p>
              </w:tc>
              <w:tc>
                <w:tcPr>
                  <w:tcW w:w="1322" w:type="dxa"/>
                  <w:shd w:val="clear" w:color="auto" w:fill="auto"/>
                  <w:noWrap/>
                  <w:vAlign w:val="center"/>
                </w:tcPr>
                <w:p w14:paraId="6CCB1969">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0.01%</w:t>
                  </w:r>
                </w:p>
              </w:tc>
              <w:tc>
                <w:tcPr>
                  <w:tcW w:w="1262" w:type="dxa"/>
                  <w:shd w:val="clear" w:color="auto" w:fill="auto"/>
                  <w:noWrap/>
                  <w:vAlign w:val="center"/>
                </w:tcPr>
                <w:p w14:paraId="1243123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0.01%</w:t>
                  </w:r>
                </w:p>
              </w:tc>
              <w:tc>
                <w:tcPr>
                  <w:tcW w:w="1307" w:type="dxa"/>
                  <w:shd w:val="clear" w:color="auto" w:fill="auto"/>
                  <w:noWrap/>
                  <w:vAlign w:val="center"/>
                </w:tcPr>
                <w:p w14:paraId="02048D1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0.01%</w:t>
                  </w:r>
                </w:p>
              </w:tc>
            </w:tr>
          </w:tbl>
          <w:p w14:paraId="356E5294">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注：代理服务费按差额定率累进法计算。</w:t>
            </w:r>
          </w:p>
          <w:p w14:paraId="74F39BE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例如：某服务类项目代理业务中标金额为6000万元，计算代理服务费如下：100万元×1.5％＝1.5万元</w:t>
            </w:r>
          </w:p>
          <w:p w14:paraId="4EA9E350">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（500－100）万元×0.8％＝3.2万元</w:t>
            </w:r>
          </w:p>
          <w:p w14:paraId="319635A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（1000－500）万元×0.45％＝2.25万元</w:t>
            </w:r>
          </w:p>
          <w:p w14:paraId="6471B4D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（5000－1000）万元×0.25％＝10万元</w:t>
            </w:r>
          </w:p>
          <w:p w14:paraId="7F5767C2">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（6000－5000）万元×0.1％＝1万元</w:t>
            </w:r>
          </w:p>
          <w:p w14:paraId="51A668E8">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合计收费＝1.5＋3.2＋2.25＋10＋1＝17.95(万元)</w:t>
            </w:r>
          </w:p>
          <w:p w14:paraId="62409731">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3、收取方式：银行转账。</w:t>
            </w:r>
          </w:p>
          <w:p w14:paraId="0DEA2F0B">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4、代理服务费缴纳账户：</w:t>
            </w:r>
          </w:p>
          <w:p w14:paraId="407BB9D3">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户名：福建安华发展有限公司</w:t>
            </w:r>
          </w:p>
          <w:p w14:paraId="55D486E5">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开户行：福建海峡银行股份有限公司漳州分行</w:t>
            </w:r>
          </w:p>
          <w:p w14:paraId="4EF16235">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FF"/>
                <w:spacing w:val="0"/>
                <w:w w:val="100"/>
                <w:kern w:val="21"/>
                <w:position w:val="0"/>
                <w:u w:val="single" w:color="auto"/>
                <w:lang w:val="en-US" w:eastAsia="zh-CN"/>
              </w:rPr>
            </w:pPr>
            <w:r>
              <w:rPr>
                <w:rFonts w:hint="eastAsia" w:ascii="宋体" w:hAnsi="宋体" w:eastAsia="宋体" w:cs="宋体"/>
                <w:snapToGrid/>
                <w:color w:val="0000FF"/>
                <w:spacing w:val="0"/>
                <w:w w:val="100"/>
                <w:kern w:val="21"/>
                <w:position w:val="0"/>
                <w:u w:val="single" w:color="auto"/>
                <w:lang w:val="en-US" w:eastAsia="zh-CN"/>
              </w:rPr>
              <w:t xml:space="preserve">账号：100025233520010001  </w:t>
            </w:r>
          </w:p>
          <w:p w14:paraId="5AF3D55A">
            <w:pPr>
              <w:pStyle w:val="27"/>
              <w:keepNext w:val="0"/>
              <w:keepLines w:val="0"/>
              <w:pageBreakBefore w:val="0"/>
              <w:widowControl w:val="0"/>
              <w:tabs>
                <w:tab w:val="left" w:pos="207"/>
              </w:tabs>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b/>
                <w:bCs/>
                <w:strike/>
                <w:dstrike w:val="0"/>
                <w:snapToGrid/>
                <w:color w:val="FF0000"/>
                <w:spacing w:val="0"/>
                <w:w w:val="100"/>
                <w:kern w:val="21"/>
                <w:position w:val="0"/>
                <w:lang w:val="en-US" w:eastAsia="en-US"/>
              </w:rPr>
            </w:pPr>
            <w:r>
              <w:rPr>
                <w:rFonts w:hint="eastAsia" w:ascii="宋体" w:hAnsi="宋体" w:eastAsia="宋体" w:cs="宋体"/>
                <w:snapToGrid/>
                <w:color w:val="0000FF"/>
                <w:spacing w:val="0"/>
                <w:w w:val="100"/>
                <w:kern w:val="21"/>
                <w:position w:val="0"/>
                <w:u w:val="single" w:color="auto"/>
                <w:lang w:val="en-US" w:eastAsia="zh-CN"/>
              </w:rPr>
              <w:t>5、代理服务费须从中标（成交）供应商账户转出，并备注项目名称。</w:t>
            </w:r>
          </w:p>
        </w:tc>
      </w:tr>
      <w:tr w14:paraId="5E65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3E681AA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10.11</w:t>
            </w:r>
          </w:p>
        </w:tc>
        <w:tc>
          <w:tcPr>
            <w:tcW w:w="3018" w:type="dxa"/>
            <w:shd w:val="clear" w:color="auto" w:fill="auto"/>
            <w:vAlign w:val="center"/>
          </w:tcPr>
          <w:p w14:paraId="0BD7427D">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投标所需资料</w:t>
            </w:r>
          </w:p>
        </w:tc>
        <w:tc>
          <w:tcPr>
            <w:tcW w:w="5978" w:type="dxa"/>
            <w:shd w:val="clear" w:color="auto" w:fill="auto"/>
            <w:vAlign w:val="center"/>
          </w:tcPr>
          <w:p w14:paraId="34BCF44B">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6A13B9AB">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（2）投标人应及时查看上传的相关资料，如出现上传的相应投标资料不全、模糊不清、超出有效期等情况，评标委员会将作出对投标人不利的认定，由此产生的一切后果由投标人自行承担。</w:t>
            </w:r>
          </w:p>
          <w:p w14:paraId="5A327062">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（3）投标人提供的营业执照、安全生产许可证、资质证书、注册执业证书、安全生产考核合格证等证书证件应在有效期 内，若法律法规或发证机构或相关主管部门另有规定的，从 其规定。投标人在投标文件中提供了相关证明材料，或经询 标被评标委员会认定符合相关规定的，评标委员会应予以认可。</w:t>
            </w:r>
          </w:p>
          <w:p w14:paraId="110CABEA">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（4）具体资料以第三章“评标办法 ”和第八章“投标文件格 式 ”要求为准。</w:t>
            </w:r>
          </w:p>
        </w:tc>
      </w:tr>
      <w:tr w14:paraId="5CEE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138132C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10.12</w:t>
            </w:r>
          </w:p>
        </w:tc>
        <w:tc>
          <w:tcPr>
            <w:tcW w:w="3018" w:type="dxa"/>
            <w:shd w:val="clear" w:color="auto" w:fill="auto"/>
            <w:vAlign w:val="center"/>
          </w:tcPr>
          <w:p w14:paraId="62469E8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相关政策要求</w:t>
            </w:r>
          </w:p>
        </w:tc>
        <w:tc>
          <w:tcPr>
            <w:tcW w:w="5978" w:type="dxa"/>
            <w:shd w:val="clear" w:color="auto" w:fill="auto"/>
            <w:vAlign w:val="center"/>
          </w:tcPr>
          <w:p w14:paraId="712899CD">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1）承包人在工程实施过程中的用工行为，必须严格按照《保障农民工工资支付条例》（国令第724号）、《安徽省人民政府办公厅关于全面治理拖欠农民工工资问题的实施意见》（皖政办〔2016〕22号）以及招标项目所在地相关文件精神的规定， 依法与招用的农民工签订劳动合同，并按规定及时足额支付 工资。</w:t>
            </w:r>
          </w:p>
          <w:p w14:paraId="3FCEFD63">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（2）注册地不在招标项目所在地行政区域范围的中标人，应按照《纳税人跨县（市、区）提供建筑服务增值税征收管理暂行办法》（国家税务总局公告2016 年第17号）规定，在建 筑服务发生地及时足额预缴增值税。</w:t>
            </w:r>
          </w:p>
          <w:p w14:paraId="4FA6FE1B">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（3）关于投标保证金、履约保证金、工程质量保证金执行《国家发展改革委等部门关于完善招标投标交易担保制度进一步 降低招标投标交易成本的通知》（发改法规〔2023〕27 号）的 相关规定。</w:t>
            </w:r>
          </w:p>
          <w:p w14:paraId="471B7D1D">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spacing w:val="0"/>
                <w:w w:val="100"/>
                <w:kern w:val="21"/>
                <w:position w:val="0"/>
              </w:rPr>
            </w:pPr>
            <w:r>
              <w:rPr>
                <w:rFonts w:hint="eastAsia" w:ascii="宋体" w:hAnsi="宋体" w:eastAsia="宋体" w:cs="宋体"/>
                <w:snapToGrid/>
                <w:spacing w:val="0"/>
                <w:w w:val="100"/>
                <w:kern w:val="21"/>
                <w:position w:val="0"/>
              </w:rPr>
              <w:t>（4）关于预付款、工程价款结算应执行《建设工程价款结算暂行办法》（财建〔2004〕369号）、《关于完善建设工程价款结算有关办法的通知》（财建〔2022〕183 号）的以及招标项 目所在地相关文件精神的规定。</w:t>
            </w:r>
          </w:p>
          <w:p w14:paraId="06315A42">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（5）采用一级建造师投标的应按《住房和城乡建设部办公厅关于全面实行一级建造师电子注册证书的通知》（建办市 〔2021〕40 号）执行。如采用二级建造师投标的，执行各省、 自治区及直辖市最新相关规定。</w:t>
            </w:r>
          </w:p>
        </w:tc>
      </w:tr>
      <w:tr w14:paraId="7730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663F542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10.13</w:t>
            </w:r>
          </w:p>
        </w:tc>
        <w:tc>
          <w:tcPr>
            <w:tcW w:w="3018" w:type="dxa"/>
            <w:shd w:val="clear" w:color="auto" w:fill="auto"/>
            <w:vAlign w:val="center"/>
          </w:tcPr>
          <w:p w14:paraId="54F2AB9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本招标项目所属行业</w:t>
            </w:r>
          </w:p>
        </w:tc>
        <w:tc>
          <w:tcPr>
            <w:tcW w:w="5978" w:type="dxa"/>
            <w:shd w:val="clear" w:color="auto" w:fill="auto"/>
            <w:vAlign w:val="center"/>
          </w:tcPr>
          <w:p w14:paraId="4C55CA6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b/>
                <w:bCs/>
                <w:snapToGrid/>
                <w:spacing w:val="0"/>
                <w:w w:val="100"/>
                <w:kern w:val="21"/>
                <w:position w:val="0"/>
              </w:rPr>
              <w:t>建筑业</w:t>
            </w:r>
          </w:p>
        </w:tc>
      </w:tr>
      <w:tr w14:paraId="1D60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26" w:type="dxa"/>
            <w:shd w:val="clear" w:color="auto" w:fill="auto"/>
            <w:vAlign w:val="center"/>
          </w:tcPr>
          <w:p w14:paraId="22058EE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10.14</w:t>
            </w:r>
          </w:p>
        </w:tc>
        <w:tc>
          <w:tcPr>
            <w:tcW w:w="3018" w:type="dxa"/>
            <w:shd w:val="clear" w:color="auto" w:fill="auto"/>
            <w:vAlign w:val="center"/>
          </w:tcPr>
          <w:p w14:paraId="616BCEB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招标人补充的其他内容</w:t>
            </w:r>
          </w:p>
        </w:tc>
        <w:tc>
          <w:tcPr>
            <w:tcW w:w="5978" w:type="dxa"/>
            <w:shd w:val="clear" w:color="auto" w:fill="auto"/>
            <w:vAlign w:val="center"/>
          </w:tcPr>
          <w:p w14:paraId="5D0937A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hint="eastAsia" w:ascii="宋体" w:hAnsi="宋体" w:eastAsia="宋体" w:cs="宋体"/>
                <w:snapToGrid/>
                <w:color w:val="000000"/>
                <w:spacing w:val="0"/>
                <w:w w:val="100"/>
                <w:kern w:val="21"/>
                <w:position w:val="0"/>
                <w:sz w:val="20"/>
                <w:szCs w:val="20"/>
                <w:lang w:val="en-US" w:eastAsia="en-US" w:bidi="ar-SA"/>
              </w:rPr>
            </w:pPr>
            <w:r>
              <w:rPr>
                <w:rFonts w:hint="eastAsia" w:ascii="宋体" w:hAnsi="宋体" w:eastAsia="宋体" w:cs="宋体"/>
                <w:snapToGrid/>
                <w:spacing w:val="0"/>
                <w:w w:val="100"/>
                <w:kern w:val="21"/>
                <w:position w:val="0"/>
              </w:rPr>
              <w:t>……</w:t>
            </w:r>
          </w:p>
        </w:tc>
      </w:tr>
    </w:tbl>
    <w:p w14:paraId="72B24BA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15"/>
        </w:rPr>
      </w:pPr>
    </w:p>
    <w:p w14:paraId="0DE18B5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hAnsi="Arial" w:eastAsia="Arial" w:cs="Arial"/>
          <w:snapToGrid/>
          <w:spacing w:val="0"/>
          <w:w w:val="100"/>
          <w:kern w:val="21"/>
          <w:position w:val="0"/>
          <w:sz w:val="15"/>
          <w:szCs w:val="15"/>
        </w:rPr>
        <w:sectPr>
          <w:footerReference r:id="rId9" w:type="default"/>
          <w:pgSz w:w="11906" w:h="16838"/>
          <w:pgMar w:top="1440" w:right="1080" w:bottom="1440" w:left="1080" w:header="0" w:footer="1185" w:gutter="0"/>
          <w:pgNumType w:fmt="decimal"/>
          <w:cols w:space="720" w:num="1"/>
        </w:sectPr>
      </w:pPr>
    </w:p>
    <w:p w14:paraId="1BB52A6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39" w:name="bookmark114"/>
      <w:bookmarkEnd w:id="39"/>
      <w:bookmarkStart w:id="40" w:name="_Toc25029"/>
      <w:r>
        <w:rPr>
          <w:rFonts w:ascii="宋体" w:hAnsi="宋体" w:eastAsia="宋体" w:cs="宋体"/>
          <w:b/>
          <w:bCs/>
          <w:snapToGrid/>
          <w:spacing w:val="0"/>
          <w:w w:val="100"/>
          <w:kern w:val="21"/>
          <w:position w:val="0"/>
          <w:sz w:val="31"/>
          <w:szCs w:val="31"/>
        </w:rPr>
        <w:t>1．总则</w:t>
      </w:r>
      <w:bookmarkEnd w:id="40"/>
    </w:p>
    <w:p w14:paraId="0FE3D7A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1" w:name="_Toc24756"/>
      <w:r>
        <w:rPr>
          <w:rFonts w:ascii="Times New Roman" w:hAnsi="Times New Roman" w:eastAsia="Times New Roman" w:cs="Times New Roman"/>
          <w:b/>
          <w:bCs/>
          <w:snapToGrid/>
          <w:spacing w:val="0"/>
          <w:w w:val="100"/>
          <w:kern w:val="21"/>
          <w:position w:val="0"/>
          <w:sz w:val="28"/>
          <w:szCs w:val="28"/>
        </w:rPr>
        <w:t xml:space="preserve">1.1  </w:t>
      </w:r>
      <w:r>
        <w:rPr>
          <w:rFonts w:ascii="宋体" w:hAnsi="宋体" w:eastAsia="宋体" w:cs="宋体"/>
          <w:b/>
          <w:bCs/>
          <w:snapToGrid/>
          <w:spacing w:val="0"/>
          <w:w w:val="100"/>
          <w:kern w:val="21"/>
          <w:position w:val="0"/>
          <w:sz w:val="28"/>
          <w:szCs w:val="28"/>
        </w:rPr>
        <w:t>项目概况</w:t>
      </w:r>
      <w:bookmarkEnd w:id="41"/>
    </w:p>
    <w:p w14:paraId="02B97CA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1.1.1  </w:t>
      </w:r>
      <w:r>
        <w:rPr>
          <w:rFonts w:ascii="宋体" w:hAnsi="宋体" w:eastAsia="宋体" w:cs="宋体"/>
          <w:snapToGrid/>
          <w:spacing w:val="0"/>
          <w:w w:val="100"/>
          <w:kern w:val="21"/>
          <w:position w:val="0"/>
          <w:sz w:val="20"/>
          <w:szCs w:val="20"/>
        </w:rPr>
        <w:t>根据《 中华人民共和国招标投标法》《中华人民共和国招标投标法实施条例》《工程建设 项目施工招标投标办法》等有关法律法规和规章的规定，本招标项目已具备招标条件，现对本标段 施工进行招标。</w:t>
      </w:r>
    </w:p>
    <w:p w14:paraId="41F9E07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1.1.2  </w:t>
      </w:r>
      <w:r>
        <w:rPr>
          <w:rFonts w:ascii="宋体" w:hAnsi="宋体" w:eastAsia="宋体" w:cs="宋体"/>
          <w:snapToGrid/>
          <w:spacing w:val="0"/>
          <w:w w:val="100"/>
          <w:kern w:val="21"/>
          <w:position w:val="0"/>
          <w:sz w:val="20"/>
          <w:szCs w:val="20"/>
        </w:rPr>
        <w:t>本招标项目招标人：见投标人须知前附表。</w:t>
      </w:r>
    </w:p>
    <w:p w14:paraId="55C673F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1.1.3  </w:t>
      </w:r>
      <w:r>
        <w:rPr>
          <w:rFonts w:ascii="宋体" w:hAnsi="宋体" w:eastAsia="宋体" w:cs="宋体"/>
          <w:snapToGrid/>
          <w:spacing w:val="0"/>
          <w:w w:val="100"/>
          <w:kern w:val="21"/>
          <w:position w:val="0"/>
          <w:sz w:val="20"/>
          <w:szCs w:val="20"/>
        </w:rPr>
        <w:t>本标段招标代理机构：见投标人须知前附表。</w:t>
      </w:r>
    </w:p>
    <w:p w14:paraId="3CA1FA2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1.1.4  </w:t>
      </w:r>
      <w:r>
        <w:rPr>
          <w:rFonts w:ascii="宋体" w:hAnsi="宋体" w:eastAsia="宋体" w:cs="宋体"/>
          <w:snapToGrid/>
          <w:spacing w:val="0"/>
          <w:w w:val="100"/>
          <w:kern w:val="21"/>
          <w:position w:val="0"/>
          <w:sz w:val="20"/>
          <w:szCs w:val="20"/>
        </w:rPr>
        <w:t>本招标项目名称：见投标人须知前附表。</w:t>
      </w:r>
    </w:p>
    <w:p w14:paraId="626719D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1.1.5  </w:t>
      </w:r>
      <w:r>
        <w:rPr>
          <w:rFonts w:ascii="宋体" w:hAnsi="宋体" w:eastAsia="宋体" w:cs="宋体"/>
          <w:snapToGrid/>
          <w:spacing w:val="0"/>
          <w:w w:val="100"/>
          <w:kern w:val="21"/>
          <w:position w:val="0"/>
          <w:sz w:val="20"/>
          <w:szCs w:val="20"/>
        </w:rPr>
        <w:t>本标段建设地点：见投标人须知前附表。</w:t>
      </w:r>
    </w:p>
    <w:p w14:paraId="52E204B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1.1.6  </w:t>
      </w:r>
      <w:r>
        <w:rPr>
          <w:rFonts w:ascii="宋体" w:hAnsi="宋体" w:eastAsia="宋体" w:cs="宋体"/>
          <w:snapToGrid/>
          <w:spacing w:val="0"/>
          <w:w w:val="100"/>
          <w:kern w:val="21"/>
          <w:position w:val="0"/>
          <w:sz w:val="20"/>
          <w:szCs w:val="20"/>
        </w:rPr>
        <w:t>本招标项目现场管理机构：见投标人须知前附表。</w:t>
      </w:r>
    </w:p>
    <w:p w14:paraId="4679199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1.1.7  </w:t>
      </w:r>
      <w:r>
        <w:rPr>
          <w:rFonts w:ascii="宋体" w:hAnsi="宋体" w:eastAsia="宋体" w:cs="宋体"/>
          <w:snapToGrid/>
          <w:spacing w:val="0"/>
          <w:w w:val="100"/>
          <w:kern w:val="21"/>
          <w:position w:val="0"/>
          <w:sz w:val="20"/>
          <w:szCs w:val="20"/>
        </w:rPr>
        <w:t>本招标项目设计人：见投标人须知前附表。</w:t>
      </w:r>
    </w:p>
    <w:p w14:paraId="74D94AF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1.1.8  </w:t>
      </w:r>
      <w:r>
        <w:rPr>
          <w:rFonts w:ascii="宋体" w:hAnsi="宋体" w:eastAsia="宋体" w:cs="宋体"/>
          <w:snapToGrid/>
          <w:spacing w:val="0"/>
          <w:w w:val="100"/>
          <w:kern w:val="21"/>
          <w:position w:val="0"/>
          <w:sz w:val="20"/>
          <w:szCs w:val="20"/>
        </w:rPr>
        <w:t>本招标项目监理人：见投标人须知前附表。</w:t>
      </w:r>
    </w:p>
    <w:p w14:paraId="2008963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1.1.9  </w:t>
      </w:r>
      <w:r>
        <w:rPr>
          <w:rFonts w:ascii="宋体" w:hAnsi="宋体" w:eastAsia="宋体" w:cs="宋体"/>
          <w:snapToGrid/>
          <w:spacing w:val="0"/>
          <w:w w:val="100"/>
          <w:kern w:val="21"/>
          <w:position w:val="0"/>
          <w:sz w:val="20"/>
          <w:szCs w:val="20"/>
        </w:rPr>
        <w:t>本招标项目代建机构：见投标人须知前附表。</w:t>
      </w:r>
    </w:p>
    <w:p w14:paraId="4A5C9CC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2" w:name="_Toc12597"/>
      <w:r>
        <w:rPr>
          <w:rFonts w:ascii="Times New Roman" w:hAnsi="Times New Roman" w:eastAsia="Times New Roman" w:cs="Times New Roman"/>
          <w:b/>
          <w:bCs/>
          <w:snapToGrid/>
          <w:spacing w:val="0"/>
          <w:w w:val="100"/>
          <w:kern w:val="21"/>
          <w:position w:val="0"/>
          <w:sz w:val="28"/>
          <w:szCs w:val="28"/>
        </w:rPr>
        <w:t xml:space="preserve">1.2  </w:t>
      </w:r>
      <w:r>
        <w:rPr>
          <w:rFonts w:ascii="宋体" w:hAnsi="宋体" w:eastAsia="宋体" w:cs="宋体"/>
          <w:b/>
          <w:bCs/>
          <w:snapToGrid/>
          <w:spacing w:val="0"/>
          <w:w w:val="100"/>
          <w:kern w:val="21"/>
          <w:position w:val="0"/>
          <w:sz w:val="28"/>
          <w:szCs w:val="28"/>
        </w:rPr>
        <w:t>资金来源和落实情况</w:t>
      </w:r>
      <w:bookmarkEnd w:id="42"/>
    </w:p>
    <w:p w14:paraId="0BF9EA9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1.2.1  本招标项目的资金来源和出资比例：见投标人须知前附表。</w:t>
      </w:r>
    </w:p>
    <w:p w14:paraId="09895E7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1.2.2  本招标项目的资金落实情况：见投标人须知前附表。</w:t>
      </w:r>
    </w:p>
    <w:p w14:paraId="73A81AA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3" w:name="_Toc26805"/>
      <w:r>
        <w:rPr>
          <w:rFonts w:ascii="Times New Roman" w:hAnsi="Times New Roman" w:eastAsia="Times New Roman" w:cs="Times New Roman"/>
          <w:b/>
          <w:bCs/>
          <w:snapToGrid/>
          <w:spacing w:val="0"/>
          <w:w w:val="100"/>
          <w:kern w:val="21"/>
          <w:position w:val="0"/>
          <w:sz w:val="28"/>
          <w:szCs w:val="28"/>
        </w:rPr>
        <w:t xml:space="preserve">1.3  </w:t>
      </w:r>
      <w:r>
        <w:rPr>
          <w:rFonts w:ascii="宋体" w:hAnsi="宋体" w:eastAsia="宋体" w:cs="宋体"/>
          <w:b/>
          <w:bCs/>
          <w:snapToGrid/>
          <w:spacing w:val="0"/>
          <w:w w:val="100"/>
          <w:kern w:val="21"/>
          <w:position w:val="0"/>
          <w:sz w:val="28"/>
          <w:szCs w:val="28"/>
        </w:rPr>
        <w:t>招标范围、计划工期、质量要求、安全目标和环保目标</w:t>
      </w:r>
      <w:bookmarkEnd w:id="43"/>
    </w:p>
    <w:p w14:paraId="4FE8271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1.3.1  本次招标范围：见投标人须知前附表。</w:t>
      </w:r>
    </w:p>
    <w:p w14:paraId="43CBDAB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1.3.2  本招标项目的计划工期：见投标人须知前附表。</w:t>
      </w:r>
    </w:p>
    <w:p w14:paraId="2ED0874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1.3.3  本招标项目的质量要求：见投标人须知前附表。</w:t>
      </w:r>
    </w:p>
    <w:p w14:paraId="030720B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1.3.4  本招标项目的安全目标：见投标人须知前附表。</w:t>
      </w:r>
    </w:p>
    <w:p w14:paraId="357063B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1.3.5  本招标项目的环保目标：见投标人须知前附表。</w:t>
      </w:r>
    </w:p>
    <w:p w14:paraId="09FE043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4" w:name="_Toc21599"/>
      <w:r>
        <w:rPr>
          <w:rFonts w:ascii="Times New Roman" w:hAnsi="Times New Roman" w:eastAsia="Times New Roman" w:cs="Times New Roman"/>
          <w:b/>
          <w:bCs/>
          <w:snapToGrid/>
          <w:spacing w:val="0"/>
          <w:w w:val="100"/>
          <w:kern w:val="21"/>
          <w:position w:val="0"/>
          <w:sz w:val="28"/>
          <w:szCs w:val="28"/>
        </w:rPr>
        <w:t xml:space="preserve">1.4  </w:t>
      </w:r>
      <w:r>
        <w:rPr>
          <w:rFonts w:ascii="宋体" w:hAnsi="宋体" w:eastAsia="宋体" w:cs="宋体"/>
          <w:b/>
          <w:bCs/>
          <w:snapToGrid/>
          <w:spacing w:val="0"/>
          <w:w w:val="100"/>
          <w:kern w:val="21"/>
          <w:position w:val="0"/>
          <w:sz w:val="28"/>
          <w:szCs w:val="28"/>
        </w:rPr>
        <w:t>投标人资格要求</w:t>
      </w:r>
      <w:bookmarkEnd w:id="44"/>
    </w:p>
    <w:p w14:paraId="3266DA7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1.4.1  投标人应具备承担本标段施工的资质条件、能力和信誉：</w:t>
      </w:r>
    </w:p>
    <w:p w14:paraId="46C49D0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（1）资质要求：见投标人须知前附表；</w:t>
      </w:r>
    </w:p>
    <w:p w14:paraId="5FBB70C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（2）财务要求：见投标人须知前附表；</w:t>
      </w:r>
    </w:p>
    <w:p w14:paraId="170F21E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（3）业绩要求：见投标人须知前附表；</w:t>
      </w:r>
    </w:p>
    <w:p w14:paraId="5C7852D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（4）信誉要求：见投标人须知前附表；</w:t>
      </w:r>
    </w:p>
    <w:p w14:paraId="60162AC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（5）项目经理资格：见投标人须知前附表；</w:t>
      </w:r>
    </w:p>
    <w:p w14:paraId="07361AC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（6）其他主要人员资格：见投标人须知前附表；</w:t>
      </w:r>
    </w:p>
    <w:p w14:paraId="5C2FC1F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（7）其他要求：见投标人须知前附表。</w:t>
      </w:r>
    </w:p>
    <w:p w14:paraId="2822DDD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1.4.2 投标人须知前附表规定接受联合体投标的，联合体除应符合本章第 1.4.1 项和投标人须知 前附表的要求外，还应遵守以下规定：</w:t>
      </w:r>
    </w:p>
    <w:p w14:paraId="512354E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（1）联合体各方应按招标文件提供的格式签订联合体协议书，明确联合体牵头人和各方权利义 务，并承诺就中标项目向招标人承担连带责任；</w:t>
      </w:r>
    </w:p>
    <w:p w14:paraId="156BF98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 由同一专业的单位组成的联合体，按照资质等级较低的单位确定资质等级；</w:t>
      </w:r>
    </w:p>
    <w:p w14:paraId="1A393DB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（3）联合体各方不得再以自己名义单独或参加其他联合体在同一标段中投标，否则各相关投标 均无效。</w:t>
      </w:r>
    </w:p>
    <w:p w14:paraId="2DB2042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1.4.3  投标人（包括联合体各成员）不得存在下列情形之一：</w:t>
      </w:r>
    </w:p>
    <w:p w14:paraId="6208540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（1）为招标人不具有独立法人资格的附属机构（单位）；</w:t>
      </w:r>
    </w:p>
    <w:p w14:paraId="6AA129F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（2）与招标人存在利害关系且可能影响招标公正性；</w:t>
      </w:r>
    </w:p>
    <w:p w14:paraId="6107DDB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（3）与本标段的其他投标人为同一个单位负责人；</w:t>
      </w:r>
    </w:p>
    <w:p w14:paraId="59F08D5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（4）与本标段的其他投标人存在控股、管理关系；</w:t>
      </w:r>
    </w:p>
    <w:p w14:paraId="668E58D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（5）为本标段前期准备提供设计或咨询服务的法人或其任何附属机构（单位），但工程总承 包的除外；</w:t>
      </w:r>
    </w:p>
    <w:p w14:paraId="3D77DE3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（6）为本标段监理人；</w:t>
      </w:r>
    </w:p>
    <w:p w14:paraId="0E39145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（7）为本标段代建人；</w:t>
      </w:r>
    </w:p>
    <w:p w14:paraId="7A3014D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（8）为本标段的招标代理机构；</w:t>
      </w:r>
    </w:p>
    <w:p w14:paraId="5D450BF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（9）与本标段的监理人或代建人或招标代理机构同为一个法定代表人；</w:t>
      </w:r>
    </w:p>
    <w:p w14:paraId="419C4D7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（10）与本标段的监理人或代建人或招标代理机构存在控股或参股关系；</w:t>
      </w:r>
    </w:p>
    <w:p w14:paraId="10F8ABE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（11）被依法暂停或者取消投标资格（以相关行业主管部门的行政处理决定为准）；</w:t>
      </w:r>
    </w:p>
    <w:p w14:paraId="20E4294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（12）被责令停业，暂扣或者吊销执照，或吊销资质证书；</w:t>
      </w:r>
    </w:p>
    <w:p w14:paraId="08AFBCB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（13）进入清算程序，或被宣告破产，或其他丧失履约能力的情形；</w:t>
      </w:r>
    </w:p>
    <w:p w14:paraId="4A38906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（14）在近三年内有骗取中标或严重违约或重大工程质量事故或重大生产安全事故的（以相 关行业主管部门的行政处罚决定或司法机关出具的有关法律文书为准）；</w:t>
      </w:r>
    </w:p>
    <w:p w14:paraId="5CAA771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（15）在国家企业信用信息公示系统（</w:t>
      </w:r>
      <w:r>
        <w:rPr>
          <w:rFonts w:ascii="Times New Roman" w:hAnsi="Times New Roman" w:eastAsia="Times New Roman" w:cs="Times New Roman"/>
          <w:snapToGrid/>
          <w:spacing w:val="0"/>
          <w:w w:val="100"/>
          <w:kern w:val="21"/>
          <w:position w:val="0"/>
          <w:sz w:val="20"/>
          <w:szCs w:val="20"/>
        </w:rPr>
        <w:fldChar w:fldCharType="begin"/>
      </w:r>
      <w:r>
        <w:rPr>
          <w:rFonts w:ascii="Times New Roman" w:hAnsi="Times New Roman" w:eastAsia="Times New Roman" w:cs="Times New Roman"/>
          <w:snapToGrid/>
          <w:spacing w:val="0"/>
          <w:w w:val="100"/>
          <w:kern w:val="21"/>
          <w:position w:val="0"/>
          <w:sz w:val="20"/>
          <w:szCs w:val="20"/>
        </w:rPr>
        <w:instrText xml:space="preserve"> HYPERLINK "http://www.gsxt.gov.cn/" </w:instrText>
      </w:r>
      <w:r>
        <w:rPr>
          <w:rFonts w:ascii="Times New Roman" w:hAnsi="Times New Roman" w:eastAsia="Times New Roman" w:cs="Times New Roman"/>
          <w:snapToGrid/>
          <w:spacing w:val="0"/>
          <w:w w:val="100"/>
          <w:kern w:val="21"/>
          <w:position w:val="0"/>
          <w:sz w:val="20"/>
          <w:szCs w:val="20"/>
        </w:rPr>
        <w:fldChar w:fldCharType="separate"/>
      </w:r>
      <w:r>
        <w:rPr>
          <w:rFonts w:ascii="Times New Roman" w:hAnsi="Times New Roman" w:eastAsia="Times New Roman" w:cs="Times New Roman"/>
          <w:snapToGrid/>
          <w:spacing w:val="0"/>
          <w:w w:val="100"/>
          <w:kern w:val="21"/>
          <w:position w:val="0"/>
          <w:sz w:val="20"/>
          <w:szCs w:val="20"/>
        </w:rPr>
        <w:t>http://www.gsxt.gov.cn/</w:t>
      </w:r>
      <w:r>
        <w:rPr>
          <w:rFonts w:ascii="Times New Roman" w:hAnsi="Times New Roman" w:eastAsia="Times New Roman" w:cs="Times New Roman"/>
          <w:snapToGrid/>
          <w:spacing w:val="0"/>
          <w:w w:val="100"/>
          <w:kern w:val="21"/>
          <w:position w:val="0"/>
          <w:sz w:val="20"/>
          <w:szCs w:val="20"/>
        </w:rPr>
        <w:fldChar w:fldCharType="end"/>
      </w:r>
      <w:r>
        <w:rPr>
          <w:rFonts w:ascii="Times New Roman" w:hAnsi="Times New Roman" w:eastAsia="Times New Roman" w:cs="Times New Roman"/>
          <w:snapToGrid/>
          <w:spacing w:val="0"/>
          <w:w w:val="100"/>
          <w:kern w:val="21"/>
          <w:position w:val="0"/>
          <w:sz w:val="20"/>
          <w:szCs w:val="20"/>
        </w:rPr>
        <w:t xml:space="preserve"> ）中被列入严重违法失信企业 名单；</w:t>
      </w:r>
    </w:p>
    <w:p w14:paraId="23E7A74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（16）在“信用中国”网站（</w:t>
      </w:r>
      <w:r>
        <w:rPr>
          <w:rFonts w:ascii="Times New Roman" w:hAnsi="Times New Roman" w:eastAsia="Times New Roman" w:cs="Times New Roman"/>
          <w:snapToGrid/>
          <w:spacing w:val="0"/>
          <w:w w:val="100"/>
          <w:kern w:val="21"/>
          <w:position w:val="0"/>
          <w:sz w:val="20"/>
          <w:szCs w:val="20"/>
        </w:rPr>
        <w:fldChar w:fldCharType="begin"/>
      </w:r>
      <w:r>
        <w:rPr>
          <w:rFonts w:ascii="Times New Roman" w:hAnsi="Times New Roman" w:eastAsia="Times New Roman" w:cs="Times New Roman"/>
          <w:snapToGrid/>
          <w:spacing w:val="0"/>
          <w:w w:val="100"/>
          <w:kern w:val="21"/>
          <w:position w:val="0"/>
          <w:sz w:val="20"/>
          <w:szCs w:val="20"/>
        </w:rPr>
        <w:instrText xml:space="preserve"> HYPERLINK "http://www.creditchina.gov.cn/" </w:instrText>
      </w:r>
      <w:r>
        <w:rPr>
          <w:rFonts w:ascii="Times New Roman" w:hAnsi="Times New Roman" w:eastAsia="Times New Roman" w:cs="Times New Roman"/>
          <w:snapToGrid/>
          <w:spacing w:val="0"/>
          <w:w w:val="100"/>
          <w:kern w:val="21"/>
          <w:position w:val="0"/>
          <w:sz w:val="20"/>
          <w:szCs w:val="20"/>
        </w:rPr>
        <w:fldChar w:fldCharType="separate"/>
      </w:r>
      <w:r>
        <w:rPr>
          <w:rFonts w:ascii="Times New Roman" w:hAnsi="Times New Roman" w:eastAsia="Times New Roman" w:cs="Times New Roman"/>
          <w:snapToGrid/>
          <w:spacing w:val="0"/>
          <w:w w:val="100"/>
          <w:kern w:val="21"/>
          <w:position w:val="0"/>
          <w:sz w:val="20"/>
          <w:szCs w:val="20"/>
        </w:rPr>
        <w:t>http://www.creditchina.gov.cn/</w:t>
      </w:r>
      <w:r>
        <w:rPr>
          <w:rFonts w:ascii="Times New Roman" w:hAnsi="Times New Roman" w:eastAsia="Times New Roman" w:cs="Times New Roman"/>
          <w:snapToGrid/>
          <w:spacing w:val="0"/>
          <w:w w:val="100"/>
          <w:kern w:val="21"/>
          <w:position w:val="0"/>
          <w:sz w:val="20"/>
          <w:szCs w:val="20"/>
        </w:rPr>
        <w:fldChar w:fldCharType="end"/>
      </w:r>
      <w:r>
        <w:rPr>
          <w:rFonts w:ascii="Times New Roman" w:hAnsi="Times New Roman" w:eastAsia="Times New Roman" w:cs="Times New Roman"/>
          <w:snapToGrid/>
          <w:spacing w:val="0"/>
          <w:w w:val="100"/>
          <w:kern w:val="21"/>
          <w:position w:val="0"/>
          <w:sz w:val="20"/>
          <w:szCs w:val="20"/>
        </w:rPr>
        <w:t>）中被列入失信被执行人名 单；</w:t>
      </w:r>
    </w:p>
    <w:p w14:paraId="3990B6E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（17）在“信用中国”网站（</w:t>
      </w:r>
      <w:r>
        <w:rPr>
          <w:rFonts w:ascii="Times New Roman" w:hAnsi="Times New Roman" w:eastAsia="Times New Roman" w:cs="Times New Roman"/>
          <w:snapToGrid/>
          <w:spacing w:val="0"/>
          <w:w w:val="100"/>
          <w:kern w:val="21"/>
          <w:position w:val="0"/>
          <w:sz w:val="20"/>
          <w:szCs w:val="20"/>
        </w:rPr>
        <w:fldChar w:fldCharType="begin"/>
      </w:r>
      <w:r>
        <w:rPr>
          <w:rFonts w:ascii="Times New Roman" w:hAnsi="Times New Roman" w:eastAsia="Times New Roman" w:cs="Times New Roman"/>
          <w:snapToGrid/>
          <w:spacing w:val="0"/>
          <w:w w:val="100"/>
          <w:kern w:val="21"/>
          <w:position w:val="0"/>
          <w:sz w:val="20"/>
          <w:szCs w:val="20"/>
        </w:rPr>
        <w:instrText xml:space="preserve"> HYPERLINK "http://www.creditchina.gov.cn/" </w:instrText>
      </w:r>
      <w:r>
        <w:rPr>
          <w:rFonts w:ascii="Times New Roman" w:hAnsi="Times New Roman" w:eastAsia="Times New Roman" w:cs="Times New Roman"/>
          <w:snapToGrid/>
          <w:spacing w:val="0"/>
          <w:w w:val="100"/>
          <w:kern w:val="21"/>
          <w:position w:val="0"/>
          <w:sz w:val="20"/>
          <w:szCs w:val="20"/>
        </w:rPr>
        <w:fldChar w:fldCharType="separate"/>
      </w:r>
      <w:r>
        <w:rPr>
          <w:rFonts w:ascii="Times New Roman" w:hAnsi="Times New Roman" w:eastAsia="Times New Roman" w:cs="Times New Roman"/>
          <w:snapToGrid/>
          <w:spacing w:val="0"/>
          <w:w w:val="100"/>
          <w:kern w:val="21"/>
          <w:position w:val="0"/>
          <w:sz w:val="20"/>
          <w:szCs w:val="20"/>
        </w:rPr>
        <w:t>http://www.creditchina.gov.cn/</w:t>
      </w:r>
      <w:r>
        <w:rPr>
          <w:rFonts w:ascii="Times New Roman" w:hAnsi="Times New Roman" w:eastAsia="Times New Roman" w:cs="Times New Roman"/>
          <w:snapToGrid/>
          <w:spacing w:val="0"/>
          <w:w w:val="100"/>
          <w:kern w:val="21"/>
          <w:position w:val="0"/>
          <w:sz w:val="20"/>
          <w:szCs w:val="20"/>
        </w:rPr>
        <w:fldChar w:fldCharType="end"/>
      </w:r>
      <w:r>
        <w:rPr>
          <w:rFonts w:ascii="Times New Roman" w:hAnsi="Times New Roman" w:eastAsia="Times New Roman" w:cs="Times New Roman"/>
          <w:snapToGrid/>
          <w:spacing w:val="0"/>
          <w:w w:val="100"/>
          <w:kern w:val="21"/>
          <w:position w:val="0"/>
          <w:sz w:val="20"/>
          <w:szCs w:val="20"/>
        </w:rPr>
        <w:t>）中被列入重大税收违法失 信主体；</w:t>
      </w:r>
    </w:p>
    <w:p w14:paraId="68EE14F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（18）在“信用中国”网站（</w:t>
      </w:r>
      <w:r>
        <w:rPr>
          <w:rFonts w:ascii="Times New Roman" w:hAnsi="Times New Roman" w:eastAsia="Times New Roman" w:cs="Times New Roman"/>
          <w:snapToGrid/>
          <w:spacing w:val="0"/>
          <w:w w:val="100"/>
          <w:kern w:val="21"/>
          <w:position w:val="0"/>
          <w:sz w:val="20"/>
          <w:szCs w:val="20"/>
        </w:rPr>
        <w:fldChar w:fldCharType="begin"/>
      </w:r>
      <w:r>
        <w:rPr>
          <w:rFonts w:ascii="Times New Roman" w:hAnsi="Times New Roman" w:eastAsia="Times New Roman" w:cs="Times New Roman"/>
          <w:snapToGrid/>
          <w:spacing w:val="0"/>
          <w:w w:val="100"/>
          <w:kern w:val="21"/>
          <w:position w:val="0"/>
          <w:sz w:val="20"/>
          <w:szCs w:val="20"/>
        </w:rPr>
        <w:instrText xml:space="preserve"> HYPERLINK "http://www.creditchina.gov.cn/" </w:instrText>
      </w:r>
      <w:r>
        <w:rPr>
          <w:rFonts w:ascii="Times New Roman" w:hAnsi="Times New Roman" w:eastAsia="Times New Roman" w:cs="Times New Roman"/>
          <w:snapToGrid/>
          <w:spacing w:val="0"/>
          <w:w w:val="100"/>
          <w:kern w:val="21"/>
          <w:position w:val="0"/>
          <w:sz w:val="20"/>
          <w:szCs w:val="20"/>
        </w:rPr>
        <w:fldChar w:fldCharType="separate"/>
      </w:r>
      <w:r>
        <w:rPr>
          <w:rFonts w:ascii="Times New Roman" w:hAnsi="Times New Roman" w:eastAsia="Times New Roman" w:cs="Times New Roman"/>
          <w:snapToGrid/>
          <w:spacing w:val="0"/>
          <w:w w:val="100"/>
          <w:kern w:val="21"/>
          <w:position w:val="0"/>
          <w:sz w:val="20"/>
          <w:szCs w:val="20"/>
        </w:rPr>
        <w:t>http://www.creditchina.gov.cn/</w:t>
      </w:r>
      <w:r>
        <w:rPr>
          <w:rFonts w:ascii="Times New Roman" w:hAnsi="Times New Roman" w:eastAsia="Times New Roman" w:cs="Times New Roman"/>
          <w:snapToGrid/>
          <w:spacing w:val="0"/>
          <w:w w:val="100"/>
          <w:kern w:val="21"/>
          <w:position w:val="0"/>
          <w:sz w:val="20"/>
          <w:szCs w:val="20"/>
        </w:rPr>
        <w:fldChar w:fldCharType="end"/>
      </w:r>
      <w:r>
        <w:rPr>
          <w:rFonts w:ascii="Times New Roman" w:hAnsi="Times New Roman" w:eastAsia="Times New Roman" w:cs="Times New Roman"/>
          <w:snapToGrid/>
          <w:spacing w:val="0"/>
          <w:w w:val="100"/>
          <w:kern w:val="21"/>
          <w:position w:val="0"/>
          <w:sz w:val="20"/>
          <w:szCs w:val="20"/>
        </w:rPr>
        <w:t xml:space="preserve"> ）中被列入拖欠农民工工资失信 联合惩戒对象名单；</w:t>
      </w:r>
    </w:p>
    <w:p w14:paraId="564C0CF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（19）在近三年内投标人或其法定代表人、拟任项目负责人有行贿犯罪行为的；</w:t>
      </w:r>
    </w:p>
    <w:p w14:paraId="6921A81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（20）投标时（以投标截止时间为准），有被项目所在地市级及县区各行业主管部门或公共 资源交易监管部门限制投标的不良行为记录（有效期内）；</w:t>
      </w:r>
    </w:p>
    <w:p w14:paraId="3E102DB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（21）法律法规或投标人须知前附表规定的其他情形。</w:t>
      </w:r>
    </w:p>
    <w:p w14:paraId="3BCC822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5" w:name="_Toc29519"/>
      <w:r>
        <w:rPr>
          <w:rFonts w:ascii="Times New Roman" w:hAnsi="Times New Roman" w:eastAsia="Times New Roman" w:cs="Times New Roman"/>
          <w:b/>
          <w:bCs/>
          <w:snapToGrid/>
          <w:spacing w:val="0"/>
          <w:w w:val="100"/>
          <w:kern w:val="21"/>
          <w:position w:val="0"/>
          <w:sz w:val="28"/>
          <w:szCs w:val="28"/>
        </w:rPr>
        <w:t xml:space="preserve">1.5  </w:t>
      </w:r>
      <w:r>
        <w:rPr>
          <w:rFonts w:ascii="宋体" w:hAnsi="宋体" w:eastAsia="宋体" w:cs="宋体"/>
          <w:b/>
          <w:bCs/>
          <w:snapToGrid/>
          <w:spacing w:val="0"/>
          <w:w w:val="100"/>
          <w:kern w:val="21"/>
          <w:position w:val="0"/>
          <w:sz w:val="28"/>
          <w:szCs w:val="28"/>
        </w:rPr>
        <w:t>费用承担</w:t>
      </w:r>
      <w:bookmarkEnd w:id="45"/>
    </w:p>
    <w:p w14:paraId="158F899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投标人准备和参加投标活动发生的费用自理。</w:t>
      </w:r>
    </w:p>
    <w:p w14:paraId="5BAA8F4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6" w:name="_Toc26469"/>
      <w:r>
        <w:rPr>
          <w:rFonts w:ascii="Times New Roman" w:hAnsi="Times New Roman" w:eastAsia="Times New Roman" w:cs="Times New Roman"/>
          <w:b/>
          <w:bCs/>
          <w:snapToGrid/>
          <w:spacing w:val="0"/>
          <w:w w:val="100"/>
          <w:kern w:val="21"/>
          <w:position w:val="0"/>
          <w:sz w:val="28"/>
          <w:szCs w:val="28"/>
        </w:rPr>
        <w:t xml:space="preserve">1.6  </w:t>
      </w:r>
      <w:r>
        <w:rPr>
          <w:rFonts w:ascii="宋体" w:hAnsi="宋体" w:eastAsia="宋体" w:cs="宋体"/>
          <w:b/>
          <w:bCs/>
          <w:snapToGrid/>
          <w:spacing w:val="0"/>
          <w:w w:val="100"/>
          <w:kern w:val="21"/>
          <w:position w:val="0"/>
          <w:sz w:val="28"/>
          <w:szCs w:val="28"/>
        </w:rPr>
        <w:t>保密</w:t>
      </w:r>
      <w:bookmarkEnd w:id="46"/>
    </w:p>
    <w:p w14:paraId="718B5B0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参与招标投标活动的各方应对招标文件和投标文件中的商业和技术等秘密保密，否则应承担相 应的法律责任。</w:t>
      </w:r>
    </w:p>
    <w:p w14:paraId="22B16DC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7" w:name="_Toc29793"/>
      <w:r>
        <w:rPr>
          <w:rFonts w:ascii="Times New Roman" w:hAnsi="Times New Roman" w:eastAsia="Times New Roman" w:cs="Times New Roman"/>
          <w:b/>
          <w:bCs/>
          <w:snapToGrid/>
          <w:spacing w:val="0"/>
          <w:w w:val="100"/>
          <w:kern w:val="21"/>
          <w:position w:val="0"/>
          <w:sz w:val="28"/>
          <w:szCs w:val="28"/>
        </w:rPr>
        <w:t xml:space="preserve">1.7  </w:t>
      </w:r>
      <w:r>
        <w:rPr>
          <w:rFonts w:ascii="宋体" w:hAnsi="宋体" w:eastAsia="宋体" w:cs="宋体"/>
          <w:b/>
          <w:bCs/>
          <w:snapToGrid/>
          <w:spacing w:val="0"/>
          <w:w w:val="100"/>
          <w:kern w:val="21"/>
          <w:position w:val="0"/>
          <w:sz w:val="28"/>
          <w:szCs w:val="28"/>
        </w:rPr>
        <w:t>语言文字</w:t>
      </w:r>
      <w:bookmarkEnd w:id="47"/>
    </w:p>
    <w:p w14:paraId="720F78C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招标投标文件使用的语言文字为中文。专用术语使用外文的，应附有中文注释。</w:t>
      </w:r>
    </w:p>
    <w:p w14:paraId="5D15BA9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8" w:name="_Toc15845"/>
      <w:r>
        <w:rPr>
          <w:rFonts w:ascii="Times New Roman" w:hAnsi="Times New Roman" w:eastAsia="Times New Roman" w:cs="Times New Roman"/>
          <w:b/>
          <w:bCs/>
          <w:snapToGrid/>
          <w:spacing w:val="0"/>
          <w:w w:val="100"/>
          <w:kern w:val="21"/>
          <w:position w:val="0"/>
          <w:sz w:val="28"/>
          <w:szCs w:val="28"/>
        </w:rPr>
        <w:t xml:space="preserve">1.8  </w:t>
      </w:r>
      <w:r>
        <w:rPr>
          <w:rFonts w:ascii="宋体" w:hAnsi="宋体" w:eastAsia="宋体" w:cs="宋体"/>
          <w:b/>
          <w:bCs/>
          <w:snapToGrid/>
          <w:spacing w:val="0"/>
          <w:w w:val="100"/>
          <w:kern w:val="21"/>
          <w:position w:val="0"/>
          <w:sz w:val="28"/>
          <w:szCs w:val="28"/>
        </w:rPr>
        <w:t>计量单位</w:t>
      </w:r>
      <w:bookmarkEnd w:id="48"/>
    </w:p>
    <w:p w14:paraId="3EE0296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所有计量均采用中华人民共和国法定计量单位。</w:t>
      </w:r>
    </w:p>
    <w:p w14:paraId="5AFC0D4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49" w:name="_Toc19297"/>
      <w:r>
        <w:rPr>
          <w:rFonts w:ascii="Times New Roman" w:hAnsi="Times New Roman" w:eastAsia="Times New Roman" w:cs="Times New Roman"/>
          <w:b/>
          <w:bCs/>
          <w:snapToGrid/>
          <w:spacing w:val="0"/>
          <w:w w:val="100"/>
          <w:kern w:val="21"/>
          <w:position w:val="0"/>
          <w:sz w:val="28"/>
          <w:szCs w:val="28"/>
        </w:rPr>
        <w:t xml:space="preserve">1.9  </w:t>
      </w:r>
      <w:r>
        <w:rPr>
          <w:rFonts w:ascii="宋体" w:hAnsi="宋体" w:eastAsia="宋体" w:cs="宋体"/>
          <w:b/>
          <w:bCs/>
          <w:snapToGrid/>
          <w:spacing w:val="0"/>
          <w:w w:val="100"/>
          <w:kern w:val="21"/>
          <w:position w:val="0"/>
          <w:sz w:val="28"/>
          <w:szCs w:val="28"/>
        </w:rPr>
        <w:t>踏勘现场</w:t>
      </w:r>
      <w:bookmarkEnd w:id="49"/>
    </w:p>
    <w:p w14:paraId="40DACEE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1.9.1  投标人须知前附表规定组织踏勘现场的，招标人按投标人须知前附表规定的时间、地点组 织投标人踏勘项目现场。部分投标人未按时参加踏勘现场的，不影响踏勘现场的正常进行。</w:t>
      </w:r>
    </w:p>
    <w:p w14:paraId="00D36FC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1.9.2  投标人踏勘现场发生的费用自理。</w:t>
      </w:r>
    </w:p>
    <w:p w14:paraId="49EF788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1.9.3  除招标人的原因外，投标人自行负责在踏勘现场中所发生的人员伤亡和财产损失。</w:t>
      </w:r>
    </w:p>
    <w:p w14:paraId="655B6A1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1.9.4  招标人在踏勘现场中介绍的工程场地和相关的周边环境情况，供投标人在编制投标文件时 参考，招标人不对投标人据此作出的判断和决策负责。</w:t>
      </w:r>
    </w:p>
    <w:p w14:paraId="11E74C4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0" w:name="_Toc29316"/>
      <w:r>
        <w:rPr>
          <w:rFonts w:ascii="Times New Roman" w:hAnsi="Times New Roman" w:eastAsia="Times New Roman" w:cs="Times New Roman"/>
          <w:b/>
          <w:bCs/>
          <w:snapToGrid/>
          <w:spacing w:val="0"/>
          <w:w w:val="100"/>
          <w:kern w:val="21"/>
          <w:position w:val="0"/>
          <w:sz w:val="28"/>
          <w:szCs w:val="28"/>
        </w:rPr>
        <w:t xml:space="preserve">1.10  </w:t>
      </w:r>
      <w:r>
        <w:rPr>
          <w:rFonts w:ascii="宋体" w:hAnsi="宋体" w:eastAsia="宋体" w:cs="宋体"/>
          <w:b/>
          <w:bCs/>
          <w:snapToGrid/>
          <w:spacing w:val="0"/>
          <w:w w:val="100"/>
          <w:kern w:val="21"/>
          <w:position w:val="0"/>
          <w:sz w:val="28"/>
          <w:szCs w:val="28"/>
        </w:rPr>
        <w:t>投标预备会</w:t>
      </w:r>
      <w:bookmarkEnd w:id="50"/>
    </w:p>
    <w:p w14:paraId="3E453EF1">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1.10.1  </w:t>
      </w:r>
      <w:r>
        <w:rPr>
          <w:rFonts w:ascii="宋体" w:hAnsi="宋体" w:eastAsia="宋体" w:cs="宋体"/>
          <w:snapToGrid/>
          <w:spacing w:val="0"/>
          <w:w w:val="100"/>
          <w:kern w:val="21"/>
          <w:position w:val="0"/>
          <w:sz w:val="20"/>
          <w:szCs w:val="20"/>
        </w:rPr>
        <w:t>投标人须知前附表规定召开投标预备会的，招标人按投标人须知前附表规定的时间和地 点召开投标预备会，澄清投标人提出的问题。</w:t>
      </w:r>
    </w:p>
    <w:p w14:paraId="4905245C">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1.10.2 </w:t>
      </w:r>
      <w:r>
        <w:rPr>
          <w:rFonts w:ascii="宋体" w:hAnsi="宋体" w:eastAsia="宋体" w:cs="宋体"/>
          <w:snapToGrid/>
          <w:spacing w:val="0"/>
          <w:w w:val="100"/>
          <w:kern w:val="21"/>
          <w:position w:val="0"/>
          <w:sz w:val="20"/>
          <w:szCs w:val="20"/>
        </w:rPr>
        <w:t>投标人应按投标人须知前附表规定的时间和形式将提出的问题送达招标人， 以便招标人 在会议期间澄清。</w:t>
      </w:r>
    </w:p>
    <w:p w14:paraId="562B2641">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1.10.3 </w:t>
      </w:r>
      <w:r>
        <w:rPr>
          <w:rFonts w:ascii="宋体" w:hAnsi="宋体" w:eastAsia="宋体" w:cs="宋体"/>
          <w:snapToGrid/>
          <w:spacing w:val="0"/>
          <w:w w:val="100"/>
          <w:kern w:val="21"/>
          <w:position w:val="0"/>
          <w:sz w:val="20"/>
          <w:szCs w:val="20"/>
        </w:rPr>
        <w:t>投标预备会后，招标人将对投标人所提问题的澄清， 以投标人须知前附表规定的形式通 知所有购买招标文件的投标人。该澄清内容为招标文件的组成部分。</w:t>
      </w:r>
    </w:p>
    <w:p w14:paraId="38624D5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1" w:name="_Toc9537"/>
      <w:r>
        <w:rPr>
          <w:rFonts w:ascii="Times New Roman" w:hAnsi="Times New Roman" w:eastAsia="Times New Roman" w:cs="Times New Roman"/>
          <w:b/>
          <w:bCs/>
          <w:snapToGrid/>
          <w:spacing w:val="0"/>
          <w:w w:val="100"/>
          <w:kern w:val="21"/>
          <w:position w:val="0"/>
          <w:sz w:val="28"/>
          <w:szCs w:val="28"/>
        </w:rPr>
        <w:t xml:space="preserve">1.11  </w:t>
      </w:r>
      <w:r>
        <w:rPr>
          <w:rFonts w:ascii="宋体" w:hAnsi="宋体" w:eastAsia="宋体" w:cs="宋体"/>
          <w:b/>
          <w:bCs/>
          <w:snapToGrid/>
          <w:spacing w:val="0"/>
          <w:w w:val="100"/>
          <w:kern w:val="21"/>
          <w:position w:val="0"/>
          <w:sz w:val="28"/>
          <w:szCs w:val="28"/>
        </w:rPr>
        <w:t>分包</w:t>
      </w:r>
      <w:bookmarkEnd w:id="51"/>
    </w:p>
    <w:p w14:paraId="10DC2AE3">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1.11.1  </w:t>
      </w:r>
      <w:r>
        <w:rPr>
          <w:rFonts w:ascii="宋体" w:hAnsi="宋体" w:eastAsia="宋体" w:cs="宋体"/>
          <w:snapToGrid/>
          <w:spacing w:val="0"/>
          <w:w w:val="100"/>
          <w:kern w:val="21"/>
          <w:position w:val="0"/>
          <w:sz w:val="20"/>
          <w:szCs w:val="20"/>
        </w:rPr>
        <w:t>投标人拟在中标后将中标项目的非主体、非关键性工作进行分包的，应符合投标人须知 前附表规定的分包内容、分包金额和资质要求等限制性条件，除投标人须知前附表规定的非主体、 非关键性工作外，其他工作不得分包。</w:t>
      </w:r>
    </w:p>
    <w:p w14:paraId="6579F9EF">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1.11.2  </w:t>
      </w:r>
      <w:r>
        <w:rPr>
          <w:rFonts w:ascii="宋体" w:hAnsi="宋体" w:eastAsia="宋体" w:cs="宋体"/>
          <w:snapToGrid/>
          <w:spacing w:val="0"/>
          <w:w w:val="100"/>
          <w:kern w:val="21"/>
          <w:position w:val="0"/>
          <w:sz w:val="20"/>
          <w:szCs w:val="20"/>
        </w:rPr>
        <w:t>中标人不得向他人转让中标项目，接受分包的人不得再次分包。中标人应当就分包项目 向招标人负责，接受分包的人就分包项目承担连带责任。</w:t>
      </w:r>
    </w:p>
    <w:p w14:paraId="71EDC1A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2" w:name="_Toc4044"/>
      <w:r>
        <w:rPr>
          <w:rFonts w:ascii="Times New Roman" w:hAnsi="Times New Roman" w:eastAsia="Times New Roman" w:cs="Times New Roman"/>
          <w:b/>
          <w:bCs/>
          <w:snapToGrid/>
          <w:spacing w:val="0"/>
          <w:w w:val="100"/>
          <w:kern w:val="21"/>
          <w:position w:val="0"/>
          <w:sz w:val="28"/>
          <w:szCs w:val="28"/>
        </w:rPr>
        <w:t xml:space="preserve">1.12  </w:t>
      </w:r>
      <w:r>
        <w:rPr>
          <w:rFonts w:ascii="宋体" w:hAnsi="宋体" w:eastAsia="宋体" w:cs="宋体"/>
          <w:b/>
          <w:bCs/>
          <w:snapToGrid/>
          <w:spacing w:val="0"/>
          <w:w w:val="100"/>
          <w:kern w:val="21"/>
          <w:position w:val="0"/>
          <w:sz w:val="28"/>
          <w:szCs w:val="28"/>
        </w:rPr>
        <w:t>响应与偏差</w:t>
      </w:r>
      <w:bookmarkEnd w:id="52"/>
    </w:p>
    <w:p w14:paraId="445D5881">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1.12.1</w:t>
      </w:r>
      <w:r>
        <w:rPr>
          <w:rFonts w:ascii="宋体" w:hAnsi="宋体" w:eastAsia="宋体" w:cs="宋体"/>
          <w:snapToGrid/>
          <w:spacing w:val="0"/>
          <w:w w:val="100"/>
          <w:kern w:val="21"/>
          <w:position w:val="0"/>
          <w:sz w:val="20"/>
          <w:szCs w:val="20"/>
        </w:rPr>
        <w:t>投标文件应当对招标文件的实质性要求和条件作出满足性或更有利于招标人的响应，否 则，投标人的投标将被否决。实质性要求和条件见投标人须知前附表。</w:t>
      </w:r>
    </w:p>
    <w:p w14:paraId="5D174D9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1.12.2  </w:t>
      </w:r>
      <w:r>
        <w:rPr>
          <w:rFonts w:ascii="宋体" w:hAnsi="宋体" w:eastAsia="宋体" w:cs="宋体"/>
          <w:snapToGrid/>
          <w:spacing w:val="0"/>
          <w:w w:val="100"/>
          <w:kern w:val="21"/>
          <w:position w:val="0"/>
          <w:sz w:val="20"/>
          <w:szCs w:val="20"/>
        </w:rPr>
        <w:t>投标人应根据招标文件的要求提供投标技术标准和要求等内容以对招标文件作出响应。</w:t>
      </w:r>
    </w:p>
    <w:p w14:paraId="36AB2B7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1.12.3  </w:t>
      </w:r>
      <w:r>
        <w:rPr>
          <w:rFonts w:ascii="宋体" w:hAnsi="宋体" w:eastAsia="宋体" w:cs="宋体"/>
          <w:snapToGrid/>
          <w:spacing w:val="0"/>
          <w:w w:val="100"/>
          <w:kern w:val="21"/>
          <w:position w:val="0"/>
          <w:sz w:val="20"/>
          <w:szCs w:val="20"/>
        </w:rPr>
        <w:t>投标人须知前附表允许投标文件偏离招标文件某些要求的，偏差应当符合招标文件规定 的偏差范围和幅度。</w:t>
      </w:r>
    </w:p>
    <w:p w14:paraId="253911A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53" w:name="bookmark115"/>
      <w:bookmarkEnd w:id="53"/>
      <w:bookmarkStart w:id="54" w:name="_Toc5720"/>
      <w:r>
        <w:rPr>
          <w:rFonts w:ascii="宋体" w:hAnsi="宋体" w:eastAsia="宋体" w:cs="宋体"/>
          <w:b/>
          <w:bCs/>
          <w:snapToGrid/>
          <w:spacing w:val="0"/>
          <w:w w:val="100"/>
          <w:kern w:val="21"/>
          <w:position w:val="0"/>
          <w:sz w:val="31"/>
          <w:szCs w:val="31"/>
        </w:rPr>
        <w:t>2．招标文件</w:t>
      </w:r>
      <w:bookmarkEnd w:id="54"/>
    </w:p>
    <w:p w14:paraId="4E65E9A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5" w:name="_Toc1242"/>
      <w:r>
        <w:rPr>
          <w:rFonts w:ascii="Times New Roman" w:hAnsi="Times New Roman" w:eastAsia="Times New Roman" w:cs="Times New Roman"/>
          <w:b/>
          <w:bCs/>
          <w:snapToGrid/>
          <w:spacing w:val="0"/>
          <w:w w:val="100"/>
          <w:kern w:val="21"/>
          <w:position w:val="0"/>
          <w:sz w:val="28"/>
          <w:szCs w:val="28"/>
        </w:rPr>
        <w:t xml:space="preserve">2.1  </w:t>
      </w:r>
      <w:r>
        <w:rPr>
          <w:rFonts w:ascii="宋体" w:hAnsi="宋体" w:eastAsia="宋体" w:cs="宋体"/>
          <w:b/>
          <w:bCs/>
          <w:snapToGrid/>
          <w:spacing w:val="0"/>
          <w:w w:val="100"/>
          <w:kern w:val="21"/>
          <w:position w:val="0"/>
          <w:sz w:val="28"/>
          <w:szCs w:val="28"/>
        </w:rPr>
        <w:t>招标文件的组成</w:t>
      </w:r>
      <w:bookmarkEnd w:id="55"/>
    </w:p>
    <w:p w14:paraId="7E88CC9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本招标文件包括：</w:t>
      </w:r>
    </w:p>
    <w:p w14:paraId="2353222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 招标公告；</w:t>
      </w:r>
    </w:p>
    <w:p w14:paraId="24CDCD0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 投标人须知；</w:t>
      </w:r>
    </w:p>
    <w:p w14:paraId="14EF235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 评标办法；</w:t>
      </w:r>
    </w:p>
    <w:p w14:paraId="508FF27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 合同条款及格式；</w:t>
      </w:r>
    </w:p>
    <w:p w14:paraId="26EC19A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 工程量清单；</w:t>
      </w:r>
    </w:p>
    <w:p w14:paraId="64EAB9A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6</w:t>
      </w:r>
      <w:r>
        <w:rPr>
          <w:rFonts w:ascii="宋体" w:hAnsi="宋体" w:eastAsia="宋体" w:cs="宋体"/>
          <w:snapToGrid/>
          <w:spacing w:val="0"/>
          <w:w w:val="100"/>
          <w:kern w:val="21"/>
          <w:position w:val="0"/>
          <w:sz w:val="20"/>
          <w:szCs w:val="20"/>
        </w:rPr>
        <w:t>） 图纸；</w:t>
      </w:r>
    </w:p>
    <w:p w14:paraId="20257E7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7</w:t>
      </w:r>
      <w:r>
        <w:rPr>
          <w:rFonts w:ascii="宋体" w:hAnsi="宋体" w:eastAsia="宋体" w:cs="宋体"/>
          <w:snapToGrid/>
          <w:spacing w:val="0"/>
          <w:w w:val="100"/>
          <w:kern w:val="21"/>
          <w:position w:val="0"/>
          <w:sz w:val="20"/>
          <w:szCs w:val="20"/>
        </w:rPr>
        <w:t>） 技术标准和要求；</w:t>
      </w:r>
    </w:p>
    <w:p w14:paraId="7621D99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8</w:t>
      </w:r>
      <w:r>
        <w:rPr>
          <w:rFonts w:ascii="宋体" w:hAnsi="宋体" w:eastAsia="宋体" w:cs="宋体"/>
          <w:snapToGrid/>
          <w:spacing w:val="0"/>
          <w:w w:val="100"/>
          <w:kern w:val="21"/>
          <w:position w:val="0"/>
          <w:sz w:val="20"/>
          <w:szCs w:val="20"/>
        </w:rPr>
        <w:t>） 投标文件格式；</w:t>
      </w:r>
    </w:p>
    <w:p w14:paraId="18C1ED8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9</w:t>
      </w:r>
      <w:r>
        <w:rPr>
          <w:rFonts w:ascii="宋体" w:hAnsi="宋体" w:eastAsia="宋体" w:cs="宋体"/>
          <w:snapToGrid/>
          <w:spacing w:val="0"/>
          <w:w w:val="100"/>
          <w:kern w:val="21"/>
          <w:position w:val="0"/>
          <w:sz w:val="20"/>
          <w:szCs w:val="20"/>
        </w:rPr>
        <w:t>） 投标人须知前附表规定的其他材料。</w:t>
      </w:r>
    </w:p>
    <w:p w14:paraId="5DC04C5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根据本章第 </w:t>
      </w:r>
      <w:r>
        <w:rPr>
          <w:rFonts w:ascii="Times New Roman" w:hAnsi="Times New Roman" w:eastAsia="Times New Roman" w:cs="Times New Roman"/>
          <w:snapToGrid/>
          <w:spacing w:val="0"/>
          <w:w w:val="100"/>
          <w:kern w:val="21"/>
          <w:position w:val="0"/>
          <w:sz w:val="20"/>
          <w:szCs w:val="20"/>
        </w:rPr>
        <w:t xml:space="preserve">1.10 </w:t>
      </w:r>
      <w:r>
        <w:rPr>
          <w:rFonts w:ascii="宋体" w:hAnsi="宋体" w:eastAsia="宋体" w:cs="宋体"/>
          <w:snapToGrid/>
          <w:spacing w:val="0"/>
          <w:w w:val="100"/>
          <w:kern w:val="21"/>
          <w:position w:val="0"/>
          <w:sz w:val="20"/>
          <w:szCs w:val="20"/>
        </w:rPr>
        <w:t xml:space="preserve">款、第 </w:t>
      </w:r>
      <w:r>
        <w:rPr>
          <w:rFonts w:ascii="Times New Roman" w:hAnsi="Times New Roman" w:eastAsia="Times New Roman" w:cs="Times New Roman"/>
          <w:snapToGrid/>
          <w:spacing w:val="0"/>
          <w:w w:val="100"/>
          <w:kern w:val="21"/>
          <w:position w:val="0"/>
          <w:sz w:val="20"/>
          <w:szCs w:val="20"/>
        </w:rPr>
        <w:t xml:space="preserve">2.2 </w:t>
      </w:r>
      <w:r>
        <w:rPr>
          <w:rFonts w:ascii="宋体" w:hAnsi="宋体" w:eastAsia="宋体" w:cs="宋体"/>
          <w:snapToGrid/>
          <w:spacing w:val="0"/>
          <w:w w:val="100"/>
          <w:kern w:val="21"/>
          <w:position w:val="0"/>
          <w:sz w:val="20"/>
          <w:szCs w:val="20"/>
        </w:rPr>
        <w:t>款和第</w:t>
      </w:r>
      <w:r>
        <w:rPr>
          <w:rFonts w:ascii="Times New Roman" w:hAnsi="Times New Roman" w:eastAsia="Times New Roman" w:cs="Times New Roman"/>
          <w:snapToGrid/>
          <w:spacing w:val="0"/>
          <w:w w:val="100"/>
          <w:kern w:val="21"/>
          <w:position w:val="0"/>
          <w:sz w:val="20"/>
          <w:szCs w:val="20"/>
        </w:rPr>
        <w:t xml:space="preserve">2.3 </w:t>
      </w:r>
      <w:r>
        <w:rPr>
          <w:rFonts w:ascii="宋体" w:hAnsi="宋体" w:eastAsia="宋体" w:cs="宋体"/>
          <w:snapToGrid/>
          <w:spacing w:val="0"/>
          <w:w w:val="100"/>
          <w:kern w:val="21"/>
          <w:position w:val="0"/>
          <w:sz w:val="20"/>
          <w:szCs w:val="20"/>
        </w:rPr>
        <w:t>款对招标文件所作的澄清、修改，构成招标文件的组成 部分。</w:t>
      </w:r>
    </w:p>
    <w:p w14:paraId="552D450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6" w:name="_Toc29901"/>
      <w:r>
        <w:rPr>
          <w:rFonts w:ascii="Times New Roman" w:hAnsi="Times New Roman" w:eastAsia="Times New Roman" w:cs="Times New Roman"/>
          <w:b/>
          <w:bCs/>
          <w:snapToGrid/>
          <w:spacing w:val="0"/>
          <w:w w:val="100"/>
          <w:kern w:val="21"/>
          <w:position w:val="0"/>
          <w:sz w:val="28"/>
          <w:szCs w:val="28"/>
        </w:rPr>
        <w:t xml:space="preserve">2.2  </w:t>
      </w:r>
      <w:r>
        <w:rPr>
          <w:rFonts w:ascii="宋体" w:hAnsi="宋体" w:eastAsia="宋体" w:cs="宋体"/>
          <w:b/>
          <w:bCs/>
          <w:snapToGrid/>
          <w:spacing w:val="0"/>
          <w:w w:val="100"/>
          <w:kern w:val="21"/>
          <w:position w:val="0"/>
          <w:sz w:val="28"/>
          <w:szCs w:val="28"/>
        </w:rPr>
        <w:t>招标文件的澄清</w:t>
      </w:r>
      <w:bookmarkEnd w:id="56"/>
    </w:p>
    <w:p w14:paraId="5E782C07">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2.2.1  </w:t>
      </w:r>
      <w:r>
        <w:rPr>
          <w:rFonts w:ascii="宋体" w:hAnsi="宋体" w:eastAsia="宋体" w:cs="宋体"/>
          <w:snapToGrid/>
          <w:spacing w:val="0"/>
          <w:w w:val="100"/>
          <w:kern w:val="21"/>
          <w:position w:val="0"/>
          <w:sz w:val="20"/>
          <w:szCs w:val="20"/>
        </w:rPr>
        <w:t>投标人应仔细阅读和检查招标文件的全部内容。如发现缺页或附件不全，应及时向招标人 提出， 以便补齐。如有疑问，应按投标人须知前附表规定的时间和形式将提出的问题送达招标人，要求招标人对招标文件予以澄清。</w:t>
      </w:r>
    </w:p>
    <w:p w14:paraId="1DC5671B">
      <w:pPr>
        <w:keepNext w:val="0"/>
        <w:keepLines w:val="0"/>
        <w:pageBreakBefore w:val="0"/>
        <w:widowControl w:val="0"/>
        <w:kinsoku/>
        <w:wordWrap w:val="0"/>
        <w:overflowPunct/>
        <w:topLinePunct/>
        <w:autoSpaceDE w:val="0"/>
        <w:autoSpaceDN/>
        <w:bidi w:val="0"/>
        <w:adjustRightInd/>
        <w:snapToGrid/>
        <w:spacing w:line="560" w:lineRule="exact"/>
        <w:ind w:left="0" w:right="0" w:firstLine="39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2.2.2 </w:t>
      </w:r>
      <w:r>
        <w:rPr>
          <w:rFonts w:ascii="宋体" w:hAnsi="宋体" w:eastAsia="宋体" w:cs="宋体"/>
          <w:snapToGrid/>
          <w:spacing w:val="0"/>
          <w:w w:val="100"/>
          <w:kern w:val="21"/>
          <w:position w:val="0"/>
          <w:sz w:val="20"/>
          <w:szCs w:val="20"/>
        </w:rPr>
        <w:t xml:space="preserve">招标文件的澄清以投标人须知前附表规定的形式发给所有购买招标文件的投标人，但不指 明澄清问题的来源。澄清发出的时间距本章第 </w:t>
      </w:r>
      <w:r>
        <w:rPr>
          <w:rFonts w:ascii="Times New Roman" w:hAnsi="Times New Roman" w:eastAsia="Times New Roman" w:cs="Times New Roman"/>
          <w:snapToGrid/>
          <w:spacing w:val="0"/>
          <w:w w:val="100"/>
          <w:kern w:val="21"/>
          <w:position w:val="0"/>
          <w:sz w:val="20"/>
          <w:szCs w:val="20"/>
        </w:rPr>
        <w:t xml:space="preserve">4.2.1 </w:t>
      </w:r>
      <w:r>
        <w:rPr>
          <w:rFonts w:ascii="宋体" w:hAnsi="宋体" w:eastAsia="宋体" w:cs="宋体"/>
          <w:snapToGrid/>
          <w:spacing w:val="0"/>
          <w:w w:val="100"/>
          <w:kern w:val="21"/>
          <w:position w:val="0"/>
          <w:sz w:val="20"/>
          <w:szCs w:val="20"/>
        </w:rPr>
        <w:t xml:space="preserve">项规定的投标截止时间不足 </w:t>
      </w:r>
      <w:r>
        <w:rPr>
          <w:rFonts w:ascii="Times New Roman" w:hAnsi="Times New Roman" w:eastAsia="Times New Roman" w:cs="Times New Roman"/>
          <w:snapToGrid/>
          <w:spacing w:val="0"/>
          <w:w w:val="100"/>
          <w:kern w:val="21"/>
          <w:position w:val="0"/>
          <w:sz w:val="20"/>
          <w:szCs w:val="20"/>
        </w:rPr>
        <w:t xml:space="preserve">15  </w:t>
      </w:r>
      <w:r>
        <w:rPr>
          <w:rFonts w:ascii="宋体" w:hAnsi="宋体" w:eastAsia="宋体" w:cs="宋体"/>
          <w:snapToGrid/>
          <w:spacing w:val="0"/>
          <w:w w:val="100"/>
          <w:kern w:val="21"/>
          <w:position w:val="0"/>
          <w:sz w:val="20"/>
          <w:szCs w:val="20"/>
        </w:rPr>
        <w:t>日的，并且澄清 内容可能影响投标文件编制的，将相应延长投标截止时间。</w:t>
      </w:r>
    </w:p>
    <w:p w14:paraId="4ADB2772">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2.2.3  </w:t>
      </w:r>
      <w:r>
        <w:rPr>
          <w:rFonts w:ascii="宋体" w:hAnsi="宋体" w:eastAsia="宋体" w:cs="宋体"/>
          <w:snapToGrid/>
          <w:spacing w:val="0"/>
          <w:w w:val="100"/>
          <w:kern w:val="21"/>
          <w:position w:val="0"/>
          <w:sz w:val="20"/>
          <w:szCs w:val="20"/>
        </w:rPr>
        <w:t>投标人在收到澄清后，应按投标人须知前附表规定的时间和形式通知招标人，确认已收到 该澄清。</w:t>
      </w:r>
    </w:p>
    <w:p w14:paraId="07CE1B33">
      <w:pPr>
        <w:keepNext w:val="0"/>
        <w:keepLines w:val="0"/>
        <w:pageBreakBefore w:val="0"/>
        <w:widowControl w:val="0"/>
        <w:kinsoku/>
        <w:wordWrap w:val="0"/>
        <w:overflowPunct/>
        <w:topLinePunct/>
        <w:autoSpaceDE w:val="0"/>
        <w:autoSpaceDN/>
        <w:bidi w:val="0"/>
        <w:adjustRightInd/>
        <w:snapToGrid/>
        <w:spacing w:line="560" w:lineRule="exact"/>
        <w:ind w:left="0" w:right="0" w:firstLine="39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2.2.4  </w:t>
      </w:r>
      <w:r>
        <w:rPr>
          <w:rFonts w:ascii="宋体" w:hAnsi="宋体" w:eastAsia="宋体" w:cs="宋体"/>
          <w:snapToGrid/>
          <w:spacing w:val="0"/>
          <w:w w:val="100"/>
          <w:kern w:val="21"/>
          <w:position w:val="0"/>
          <w:sz w:val="20"/>
          <w:szCs w:val="20"/>
        </w:rPr>
        <w:t xml:space="preserve">除非招标人认为确有必要答复，否则，招标人有权拒绝回复投标人在本章第 </w:t>
      </w:r>
      <w:r>
        <w:rPr>
          <w:rFonts w:ascii="Times New Roman" w:hAnsi="Times New Roman" w:eastAsia="Times New Roman" w:cs="Times New Roman"/>
          <w:snapToGrid/>
          <w:spacing w:val="0"/>
          <w:w w:val="100"/>
          <w:kern w:val="21"/>
          <w:position w:val="0"/>
          <w:sz w:val="20"/>
          <w:szCs w:val="20"/>
        </w:rPr>
        <w:t xml:space="preserve">2.2.1 </w:t>
      </w:r>
      <w:r>
        <w:rPr>
          <w:rFonts w:ascii="宋体" w:hAnsi="宋体" w:eastAsia="宋体" w:cs="宋体"/>
          <w:snapToGrid/>
          <w:spacing w:val="0"/>
          <w:w w:val="100"/>
          <w:kern w:val="21"/>
          <w:position w:val="0"/>
          <w:sz w:val="20"/>
          <w:szCs w:val="20"/>
        </w:rPr>
        <w:t>项规定 的时间后提出的任何澄清要求。</w:t>
      </w:r>
    </w:p>
    <w:p w14:paraId="0B9CA3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30633A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7" w:name="_Toc27835"/>
      <w:r>
        <w:rPr>
          <w:rFonts w:ascii="Times New Roman" w:hAnsi="Times New Roman" w:eastAsia="Times New Roman" w:cs="Times New Roman"/>
          <w:b/>
          <w:bCs/>
          <w:snapToGrid/>
          <w:spacing w:val="0"/>
          <w:w w:val="100"/>
          <w:kern w:val="21"/>
          <w:position w:val="0"/>
          <w:sz w:val="28"/>
          <w:szCs w:val="28"/>
        </w:rPr>
        <w:t xml:space="preserve">2.3  </w:t>
      </w:r>
      <w:r>
        <w:rPr>
          <w:rFonts w:ascii="宋体" w:hAnsi="宋体" w:eastAsia="宋体" w:cs="宋体"/>
          <w:b/>
          <w:bCs/>
          <w:snapToGrid/>
          <w:spacing w:val="0"/>
          <w:w w:val="100"/>
          <w:kern w:val="21"/>
          <w:position w:val="0"/>
          <w:sz w:val="28"/>
          <w:szCs w:val="28"/>
        </w:rPr>
        <w:t>招标文件的修改</w:t>
      </w:r>
      <w:bookmarkEnd w:id="57"/>
    </w:p>
    <w:p w14:paraId="0A5C831B">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2.3.1 </w:t>
      </w:r>
      <w:r>
        <w:rPr>
          <w:rFonts w:ascii="宋体" w:hAnsi="宋体" w:eastAsia="宋体" w:cs="宋体"/>
          <w:snapToGrid/>
          <w:spacing w:val="0"/>
          <w:w w:val="100"/>
          <w:kern w:val="21"/>
          <w:position w:val="0"/>
          <w:sz w:val="20"/>
          <w:szCs w:val="20"/>
        </w:rPr>
        <w:t xml:space="preserve">招标人以投标人须知前附表规定的形式修改招标文件，并通知所有已购买招标文件的投标 人。修改招标文件的时间距本章第 </w:t>
      </w:r>
      <w:r>
        <w:rPr>
          <w:rFonts w:ascii="Times New Roman" w:hAnsi="Times New Roman" w:eastAsia="Times New Roman" w:cs="Times New Roman"/>
          <w:snapToGrid/>
          <w:spacing w:val="0"/>
          <w:w w:val="100"/>
          <w:kern w:val="21"/>
          <w:position w:val="0"/>
          <w:sz w:val="20"/>
          <w:szCs w:val="20"/>
        </w:rPr>
        <w:t xml:space="preserve">4.2.1 </w:t>
      </w:r>
      <w:r>
        <w:rPr>
          <w:rFonts w:ascii="宋体" w:hAnsi="宋体" w:eastAsia="宋体" w:cs="宋体"/>
          <w:snapToGrid/>
          <w:spacing w:val="0"/>
          <w:w w:val="100"/>
          <w:kern w:val="21"/>
          <w:position w:val="0"/>
          <w:sz w:val="20"/>
          <w:szCs w:val="20"/>
        </w:rPr>
        <w:t xml:space="preserve">项规定的投标截止时间不足 </w:t>
      </w:r>
      <w:r>
        <w:rPr>
          <w:rFonts w:ascii="Times New Roman" w:hAnsi="Times New Roman" w:eastAsia="Times New Roman" w:cs="Times New Roman"/>
          <w:snapToGrid/>
          <w:spacing w:val="0"/>
          <w:w w:val="100"/>
          <w:kern w:val="21"/>
          <w:position w:val="0"/>
          <w:sz w:val="20"/>
          <w:szCs w:val="20"/>
        </w:rPr>
        <w:t xml:space="preserve">15  </w:t>
      </w:r>
      <w:r>
        <w:rPr>
          <w:rFonts w:ascii="宋体" w:hAnsi="宋体" w:eastAsia="宋体" w:cs="宋体"/>
          <w:snapToGrid/>
          <w:spacing w:val="0"/>
          <w:w w:val="100"/>
          <w:kern w:val="21"/>
          <w:position w:val="0"/>
          <w:sz w:val="20"/>
          <w:szCs w:val="20"/>
        </w:rPr>
        <w:t>日的，并且修改内容可能影 响投标文件编制的，将相应延长投标截止时间。</w:t>
      </w:r>
    </w:p>
    <w:p w14:paraId="4FF16F3A">
      <w:pPr>
        <w:keepNext w:val="0"/>
        <w:keepLines w:val="0"/>
        <w:pageBreakBefore w:val="0"/>
        <w:widowControl w:val="0"/>
        <w:kinsoku/>
        <w:wordWrap w:val="0"/>
        <w:overflowPunct/>
        <w:topLinePunct/>
        <w:autoSpaceDE w:val="0"/>
        <w:autoSpaceDN/>
        <w:bidi w:val="0"/>
        <w:adjustRightInd/>
        <w:snapToGrid/>
        <w:spacing w:line="560" w:lineRule="exact"/>
        <w:ind w:left="0" w:right="0" w:firstLine="41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2.3.2  </w:t>
      </w:r>
      <w:r>
        <w:rPr>
          <w:rFonts w:ascii="宋体" w:hAnsi="宋体" w:eastAsia="宋体" w:cs="宋体"/>
          <w:snapToGrid/>
          <w:spacing w:val="0"/>
          <w:w w:val="100"/>
          <w:kern w:val="21"/>
          <w:position w:val="0"/>
          <w:sz w:val="20"/>
          <w:szCs w:val="20"/>
        </w:rPr>
        <w:t>投标人收到修改内容后，应按投标人须知前附表规定的时间和形式通知招标人，确认已收 到该修改。</w:t>
      </w:r>
    </w:p>
    <w:p w14:paraId="046B656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58" w:name="_Toc32529"/>
      <w:r>
        <w:rPr>
          <w:rFonts w:ascii="Times New Roman" w:hAnsi="Times New Roman" w:eastAsia="Times New Roman" w:cs="Times New Roman"/>
          <w:b/>
          <w:bCs/>
          <w:snapToGrid/>
          <w:spacing w:val="0"/>
          <w:w w:val="100"/>
          <w:kern w:val="21"/>
          <w:position w:val="0"/>
          <w:sz w:val="28"/>
          <w:szCs w:val="28"/>
        </w:rPr>
        <w:t xml:space="preserve">2.4  </w:t>
      </w:r>
      <w:r>
        <w:rPr>
          <w:rFonts w:ascii="宋体" w:hAnsi="宋体" w:eastAsia="宋体" w:cs="宋体"/>
          <w:b/>
          <w:bCs/>
          <w:snapToGrid/>
          <w:spacing w:val="0"/>
          <w:w w:val="100"/>
          <w:kern w:val="21"/>
          <w:position w:val="0"/>
          <w:sz w:val="28"/>
          <w:szCs w:val="28"/>
        </w:rPr>
        <w:t>招标文件的异议</w:t>
      </w:r>
      <w:bookmarkEnd w:id="58"/>
    </w:p>
    <w:p w14:paraId="19002028">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投标人或者其他利害关系人对招标文件有异议的，应当在投标截止时间 </w:t>
      </w:r>
      <w:r>
        <w:rPr>
          <w:rFonts w:ascii="Times New Roman" w:hAnsi="Times New Roman" w:eastAsia="Times New Roman" w:cs="Times New Roman"/>
          <w:snapToGrid/>
          <w:spacing w:val="0"/>
          <w:w w:val="100"/>
          <w:kern w:val="21"/>
          <w:position w:val="0"/>
          <w:sz w:val="20"/>
          <w:szCs w:val="20"/>
        </w:rPr>
        <w:t xml:space="preserve">10 </w:t>
      </w:r>
      <w:r>
        <w:rPr>
          <w:rFonts w:ascii="宋体" w:hAnsi="宋体" w:eastAsia="宋体" w:cs="宋体"/>
          <w:snapToGrid/>
          <w:spacing w:val="0"/>
          <w:w w:val="100"/>
          <w:kern w:val="21"/>
          <w:position w:val="0"/>
          <w:sz w:val="20"/>
          <w:szCs w:val="20"/>
        </w:rPr>
        <w:t xml:space="preserve">日前以投标人须知前 附表规定的形式提出。招标人将在收到异议之日起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日内作出答复；作出答复前，将暂停招标投标 活动。</w:t>
      </w:r>
    </w:p>
    <w:p w14:paraId="5AD0D62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59" w:name="bookmark116"/>
      <w:bookmarkEnd w:id="59"/>
      <w:bookmarkStart w:id="60" w:name="_Toc9570"/>
      <w:r>
        <w:rPr>
          <w:rFonts w:ascii="宋体" w:hAnsi="宋体" w:eastAsia="宋体" w:cs="宋体"/>
          <w:b/>
          <w:bCs/>
          <w:snapToGrid/>
          <w:spacing w:val="0"/>
          <w:w w:val="100"/>
          <w:kern w:val="21"/>
          <w:position w:val="0"/>
          <w:sz w:val="31"/>
          <w:szCs w:val="31"/>
        </w:rPr>
        <w:t>3．投标文件</w:t>
      </w:r>
      <w:bookmarkEnd w:id="60"/>
    </w:p>
    <w:p w14:paraId="1A7D468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1" w:name="_Toc30567"/>
      <w:r>
        <w:rPr>
          <w:rFonts w:ascii="Times New Roman" w:hAnsi="Times New Roman" w:eastAsia="Times New Roman" w:cs="Times New Roman"/>
          <w:b/>
          <w:bCs/>
          <w:snapToGrid/>
          <w:spacing w:val="0"/>
          <w:w w:val="100"/>
          <w:kern w:val="21"/>
          <w:position w:val="0"/>
          <w:sz w:val="28"/>
          <w:szCs w:val="28"/>
        </w:rPr>
        <w:t xml:space="preserve">3.1  </w:t>
      </w:r>
      <w:r>
        <w:rPr>
          <w:rFonts w:ascii="宋体" w:hAnsi="宋体" w:eastAsia="宋体" w:cs="宋体"/>
          <w:b/>
          <w:bCs/>
          <w:snapToGrid/>
          <w:spacing w:val="0"/>
          <w:w w:val="100"/>
          <w:kern w:val="21"/>
          <w:position w:val="0"/>
          <w:sz w:val="28"/>
          <w:szCs w:val="28"/>
        </w:rPr>
        <w:t>投标文件的组成</w:t>
      </w:r>
      <w:bookmarkEnd w:id="61"/>
    </w:p>
    <w:p w14:paraId="7AE47C0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3.1.1  </w:t>
      </w:r>
      <w:r>
        <w:rPr>
          <w:rFonts w:ascii="宋体" w:hAnsi="宋体" w:eastAsia="宋体" w:cs="宋体"/>
          <w:snapToGrid/>
          <w:spacing w:val="0"/>
          <w:w w:val="100"/>
          <w:kern w:val="21"/>
          <w:position w:val="0"/>
          <w:sz w:val="20"/>
          <w:szCs w:val="20"/>
        </w:rPr>
        <w:t>投标文件应包括下列内容：</w:t>
      </w:r>
    </w:p>
    <w:p w14:paraId="658F8C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）投标函及投标函附录；</w:t>
      </w:r>
    </w:p>
    <w:p w14:paraId="0ABB9F0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）法定代表人身份证明或授权委托书；</w:t>
      </w:r>
    </w:p>
    <w:p w14:paraId="1CCAFF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）联合体协议书；</w:t>
      </w:r>
    </w:p>
    <w:p w14:paraId="05B042A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）投标保证金；</w:t>
      </w:r>
    </w:p>
    <w:p w14:paraId="0C80379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 已标价的工程量清单；</w:t>
      </w:r>
    </w:p>
    <w:p w14:paraId="26B4E37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6</w:t>
      </w:r>
      <w:r>
        <w:rPr>
          <w:rFonts w:ascii="宋体" w:hAnsi="宋体" w:eastAsia="宋体" w:cs="宋体"/>
          <w:snapToGrid/>
          <w:spacing w:val="0"/>
          <w:w w:val="100"/>
          <w:kern w:val="21"/>
          <w:position w:val="0"/>
          <w:sz w:val="20"/>
          <w:szCs w:val="20"/>
        </w:rPr>
        <w:t>）施工组织设计；</w:t>
      </w:r>
    </w:p>
    <w:p w14:paraId="4A144E7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7</w:t>
      </w:r>
      <w:r>
        <w:rPr>
          <w:rFonts w:ascii="宋体" w:hAnsi="宋体" w:eastAsia="宋体" w:cs="宋体"/>
          <w:snapToGrid/>
          <w:spacing w:val="0"/>
          <w:w w:val="100"/>
          <w:kern w:val="21"/>
          <w:position w:val="0"/>
          <w:sz w:val="20"/>
          <w:szCs w:val="20"/>
        </w:rPr>
        <w:t>）项目管理机构；</w:t>
      </w:r>
    </w:p>
    <w:p w14:paraId="194D721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8</w:t>
      </w:r>
      <w:r>
        <w:rPr>
          <w:rFonts w:ascii="宋体" w:hAnsi="宋体" w:eastAsia="宋体" w:cs="宋体"/>
          <w:snapToGrid/>
          <w:spacing w:val="0"/>
          <w:w w:val="100"/>
          <w:kern w:val="21"/>
          <w:position w:val="0"/>
          <w:sz w:val="20"/>
          <w:szCs w:val="20"/>
        </w:rPr>
        <w:t>）拟分包项目情况表；</w:t>
      </w:r>
    </w:p>
    <w:p w14:paraId="3B762B8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9</w:t>
      </w:r>
      <w:r>
        <w:rPr>
          <w:rFonts w:ascii="宋体" w:hAnsi="宋体" w:eastAsia="宋体" w:cs="宋体"/>
          <w:snapToGrid/>
          <w:spacing w:val="0"/>
          <w:w w:val="100"/>
          <w:kern w:val="21"/>
          <w:position w:val="0"/>
          <w:sz w:val="20"/>
          <w:szCs w:val="20"/>
        </w:rPr>
        <w:t>）资格审查资料；</w:t>
      </w:r>
    </w:p>
    <w:p w14:paraId="5B8B5D6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10</w:t>
      </w:r>
      <w:r>
        <w:rPr>
          <w:rFonts w:ascii="宋体" w:hAnsi="宋体" w:eastAsia="宋体" w:cs="宋体"/>
          <w:snapToGrid/>
          <w:spacing w:val="0"/>
          <w:w w:val="100"/>
          <w:kern w:val="21"/>
          <w:position w:val="0"/>
          <w:sz w:val="20"/>
          <w:szCs w:val="20"/>
        </w:rPr>
        <w:t>）投标人须知前附表规定的其他资料。</w:t>
      </w:r>
    </w:p>
    <w:p w14:paraId="331A41DF">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投标人在评标过程中作出的符合法律法规和招标文件规定的澄清确认，构成投标文件的组成部 分。</w:t>
      </w:r>
    </w:p>
    <w:p w14:paraId="3BBBACD4">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3.1.2  </w:t>
      </w:r>
      <w:r>
        <w:rPr>
          <w:rFonts w:ascii="宋体" w:hAnsi="宋体" w:eastAsia="宋体" w:cs="宋体"/>
          <w:snapToGrid/>
          <w:spacing w:val="0"/>
          <w:w w:val="100"/>
          <w:kern w:val="21"/>
          <w:position w:val="0"/>
          <w:sz w:val="20"/>
          <w:szCs w:val="20"/>
        </w:rPr>
        <w:t xml:space="preserve">投标人须知前附表规定不接受联合体投标的，或投标人没有组成联合体的，投标文件不包 括本章第 </w:t>
      </w:r>
      <w:r>
        <w:rPr>
          <w:rFonts w:ascii="Times New Roman" w:hAnsi="Times New Roman" w:eastAsia="Times New Roman" w:cs="Times New Roman"/>
          <w:snapToGrid/>
          <w:spacing w:val="0"/>
          <w:w w:val="100"/>
          <w:kern w:val="21"/>
          <w:position w:val="0"/>
          <w:sz w:val="20"/>
          <w:szCs w:val="20"/>
        </w:rPr>
        <w:t>3.1.1</w:t>
      </w:r>
      <w:r>
        <w:rPr>
          <w:rFonts w:ascii="宋体" w:hAnsi="宋体" w:eastAsia="宋体" w:cs="宋体"/>
          <w:snapToGrid/>
          <w:spacing w:val="0"/>
          <w:w w:val="100"/>
          <w:kern w:val="21"/>
          <w:position w:val="0"/>
          <w:sz w:val="20"/>
          <w:szCs w:val="20"/>
        </w:rPr>
        <w:t xml:space="preserve">（ </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 目所指的联合体协议书。</w:t>
      </w:r>
    </w:p>
    <w:p w14:paraId="6AFFBD78">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3.1.3  </w:t>
      </w:r>
      <w:r>
        <w:rPr>
          <w:rFonts w:ascii="宋体" w:hAnsi="宋体" w:eastAsia="宋体" w:cs="宋体"/>
          <w:snapToGrid/>
          <w:spacing w:val="0"/>
          <w:w w:val="100"/>
          <w:kern w:val="21"/>
          <w:position w:val="0"/>
          <w:sz w:val="20"/>
          <w:szCs w:val="20"/>
        </w:rPr>
        <w:t xml:space="preserve">投标人须知前附表未要求提交投标保证金的，投标文件不包括本章第 </w:t>
      </w:r>
      <w:r>
        <w:rPr>
          <w:rFonts w:ascii="Times New Roman" w:hAnsi="Times New Roman" w:eastAsia="Times New Roman" w:cs="Times New Roman"/>
          <w:snapToGrid/>
          <w:spacing w:val="0"/>
          <w:w w:val="100"/>
          <w:kern w:val="21"/>
          <w:position w:val="0"/>
          <w:sz w:val="20"/>
          <w:szCs w:val="20"/>
        </w:rPr>
        <w:t>3.1.1</w:t>
      </w: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 目所指的 投标保证金。</w:t>
      </w:r>
    </w:p>
    <w:p w14:paraId="033E6DAC">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3.1.4  </w:t>
      </w:r>
      <w:r>
        <w:rPr>
          <w:rFonts w:ascii="宋体" w:hAnsi="宋体" w:eastAsia="宋体" w:cs="宋体"/>
          <w:snapToGrid/>
          <w:spacing w:val="0"/>
          <w:w w:val="100"/>
          <w:kern w:val="21"/>
          <w:position w:val="0"/>
          <w:sz w:val="20"/>
          <w:szCs w:val="20"/>
        </w:rPr>
        <w:t xml:space="preserve">投标人须知前附表规定不允许分包的，投标文件不包括本章第 </w:t>
      </w:r>
      <w:r>
        <w:rPr>
          <w:rFonts w:ascii="Times New Roman" w:hAnsi="Times New Roman" w:eastAsia="Times New Roman" w:cs="Times New Roman"/>
          <w:snapToGrid/>
          <w:spacing w:val="0"/>
          <w:w w:val="100"/>
          <w:kern w:val="21"/>
          <w:position w:val="0"/>
          <w:sz w:val="20"/>
          <w:szCs w:val="20"/>
        </w:rPr>
        <w:t>3.1.1</w:t>
      </w:r>
      <w:r>
        <w:rPr>
          <w:rFonts w:ascii="宋体" w:hAnsi="宋体" w:eastAsia="宋体" w:cs="宋体"/>
          <w:snapToGrid/>
          <w:spacing w:val="0"/>
          <w:w w:val="100"/>
          <w:kern w:val="21"/>
          <w:position w:val="0"/>
          <w:sz w:val="20"/>
          <w:szCs w:val="20"/>
        </w:rPr>
        <w:t xml:space="preserve">（ </w:t>
      </w:r>
      <w:r>
        <w:rPr>
          <w:rFonts w:ascii="Times New Roman" w:hAnsi="Times New Roman" w:eastAsia="Times New Roman" w:cs="Times New Roman"/>
          <w:snapToGrid/>
          <w:spacing w:val="0"/>
          <w:w w:val="100"/>
          <w:kern w:val="21"/>
          <w:position w:val="0"/>
          <w:sz w:val="20"/>
          <w:szCs w:val="20"/>
        </w:rPr>
        <w:t>8</w:t>
      </w:r>
      <w:r>
        <w:rPr>
          <w:rFonts w:ascii="宋体" w:hAnsi="宋体" w:eastAsia="宋体" w:cs="宋体"/>
          <w:snapToGrid/>
          <w:spacing w:val="0"/>
          <w:w w:val="100"/>
          <w:kern w:val="21"/>
          <w:position w:val="0"/>
          <w:sz w:val="20"/>
          <w:szCs w:val="20"/>
        </w:rPr>
        <w:t>） 目所指的拟分包 项目情况表。</w:t>
      </w:r>
    </w:p>
    <w:p w14:paraId="0D6897A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2" w:name="_Toc23452"/>
      <w:r>
        <w:rPr>
          <w:rFonts w:ascii="Times New Roman" w:hAnsi="Times New Roman" w:eastAsia="Times New Roman" w:cs="Times New Roman"/>
          <w:b/>
          <w:bCs/>
          <w:snapToGrid/>
          <w:spacing w:val="0"/>
          <w:w w:val="100"/>
          <w:kern w:val="21"/>
          <w:position w:val="0"/>
          <w:sz w:val="28"/>
          <w:szCs w:val="28"/>
        </w:rPr>
        <w:t xml:space="preserve">3.2  </w:t>
      </w:r>
      <w:r>
        <w:rPr>
          <w:rFonts w:ascii="宋体" w:hAnsi="宋体" w:eastAsia="宋体" w:cs="宋体"/>
          <w:b/>
          <w:bCs/>
          <w:snapToGrid/>
          <w:spacing w:val="0"/>
          <w:w w:val="100"/>
          <w:kern w:val="21"/>
          <w:position w:val="0"/>
          <w:sz w:val="28"/>
          <w:szCs w:val="28"/>
        </w:rPr>
        <w:t>投标报价</w:t>
      </w:r>
      <w:bookmarkEnd w:id="62"/>
    </w:p>
    <w:p w14:paraId="39329BB4">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3.2.1 </w:t>
      </w:r>
      <w:r>
        <w:rPr>
          <w:rFonts w:ascii="宋体" w:hAnsi="宋体" w:eastAsia="宋体" w:cs="宋体"/>
          <w:snapToGrid/>
          <w:spacing w:val="0"/>
          <w:w w:val="100"/>
          <w:kern w:val="21"/>
          <w:position w:val="0"/>
          <w:sz w:val="20"/>
          <w:szCs w:val="20"/>
        </w:rPr>
        <w:t>投标人应按第五章“工程量清单 ”的要求填写相应表格。投标报价应包括国家规定的增值 税税金， 除投标人须知前附表另有规定外，增值税税金按一般计税方法计算。</w:t>
      </w:r>
    </w:p>
    <w:p w14:paraId="4220A2C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3.2.2 </w:t>
      </w:r>
      <w:r>
        <w:rPr>
          <w:rFonts w:ascii="宋体" w:hAnsi="宋体" w:eastAsia="宋体" w:cs="宋体"/>
          <w:snapToGrid/>
          <w:spacing w:val="0"/>
          <w:w w:val="100"/>
          <w:kern w:val="21"/>
          <w:position w:val="0"/>
          <w:sz w:val="20"/>
          <w:szCs w:val="20"/>
        </w:rPr>
        <w:t>投标人应充分了解本标段工程的总体情况以及影响投标报价的其他要素。</w:t>
      </w:r>
    </w:p>
    <w:p w14:paraId="2C2D5DBA">
      <w:pPr>
        <w:keepNext w:val="0"/>
        <w:keepLines w:val="0"/>
        <w:pageBreakBefore w:val="0"/>
        <w:widowControl w:val="0"/>
        <w:kinsoku/>
        <w:wordWrap w:val="0"/>
        <w:overflowPunct/>
        <w:topLinePunct/>
        <w:autoSpaceDE w:val="0"/>
        <w:autoSpaceDN/>
        <w:bidi w:val="0"/>
        <w:adjustRightInd/>
        <w:snapToGrid/>
        <w:spacing w:line="560" w:lineRule="exact"/>
        <w:ind w:left="0" w:right="0" w:firstLine="4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3.2.3  </w:t>
      </w:r>
      <w:r>
        <w:rPr>
          <w:rFonts w:ascii="宋体" w:hAnsi="宋体" w:eastAsia="宋体" w:cs="宋体"/>
          <w:snapToGrid/>
          <w:spacing w:val="0"/>
          <w:w w:val="100"/>
          <w:kern w:val="21"/>
          <w:position w:val="0"/>
          <w:sz w:val="20"/>
          <w:szCs w:val="20"/>
        </w:rPr>
        <w:t xml:space="preserve">投标人在投标截止时间前修改投标函中的投标总报价，应同时修改第五章“工程量清单 ” 中的相应报价。此修改须符合本章第 </w:t>
      </w:r>
      <w:r>
        <w:rPr>
          <w:rFonts w:ascii="Times New Roman" w:hAnsi="Times New Roman" w:eastAsia="Times New Roman" w:cs="Times New Roman"/>
          <w:snapToGrid/>
          <w:spacing w:val="0"/>
          <w:w w:val="100"/>
          <w:kern w:val="21"/>
          <w:position w:val="0"/>
          <w:sz w:val="20"/>
          <w:szCs w:val="20"/>
        </w:rPr>
        <w:t xml:space="preserve">4.3 </w:t>
      </w:r>
      <w:r>
        <w:rPr>
          <w:rFonts w:ascii="宋体" w:hAnsi="宋体" w:eastAsia="宋体" w:cs="宋体"/>
          <w:snapToGrid/>
          <w:spacing w:val="0"/>
          <w:w w:val="100"/>
          <w:kern w:val="21"/>
          <w:position w:val="0"/>
          <w:sz w:val="20"/>
          <w:szCs w:val="20"/>
        </w:rPr>
        <w:t>款的有关要求。</w:t>
      </w:r>
    </w:p>
    <w:p w14:paraId="05532EA6">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3.2.4  </w:t>
      </w:r>
      <w:r>
        <w:rPr>
          <w:rFonts w:ascii="宋体" w:hAnsi="宋体" w:eastAsia="宋体" w:cs="宋体"/>
          <w:snapToGrid/>
          <w:spacing w:val="0"/>
          <w:w w:val="100"/>
          <w:kern w:val="21"/>
          <w:position w:val="0"/>
          <w:sz w:val="20"/>
          <w:szCs w:val="20"/>
        </w:rPr>
        <w:t>招标人设有最高投标限价的，投标人的投标报价不得超过最高投标限价，最高投标限价在 投标人须知前附表中载明。</w:t>
      </w:r>
    </w:p>
    <w:p w14:paraId="1E3F415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3.2.5  </w:t>
      </w:r>
      <w:r>
        <w:rPr>
          <w:rFonts w:ascii="宋体" w:hAnsi="宋体" w:eastAsia="宋体" w:cs="宋体"/>
          <w:snapToGrid/>
          <w:spacing w:val="0"/>
          <w:w w:val="100"/>
          <w:kern w:val="21"/>
          <w:position w:val="0"/>
          <w:sz w:val="20"/>
          <w:szCs w:val="20"/>
        </w:rPr>
        <w:t>投标报价的其他要求见投标人须知前附表。</w:t>
      </w:r>
    </w:p>
    <w:p w14:paraId="15CEA2D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3" w:name="_Toc25754"/>
      <w:r>
        <w:rPr>
          <w:rFonts w:ascii="Times New Roman" w:hAnsi="Times New Roman" w:eastAsia="Times New Roman" w:cs="Times New Roman"/>
          <w:b/>
          <w:bCs/>
          <w:snapToGrid/>
          <w:spacing w:val="0"/>
          <w:w w:val="100"/>
          <w:kern w:val="21"/>
          <w:position w:val="0"/>
          <w:sz w:val="28"/>
          <w:szCs w:val="28"/>
        </w:rPr>
        <w:t xml:space="preserve">3.3  </w:t>
      </w:r>
      <w:r>
        <w:rPr>
          <w:rFonts w:ascii="宋体" w:hAnsi="宋体" w:eastAsia="宋体" w:cs="宋体"/>
          <w:b/>
          <w:bCs/>
          <w:snapToGrid/>
          <w:spacing w:val="0"/>
          <w:w w:val="100"/>
          <w:kern w:val="21"/>
          <w:position w:val="0"/>
          <w:sz w:val="28"/>
          <w:szCs w:val="28"/>
        </w:rPr>
        <w:t>投标有效期</w:t>
      </w:r>
      <w:bookmarkEnd w:id="63"/>
    </w:p>
    <w:p w14:paraId="4EF3062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3.3.1  </w:t>
      </w:r>
      <w:r>
        <w:rPr>
          <w:rFonts w:ascii="宋体" w:hAnsi="宋体" w:eastAsia="宋体" w:cs="宋体"/>
          <w:snapToGrid/>
          <w:spacing w:val="0"/>
          <w:w w:val="100"/>
          <w:kern w:val="21"/>
          <w:position w:val="0"/>
          <w:sz w:val="20"/>
          <w:szCs w:val="20"/>
        </w:rPr>
        <w:t xml:space="preserve">除投标人须知前附表另有规定外，投标有效期为 </w:t>
      </w:r>
      <w:r>
        <w:rPr>
          <w:rFonts w:ascii="Times New Roman" w:hAnsi="Times New Roman" w:eastAsia="Times New Roman" w:cs="Times New Roman"/>
          <w:snapToGrid/>
          <w:spacing w:val="0"/>
          <w:w w:val="100"/>
          <w:kern w:val="21"/>
          <w:position w:val="0"/>
          <w:sz w:val="20"/>
          <w:szCs w:val="20"/>
        </w:rPr>
        <w:t xml:space="preserve">90  </w:t>
      </w:r>
      <w:r>
        <w:rPr>
          <w:rFonts w:ascii="宋体" w:hAnsi="宋体" w:eastAsia="宋体" w:cs="宋体"/>
          <w:snapToGrid/>
          <w:spacing w:val="0"/>
          <w:w w:val="100"/>
          <w:kern w:val="21"/>
          <w:position w:val="0"/>
          <w:sz w:val="20"/>
          <w:szCs w:val="20"/>
        </w:rPr>
        <w:t>日。</w:t>
      </w:r>
    </w:p>
    <w:p w14:paraId="3915140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3.3.2  </w:t>
      </w:r>
      <w:r>
        <w:rPr>
          <w:rFonts w:ascii="宋体" w:hAnsi="宋体" w:eastAsia="宋体" w:cs="宋体"/>
          <w:snapToGrid/>
          <w:spacing w:val="0"/>
          <w:w w:val="100"/>
          <w:kern w:val="21"/>
          <w:position w:val="0"/>
          <w:sz w:val="20"/>
          <w:szCs w:val="20"/>
        </w:rPr>
        <w:t>在投标有效期内，投标人撤销投标文件的，应承担招标文件和法律规定的责任。</w:t>
      </w:r>
    </w:p>
    <w:p w14:paraId="446E7E5D">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3.3.3  </w:t>
      </w:r>
      <w:r>
        <w:rPr>
          <w:rFonts w:ascii="宋体" w:hAnsi="宋体" w:eastAsia="宋体" w:cs="宋体"/>
          <w:snapToGrid/>
          <w:spacing w:val="0"/>
          <w:w w:val="100"/>
          <w:kern w:val="21"/>
          <w:position w:val="0"/>
          <w:sz w:val="20"/>
          <w:szCs w:val="20"/>
        </w:rPr>
        <w:t>出现特殊情况需要延长投标有效期的，招标人以书面形式通知所有投标人延长投标有效 期。投标人应予以书面答复， 同意延长的，应相应延长其投标保证金的有效期，但不得要求或被允 许修改其投标文件；投标人拒绝延长的，其投标失效，但投标人有权收回其投标保证金及以现金或 者支票形式递交的投标保证金的银行同期存款利息。</w:t>
      </w:r>
    </w:p>
    <w:p w14:paraId="0D250FB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4" w:name="_Toc7034"/>
      <w:r>
        <w:rPr>
          <w:rFonts w:ascii="Times New Roman" w:hAnsi="Times New Roman" w:eastAsia="Times New Roman" w:cs="Times New Roman"/>
          <w:b/>
          <w:bCs/>
          <w:snapToGrid/>
          <w:spacing w:val="0"/>
          <w:w w:val="100"/>
          <w:kern w:val="21"/>
          <w:position w:val="0"/>
          <w:sz w:val="28"/>
          <w:szCs w:val="28"/>
        </w:rPr>
        <w:t xml:space="preserve">3.4  </w:t>
      </w:r>
      <w:r>
        <w:rPr>
          <w:rFonts w:ascii="宋体" w:hAnsi="宋体" w:eastAsia="宋体" w:cs="宋体"/>
          <w:b/>
          <w:bCs/>
          <w:snapToGrid/>
          <w:spacing w:val="0"/>
          <w:w w:val="100"/>
          <w:kern w:val="21"/>
          <w:position w:val="0"/>
          <w:sz w:val="28"/>
          <w:szCs w:val="28"/>
        </w:rPr>
        <w:t>投标保证金</w:t>
      </w:r>
      <w:bookmarkEnd w:id="64"/>
    </w:p>
    <w:p w14:paraId="72BE5DD6">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3.4.1  </w:t>
      </w:r>
      <w:r>
        <w:rPr>
          <w:rFonts w:ascii="宋体" w:hAnsi="宋体" w:eastAsia="宋体" w:cs="宋体"/>
          <w:snapToGrid/>
          <w:spacing w:val="0"/>
          <w:w w:val="100"/>
          <w:kern w:val="21"/>
          <w:position w:val="0"/>
          <w:sz w:val="20"/>
          <w:szCs w:val="20"/>
        </w:rPr>
        <w:t>投标人在递交投标文件的同时，应按投标人须知前附表规定的金额、形式和第八章“投标 文件格式 ”规定的投标保证金格式递交投标保证金，并作为其投标文件的组成部分。境内投标人以 现金或者支票形式提交的投标保证金，应当从其基本账户转出并在投标文件中附上基本账户开户证 明。联合体投标的，其投标保证金可以由牵头人递交，并应符合投标人须知前附表的规定。</w:t>
      </w:r>
    </w:p>
    <w:p w14:paraId="27C3C6F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3.4.2  </w:t>
      </w:r>
      <w:r>
        <w:rPr>
          <w:rFonts w:ascii="宋体" w:hAnsi="宋体" w:eastAsia="宋体" w:cs="宋体"/>
          <w:snapToGrid/>
          <w:spacing w:val="0"/>
          <w:w w:val="100"/>
          <w:kern w:val="21"/>
          <w:position w:val="0"/>
          <w:sz w:val="20"/>
          <w:szCs w:val="20"/>
        </w:rPr>
        <w:t xml:space="preserve">投标人不按本章第 </w:t>
      </w:r>
      <w:r>
        <w:rPr>
          <w:rFonts w:ascii="Times New Roman" w:hAnsi="Times New Roman" w:eastAsia="Times New Roman" w:cs="Times New Roman"/>
          <w:snapToGrid/>
          <w:spacing w:val="0"/>
          <w:w w:val="100"/>
          <w:kern w:val="21"/>
          <w:position w:val="0"/>
          <w:sz w:val="20"/>
          <w:szCs w:val="20"/>
        </w:rPr>
        <w:t xml:space="preserve">3.4.1 </w:t>
      </w:r>
      <w:r>
        <w:rPr>
          <w:rFonts w:ascii="宋体" w:hAnsi="宋体" w:eastAsia="宋体" w:cs="宋体"/>
          <w:snapToGrid/>
          <w:spacing w:val="0"/>
          <w:w w:val="100"/>
          <w:kern w:val="21"/>
          <w:position w:val="0"/>
          <w:sz w:val="20"/>
          <w:szCs w:val="20"/>
        </w:rPr>
        <w:t>项要求提交投标保证金的，评标委员会将否决其投标。</w:t>
      </w:r>
    </w:p>
    <w:p w14:paraId="77019205">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3.4.3</w:t>
      </w:r>
      <w:r>
        <w:rPr>
          <w:rFonts w:ascii="宋体" w:hAnsi="宋体" w:eastAsia="宋体" w:cs="宋体"/>
          <w:snapToGrid/>
          <w:spacing w:val="0"/>
          <w:w w:val="100"/>
          <w:kern w:val="21"/>
          <w:position w:val="0"/>
          <w:sz w:val="20"/>
          <w:szCs w:val="20"/>
        </w:rPr>
        <w:t xml:space="preserve">招标人最迟将在与中标人签订合同后 </w:t>
      </w:r>
      <w:r>
        <w:rPr>
          <w:rFonts w:ascii="Times New Roman" w:hAnsi="Times New Roman" w:eastAsia="Times New Roman" w:cs="Times New Roman"/>
          <w:snapToGrid/>
          <w:spacing w:val="0"/>
          <w:w w:val="100"/>
          <w:kern w:val="21"/>
          <w:position w:val="0"/>
          <w:sz w:val="20"/>
          <w:szCs w:val="20"/>
        </w:rPr>
        <w:t xml:space="preserve">5 </w:t>
      </w:r>
      <w:r>
        <w:rPr>
          <w:rFonts w:ascii="宋体" w:hAnsi="宋体" w:eastAsia="宋体" w:cs="宋体"/>
          <w:snapToGrid/>
          <w:spacing w:val="0"/>
          <w:w w:val="100"/>
          <w:kern w:val="21"/>
          <w:position w:val="0"/>
          <w:sz w:val="20"/>
          <w:szCs w:val="20"/>
        </w:rPr>
        <w:t>日内，向未中标的投标人和中标人退还投标保证金。 投标保证金以现金或支票形式递交的，还应退还银行同期存款利息。</w:t>
      </w:r>
    </w:p>
    <w:p w14:paraId="761EDCE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3.4.4  </w:t>
      </w:r>
      <w:r>
        <w:rPr>
          <w:rFonts w:ascii="宋体" w:hAnsi="宋体" w:eastAsia="宋体" w:cs="宋体"/>
          <w:snapToGrid/>
          <w:spacing w:val="0"/>
          <w:w w:val="100"/>
          <w:kern w:val="21"/>
          <w:position w:val="0"/>
          <w:sz w:val="20"/>
          <w:szCs w:val="20"/>
        </w:rPr>
        <w:t>有下列情形之一的，投标保证金将不予退还：</w:t>
      </w:r>
    </w:p>
    <w:p w14:paraId="47B3BEB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）投标人在投标有效期内撤销投标文件；</w:t>
      </w:r>
    </w:p>
    <w:p w14:paraId="252B496B">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）中标人在收到中标通知书后，无正当理由不与招标人订立合同，在签订合同时向招标人提 出附加条件，或者不按照招标文件要求提交履约保证金；</w:t>
      </w:r>
    </w:p>
    <w:p w14:paraId="63500B8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）发生投标人须知前附表规定的其他可以不予退还投标保证金的情形。</w:t>
      </w:r>
    </w:p>
    <w:p w14:paraId="0C28E9E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5" w:name="_Toc26943"/>
      <w:r>
        <w:rPr>
          <w:rFonts w:ascii="Times New Roman" w:hAnsi="Times New Roman" w:eastAsia="Times New Roman" w:cs="Times New Roman"/>
          <w:b/>
          <w:bCs/>
          <w:snapToGrid/>
          <w:spacing w:val="0"/>
          <w:w w:val="100"/>
          <w:kern w:val="21"/>
          <w:position w:val="0"/>
          <w:sz w:val="28"/>
          <w:szCs w:val="28"/>
        </w:rPr>
        <w:t xml:space="preserve">3.5  </w:t>
      </w:r>
      <w:r>
        <w:rPr>
          <w:rFonts w:ascii="宋体" w:hAnsi="宋体" w:eastAsia="宋体" w:cs="宋体"/>
          <w:b/>
          <w:bCs/>
          <w:snapToGrid/>
          <w:spacing w:val="0"/>
          <w:w w:val="100"/>
          <w:kern w:val="21"/>
          <w:position w:val="0"/>
          <w:sz w:val="28"/>
          <w:szCs w:val="28"/>
        </w:rPr>
        <w:t>资格审查资料</w:t>
      </w:r>
      <w:bookmarkEnd w:id="65"/>
    </w:p>
    <w:p w14:paraId="45A20217">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除投标人须知前附表另有规定外，投标人应按下列规定提供资格审查资料， 以证明其满足本章 第 </w:t>
      </w:r>
      <w:r>
        <w:rPr>
          <w:rFonts w:ascii="Times New Roman" w:hAnsi="Times New Roman" w:eastAsia="Times New Roman" w:cs="Times New Roman"/>
          <w:snapToGrid/>
          <w:spacing w:val="0"/>
          <w:w w:val="100"/>
          <w:kern w:val="21"/>
          <w:position w:val="0"/>
          <w:sz w:val="20"/>
          <w:szCs w:val="20"/>
        </w:rPr>
        <w:t xml:space="preserve">1.4 </w:t>
      </w:r>
      <w:r>
        <w:rPr>
          <w:rFonts w:ascii="宋体" w:hAnsi="宋体" w:eastAsia="宋体" w:cs="宋体"/>
          <w:snapToGrid/>
          <w:spacing w:val="0"/>
          <w:w w:val="100"/>
          <w:kern w:val="21"/>
          <w:position w:val="0"/>
          <w:sz w:val="20"/>
          <w:szCs w:val="20"/>
        </w:rPr>
        <w:t>款规定的资质、财务、业绩、信誉等要求。</w:t>
      </w:r>
    </w:p>
    <w:p w14:paraId="70910C75">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3.5.1</w:t>
      </w:r>
      <w:r>
        <w:rPr>
          <w:rFonts w:ascii="宋体" w:hAnsi="宋体" w:eastAsia="宋体" w:cs="宋体"/>
          <w:snapToGrid/>
          <w:spacing w:val="0"/>
          <w:w w:val="100"/>
          <w:kern w:val="21"/>
          <w:position w:val="0"/>
          <w:sz w:val="20"/>
          <w:szCs w:val="20"/>
        </w:rPr>
        <w:t>“投标人基本情况表 ”应附投标人营业执照和组织机构代码证的扫描件（按照“三证合一 ” 或“五证合一 ”登记制度进行登记的，可仅提供营业执照扫描件）、施工资质证书、安全生产许可证   等材料的扫描件。</w:t>
      </w:r>
    </w:p>
    <w:p w14:paraId="4DDB3F0D">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3.5.2</w:t>
      </w:r>
      <w:r>
        <w:rPr>
          <w:rFonts w:ascii="宋体" w:hAnsi="宋体" w:eastAsia="宋体" w:cs="宋体"/>
          <w:snapToGrid/>
          <w:spacing w:val="0"/>
          <w:w w:val="100"/>
          <w:kern w:val="21"/>
          <w:position w:val="0"/>
          <w:sz w:val="20"/>
          <w:szCs w:val="20"/>
        </w:rPr>
        <w:t>“近年财务状况表 ”应附经会计师事务所或审计机构审计的财务会计报表，包括资产负债 表、现金流量表、利润表和财务情况说明书的扫描件，具体年份要求见投标人须知前附表。投标人 的成立时间少于投标人须知前附表规定年份的，应提供成立以来的财务状况表。</w:t>
      </w:r>
    </w:p>
    <w:p w14:paraId="2433241C">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3.5.3  </w:t>
      </w:r>
      <w:r>
        <w:rPr>
          <w:rFonts w:ascii="宋体" w:hAnsi="宋体" w:eastAsia="宋体" w:cs="宋体"/>
          <w:snapToGrid/>
          <w:spacing w:val="0"/>
          <w:w w:val="100"/>
          <w:kern w:val="21"/>
          <w:position w:val="0"/>
          <w:sz w:val="20"/>
          <w:szCs w:val="20"/>
        </w:rPr>
        <w:t>“近年完成的类似项目情况表 ”应附合同协议书、工程接收证书（工程竣工验收证书）的 扫描件，具体时间要求见投标人须知前附表。每张表格只填写一个项目，并标明序号。</w:t>
      </w:r>
    </w:p>
    <w:p w14:paraId="4C66341A">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3.5.4</w:t>
      </w:r>
      <w:r>
        <w:rPr>
          <w:rFonts w:ascii="宋体" w:hAnsi="宋体" w:eastAsia="宋体" w:cs="宋体"/>
          <w:snapToGrid/>
          <w:spacing w:val="0"/>
          <w:w w:val="100"/>
          <w:kern w:val="21"/>
          <w:position w:val="0"/>
          <w:sz w:val="20"/>
          <w:szCs w:val="20"/>
        </w:rPr>
        <w:t>“拟委任的项目经理资历表 ”应附项目经理的身份证、职称资格证书以及资格审查条件所 要求的其他相关证书（如建造师注册证书、安全生产考核合格证书等）的扫描件， 以及投标人所属 社保机构出具的拟委任的项目经理的社保缴费证明或其他能够证明拟委任的项目经理参加社保的有 效证明材料扫描件。</w:t>
      </w:r>
    </w:p>
    <w:p w14:paraId="24D0D6BA">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3.5.5</w:t>
      </w:r>
      <w:r>
        <w:rPr>
          <w:rFonts w:ascii="宋体" w:hAnsi="宋体" w:eastAsia="宋体" w:cs="宋体"/>
          <w:snapToGrid/>
          <w:spacing w:val="0"/>
          <w:w w:val="100"/>
          <w:kern w:val="21"/>
          <w:position w:val="0"/>
          <w:sz w:val="20"/>
          <w:szCs w:val="20"/>
        </w:rPr>
        <w:t>“近年发生的诉讼及仲裁情况表 ” 应说明投标人败诉的施工合同的相关情况，并附法院或 仲裁机构作出的判决、裁决等有关法律文书扫描件，具体时间要求见投标人须知前附表。</w:t>
      </w:r>
    </w:p>
    <w:p w14:paraId="4FF59BEE">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3.5.6 </w:t>
      </w:r>
      <w:r>
        <w:rPr>
          <w:rFonts w:ascii="宋体" w:hAnsi="宋体" w:eastAsia="宋体" w:cs="宋体"/>
          <w:snapToGrid/>
          <w:spacing w:val="0"/>
          <w:w w:val="100"/>
          <w:kern w:val="21"/>
          <w:position w:val="0"/>
          <w:sz w:val="20"/>
          <w:szCs w:val="20"/>
        </w:rPr>
        <w:t xml:space="preserve">投标人须知前附表规定接受联合体投标的，本章第 </w:t>
      </w:r>
      <w:r>
        <w:rPr>
          <w:rFonts w:ascii="Times New Roman" w:hAnsi="Times New Roman" w:eastAsia="Times New Roman" w:cs="Times New Roman"/>
          <w:snapToGrid/>
          <w:spacing w:val="0"/>
          <w:w w:val="100"/>
          <w:kern w:val="21"/>
          <w:position w:val="0"/>
          <w:sz w:val="20"/>
          <w:szCs w:val="20"/>
        </w:rPr>
        <w:t xml:space="preserve">3.5.1  </w:t>
      </w:r>
      <w:r>
        <w:rPr>
          <w:rFonts w:ascii="宋体" w:hAnsi="宋体" w:eastAsia="宋体" w:cs="宋体"/>
          <w:snapToGrid/>
          <w:spacing w:val="0"/>
          <w:w w:val="100"/>
          <w:kern w:val="21"/>
          <w:position w:val="0"/>
          <w:sz w:val="20"/>
          <w:szCs w:val="20"/>
        </w:rPr>
        <w:t xml:space="preserve">项至第 </w:t>
      </w:r>
      <w:r>
        <w:rPr>
          <w:rFonts w:ascii="Times New Roman" w:hAnsi="Times New Roman" w:eastAsia="Times New Roman" w:cs="Times New Roman"/>
          <w:snapToGrid/>
          <w:spacing w:val="0"/>
          <w:w w:val="100"/>
          <w:kern w:val="21"/>
          <w:position w:val="0"/>
          <w:sz w:val="20"/>
          <w:szCs w:val="20"/>
        </w:rPr>
        <w:t xml:space="preserve">3.5.5 </w:t>
      </w:r>
      <w:r>
        <w:rPr>
          <w:rFonts w:ascii="宋体" w:hAnsi="宋体" w:eastAsia="宋体" w:cs="宋体"/>
          <w:snapToGrid/>
          <w:spacing w:val="0"/>
          <w:w w:val="100"/>
          <w:kern w:val="21"/>
          <w:position w:val="0"/>
          <w:sz w:val="20"/>
          <w:szCs w:val="20"/>
        </w:rPr>
        <w:t>项规定的表格和资料 应包括联合体各方相关情况。</w:t>
      </w:r>
    </w:p>
    <w:p w14:paraId="4BEB980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6" w:name="_Toc12532"/>
      <w:r>
        <w:rPr>
          <w:rFonts w:ascii="Times New Roman" w:hAnsi="Times New Roman" w:eastAsia="Times New Roman" w:cs="Times New Roman"/>
          <w:b/>
          <w:bCs/>
          <w:snapToGrid/>
          <w:spacing w:val="0"/>
          <w:w w:val="100"/>
          <w:kern w:val="21"/>
          <w:position w:val="0"/>
          <w:sz w:val="28"/>
          <w:szCs w:val="28"/>
        </w:rPr>
        <w:t xml:space="preserve">3.6  </w:t>
      </w:r>
      <w:r>
        <w:rPr>
          <w:rFonts w:ascii="宋体" w:hAnsi="宋体" w:eastAsia="宋体" w:cs="宋体"/>
          <w:b/>
          <w:bCs/>
          <w:snapToGrid/>
          <w:spacing w:val="0"/>
          <w:w w:val="100"/>
          <w:kern w:val="21"/>
          <w:position w:val="0"/>
          <w:sz w:val="28"/>
          <w:szCs w:val="28"/>
        </w:rPr>
        <w:t>备选投标方案</w:t>
      </w:r>
      <w:bookmarkEnd w:id="66"/>
    </w:p>
    <w:p w14:paraId="326EB4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3.6.1  </w:t>
      </w:r>
      <w:r>
        <w:rPr>
          <w:rFonts w:ascii="宋体" w:hAnsi="宋体" w:eastAsia="宋体" w:cs="宋体"/>
          <w:snapToGrid/>
          <w:spacing w:val="0"/>
          <w:w w:val="100"/>
          <w:kern w:val="21"/>
          <w:position w:val="0"/>
          <w:sz w:val="20"/>
          <w:szCs w:val="20"/>
        </w:rPr>
        <w:t>除投标人须知前附表规定允许外，投标人不得递交备选投标方案，否则其投标将被否决。</w:t>
      </w:r>
    </w:p>
    <w:p w14:paraId="7186A7CE">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3.6.2  </w:t>
      </w:r>
      <w:r>
        <w:rPr>
          <w:rFonts w:ascii="宋体" w:hAnsi="宋体" w:eastAsia="宋体" w:cs="宋体"/>
          <w:snapToGrid/>
          <w:spacing w:val="0"/>
          <w:w w:val="100"/>
          <w:kern w:val="21"/>
          <w:position w:val="0"/>
          <w:sz w:val="20"/>
          <w:szCs w:val="20"/>
        </w:rPr>
        <w:t>允许投标人递交备选投标方案的，只有中标人所递交的备选投标方案方可予以考虑。评标 委员会认为中标人的备选投标方案优于其按照招标文件要求编制的投标方案的，招标人可以接受该 备选投标方案。</w:t>
      </w:r>
    </w:p>
    <w:p w14:paraId="79A03A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3.6.3  </w:t>
      </w:r>
      <w:r>
        <w:rPr>
          <w:rFonts w:ascii="宋体" w:hAnsi="宋体" w:eastAsia="宋体" w:cs="宋体"/>
          <w:snapToGrid/>
          <w:spacing w:val="0"/>
          <w:w w:val="100"/>
          <w:kern w:val="21"/>
          <w:position w:val="0"/>
          <w:sz w:val="20"/>
          <w:szCs w:val="20"/>
        </w:rPr>
        <w:t>投标人提供两个或两个以上报价，或者在投标文件中提供一个报价，但同时提供两个或两个以上施工组织设计的，视为提供备选方案。</w:t>
      </w:r>
    </w:p>
    <w:p w14:paraId="4A96E51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7" w:name="_Toc28220"/>
      <w:r>
        <w:rPr>
          <w:rFonts w:ascii="Times New Roman" w:hAnsi="Times New Roman" w:eastAsia="Times New Roman" w:cs="Times New Roman"/>
          <w:b/>
          <w:bCs/>
          <w:snapToGrid/>
          <w:spacing w:val="0"/>
          <w:w w:val="100"/>
          <w:kern w:val="21"/>
          <w:position w:val="0"/>
          <w:sz w:val="28"/>
          <w:szCs w:val="28"/>
        </w:rPr>
        <w:t xml:space="preserve">3.7  </w:t>
      </w:r>
      <w:r>
        <w:rPr>
          <w:rFonts w:ascii="宋体" w:hAnsi="宋体" w:eastAsia="宋体" w:cs="宋体"/>
          <w:b/>
          <w:bCs/>
          <w:snapToGrid/>
          <w:spacing w:val="0"/>
          <w:w w:val="100"/>
          <w:kern w:val="21"/>
          <w:position w:val="0"/>
          <w:sz w:val="28"/>
          <w:szCs w:val="28"/>
        </w:rPr>
        <w:t>投标文件的编制</w:t>
      </w:r>
      <w:bookmarkEnd w:id="67"/>
    </w:p>
    <w:p w14:paraId="5A66DD21">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3.7.1  </w:t>
      </w:r>
      <w:r>
        <w:rPr>
          <w:rFonts w:ascii="宋体" w:hAnsi="宋体" w:eastAsia="宋体" w:cs="宋体"/>
          <w:snapToGrid/>
          <w:spacing w:val="0"/>
          <w:w w:val="100"/>
          <w:kern w:val="21"/>
          <w:position w:val="0"/>
          <w:sz w:val="20"/>
          <w:szCs w:val="20"/>
        </w:rPr>
        <w:t>投标文件应按第八章“投标文件格式 ”进行编写，如有必要，可以增加附页，作为投标文 件的组成部分。其中，投标函附录在满足招标文件实质性要求的基础上，可以提出比招标文件要求 更有利于招标人的承诺。</w:t>
      </w:r>
    </w:p>
    <w:p w14:paraId="40174A8F">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3.7.2  </w:t>
      </w:r>
      <w:r>
        <w:rPr>
          <w:rFonts w:ascii="宋体" w:hAnsi="宋体" w:eastAsia="宋体" w:cs="宋体"/>
          <w:snapToGrid/>
          <w:spacing w:val="0"/>
          <w:w w:val="100"/>
          <w:kern w:val="21"/>
          <w:position w:val="0"/>
          <w:sz w:val="20"/>
          <w:szCs w:val="20"/>
        </w:rPr>
        <w:t>投标文件应当对招标文件有关工期、投标有效期、质量要求、</w:t>
      </w:r>
      <w:r>
        <w:rPr>
          <w:rFonts w:ascii="宋体" w:hAnsi="宋体" w:eastAsia="宋体" w:cs="宋体"/>
          <w:snapToGrid/>
          <w:color w:val="FF0000"/>
          <w:spacing w:val="0"/>
          <w:w w:val="100"/>
          <w:kern w:val="21"/>
          <w:position w:val="0"/>
          <w:sz w:val="20"/>
          <w:szCs w:val="20"/>
        </w:rPr>
        <w:t>安全目标、环保目标、</w:t>
      </w:r>
      <w:r>
        <w:rPr>
          <w:rFonts w:ascii="宋体" w:hAnsi="宋体" w:eastAsia="宋体" w:cs="宋体"/>
          <w:snapToGrid/>
          <w:spacing w:val="0"/>
          <w:w w:val="100"/>
          <w:kern w:val="21"/>
          <w:position w:val="0"/>
          <w:sz w:val="20"/>
          <w:szCs w:val="20"/>
        </w:rPr>
        <w:t>技术 标准和要求、招标范围等实质性内容作出响应。</w:t>
      </w:r>
    </w:p>
    <w:p w14:paraId="47884A7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3.7.3  </w:t>
      </w:r>
      <w:r>
        <w:rPr>
          <w:rFonts w:ascii="宋体" w:hAnsi="宋体" w:eastAsia="宋体" w:cs="宋体"/>
          <w:snapToGrid/>
          <w:spacing w:val="0"/>
          <w:w w:val="100"/>
          <w:kern w:val="21"/>
          <w:position w:val="0"/>
          <w:sz w:val="20"/>
          <w:szCs w:val="20"/>
        </w:rPr>
        <w:t>投标文件的制作应满足以下规定：</w:t>
      </w:r>
    </w:p>
    <w:p w14:paraId="0AB4121B">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）投标文件由投标人使用电子交易系统提供的“投标文件制作工具 ”制作生成。“投标文件 制作工具 ”可以通过电子交易系统下载。投标人应当在互联网络通畅状态下启用最新版投标文件制 作工具制作投标文件。</w:t>
      </w:r>
    </w:p>
    <w:p w14:paraId="7A9277CB">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）第八章“投标文件格式 ”中要求盖单位章和（ 或）签字的地方，投标人均应加盖投标人单 位电子印章和（或）法定代表人的个人电子印章或电子签名章。联合体投标的， 除联合体协议书外 （联合体各方均应加盖单位章并由法定代表人或其委托代理人签字），投标文件由联合体牵头人按 上述规定加盖联合体牵头人单位电子印章和（或） 法定代表人的个人电子印章或电子签名章。</w:t>
      </w:r>
    </w:p>
    <w:p w14:paraId="20827237">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）投标文件制作完成后，投标人应对投标文件进行文件加密，形成加密的投标文件。采用数 字证书加密的，加密时投标文件的所有内容均只能使用同一张数字证书进行加密，否则引起的解密 失败责任由投标人自行承担。</w:t>
      </w:r>
    </w:p>
    <w:p w14:paraId="3C5B3A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）投标文件制作的具体方法详见“投标文件制作工具 ”中的帮助文档。</w:t>
      </w:r>
    </w:p>
    <w:p w14:paraId="37B7880E">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3.7.4  </w:t>
      </w:r>
      <w:r>
        <w:rPr>
          <w:rFonts w:ascii="宋体" w:hAnsi="宋体" w:eastAsia="宋体" w:cs="宋体"/>
          <w:snapToGrid/>
          <w:spacing w:val="0"/>
          <w:w w:val="100"/>
          <w:kern w:val="21"/>
          <w:position w:val="0"/>
          <w:sz w:val="20"/>
          <w:szCs w:val="20"/>
        </w:rPr>
        <w:t>投标文件制作软件生成加密投标文件时，同时生成非加密投标文件，作为加密投标文件无 法解密、导入时的补救措施。如递交，相关要求详见投标人须知前附表。</w:t>
      </w:r>
    </w:p>
    <w:p w14:paraId="382C6251">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3.7.5 </w:t>
      </w:r>
      <w:r>
        <w:rPr>
          <w:rFonts w:ascii="宋体" w:hAnsi="宋体" w:eastAsia="宋体" w:cs="宋体"/>
          <w:snapToGrid/>
          <w:spacing w:val="0"/>
          <w:w w:val="100"/>
          <w:kern w:val="21"/>
          <w:position w:val="0"/>
          <w:sz w:val="20"/>
          <w:szCs w:val="20"/>
        </w:rPr>
        <w:t>因投标人自身原因而导致投标文件无法导入电子交易系统电子开标、评标系统，该投标视 为无效投标，投标人自行承担由此导致的全部责任。（该投标文件是指解密后的投标文件或启用补 救措施下的非加密电子投标文件。）</w:t>
      </w:r>
    </w:p>
    <w:p w14:paraId="218C13FF">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3.7.6 </w:t>
      </w:r>
      <w:r>
        <w:rPr>
          <w:rFonts w:ascii="宋体" w:hAnsi="宋体" w:eastAsia="宋体" w:cs="宋体"/>
          <w:snapToGrid/>
          <w:spacing w:val="0"/>
          <w:w w:val="100"/>
          <w:kern w:val="21"/>
          <w:position w:val="0"/>
          <w:sz w:val="20"/>
          <w:szCs w:val="20"/>
        </w:rPr>
        <w:t>施工组织设计评审采用暗标评审的，投标人应按照投标人须知前附表规定制作电子投标文 件。</w:t>
      </w:r>
    </w:p>
    <w:p w14:paraId="394B866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68" w:name="_Toc17118"/>
      <w:r>
        <w:rPr>
          <w:rFonts w:ascii="宋体" w:hAnsi="宋体" w:eastAsia="宋体" w:cs="宋体"/>
          <w:b/>
          <w:bCs/>
          <w:snapToGrid/>
          <w:spacing w:val="0"/>
          <w:w w:val="100"/>
          <w:kern w:val="21"/>
          <w:position w:val="0"/>
          <w:sz w:val="31"/>
          <w:szCs w:val="31"/>
        </w:rPr>
        <w:t>4．投标</w:t>
      </w:r>
      <w:bookmarkEnd w:id="68"/>
    </w:p>
    <w:p w14:paraId="16E5C9D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69" w:name="_Toc628"/>
      <w:r>
        <w:rPr>
          <w:rFonts w:ascii="Times New Roman" w:hAnsi="Times New Roman" w:eastAsia="Times New Roman" w:cs="Times New Roman"/>
          <w:b/>
          <w:bCs/>
          <w:snapToGrid/>
          <w:spacing w:val="0"/>
          <w:w w:val="100"/>
          <w:kern w:val="21"/>
          <w:position w:val="0"/>
          <w:sz w:val="28"/>
          <w:szCs w:val="28"/>
        </w:rPr>
        <w:t xml:space="preserve">4.1  </w:t>
      </w:r>
      <w:r>
        <w:rPr>
          <w:rFonts w:ascii="宋体" w:hAnsi="宋体" w:eastAsia="宋体" w:cs="宋体"/>
          <w:b/>
          <w:bCs/>
          <w:snapToGrid/>
          <w:spacing w:val="0"/>
          <w:w w:val="100"/>
          <w:kern w:val="21"/>
          <w:position w:val="0"/>
          <w:sz w:val="28"/>
          <w:szCs w:val="28"/>
        </w:rPr>
        <w:t>投标文件的加密（密封）和标记</w:t>
      </w:r>
      <w:bookmarkEnd w:id="69"/>
    </w:p>
    <w:p w14:paraId="2B94C348">
      <w:pPr>
        <w:keepNext w:val="0"/>
        <w:keepLines w:val="0"/>
        <w:pageBreakBefore w:val="0"/>
        <w:widowControl w:val="0"/>
        <w:kinsoku/>
        <w:wordWrap w:val="0"/>
        <w:overflowPunct/>
        <w:topLinePunct/>
        <w:autoSpaceDE w:val="0"/>
        <w:autoSpaceDN/>
        <w:bidi w:val="0"/>
        <w:adjustRightInd/>
        <w:snapToGrid/>
        <w:spacing w:line="560" w:lineRule="exact"/>
        <w:ind w:left="0" w:right="0" w:firstLine="41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4.1.1 </w:t>
      </w:r>
      <w:r>
        <w:rPr>
          <w:rFonts w:ascii="宋体" w:hAnsi="宋体" w:eastAsia="宋体" w:cs="宋体"/>
          <w:snapToGrid/>
          <w:spacing w:val="0"/>
          <w:w w:val="100"/>
          <w:kern w:val="21"/>
          <w:position w:val="0"/>
          <w:sz w:val="20"/>
          <w:szCs w:val="20"/>
        </w:rPr>
        <w:t xml:space="preserve">投标文件应按照本章第 </w:t>
      </w:r>
      <w:r>
        <w:rPr>
          <w:rFonts w:ascii="Times New Roman" w:hAnsi="Times New Roman" w:eastAsia="Times New Roman" w:cs="Times New Roman"/>
          <w:snapToGrid/>
          <w:spacing w:val="0"/>
          <w:w w:val="100"/>
          <w:kern w:val="21"/>
          <w:position w:val="0"/>
          <w:sz w:val="20"/>
          <w:szCs w:val="20"/>
        </w:rPr>
        <w:t xml:space="preserve">3.7.3 </w:t>
      </w:r>
      <w:r>
        <w:rPr>
          <w:rFonts w:ascii="宋体" w:hAnsi="宋体" w:eastAsia="宋体" w:cs="宋体"/>
          <w:snapToGrid/>
          <w:spacing w:val="0"/>
          <w:w w:val="100"/>
          <w:kern w:val="21"/>
          <w:position w:val="0"/>
          <w:sz w:val="20"/>
          <w:szCs w:val="20"/>
        </w:rPr>
        <w:t>项要求制作并加密，未按要求加密的投标文件， 电子交易系 统将拒绝接收并提示。</w:t>
      </w:r>
    </w:p>
    <w:p w14:paraId="47284F8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0" w:name="_Toc8815"/>
      <w:r>
        <w:rPr>
          <w:rFonts w:ascii="Times New Roman" w:hAnsi="Times New Roman" w:eastAsia="Times New Roman" w:cs="Times New Roman"/>
          <w:b/>
          <w:bCs/>
          <w:snapToGrid/>
          <w:spacing w:val="0"/>
          <w:w w:val="100"/>
          <w:kern w:val="21"/>
          <w:position w:val="0"/>
          <w:sz w:val="28"/>
          <w:szCs w:val="28"/>
        </w:rPr>
        <w:t xml:space="preserve">4.2  </w:t>
      </w:r>
      <w:r>
        <w:rPr>
          <w:rFonts w:ascii="宋体" w:hAnsi="宋体" w:eastAsia="宋体" w:cs="宋体"/>
          <w:b/>
          <w:bCs/>
          <w:snapToGrid/>
          <w:spacing w:val="0"/>
          <w:w w:val="100"/>
          <w:kern w:val="21"/>
          <w:position w:val="0"/>
          <w:sz w:val="28"/>
          <w:szCs w:val="28"/>
        </w:rPr>
        <w:t>投标文件的递交</w:t>
      </w:r>
      <w:bookmarkEnd w:id="70"/>
    </w:p>
    <w:p w14:paraId="11D207B6">
      <w:pPr>
        <w:keepNext w:val="0"/>
        <w:keepLines w:val="0"/>
        <w:pageBreakBefore w:val="0"/>
        <w:widowControl w:val="0"/>
        <w:kinsoku/>
        <w:wordWrap w:val="0"/>
        <w:overflowPunct/>
        <w:topLinePunct/>
        <w:autoSpaceDE w:val="0"/>
        <w:autoSpaceDN/>
        <w:bidi w:val="0"/>
        <w:adjustRightInd/>
        <w:snapToGrid/>
        <w:spacing w:line="560" w:lineRule="exact"/>
        <w:ind w:left="0" w:right="0" w:firstLine="413"/>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4.2.1 </w:t>
      </w:r>
      <w:r>
        <w:rPr>
          <w:rFonts w:ascii="宋体" w:hAnsi="宋体" w:eastAsia="宋体" w:cs="宋体"/>
          <w:snapToGrid/>
          <w:spacing w:val="0"/>
          <w:w w:val="100"/>
          <w:kern w:val="21"/>
          <w:position w:val="0"/>
          <w:sz w:val="20"/>
          <w:szCs w:val="20"/>
        </w:rPr>
        <w:t>投标人应在投标人须知前附表规定的投标截止时间前，将加密的投标文件在电子交易系统 上传，并保存上传成功后系统自动生成的电子签收凭证，递交时间即为电子签收凭证时间。</w:t>
      </w:r>
    </w:p>
    <w:p w14:paraId="3BBB17D9">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4.2.2  </w:t>
      </w:r>
      <w:r>
        <w:rPr>
          <w:rFonts w:ascii="宋体" w:hAnsi="宋体" w:eastAsia="宋体" w:cs="宋体"/>
          <w:snapToGrid/>
          <w:spacing w:val="0"/>
          <w:w w:val="100"/>
          <w:kern w:val="21"/>
          <w:position w:val="0"/>
          <w:sz w:val="20"/>
          <w:szCs w:val="20"/>
        </w:rPr>
        <w:t>投标人递交非加密电子投标文件的地点：见投标人须知前附表。招标人收到非加密投标文 件后由投标人代表登记或向投标人出具签收凭证。</w:t>
      </w:r>
    </w:p>
    <w:p w14:paraId="3BA9830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4.2.3  </w:t>
      </w:r>
      <w:r>
        <w:rPr>
          <w:rFonts w:ascii="宋体" w:hAnsi="宋体" w:eastAsia="宋体" w:cs="宋体"/>
          <w:snapToGrid/>
          <w:spacing w:val="0"/>
          <w:w w:val="100"/>
          <w:kern w:val="21"/>
          <w:position w:val="0"/>
          <w:sz w:val="20"/>
          <w:szCs w:val="20"/>
        </w:rPr>
        <w:t>除投标人须知前附表另有规定外，投标人所递交的投标文件不予退还。</w:t>
      </w:r>
    </w:p>
    <w:p w14:paraId="7F756665">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4.2.4 </w:t>
      </w:r>
      <w:r>
        <w:rPr>
          <w:rFonts w:ascii="宋体" w:hAnsi="宋体" w:eastAsia="宋体" w:cs="宋体"/>
          <w:snapToGrid/>
          <w:spacing w:val="0"/>
          <w:w w:val="100"/>
          <w:kern w:val="21"/>
          <w:position w:val="0"/>
          <w:sz w:val="20"/>
          <w:szCs w:val="20"/>
        </w:rPr>
        <w:t>投标人应当在投标截止时间前完成投标文件的传输递交（以接收到电子签收凭证为准）， 并可以补充、修改或者撤回投标文件。投标截止时间前未完成投标文件传输的，视为撤回投标文件。 未按规定加密或投标截止时间后送达的投标文件， 电子交易系统应当拒收。</w:t>
      </w:r>
    </w:p>
    <w:p w14:paraId="3E8AC4F2">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4.2.5 </w:t>
      </w:r>
      <w:r>
        <w:rPr>
          <w:rFonts w:ascii="宋体" w:hAnsi="宋体" w:eastAsia="宋体" w:cs="宋体"/>
          <w:snapToGrid/>
          <w:spacing w:val="0"/>
          <w:w w:val="100"/>
          <w:kern w:val="21"/>
          <w:position w:val="0"/>
          <w:sz w:val="20"/>
          <w:szCs w:val="20"/>
        </w:rPr>
        <w:t>逾期送达的或者未送达指定地点的非加密投标文件电子介质，招标人不予接收，但不影响 其已按招标文件要求从电子交易系统递交的加密电子投标文件的有效性。未从电子交易系统递交加 密电子投标文件的，投标人递交的非加密投标文件电子介质将被视为无效。</w:t>
      </w:r>
    </w:p>
    <w:p w14:paraId="34694D4F">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4.2.6  </w:t>
      </w:r>
      <w:r>
        <w:rPr>
          <w:rFonts w:ascii="宋体" w:hAnsi="宋体" w:eastAsia="宋体" w:cs="宋体"/>
          <w:snapToGrid/>
          <w:spacing w:val="0"/>
          <w:w w:val="100"/>
          <w:kern w:val="21"/>
          <w:position w:val="0"/>
          <w:sz w:val="20"/>
          <w:szCs w:val="20"/>
        </w:rPr>
        <w:t xml:space="preserve">投标人在本章第 </w:t>
      </w:r>
      <w:r>
        <w:rPr>
          <w:rFonts w:ascii="Times New Roman" w:hAnsi="Times New Roman" w:eastAsia="Times New Roman" w:cs="Times New Roman"/>
          <w:snapToGrid/>
          <w:spacing w:val="0"/>
          <w:w w:val="100"/>
          <w:kern w:val="21"/>
          <w:position w:val="0"/>
          <w:sz w:val="20"/>
          <w:szCs w:val="20"/>
        </w:rPr>
        <w:t xml:space="preserve">5.2 </w:t>
      </w:r>
      <w:r>
        <w:rPr>
          <w:rFonts w:ascii="宋体" w:hAnsi="宋体" w:eastAsia="宋体" w:cs="宋体"/>
          <w:snapToGrid/>
          <w:spacing w:val="0"/>
          <w:w w:val="100"/>
          <w:kern w:val="21"/>
          <w:position w:val="0"/>
          <w:sz w:val="20"/>
          <w:szCs w:val="20"/>
        </w:rPr>
        <w:t>款规定的解密开始规定时间（ 以电子交易系统解密倒计时为准）内完 成投标文件的解密工作，未能成功解密的投标人，如投标人须知前附表允许使用非加密投标文件作 为备份，并且投标人在投标截止时间之前到达开标现场并递交非加密投标文件，则可导入非加密投 标文件继续开标。若电子交易系统识别出非加密投标文件和加密投标文件识别码不一致， 电子交易 系统将拒绝导入。</w:t>
      </w:r>
    </w:p>
    <w:p w14:paraId="69C5B7B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1" w:name="_Toc8377"/>
      <w:r>
        <w:rPr>
          <w:rFonts w:ascii="Times New Roman" w:hAnsi="Times New Roman" w:eastAsia="Times New Roman" w:cs="Times New Roman"/>
          <w:b/>
          <w:bCs/>
          <w:snapToGrid/>
          <w:spacing w:val="0"/>
          <w:w w:val="100"/>
          <w:kern w:val="21"/>
          <w:position w:val="0"/>
          <w:sz w:val="28"/>
          <w:szCs w:val="28"/>
        </w:rPr>
        <w:t xml:space="preserve">4.3  </w:t>
      </w:r>
      <w:r>
        <w:rPr>
          <w:rFonts w:ascii="宋体" w:hAnsi="宋体" w:eastAsia="宋体" w:cs="宋体"/>
          <w:b/>
          <w:bCs/>
          <w:snapToGrid/>
          <w:spacing w:val="0"/>
          <w:w w:val="100"/>
          <w:kern w:val="21"/>
          <w:position w:val="0"/>
          <w:sz w:val="28"/>
          <w:szCs w:val="28"/>
        </w:rPr>
        <w:t>投标文件的修改与撤回</w:t>
      </w:r>
      <w:bookmarkEnd w:id="71"/>
    </w:p>
    <w:p w14:paraId="38D52A91">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4.3.1  </w:t>
      </w:r>
      <w:r>
        <w:rPr>
          <w:rFonts w:ascii="宋体" w:hAnsi="宋体" w:eastAsia="宋体" w:cs="宋体"/>
          <w:snapToGrid/>
          <w:spacing w:val="0"/>
          <w:w w:val="100"/>
          <w:kern w:val="21"/>
          <w:position w:val="0"/>
          <w:sz w:val="20"/>
          <w:szCs w:val="20"/>
        </w:rPr>
        <w:t xml:space="preserve">在本章第 </w:t>
      </w:r>
      <w:r>
        <w:rPr>
          <w:rFonts w:ascii="Times New Roman" w:hAnsi="Times New Roman" w:eastAsia="Times New Roman" w:cs="Times New Roman"/>
          <w:snapToGrid/>
          <w:spacing w:val="0"/>
          <w:w w:val="100"/>
          <w:kern w:val="21"/>
          <w:position w:val="0"/>
          <w:sz w:val="20"/>
          <w:szCs w:val="20"/>
        </w:rPr>
        <w:t xml:space="preserve">4.2.1 </w:t>
      </w:r>
      <w:r>
        <w:rPr>
          <w:rFonts w:ascii="宋体" w:hAnsi="宋体" w:eastAsia="宋体" w:cs="宋体"/>
          <w:snapToGrid/>
          <w:spacing w:val="0"/>
          <w:w w:val="100"/>
          <w:kern w:val="21"/>
          <w:position w:val="0"/>
          <w:sz w:val="20"/>
          <w:szCs w:val="20"/>
        </w:rPr>
        <w:t xml:space="preserve">项规定的投标截止时间前，投标人可以修改或撤回已递交的投标文件。投 标人对加密的投标文件进行撤回的，应在电子交易系统直接进行撤回操作；投标人对加密的投标文 件进行修改的，应在投标截止时间前完成上传。投标人修改投标文件的，应使用“投标文件制作工 具 ”制作成完整的投标文件，并按照本章第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 xml:space="preserve">条、第 </w:t>
      </w:r>
      <w:r>
        <w:rPr>
          <w:rFonts w:ascii="Times New Roman" w:hAnsi="Times New Roman" w:eastAsia="Times New Roman" w:cs="Times New Roman"/>
          <w:snapToGrid/>
          <w:spacing w:val="0"/>
          <w:w w:val="100"/>
          <w:kern w:val="21"/>
          <w:position w:val="0"/>
          <w:sz w:val="20"/>
          <w:szCs w:val="20"/>
        </w:rPr>
        <w:t xml:space="preserve">4 </w:t>
      </w:r>
      <w:r>
        <w:rPr>
          <w:rFonts w:ascii="宋体" w:hAnsi="宋体" w:eastAsia="宋体" w:cs="宋体"/>
          <w:snapToGrid/>
          <w:spacing w:val="0"/>
          <w:w w:val="100"/>
          <w:kern w:val="21"/>
          <w:position w:val="0"/>
          <w:sz w:val="20"/>
          <w:szCs w:val="20"/>
        </w:rPr>
        <w:t>条规定进行编制、加密和递交。</w:t>
      </w:r>
    </w:p>
    <w:p w14:paraId="4E0BE47C">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4.3.2  </w:t>
      </w:r>
      <w:r>
        <w:rPr>
          <w:rFonts w:ascii="宋体" w:hAnsi="宋体" w:eastAsia="宋体" w:cs="宋体"/>
          <w:snapToGrid/>
          <w:spacing w:val="0"/>
          <w:w w:val="100"/>
          <w:kern w:val="21"/>
          <w:position w:val="0"/>
          <w:sz w:val="20"/>
          <w:szCs w:val="20"/>
        </w:rPr>
        <w:t>投标人修改或撤回已递交的非加密投标文件的，应当以书面形式通知招标人。书面通知应 由投标人的法定代表人或其授权的代理人签字或盖单位章。招标人收到书面通知后， 向投标人出具 签收凭证。</w:t>
      </w:r>
    </w:p>
    <w:p w14:paraId="306E752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72" w:name="bookmark117"/>
      <w:bookmarkEnd w:id="72"/>
      <w:bookmarkStart w:id="73" w:name="_Toc23511"/>
      <w:r>
        <w:rPr>
          <w:rFonts w:ascii="宋体" w:hAnsi="宋体" w:eastAsia="宋体" w:cs="宋体"/>
          <w:b/>
          <w:bCs/>
          <w:snapToGrid/>
          <w:spacing w:val="0"/>
          <w:w w:val="100"/>
          <w:kern w:val="21"/>
          <w:position w:val="0"/>
          <w:sz w:val="31"/>
          <w:szCs w:val="31"/>
        </w:rPr>
        <w:t>5．开标</w:t>
      </w:r>
      <w:bookmarkEnd w:id="73"/>
    </w:p>
    <w:p w14:paraId="02BEC0D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4" w:name="_Toc22140"/>
      <w:r>
        <w:rPr>
          <w:rFonts w:ascii="Times New Roman" w:hAnsi="Times New Roman" w:eastAsia="Times New Roman" w:cs="Times New Roman"/>
          <w:b/>
          <w:bCs/>
          <w:snapToGrid/>
          <w:spacing w:val="0"/>
          <w:w w:val="100"/>
          <w:kern w:val="21"/>
          <w:position w:val="0"/>
          <w:sz w:val="28"/>
          <w:szCs w:val="28"/>
        </w:rPr>
        <w:t xml:space="preserve">5.1  </w:t>
      </w:r>
      <w:r>
        <w:rPr>
          <w:rFonts w:ascii="宋体" w:hAnsi="宋体" w:eastAsia="宋体" w:cs="宋体"/>
          <w:b/>
          <w:bCs/>
          <w:snapToGrid/>
          <w:spacing w:val="0"/>
          <w:w w:val="100"/>
          <w:kern w:val="21"/>
          <w:position w:val="0"/>
          <w:sz w:val="28"/>
          <w:szCs w:val="28"/>
        </w:rPr>
        <w:t>开标时间和地点</w:t>
      </w:r>
      <w:bookmarkEnd w:id="74"/>
    </w:p>
    <w:p w14:paraId="09D17D15">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招标人在本章第 </w:t>
      </w:r>
      <w:r>
        <w:rPr>
          <w:rFonts w:ascii="Times New Roman" w:hAnsi="Times New Roman" w:eastAsia="Times New Roman" w:cs="Times New Roman"/>
          <w:snapToGrid/>
          <w:spacing w:val="0"/>
          <w:w w:val="100"/>
          <w:kern w:val="21"/>
          <w:position w:val="0"/>
          <w:sz w:val="20"/>
          <w:szCs w:val="20"/>
        </w:rPr>
        <w:t xml:space="preserve">4.2.1  </w:t>
      </w:r>
      <w:r>
        <w:rPr>
          <w:rFonts w:ascii="宋体" w:hAnsi="宋体" w:eastAsia="宋体" w:cs="宋体"/>
          <w:snapToGrid/>
          <w:spacing w:val="0"/>
          <w:w w:val="100"/>
          <w:kern w:val="21"/>
          <w:position w:val="0"/>
          <w:sz w:val="20"/>
          <w:szCs w:val="20"/>
        </w:rPr>
        <w:t>项规定的投标截止时间（开标时间），通过电子交易系统公开开标，所有 投标人的法定代表人或其委托代理人应当准时参加。</w:t>
      </w:r>
    </w:p>
    <w:p w14:paraId="37C711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投标人若未派法定代表人或其委托代理人参加开标活动，视为该投标人默认开标结果。</w:t>
      </w:r>
    </w:p>
    <w:p w14:paraId="53A7F9D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5" w:name="_Toc14528"/>
      <w:r>
        <w:rPr>
          <w:rFonts w:ascii="Times New Roman" w:hAnsi="Times New Roman" w:eastAsia="Times New Roman" w:cs="Times New Roman"/>
          <w:b/>
          <w:bCs/>
          <w:snapToGrid/>
          <w:spacing w:val="0"/>
          <w:w w:val="100"/>
          <w:kern w:val="21"/>
          <w:position w:val="0"/>
          <w:sz w:val="28"/>
          <w:szCs w:val="28"/>
        </w:rPr>
        <w:t xml:space="preserve">5.2  </w:t>
      </w:r>
      <w:r>
        <w:rPr>
          <w:rFonts w:ascii="宋体" w:hAnsi="宋体" w:eastAsia="宋体" w:cs="宋体"/>
          <w:b/>
          <w:bCs/>
          <w:snapToGrid/>
          <w:spacing w:val="0"/>
          <w:w w:val="100"/>
          <w:kern w:val="21"/>
          <w:position w:val="0"/>
          <w:sz w:val="28"/>
          <w:szCs w:val="28"/>
        </w:rPr>
        <w:t>开标程序</w:t>
      </w:r>
      <w:bookmarkEnd w:id="75"/>
    </w:p>
    <w:p w14:paraId="3440E84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主持人按下列程序进行开标：</w:t>
      </w:r>
    </w:p>
    <w:p w14:paraId="12B6C3A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）公布在投标截止时间前通过电子交易系统完成投标文件递交的投标人名称；</w:t>
      </w:r>
    </w:p>
    <w:p w14:paraId="5DF9A9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 由投标人推选的代表检查非加密投标文件电子介质及投标保函原件的密封情况；（如有）</w:t>
      </w:r>
    </w:p>
    <w:p w14:paraId="19D532AA">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）投标人在投标截止时间后在投标人须知前附表规定的解密时间内完成投标文件的解密工 作；</w:t>
      </w:r>
    </w:p>
    <w:p w14:paraId="59F62EE0">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）招标人完成解密工作，导入并读取所有成功解密的投标文件，或招标人成功导入现场递交 的非加密投标文件；</w:t>
      </w:r>
    </w:p>
    <w:p w14:paraId="19277A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）公布投标人名称、标段名称、投标报价、质量要求、计划工期及其他内容；</w:t>
      </w:r>
    </w:p>
    <w:p w14:paraId="58C39F4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6</w:t>
      </w:r>
      <w:r>
        <w:rPr>
          <w:rFonts w:ascii="宋体" w:hAnsi="宋体" w:eastAsia="宋体" w:cs="宋体"/>
          <w:snapToGrid/>
          <w:spacing w:val="0"/>
          <w:w w:val="100"/>
          <w:kern w:val="21"/>
          <w:position w:val="0"/>
          <w:sz w:val="20"/>
          <w:szCs w:val="20"/>
        </w:rPr>
        <w:t>）开标结束。</w:t>
      </w:r>
    </w:p>
    <w:p w14:paraId="66CEEA1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6" w:name="_Toc22738"/>
      <w:r>
        <w:rPr>
          <w:rFonts w:ascii="Times New Roman" w:hAnsi="Times New Roman" w:eastAsia="Times New Roman" w:cs="Times New Roman"/>
          <w:b/>
          <w:bCs/>
          <w:snapToGrid/>
          <w:spacing w:val="0"/>
          <w:w w:val="100"/>
          <w:kern w:val="21"/>
          <w:position w:val="0"/>
          <w:sz w:val="28"/>
          <w:szCs w:val="28"/>
        </w:rPr>
        <w:t xml:space="preserve">5.3 </w:t>
      </w:r>
      <w:r>
        <w:rPr>
          <w:rFonts w:ascii="宋体" w:hAnsi="宋体" w:eastAsia="宋体" w:cs="宋体"/>
          <w:b/>
          <w:bCs/>
          <w:snapToGrid/>
          <w:spacing w:val="0"/>
          <w:w w:val="100"/>
          <w:kern w:val="21"/>
          <w:position w:val="0"/>
          <w:sz w:val="28"/>
          <w:szCs w:val="28"/>
        </w:rPr>
        <w:t>开标异议</w:t>
      </w:r>
      <w:bookmarkEnd w:id="76"/>
    </w:p>
    <w:p w14:paraId="6F91C904">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投标人对开标有异议的，应当在开标过程中提出，招标人当场作出答复，并制作记录。异议与 答复应通过电子交易系统进行。</w:t>
      </w:r>
    </w:p>
    <w:p w14:paraId="516A0BC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77" w:name="bookmark118"/>
      <w:bookmarkEnd w:id="77"/>
      <w:bookmarkStart w:id="78" w:name="_Toc11184"/>
      <w:r>
        <w:rPr>
          <w:rFonts w:ascii="宋体" w:hAnsi="宋体" w:eastAsia="宋体" w:cs="宋体"/>
          <w:b/>
          <w:bCs/>
          <w:snapToGrid/>
          <w:spacing w:val="0"/>
          <w:w w:val="100"/>
          <w:kern w:val="21"/>
          <w:position w:val="0"/>
          <w:sz w:val="31"/>
          <w:szCs w:val="31"/>
        </w:rPr>
        <w:t>6．评标</w:t>
      </w:r>
      <w:bookmarkEnd w:id="78"/>
    </w:p>
    <w:p w14:paraId="24E4D37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79" w:name="_Toc17093"/>
      <w:r>
        <w:rPr>
          <w:rFonts w:ascii="Times New Roman" w:hAnsi="Times New Roman" w:eastAsia="Times New Roman" w:cs="Times New Roman"/>
          <w:b/>
          <w:bCs/>
          <w:snapToGrid/>
          <w:spacing w:val="0"/>
          <w:w w:val="100"/>
          <w:kern w:val="21"/>
          <w:position w:val="0"/>
          <w:sz w:val="28"/>
          <w:szCs w:val="28"/>
        </w:rPr>
        <w:t xml:space="preserve">6.1  </w:t>
      </w:r>
      <w:r>
        <w:rPr>
          <w:rFonts w:ascii="宋体" w:hAnsi="宋体" w:eastAsia="宋体" w:cs="宋体"/>
          <w:b/>
          <w:bCs/>
          <w:snapToGrid/>
          <w:spacing w:val="0"/>
          <w:w w:val="100"/>
          <w:kern w:val="21"/>
          <w:position w:val="0"/>
          <w:sz w:val="28"/>
          <w:szCs w:val="28"/>
        </w:rPr>
        <w:t>评标委员会</w:t>
      </w:r>
      <w:bookmarkEnd w:id="79"/>
    </w:p>
    <w:p w14:paraId="19ED516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6.1.1  </w:t>
      </w:r>
      <w:r>
        <w:rPr>
          <w:rFonts w:ascii="宋体" w:hAnsi="宋体" w:eastAsia="宋体" w:cs="宋体"/>
          <w:snapToGrid/>
          <w:spacing w:val="0"/>
          <w:w w:val="100"/>
          <w:kern w:val="21"/>
          <w:position w:val="0"/>
          <w:sz w:val="20"/>
          <w:szCs w:val="20"/>
        </w:rPr>
        <w:t>评标由招标人依法组建的评标委员会负责。评标委员会由招标人或其委托的招标代理机构 熟悉相关业务的代表， 以及有关技术、经济等方面的专家组成。评标委员会成员人数以及技术、经 济等方面专家的确定方式见投标人须知前附表。</w:t>
      </w:r>
    </w:p>
    <w:p w14:paraId="03309D1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6.1.2  </w:t>
      </w:r>
      <w:r>
        <w:rPr>
          <w:rFonts w:ascii="宋体" w:hAnsi="宋体" w:eastAsia="宋体" w:cs="宋体"/>
          <w:snapToGrid/>
          <w:spacing w:val="0"/>
          <w:w w:val="100"/>
          <w:kern w:val="21"/>
          <w:position w:val="0"/>
          <w:sz w:val="20"/>
          <w:szCs w:val="20"/>
        </w:rPr>
        <w:t>评标委员会成员有下列情形之一的，应当回避：</w:t>
      </w:r>
    </w:p>
    <w:p w14:paraId="3F03B90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（1）投标人或投标人主要负责人的近亲属；</w:t>
      </w:r>
    </w:p>
    <w:p w14:paraId="0F4CE9F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（2）项目主管部门或者行政监督部门的人员；</w:t>
      </w:r>
    </w:p>
    <w:p w14:paraId="1D903E7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（3）参加招标活动前三年内，与投标人存在劳动关系；</w:t>
      </w:r>
    </w:p>
    <w:p w14:paraId="1033E37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（4）与投标人有经济利益关系，可能影响对投标公正评审的；</w:t>
      </w:r>
    </w:p>
    <w:p w14:paraId="01A2F33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（5）曾因在招标、评标以及其他与招标投标有关活动中从事违法行为而受过行政处罚或刑事处 罚的；</w:t>
      </w:r>
    </w:p>
    <w:p w14:paraId="272FD66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（6）与投标人有其他利害关系。</w:t>
      </w:r>
    </w:p>
    <w:p w14:paraId="351C13F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6.1.3  </w:t>
      </w:r>
      <w:r>
        <w:rPr>
          <w:rFonts w:ascii="宋体" w:hAnsi="宋体" w:eastAsia="宋体" w:cs="宋体"/>
          <w:snapToGrid/>
          <w:spacing w:val="0"/>
          <w:w w:val="100"/>
          <w:kern w:val="21"/>
          <w:position w:val="0"/>
          <w:sz w:val="20"/>
          <w:szCs w:val="20"/>
        </w:rPr>
        <w:t>评标过程中，评标委员会成员有回避事由、擅离职守或者因健康等原因不能继续评标的， 招标人有权更换。被更换的评标委员会成员作出的评审结论无效， 由更换后的评标委员会成员重新 进行评审。</w:t>
      </w:r>
    </w:p>
    <w:p w14:paraId="06A9C87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0" w:name="_Toc5031"/>
      <w:r>
        <w:rPr>
          <w:rFonts w:ascii="Times New Roman" w:hAnsi="Times New Roman" w:eastAsia="Times New Roman" w:cs="Times New Roman"/>
          <w:b/>
          <w:bCs/>
          <w:snapToGrid/>
          <w:spacing w:val="0"/>
          <w:w w:val="100"/>
          <w:kern w:val="21"/>
          <w:position w:val="0"/>
          <w:sz w:val="28"/>
          <w:szCs w:val="28"/>
        </w:rPr>
        <w:t xml:space="preserve">6.2  </w:t>
      </w:r>
      <w:r>
        <w:rPr>
          <w:rFonts w:ascii="宋体" w:hAnsi="宋体" w:eastAsia="宋体" w:cs="宋体"/>
          <w:b/>
          <w:bCs/>
          <w:snapToGrid/>
          <w:spacing w:val="0"/>
          <w:w w:val="100"/>
          <w:kern w:val="21"/>
          <w:position w:val="0"/>
          <w:sz w:val="28"/>
          <w:szCs w:val="28"/>
        </w:rPr>
        <w:t>评标原则</w:t>
      </w:r>
      <w:bookmarkEnd w:id="80"/>
    </w:p>
    <w:p w14:paraId="0E79FCE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评标活动遵循公平、公正、科学和择优的原则。</w:t>
      </w:r>
    </w:p>
    <w:p w14:paraId="247E323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1" w:name="_Toc20236"/>
      <w:r>
        <w:rPr>
          <w:rFonts w:ascii="Times New Roman" w:hAnsi="Times New Roman" w:eastAsia="Times New Roman" w:cs="Times New Roman"/>
          <w:b/>
          <w:bCs/>
          <w:snapToGrid/>
          <w:spacing w:val="0"/>
          <w:w w:val="100"/>
          <w:kern w:val="21"/>
          <w:position w:val="0"/>
          <w:sz w:val="28"/>
          <w:szCs w:val="28"/>
        </w:rPr>
        <w:t xml:space="preserve">6.3  </w:t>
      </w:r>
      <w:r>
        <w:rPr>
          <w:rFonts w:ascii="宋体" w:hAnsi="宋体" w:eastAsia="宋体" w:cs="宋体"/>
          <w:b/>
          <w:bCs/>
          <w:snapToGrid/>
          <w:spacing w:val="0"/>
          <w:w w:val="100"/>
          <w:kern w:val="21"/>
          <w:position w:val="0"/>
          <w:sz w:val="28"/>
          <w:szCs w:val="28"/>
        </w:rPr>
        <w:t>评标</w:t>
      </w:r>
      <w:bookmarkEnd w:id="81"/>
    </w:p>
    <w:p w14:paraId="49C9384F">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6.3.1 </w:t>
      </w:r>
      <w:r>
        <w:rPr>
          <w:rFonts w:ascii="宋体" w:hAnsi="宋体" w:eastAsia="宋体" w:cs="宋体"/>
          <w:snapToGrid/>
          <w:spacing w:val="0"/>
          <w:w w:val="100"/>
          <w:kern w:val="21"/>
          <w:position w:val="0"/>
          <w:sz w:val="20"/>
          <w:szCs w:val="20"/>
        </w:rPr>
        <w:t>评标委员会按照第三章“评标办法 ”规定的方法、评审因素、标准和程序对投标文件进行 评审。第三章“评标办法 ”没有规定的方法、评审因素和标准，不作为评标依据。</w:t>
      </w:r>
    </w:p>
    <w:p w14:paraId="1A83E43A">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6.3.2 </w:t>
      </w:r>
      <w:r>
        <w:rPr>
          <w:rFonts w:ascii="宋体" w:hAnsi="宋体" w:eastAsia="宋体" w:cs="宋体"/>
          <w:snapToGrid/>
          <w:spacing w:val="0"/>
          <w:w w:val="100"/>
          <w:kern w:val="21"/>
          <w:position w:val="0"/>
          <w:sz w:val="20"/>
          <w:szCs w:val="20"/>
        </w:rPr>
        <w:t>评标完成后，评标委员会应当向招标人提交书面评标报告和中标候选人名单。评标委员会 推荐中标候选人的人数见投标人须知前附表。</w:t>
      </w:r>
    </w:p>
    <w:p w14:paraId="77EDC4C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82" w:name="bookmark119"/>
      <w:bookmarkEnd w:id="82"/>
      <w:bookmarkStart w:id="83" w:name="_Toc362"/>
      <w:r>
        <w:rPr>
          <w:rFonts w:ascii="宋体" w:hAnsi="宋体" w:eastAsia="宋体" w:cs="宋体"/>
          <w:b/>
          <w:bCs/>
          <w:snapToGrid/>
          <w:spacing w:val="0"/>
          <w:w w:val="100"/>
          <w:kern w:val="21"/>
          <w:position w:val="0"/>
          <w:sz w:val="31"/>
          <w:szCs w:val="31"/>
        </w:rPr>
        <w:t>7．合同授予</w:t>
      </w:r>
      <w:bookmarkEnd w:id="83"/>
    </w:p>
    <w:p w14:paraId="691FFE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4" w:name="_Toc12444"/>
      <w:r>
        <w:rPr>
          <w:rFonts w:ascii="Times New Roman" w:hAnsi="Times New Roman" w:eastAsia="Times New Roman" w:cs="Times New Roman"/>
          <w:b/>
          <w:bCs/>
          <w:snapToGrid/>
          <w:spacing w:val="0"/>
          <w:w w:val="100"/>
          <w:kern w:val="21"/>
          <w:position w:val="0"/>
          <w:sz w:val="28"/>
          <w:szCs w:val="28"/>
        </w:rPr>
        <w:t xml:space="preserve">7.1  </w:t>
      </w:r>
      <w:r>
        <w:rPr>
          <w:rFonts w:ascii="宋体" w:hAnsi="宋体" w:eastAsia="宋体" w:cs="宋体"/>
          <w:b/>
          <w:bCs/>
          <w:snapToGrid/>
          <w:spacing w:val="0"/>
          <w:w w:val="100"/>
          <w:kern w:val="21"/>
          <w:position w:val="0"/>
          <w:sz w:val="28"/>
          <w:szCs w:val="28"/>
        </w:rPr>
        <w:t>中标候选人公示</w:t>
      </w:r>
      <w:bookmarkEnd w:id="84"/>
    </w:p>
    <w:p w14:paraId="5870E33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招标人在收到评标报告之日起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 xml:space="preserve">日内，按照投标人须知前附表规定的公示媒介和期限公示中标 候选人，公示期不得少于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日，公示内容包括：</w:t>
      </w:r>
    </w:p>
    <w:p w14:paraId="21AE0F0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（1）中标候选人排序、名称、投标报价、质量、安全、环保、工期， 以及评标情况；</w:t>
      </w:r>
    </w:p>
    <w:p w14:paraId="037E912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（2）中标候选人在投标文件中承诺的项目经理姓名及其相关证书名称和编号；</w:t>
      </w:r>
    </w:p>
    <w:p w14:paraId="1B3A30F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（3）中标候选人响应招标文件要求的资格能力条件；</w:t>
      </w:r>
    </w:p>
    <w:p w14:paraId="0A3B511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（4）被否决投标的投标人名称、否决依据和原因；</w:t>
      </w:r>
    </w:p>
    <w:p w14:paraId="58E2638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（5）提出异议的渠道和方式；</w:t>
      </w:r>
    </w:p>
    <w:p w14:paraId="5CD9A81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（6）投标人须知前附表规定公示的其他内容。</w:t>
      </w:r>
    </w:p>
    <w:p w14:paraId="55A083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5" w:name="_Toc13395"/>
      <w:r>
        <w:rPr>
          <w:rFonts w:ascii="Times New Roman" w:hAnsi="Times New Roman" w:eastAsia="Times New Roman" w:cs="Times New Roman"/>
          <w:b/>
          <w:bCs/>
          <w:snapToGrid/>
          <w:spacing w:val="0"/>
          <w:w w:val="100"/>
          <w:kern w:val="21"/>
          <w:position w:val="0"/>
          <w:sz w:val="28"/>
          <w:szCs w:val="28"/>
        </w:rPr>
        <w:t xml:space="preserve">7.2  </w:t>
      </w:r>
      <w:r>
        <w:rPr>
          <w:rFonts w:ascii="宋体" w:hAnsi="宋体" w:eastAsia="宋体" w:cs="宋体"/>
          <w:b/>
          <w:bCs/>
          <w:snapToGrid/>
          <w:spacing w:val="0"/>
          <w:w w:val="100"/>
          <w:kern w:val="21"/>
          <w:position w:val="0"/>
          <w:sz w:val="28"/>
          <w:szCs w:val="28"/>
        </w:rPr>
        <w:t>评标结果异议</w:t>
      </w:r>
      <w:bookmarkEnd w:id="85"/>
    </w:p>
    <w:p w14:paraId="6BD86F69">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投标人或者其他利害关系人对评标结果有异议的，应当在中标候选人公示期间提出。招标人将 在收到异议之日起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日内作出答复；作出答复前，将暂停招标投标活动。</w:t>
      </w:r>
    </w:p>
    <w:p w14:paraId="35FBDA4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6" w:name="_Toc2228"/>
      <w:r>
        <w:rPr>
          <w:rFonts w:ascii="Times New Roman" w:hAnsi="Times New Roman" w:eastAsia="Times New Roman" w:cs="Times New Roman"/>
          <w:b/>
          <w:bCs/>
          <w:snapToGrid/>
          <w:spacing w:val="0"/>
          <w:w w:val="100"/>
          <w:kern w:val="21"/>
          <w:position w:val="0"/>
          <w:sz w:val="28"/>
          <w:szCs w:val="28"/>
        </w:rPr>
        <w:t xml:space="preserve">7.3  </w:t>
      </w:r>
      <w:r>
        <w:rPr>
          <w:rFonts w:ascii="宋体" w:hAnsi="宋体" w:eastAsia="宋体" w:cs="宋体"/>
          <w:b/>
          <w:bCs/>
          <w:snapToGrid/>
          <w:spacing w:val="0"/>
          <w:w w:val="100"/>
          <w:kern w:val="21"/>
          <w:position w:val="0"/>
          <w:sz w:val="28"/>
          <w:szCs w:val="28"/>
        </w:rPr>
        <w:t>中标候选人履约能力审查</w:t>
      </w:r>
      <w:bookmarkEnd w:id="86"/>
    </w:p>
    <w:p w14:paraId="19F575B1">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中标候选人的经营、财务状况发生较大变化或存在违法行为，招标人认为可能影响其履约能力 的，将在发出中标通知书前提请原评标委员会按照招标文件规定的标准和方法进行审查确认。</w:t>
      </w:r>
    </w:p>
    <w:p w14:paraId="29A6CD6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7" w:name="_Toc29361"/>
      <w:r>
        <w:rPr>
          <w:rFonts w:ascii="Times New Roman" w:hAnsi="Times New Roman" w:eastAsia="Times New Roman" w:cs="Times New Roman"/>
          <w:b/>
          <w:bCs/>
          <w:snapToGrid/>
          <w:spacing w:val="0"/>
          <w:w w:val="100"/>
          <w:kern w:val="21"/>
          <w:position w:val="0"/>
          <w:sz w:val="28"/>
          <w:szCs w:val="28"/>
        </w:rPr>
        <w:t xml:space="preserve">7.4  </w:t>
      </w:r>
      <w:r>
        <w:rPr>
          <w:rFonts w:ascii="宋体" w:hAnsi="宋体" w:eastAsia="宋体" w:cs="宋体"/>
          <w:b/>
          <w:bCs/>
          <w:snapToGrid/>
          <w:spacing w:val="0"/>
          <w:w w:val="100"/>
          <w:kern w:val="21"/>
          <w:position w:val="0"/>
          <w:sz w:val="28"/>
          <w:szCs w:val="28"/>
        </w:rPr>
        <w:t>定标</w:t>
      </w:r>
      <w:bookmarkEnd w:id="87"/>
    </w:p>
    <w:p w14:paraId="5D87A3C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按照投标人须知前附表的规定，招标人或招标人授权的评标委员会依法确定中标人。</w:t>
      </w:r>
    </w:p>
    <w:p w14:paraId="6F04701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8" w:name="_Toc11855"/>
      <w:r>
        <w:rPr>
          <w:rFonts w:ascii="Times New Roman" w:hAnsi="Times New Roman" w:eastAsia="Times New Roman" w:cs="Times New Roman"/>
          <w:b/>
          <w:bCs/>
          <w:snapToGrid/>
          <w:spacing w:val="0"/>
          <w:w w:val="100"/>
          <w:kern w:val="21"/>
          <w:position w:val="0"/>
          <w:sz w:val="28"/>
          <w:szCs w:val="28"/>
        </w:rPr>
        <w:t xml:space="preserve">7.5  </w:t>
      </w:r>
      <w:r>
        <w:rPr>
          <w:rFonts w:ascii="宋体" w:hAnsi="宋体" w:eastAsia="宋体" w:cs="宋体"/>
          <w:b/>
          <w:bCs/>
          <w:snapToGrid/>
          <w:spacing w:val="0"/>
          <w:w w:val="100"/>
          <w:kern w:val="21"/>
          <w:position w:val="0"/>
          <w:sz w:val="28"/>
          <w:szCs w:val="28"/>
        </w:rPr>
        <w:t>中标结果公示</w:t>
      </w:r>
      <w:bookmarkEnd w:id="88"/>
    </w:p>
    <w:p w14:paraId="0B69A95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招标人在确定中标人之日起 3 日内，按照投标人须知前附表规定的公示媒介依法公示中标结果。</w:t>
      </w:r>
    </w:p>
    <w:p w14:paraId="421E315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89" w:name="_Toc16875"/>
      <w:r>
        <w:rPr>
          <w:rFonts w:ascii="Times New Roman" w:hAnsi="Times New Roman" w:eastAsia="Times New Roman" w:cs="Times New Roman"/>
          <w:b/>
          <w:bCs/>
          <w:snapToGrid/>
          <w:spacing w:val="0"/>
          <w:w w:val="100"/>
          <w:kern w:val="21"/>
          <w:position w:val="0"/>
          <w:sz w:val="28"/>
          <w:szCs w:val="28"/>
        </w:rPr>
        <w:t xml:space="preserve">7.6  </w:t>
      </w:r>
      <w:r>
        <w:rPr>
          <w:rFonts w:ascii="宋体" w:hAnsi="宋体" w:eastAsia="宋体" w:cs="宋体"/>
          <w:b/>
          <w:bCs/>
          <w:snapToGrid/>
          <w:spacing w:val="0"/>
          <w:w w:val="100"/>
          <w:kern w:val="21"/>
          <w:position w:val="0"/>
          <w:sz w:val="28"/>
          <w:szCs w:val="28"/>
        </w:rPr>
        <w:t>中标通知</w:t>
      </w:r>
      <w:bookmarkEnd w:id="89"/>
    </w:p>
    <w:p w14:paraId="70188C73">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在本章第 </w:t>
      </w:r>
      <w:r>
        <w:rPr>
          <w:rFonts w:ascii="Times New Roman" w:hAnsi="Times New Roman" w:eastAsia="Times New Roman" w:cs="Times New Roman"/>
          <w:snapToGrid/>
          <w:spacing w:val="0"/>
          <w:w w:val="100"/>
          <w:kern w:val="21"/>
          <w:position w:val="0"/>
          <w:sz w:val="20"/>
          <w:szCs w:val="20"/>
        </w:rPr>
        <w:t xml:space="preserve">3.3 </w:t>
      </w:r>
      <w:r>
        <w:rPr>
          <w:rFonts w:ascii="宋体" w:hAnsi="宋体" w:eastAsia="宋体" w:cs="宋体"/>
          <w:snapToGrid/>
          <w:spacing w:val="0"/>
          <w:w w:val="100"/>
          <w:kern w:val="21"/>
          <w:position w:val="0"/>
          <w:sz w:val="20"/>
          <w:szCs w:val="20"/>
        </w:rPr>
        <w:t>款规定的投标有效期内，招标人以书面形式向中标人发出中标通知书， 同时将中 标结果通知未中标的投标人。</w:t>
      </w:r>
    </w:p>
    <w:p w14:paraId="67EA5A6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0" w:name="_Toc23073"/>
      <w:r>
        <w:rPr>
          <w:rFonts w:ascii="Times New Roman" w:hAnsi="Times New Roman" w:eastAsia="Times New Roman" w:cs="Times New Roman"/>
          <w:b/>
          <w:bCs/>
          <w:snapToGrid/>
          <w:spacing w:val="0"/>
          <w:w w:val="100"/>
          <w:kern w:val="21"/>
          <w:position w:val="0"/>
          <w:sz w:val="28"/>
          <w:szCs w:val="28"/>
        </w:rPr>
        <w:t xml:space="preserve">7.7  </w:t>
      </w:r>
      <w:r>
        <w:rPr>
          <w:rFonts w:ascii="宋体" w:hAnsi="宋体" w:eastAsia="宋体" w:cs="宋体"/>
          <w:b/>
          <w:bCs/>
          <w:snapToGrid/>
          <w:spacing w:val="0"/>
          <w:w w:val="100"/>
          <w:kern w:val="21"/>
          <w:position w:val="0"/>
          <w:sz w:val="28"/>
          <w:szCs w:val="28"/>
        </w:rPr>
        <w:t>履约保证金</w:t>
      </w:r>
      <w:bookmarkEnd w:id="90"/>
    </w:p>
    <w:p w14:paraId="5105EBAB">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7.7.1  </w:t>
      </w:r>
      <w:r>
        <w:rPr>
          <w:rFonts w:ascii="宋体" w:hAnsi="宋体" w:eastAsia="宋体" w:cs="宋体"/>
          <w:snapToGrid/>
          <w:spacing w:val="0"/>
          <w:w w:val="100"/>
          <w:kern w:val="21"/>
          <w:position w:val="0"/>
          <w:sz w:val="20"/>
          <w:szCs w:val="20"/>
        </w:rPr>
        <w:t xml:space="preserve">在签订合同前，中标人应按投标人须知前附表规定的形式、金额和招标文件第四章“合同 条款及格式 ”规定的或者事先经过招标人书面认可的履约保证金格式向招标人提交履约保证金。除 投标人须知前附表另有规定外，履约保证金为中标合同金额的 </w:t>
      </w:r>
      <w:r>
        <w:rPr>
          <w:rFonts w:ascii="Times New Roman" w:hAnsi="Times New Roman" w:eastAsia="Times New Roman" w:cs="Times New Roman"/>
          <w:snapToGrid/>
          <w:spacing w:val="0"/>
          <w:w w:val="100"/>
          <w:kern w:val="21"/>
          <w:position w:val="0"/>
          <w:sz w:val="20"/>
          <w:szCs w:val="20"/>
        </w:rPr>
        <w:t>10%</w:t>
      </w:r>
      <w:r>
        <w:rPr>
          <w:rFonts w:ascii="宋体" w:hAnsi="宋体" w:eastAsia="宋体" w:cs="宋体"/>
          <w:snapToGrid/>
          <w:spacing w:val="0"/>
          <w:w w:val="100"/>
          <w:kern w:val="21"/>
          <w:position w:val="0"/>
          <w:sz w:val="20"/>
          <w:szCs w:val="20"/>
        </w:rPr>
        <w:t>。联合体中标的，其履约保证金 以联合体各方或者联合体中牵头人的名义提交。</w:t>
      </w:r>
    </w:p>
    <w:p w14:paraId="4DCECB45">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7.7.2  </w:t>
      </w:r>
      <w:r>
        <w:rPr>
          <w:rFonts w:ascii="宋体" w:hAnsi="宋体" w:eastAsia="宋体" w:cs="宋体"/>
          <w:snapToGrid/>
          <w:spacing w:val="0"/>
          <w:w w:val="100"/>
          <w:kern w:val="21"/>
          <w:position w:val="0"/>
          <w:sz w:val="20"/>
          <w:szCs w:val="20"/>
        </w:rPr>
        <w:t xml:space="preserve">中标人不能按本章第 </w:t>
      </w:r>
      <w:r>
        <w:rPr>
          <w:rFonts w:ascii="Times New Roman" w:hAnsi="Times New Roman" w:eastAsia="Times New Roman" w:cs="Times New Roman"/>
          <w:snapToGrid/>
          <w:spacing w:val="0"/>
          <w:w w:val="100"/>
          <w:kern w:val="21"/>
          <w:position w:val="0"/>
          <w:sz w:val="20"/>
          <w:szCs w:val="20"/>
        </w:rPr>
        <w:t xml:space="preserve">7.7.1 </w:t>
      </w:r>
      <w:r>
        <w:rPr>
          <w:rFonts w:ascii="宋体" w:hAnsi="宋体" w:eastAsia="宋体" w:cs="宋体"/>
          <w:snapToGrid/>
          <w:spacing w:val="0"/>
          <w:w w:val="100"/>
          <w:kern w:val="21"/>
          <w:position w:val="0"/>
          <w:sz w:val="20"/>
          <w:szCs w:val="20"/>
        </w:rPr>
        <w:t>项要求提交履约保证金的，视为放弃中标，其投标保证金不予 退还，给招标人造成的损失超过投标保证金数额的，中标人还应当对超过部分予以赔偿。</w:t>
      </w:r>
    </w:p>
    <w:p w14:paraId="6546531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1" w:name="_Toc25870"/>
      <w:r>
        <w:rPr>
          <w:rFonts w:ascii="Times New Roman" w:hAnsi="Times New Roman" w:eastAsia="Times New Roman" w:cs="Times New Roman"/>
          <w:b/>
          <w:bCs/>
          <w:snapToGrid/>
          <w:spacing w:val="0"/>
          <w:w w:val="100"/>
          <w:kern w:val="21"/>
          <w:position w:val="0"/>
          <w:sz w:val="28"/>
          <w:szCs w:val="28"/>
        </w:rPr>
        <w:t xml:space="preserve">7.8  </w:t>
      </w:r>
      <w:r>
        <w:rPr>
          <w:rFonts w:ascii="宋体" w:hAnsi="宋体" w:eastAsia="宋体" w:cs="宋体"/>
          <w:b/>
          <w:bCs/>
          <w:snapToGrid/>
          <w:spacing w:val="0"/>
          <w:w w:val="100"/>
          <w:kern w:val="21"/>
          <w:position w:val="0"/>
          <w:sz w:val="28"/>
          <w:szCs w:val="28"/>
        </w:rPr>
        <w:t>签订合同</w:t>
      </w:r>
      <w:bookmarkEnd w:id="91"/>
    </w:p>
    <w:p w14:paraId="41157871">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7.8.1 </w:t>
      </w:r>
      <w:r>
        <w:rPr>
          <w:rFonts w:ascii="宋体" w:hAnsi="宋体" w:eastAsia="宋体" w:cs="宋体"/>
          <w:snapToGrid/>
          <w:spacing w:val="0"/>
          <w:w w:val="100"/>
          <w:kern w:val="21"/>
          <w:position w:val="0"/>
          <w:sz w:val="20"/>
          <w:szCs w:val="20"/>
        </w:rPr>
        <w:t xml:space="preserve">招标人和中标人应当在中标通知书发出之日起 </w:t>
      </w:r>
      <w:r>
        <w:rPr>
          <w:rFonts w:ascii="Times New Roman" w:hAnsi="Times New Roman" w:eastAsia="Times New Roman" w:cs="Times New Roman"/>
          <w:snapToGrid/>
          <w:spacing w:val="0"/>
          <w:w w:val="100"/>
          <w:kern w:val="21"/>
          <w:position w:val="0"/>
          <w:sz w:val="20"/>
          <w:szCs w:val="20"/>
        </w:rPr>
        <w:t xml:space="preserve">30  </w:t>
      </w:r>
      <w:r>
        <w:rPr>
          <w:rFonts w:ascii="宋体" w:hAnsi="宋体" w:eastAsia="宋体" w:cs="宋体"/>
          <w:snapToGrid/>
          <w:spacing w:val="0"/>
          <w:w w:val="100"/>
          <w:kern w:val="21"/>
          <w:position w:val="0"/>
          <w:sz w:val="20"/>
          <w:szCs w:val="20"/>
        </w:rPr>
        <w:t>日内，根据招标文件和中标人的投标文 件订立书面合同。中标人无正当理由拒签合同，在签订合同时向招标人提出附加条件，或者不按照 招标文件要求提交履约保证金的，招标人有权取消其中标资格，其投标保证金不予退还；给招标人 造成的损失超过投标保证金数额的， 中标人还应当对超过部分予以赔偿。</w:t>
      </w:r>
    </w:p>
    <w:p w14:paraId="584ED790">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7.8.2  </w:t>
      </w:r>
      <w:r>
        <w:rPr>
          <w:rFonts w:ascii="宋体" w:hAnsi="宋体" w:eastAsia="宋体" w:cs="宋体"/>
          <w:snapToGrid/>
          <w:spacing w:val="0"/>
          <w:w w:val="100"/>
          <w:kern w:val="21"/>
          <w:position w:val="0"/>
          <w:sz w:val="20"/>
          <w:szCs w:val="20"/>
        </w:rPr>
        <w:t>发出中标通知书后，招标人无正当理由拒签合同，或者在签订合同时向中标人提出附加条 件的，招标人向中标人退还投标保证金；给中标人造成损失的，还应当赔偿损失。</w:t>
      </w:r>
    </w:p>
    <w:p w14:paraId="5FB5718C">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7.8.3 </w:t>
      </w:r>
      <w:r>
        <w:rPr>
          <w:rFonts w:ascii="宋体" w:hAnsi="宋体" w:eastAsia="宋体" w:cs="宋体"/>
          <w:snapToGrid/>
          <w:spacing w:val="0"/>
          <w:w w:val="100"/>
          <w:kern w:val="21"/>
          <w:position w:val="0"/>
          <w:sz w:val="20"/>
          <w:szCs w:val="20"/>
        </w:rPr>
        <w:t>联合体中标的，联合体各方应当共同与招标人签订合同，就中标项目向招标人承担连带责 任。</w:t>
      </w:r>
    </w:p>
    <w:p w14:paraId="414A348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92" w:name="bookmark120"/>
      <w:bookmarkEnd w:id="92"/>
      <w:bookmarkStart w:id="93" w:name="_Toc9102"/>
      <w:r>
        <w:rPr>
          <w:rFonts w:ascii="宋体" w:hAnsi="宋体" w:eastAsia="宋体" w:cs="宋体"/>
          <w:b/>
          <w:bCs/>
          <w:snapToGrid/>
          <w:spacing w:val="0"/>
          <w:w w:val="100"/>
          <w:kern w:val="21"/>
          <w:position w:val="0"/>
          <w:sz w:val="31"/>
          <w:szCs w:val="31"/>
        </w:rPr>
        <w:t>8．重新招标和不再招标</w:t>
      </w:r>
      <w:bookmarkEnd w:id="93"/>
    </w:p>
    <w:p w14:paraId="7ADE3B2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4" w:name="_Toc31848"/>
      <w:r>
        <w:rPr>
          <w:rFonts w:ascii="Times New Roman" w:hAnsi="Times New Roman" w:eastAsia="Times New Roman" w:cs="Times New Roman"/>
          <w:b/>
          <w:bCs/>
          <w:snapToGrid/>
          <w:spacing w:val="0"/>
          <w:w w:val="100"/>
          <w:kern w:val="21"/>
          <w:position w:val="0"/>
          <w:sz w:val="28"/>
          <w:szCs w:val="28"/>
        </w:rPr>
        <w:t xml:space="preserve">8.1  </w:t>
      </w:r>
      <w:r>
        <w:rPr>
          <w:rFonts w:ascii="宋体" w:hAnsi="宋体" w:eastAsia="宋体" w:cs="宋体"/>
          <w:b/>
          <w:bCs/>
          <w:snapToGrid/>
          <w:spacing w:val="0"/>
          <w:w w:val="100"/>
          <w:kern w:val="21"/>
          <w:position w:val="0"/>
          <w:sz w:val="28"/>
          <w:szCs w:val="28"/>
        </w:rPr>
        <w:t>重新招标</w:t>
      </w:r>
      <w:bookmarkEnd w:id="94"/>
    </w:p>
    <w:p w14:paraId="7E15BCC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有下列情形之一的，招标人将重新招标：</w:t>
      </w:r>
    </w:p>
    <w:p w14:paraId="2C931E3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 xml:space="preserve">）投标截止时间止，投标人少于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个的；</w:t>
      </w:r>
    </w:p>
    <w:p w14:paraId="1B15367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）经评标委员会评审后否决所有投标的；</w:t>
      </w:r>
    </w:p>
    <w:p w14:paraId="09CD1D7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）评标委员会否决不合格投标后，因有效投标不足三个使得投标明显缺乏竞争，评标委员会 决定否决全部投标的；</w:t>
      </w:r>
    </w:p>
    <w:p w14:paraId="430C845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sectPr>
          <w:footerReference r:id="rId10" w:type="default"/>
          <w:pgSz w:w="11906" w:h="16838"/>
          <w:pgMar w:top="1440" w:right="1080" w:bottom="1440" w:left="1080" w:header="0" w:footer="1185" w:gutter="0"/>
          <w:pgNumType w:fmt="decimal"/>
          <w:cols w:space="720" w:num="1"/>
        </w:sectPr>
      </w:pPr>
    </w:p>
    <w:p w14:paraId="57A3947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 xml:space="preserve">）同意延长投标有效期的投标人少于 </w:t>
      </w:r>
      <w:r>
        <w:rPr>
          <w:rFonts w:ascii="Times New Roman" w:hAnsi="Times New Roman" w:eastAsia="Times New Roman" w:cs="Times New Roman"/>
          <w:snapToGrid/>
          <w:spacing w:val="0"/>
          <w:w w:val="100"/>
          <w:kern w:val="21"/>
          <w:position w:val="0"/>
          <w:sz w:val="20"/>
          <w:szCs w:val="20"/>
        </w:rPr>
        <w:t xml:space="preserve">3 </w:t>
      </w:r>
      <w:r>
        <w:rPr>
          <w:rFonts w:ascii="宋体" w:hAnsi="宋体" w:eastAsia="宋体" w:cs="宋体"/>
          <w:snapToGrid/>
          <w:spacing w:val="0"/>
          <w:w w:val="100"/>
          <w:kern w:val="21"/>
          <w:position w:val="0"/>
          <w:sz w:val="20"/>
          <w:szCs w:val="20"/>
        </w:rPr>
        <w:t>个的；</w:t>
      </w:r>
    </w:p>
    <w:p w14:paraId="1EF0AC1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）中标候选人均未与招标人签订合同的；</w:t>
      </w:r>
    </w:p>
    <w:p w14:paraId="06A223C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6</w:t>
      </w:r>
      <w:r>
        <w:rPr>
          <w:rFonts w:ascii="宋体" w:hAnsi="宋体" w:eastAsia="宋体" w:cs="宋体"/>
          <w:snapToGrid/>
          <w:spacing w:val="0"/>
          <w:w w:val="100"/>
          <w:kern w:val="21"/>
          <w:position w:val="0"/>
          <w:sz w:val="20"/>
          <w:szCs w:val="20"/>
        </w:rPr>
        <w:t>）经查实，中标候选人均不具备中标资格或存在违规行为的。</w:t>
      </w:r>
    </w:p>
    <w:p w14:paraId="2974D0C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5" w:name="_Toc24121"/>
      <w:r>
        <w:rPr>
          <w:rFonts w:ascii="Times New Roman" w:hAnsi="Times New Roman" w:eastAsia="Times New Roman" w:cs="Times New Roman"/>
          <w:b/>
          <w:bCs/>
          <w:snapToGrid/>
          <w:spacing w:val="0"/>
          <w:w w:val="100"/>
          <w:kern w:val="21"/>
          <w:position w:val="0"/>
          <w:sz w:val="28"/>
          <w:szCs w:val="28"/>
        </w:rPr>
        <w:t xml:space="preserve">8.2  </w:t>
      </w:r>
      <w:r>
        <w:rPr>
          <w:rFonts w:ascii="宋体" w:hAnsi="宋体" w:eastAsia="宋体" w:cs="宋体"/>
          <w:b/>
          <w:bCs/>
          <w:snapToGrid/>
          <w:spacing w:val="0"/>
          <w:w w:val="100"/>
          <w:kern w:val="21"/>
          <w:position w:val="0"/>
          <w:sz w:val="28"/>
          <w:szCs w:val="28"/>
        </w:rPr>
        <w:t>不再招标</w:t>
      </w:r>
      <w:bookmarkEnd w:id="95"/>
    </w:p>
    <w:p w14:paraId="5CCCA6EA">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重新招标后，仍出现本章第 8.1 款规定情形之一的，属于必须审批、核准的工程建设项目，报 经原审批、核准部门审批、核准后可以不再进行招标。涉及政府采购的，按照政府采购法律法规规 定执行。</w:t>
      </w:r>
    </w:p>
    <w:p w14:paraId="323B1A7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96" w:name="bookmark121"/>
      <w:bookmarkEnd w:id="96"/>
      <w:bookmarkStart w:id="97" w:name="_Toc14173"/>
      <w:r>
        <w:rPr>
          <w:rFonts w:ascii="宋体" w:hAnsi="宋体" w:eastAsia="宋体" w:cs="宋体"/>
          <w:b/>
          <w:bCs/>
          <w:snapToGrid/>
          <w:spacing w:val="0"/>
          <w:w w:val="100"/>
          <w:kern w:val="21"/>
          <w:position w:val="0"/>
          <w:sz w:val="31"/>
          <w:szCs w:val="31"/>
        </w:rPr>
        <w:t>9．纪律和监督</w:t>
      </w:r>
      <w:bookmarkEnd w:id="97"/>
    </w:p>
    <w:p w14:paraId="1F6AAC6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8" w:name="_Toc9495"/>
      <w:r>
        <w:rPr>
          <w:rFonts w:ascii="Times New Roman" w:hAnsi="Times New Roman" w:eastAsia="Times New Roman" w:cs="Times New Roman"/>
          <w:b/>
          <w:bCs/>
          <w:snapToGrid/>
          <w:spacing w:val="0"/>
          <w:w w:val="100"/>
          <w:kern w:val="21"/>
          <w:position w:val="0"/>
          <w:sz w:val="28"/>
          <w:szCs w:val="28"/>
        </w:rPr>
        <w:t xml:space="preserve">9.1  </w:t>
      </w:r>
      <w:r>
        <w:rPr>
          <w:rFonts w:ascii="宋体" w:hAnsi="宋体" w:eastAsia="宋体" w:cs="宋体"/>
          <w:b/>
          <w:bCs/>
          <w:snapToGrid/>
          <w:spacing w:val="0"/>
          <w:w w:val="100"/>
          <w:kern w:val="21"/>
          <w:position w:val="0"/>
          <w:sz w:val="28"/>
          <w:szCs w:val="28"/>
        </w:rPr>
        <w:t>对招标人的纪律要求</w:t>
      </w:r>
      <w:bookmarkEnd w:id="98"/>
    </w:p>
    <w:p w14:paraId="7615D5FC">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招标人不得泄露招标投标活动中应当保密的情况和资料，不得与投标人串通损害国家利益、社 会公共利益或者他人合法权益。</w:t>
      </w:r>
    </w:p>
    <w:p w14:paraId="26879E0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99" w:name="_Toc20901"/>
      <w:r>
        <w:rPr>
          <w:rFonts w:ascii="Times New Roman" w:hAnsi="Times New Roman" w:eastAsia="Times New Roman" w:cs="Times New Roman"/>
          <w:b/>
          <w:bCs/>
          <w:snapToGrid/>
          <w:spacing w:val="0"/>
          <w:w w:val="100"/>
          <w:kern w:val="21"/>
          <w:position w:val="0"/>
          <w:sz w:val="28"/>
          <w:szCs w:val="28"/>
        </w:rPr>
        <w:t xml:space="preserve">9.2  </w:t>
      </w:r>
      <w:r>
        <w:rPr>
          <w:rFonts w:ascii="宋体" w:hAnsi="宋体" w:eastAsia="宋体" w:cs="宋体"/>
          <w:b/>
          <w:bCs/>
          <w:snapToGrid/>
          <w:spacing w:val="0"/>
          <w:w w:val="100"/>
          <w:kern w:val="21"/>
          <w:position w:val="0"/>
          <w:sz w:val="28"/>
          <w:szCs w:val="28"/>
        </w:rPr>
        <w:t>对投标人的纪律要求</w:t>
      </w:r>
      <w:bookmarkEnd w:id="99"/>
    </w:p>
    <w:p w14:paraId="45EDE8F3">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投标人不得相互串通投标或者与招标人串通投标，不得向招标人或者评标委员会成员行贿谋取 中标，不得以他人名义投标或者以其他方式弄虚作假骗取中标；投标人不得以任何方式干扰、影响 评标工作。</w:t>
      </w:r>
    </w:p>
    <w:p w14:paraId="4589046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00" w:name="_Toc1847"/>
      <w:r>
        <w:rPr>
          <w:rFonts w:ascii="Times New Roman" w:hAnsi="Times New Roman" w:eastAsia="Times New Roman" w:cs="Times New Roman"/>
          <w:b/>
          <w:bCs/>
          <w:snapToGrid/>
          <w:spacing w:val="0"/>
          <w:w w:val="100"/>
          <w:kern w:val="21"/>
          <w:position w:val="0"/>
          <w:sz w:val="28"/>
          <w:szCs w:val="28"/>
        </w:rPr>
        <w:t xml:space="preserve">9.3  </w:t>
      </w:r>
      <w:r>
        <w:rPr>
          <w:rFonts w:ascii="宋体" w:hAnsi="宋体" w:eastAsia="宋体" w:cs="宋体"/>
          <w:b/>
          <w:bCs/>
          <w:snapToGrid/>
          <w:spacing w:val="0"/>
          <w:w w:val="100"/>
          <w:kern w:val="21"/>
          <w:position w:val="0"/>
          <w:sz w:val="28"/>
          <w:szCs w:val="28"/>
        </w:rPr>
        <w:t>对评标委员会成员的纪律要求</w:t>
      </w:r>
      <w:bookmarkEnd w:id="100"/>
    </w:p>
    <w:p w14:paraId="7021DD23">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评标委员会成员不得收受他人的财物或者其他好处，不得向他人透露对投标文件的评审和比较、  中标候选人的推荐情况以及评标有关的其他情况。在评标活动中，评标委员会成员应当客观、公正   地履行职责，遵守职业道德，不得擅离职守，影响评标程序正常进行，不得使用第三章“评标办法 ” 没有规定的评审因素和标准进行评标。</w:t>
      </w:r>
    </w:p>
    <w:p w14:paraId="6C07A7E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01" w:name="_Toc8066"/>
      <w:r>
        <w:rPr>
          <w:rFonts w:ascii="Times New Roman" w:hAnsi="Times New Roman" w:eastAsia="Times New Roman" w:cs="Times New Roman"/>
          <w:b/>
          <w:bCs/>
          <w:snapToGrid/>
          <w:spacing w:val="0"/>
          <w:w w:val="100"/>
          <w:kern w:val="21"/>
          <w:position w:val="0"/>
          <w:sz w:val="28"/>
          <w:szCs w:val="28"/>
        </w:rPr>
        <w:t xml:space="preserve">9.4  </w:t>
      </w:r>
      <w:r>
        <w:rPr>
          <w:rFonts w:ascii="宋体" w:hAnsi="宋体" w:eastAsia="宋体" w:cs="宋体"/>
          <w:b/>
          <w:bCs/>
          <w:snapToGrid/>
          <w:spacing w:val="0"/>
          <w:w w:val="100"/>
          <w:kern w:val="21"/>
          <w:position w:val="0"/>
          <w:sz w:val="28"/>
          <w:szCs w:val="28"/>
        </w:rPr>
        <w:t>对与评标活动有关的工作人员的纪律要求</w:t>
      </w:r>
      <w:bookmarkEnd w:id="101"/>
    </w:p>
    <w:p w14:paraId="3C9BBC06">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与评标活动有关的工作人员不得收受他人的财物或者其他好处，不得向他人透露对投标文件的 评审和比较、中标候选人的推荐情况以及评标有关的其他情况。在评标活动中，与评标活动有关的 工作人员不得擅离职守，影响评标程序正常进行。</w:t>
      </w:r>
    </w:p>
    <w:p w14:paraId="54AA59F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02" w:name="_Toc11155"/>
      <w:r>
        <w:rPr>
          <w:rFonts w:ascii="Times New Roman" w:hAnsi="Times New Roman" w:eastAsia="Times New Roman" w:cs="Times New Roman"/>
          <w:b/>
          <w:bCs/>
          <w:snapToGrid/>
          <w:spacing w:val="0"/>
          <w:w w:val="100"/>
          <w:kern w:val="21"/>
          <w:position w:val="0"/>
          <w:sz w:val="28"/>
          <w:szCs w:val="28"/>
        </w:rPr>
        <w:t xml:space="preserve">9.5 </w:t>
      </w:r>
      <w:r>
        <w:rPr>
          <w:rFonts w:ascii="宋体" w:hAnsi="宋体" w:eastAsia="宋体" w:cs="宋体"/>
          <w:b/>
          <w:bCs/>
          <w:snapToGrid/>
          <w:spacing w:val="0"/>
          <w:w w:val="100"/>
          <w:kern w:val="21"/>
          <w:position w:val="0"/>
          <w:sz w:val="28"/>
          <w:szCs w:val="28"/>
        </w:rPr>
        <w:t>异议、投诉的解决</w:t>
      </w:r>
      <w:bookmarkEnd w:id="102"/>
    </w:p>
    <w:p w14:paraId="21F7A9A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9.5.1  </w:t>
      </w:r>
      <w:r>
        <w:rPr>
          <w:rFonts w:ascii="宋体" w:hAnsi="宋体" w:eastAsia="宋体" w:cs="宋体"/>
          <w:snapToGrid/>
          <w:spacing w:val="0"/>
          <w:w w:val="100"/>
          <w:kern w:val="21"/>
          <w:position w:val="0"/>
          <w:sz w:val="20"/>
          <w:szCs w:val="20"/>
        </w:rPr>
        <w:t>投标人或者其他利害关系人认为招标投标活动不符合法律、行政法规规定的，可以自知道</w:t>
      </w:r>
    </w:p>
    <w:p w14:paraId="677F46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1" w:type="default"/>
          <w:pgSz w:w="11906" w:h="16838"/>
          <w:pgMar w:top="1440" w:right="1080" w:bottom="1440" w:left="1080" w:header="0" w:footer="1185" w:gutter="0"/>
          <w:pgNumType w:fmt="decimal"/>
          <w:cols w:space="720" w:num="1"/>
        </w:sectPr>
      </w:pPr>
    </w:p>
    <w:p w14:paraId="3E26B7E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或者应当知道之日起 </w:t>
      </w:r>
      <w:r>
        <w:rPr>
          <w:rFonts w:ascii="Times New Roman" w:hAnsi="Times New Roman" w:eastAsia="Times New Roman" w:cs="Times New Roman"/>
          <w:snapToGrid/>
          <w:spacing w:val="0"/>
          <w:w w:val="100"/>
          <w:kern w:val="21"/>
          <w:position w:val="0"/>
          <w:sz w:val="20"/>
          <w:szCs w:val="20"/>
        </w:rPr>
        <w:t xml:space="preserve">10  </w:t>
      </w:r>
      <w:r>
        <w:rPr>
          <w:rFonts w:ascii="宋体" w:hAnsi="宋体" w:eastAsia="宋体" w:cs="宋体"/>
          <w:snapToGrid/>
          <w:spacing w:val="0"/>
          <w:w w:val="100"/>
          <w:kern w:val="21"/>
          <w:position w:val="0"/>
          <w:sz w:val="20"/>
          <w:szCs w:val="20"/>
        </w:rPr>
        <w:t>日内通过网上投诉系统或以其他书面形式向投标人须知前附表规定的招标 投标行政监督部门投诉。投诉应当有明确的请求和必要的证明材料。</w:t>
      </w:r>
    </w:p>
    <w:p w14:paraId="4EC1AD48">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9.5.2  </w:t>
      </w:r>
      <w:r>
        <w:rPr>
          <w:rFonts w:ascii="宋体" w:hAnsi="宋体" w:eastAsia="宋体" w:cs="宋体"/>
          <w:snapToGrid/>
          <w:spacing w:val="0"/>
          <w:w w:val="100"/>
          <w:kern w:val="21"/>
          <w:position w:val="0"/>
          <w:sz w:val="20"/>
          <w:szCs w:val="20"/>
        </w:rPr>
        <w:t xml:space="preserve">投标人或者其他利害关系人对招标文件、开标和评标结果提出投诉的，应当按照投标人须 知第 </w:t>
      </w:r>
      <w:r>
        <w:rPr>
          <w:rFonts w:ascii="Times New Roman" w:hAnsi="Times New Roman" w:eastAsia="Times New Roman" w:cs="Times New Roman"/>
          <w:snapToGrid/>
          <w:spacing w:val="0"/>
          <w:w w:val="100"/>
          <w:kern w:val="21"/>
          <w:position w:val="0"/>
          <w:sz w:val="20"/>
          <w:szCs w:val="20"/>
        </w:rPr>
        <w:t xml:space="preserve">2.4 </w:t>
      </w:r>
      <w:r>
        <w:rPr>
          <w:rFonts w:ascii="宋体" w:hAnsi="宋体" w:eastAsia="宋体" w:cs="宋体"/>
          <w:snapToGrid/>
          <w:spacing w:val="0"/>
          <w:w w:val="100"/>
          <w:kern w:val="21"/>
          <w:position w:val="0"/>
          <w:sz w:val="20"/>
          <w:szCs w:val="20"/>
        </w:rPr>
        <w:t>款、第</w:t>
      </w:r>
      <w:r>
        <w:rPr>
          <w:rFonts w:ascii="Times New Roman" w:hAnsi="Times New Roman" w:eastAsia="Times New Roman" w:cs="Times New Roman"/>
          <w:snapToGrid/>
          <w:spacing w:val="0"/>
          <w:w w:val="100"/>
          <w:kern w:val="21"/>
          <w:position w:val="0"/>
          <w:sz w:val="20"/>
          <w:szCs w:val="20"/>
        </w:rPr>
        <w:t xml:space="preserve">5.3 </w:t>
      </w:r>
      <w:r>
        <w:rPr>
          <w:rFonts w:ascii="宋体" w:hAnsi="宋体" w:eastAsia="宋体" w:cs="宋体"/>
          <w:snapToGrid/>
          <w:spacing w:val="0"/>
          <w:w w:val="100"/>
          <w:kern w:val="21"/>
          <w:position w:val="0"/>
          <w:sz w:val="20"/>
          <w:szCs w:val="20"/>
        </w:rPr>
        <w:t xml:space="preserve">款和第 </w:t>
      </w:r>
      <w:r>
        <w:rPr>
          <w:rFonts w:ascii="Times New Roman" w:hAnsi="Times New Roman" w:eastAsia="Times New Roman" w:cs="Times New Roman"/>
          <w:snapToGrid/>
          <w:spacing w:val="0"/>
          <w:w w:val="100"/>
          <w:kern w:val="21"/>
          <w:position w:val="0"/>
          <w:sz w:val="20"/>
          <w:szCs w:val="20"/>
        </w:rPr>
        <w:t xml:space="preserve">7.2 </w:t>
      </w:r>
      <w:r>
        <w:rPr>
          <w:rFonts w:ascii="宋体" w:hAnsi="宋体" w:eastAsia="宋体" w:cs="宋体"/>
          <w:snapToGrid/>
          <w:spacing w:val="0"/>
          <w:w w:val="100"/>
          <w:kern w:val="21"/>
          <w:position w:val="0"/>
          <w:sz w:val="20"/>
          <w:szCs w:val="20"/>
        </w:rPr>
        <w:t>款的规定先向招标人提出异议。异议答复期间不计算在第</w:t>
      </w:r>
      <w:r>
        <w:rPr>
          <w:rFonts w:ascii="Times New Roman" w:hAnsi="Times New Roman" w:eastAsia="Times New Roman" w:cs="Times New Roman"/>
          <w:snapToGrid/>
          <w:spacing w:val="0"/>
          <w:w w:val="100"/>
          <w:kern w:val="21"/>
          <w:position w:val="0"/>
          <w:sz w:val="20"/>
          <w:szCs w:val="20"/>
        </w:rPr>
        <w:t xml:space="preserve">9.5.1 </w:t>
      </w:r>
      <w:r>
        <w:rPr>
          <w:rFonts w:ascii="宋体" w:hAnsi="宋体" w:eastAsia="宋体" w:cs="宋体"/>
          <w:snapToGrid/>
          <w:spacing w:val="0"/>
          <w:w w:val="100"/>
          <w:kern w:val="21"/>
          <w:position w:val="0"/>
          <w:sz w:val="20"/>
          <w:szCs w:val="20"/>
        </w:rPr>
        <w:t>项规 定的期限内。</w:t>
      </w:r>
    </w:p>
    <w:p w14:paraId="7E1BA12C">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9.5.3</w:t>
      </w:r>
      <w:r>
        <w:rPr>
          <w:rFonts w:ascii="宋体" w:hAnsi="宋体" w:eastAsia="宋体" w:cs="宋体"/>
          <w:snapToGrid/>
          <w:spacing w:val="0"/>
          <w:w w:val="100"/>
          <w:kern w:val="21"/>
          <w:position w:val="0"/>
          <w:sz w:val="20"/>
          <w:szCs w:val="20"/>
        </w:rPr>
        <w:t>当事人对招标投标行政监督部门的投诉处理决定不服或者招标投标行政监督部门逾期未作 处理的，可以依法向行政复议机关申请行政复议或者向项目所在地人民法院提起行政诉讼。</w:t>
      </w:r>
    </w:p>
    <w:p w14:paraId="57F7C0D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31"/>
          <w:szCs w:val="31"/>
        </w:rPr>
      </w:pPr>
      <w:bookmarkStart w:id="103" w:name="bookmark122"/>
      <w:bookmarkEnd w:id="103"/>
      <w:bookmarkStart w:id="104" w:name="_Toc18617"/>
      <w:r>
        <w:rPr>
          <w:rFonts w:ascii="宋体" w:hAnsi="宋体" w:eastAsia="宋体" w:cs="宋体"/>
          <w:b/>
          <w:bCs/>
          <w:snapToGrid/>
          <w:spacing w:val="0"/>
          <w:w w:val="100"/>
          <w:kern w:val="21"/>
          <w:position w:val="0"/>
          <w:sz w:val="31"/>
          <w:szCs w:val="31"/>
        </w:rPr>
        <w:t>10．需要补充的其他内容</w:t>
      </w:r>
      <w:bookmarkEnd w:id="104"/>
    </w:p>
    <w:p w14:paraId="376E582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需要补充的其他内容：见投标人须知前附表。</w:t>
      </w:r>
    </w:p>
    <w:p w14:paraId="2B9E91E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2" w:type="default"/>
          <w:pgSz w:w="11906" w:h="16838"/>
          <w:pgMar w:top="1440" w:right="1080" w:bottom="1440" w:left="1080" w:header="0" w:footer="1185" w:gutter="0"/>
          <w:pgNumType w:fmt="decimal"/>
          <w:cols w:space="720" w:num="1"/>
        </w:sectPr>
      </w:pPr>
    </w:p>
    <w:p w14:paraId="7F3B78D8">
      <w:pPr>
        <w:keepNext w:val="0"/>
        <w:keepLines w:val="0"/>
        <w:pageBreakBefore w:val="0"/>
        <w:widowControl w:val="0"/>
        <w:kinsoku/>
        <w:wordWrap w:val="0"/>
        <w:overflowPunct/>
        <w:topLinePunct/>
        <w:autoSpaceDE w:val="0"/>
        <w:autoSpaceDN/>
        <w:bidi w:val="0"/>
        <w:adjustRightInd/>
        <w:snapToGrid/>
        <w:spacing w:line="560" w:lineRule="exact"/>
        <w:ind w:right="0" w:rightChars="0"/>
        <w:jc w:val="left"/>
        <w:textAlignment w:val="baseline"/>
        <w:outlineLvl w:val="1"/>
        <w:rPr>
          <w:rFonts w:ascii="宋体" w:hAnsi="宋体" w:eastAsia="宋体" w:cs="宋体"/>
          <w:snapToGrid/>
          <w:spacing w:val="0"/>
          <w:w w:val="100"/>
          <w:kern w:val="21"/>
          <w:position w:val="0"/>
          <w:sz w:val="20"/>
          <w:szCs w:val="20"/>
        </w:rPr>
      </w:pPr>
      <w:bookmarkStart w:id="105" w:name="bookmark123"/>
      <w:bookmarkEnd w:id="105"/>
      <w:bookmarkStart w:id="106" w:name="_Toc11435"/>
      <w:r>
        <w:rPr>
          <w:rFonts w:hint="eastAsia" w:ascii="宋体" w:hAnsi="宋体" w:eastAsia="宋体" w:cs="宋体"/>
          <w:b/>
          <w:bCs/>
          <w:snapToGrid/>
          <w:spacing w:val="0"/>
          <w:w w:val="100"/>
          <w:kern w:val="21"/>
          <w:position w:val="0"/>
          <w:sz w:val="28"/>
          <w:szCs w:val="28"/>
          <w:lang w:val="en-US" w:eastAsia="zh-CN"/>
        </w:rPr>
        <w:t>附件一：不见面开标相关规定</w:t>
      </w:r>
      <w:bookmarkEnd w:id="106"/>
      <w:r>
        <w:rPr>
          <w:rFonts w:hint="eastAsia" w:ascii="宋体" w:hAnsi="宋体" w:eastAsia="宋体" w:cs="宋体"/>
          <w:snapToGrid/>
          <w:spacing w:val="0"/>
          <w:w w:val="100"/>
          <w:kern w:val="21"/>
          <w:position w:val="0"/>
          <w:sz w:val="20"/>
          <w:szCs w:val="20"/>
          <w:lang w:val="en-US" w:eastAsia="zh-CN"/>
        </w:rPr>
        <w:t xml:space="preserve"> </w:t>
      </w:r>
    </w:p>
    <w:p w14:paraId="168852A9">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第一条 不见面开标时间以六安市公共资源交易不见面开标系统显示时间为准。 </w:t>
      </w:r>
    </w:p>
    <w:p w14:paraId="1682116A">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第二条 参与不见面开标的招标人（采购人）或其委托的代理机构、投标人（供应商）等交易主体，应当按照规定取得和使用数字证书及电子签章。各方主体在电子系统中所有操作均具有法律效力，并承担法律责任。 </w:t>
      </w:r>
    </w:p>
    <w:p w14:paraId="0049D9ED">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 </w:t>
      </w:r>
    </w:p>
    <w:p w14:paraId="328410E7">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第四条 投标人（供应商）应在投标截止时间之前使用数字证书（即 </w:t>
      </w:r>
      <w:r>
        <w:rPr>
          <w:rFonts w:hint="default" w:ascii="宋体" w:hAnsi="宋体" w:eastAsia="宋体" w:cs="宋体"/>
          <w:snapToGrid/>
          <w:spacing w:val="0"/>
          <w:w w:val="100"/>
          <w:kern w:val="21"/>
          <w:position w:val="0"/>
          <w:sz w:val="20"/>
          <w:szCs w:val="20"/>
          <w:lang w:val="en-US" w:eastAsia="zh-CN"/>
        </w:rPr>
        <w:t xml:space="preserve">CA </w:t>
      </w:r>
      <w:r>
        <w:rPr>
          <w:rFonts w:hint="eastAsia" w:ascii="宋体" w:hAnsi="宋体" w:eastAsia="宋体" w:cs="宋体"/>
          <w:snapToGrid/>
          <w:spacing w:val="0"/>
          <w:w w:val="100"/>
          <w:kern w:val="21"/>
          <w:position w:val="0"/>
          <w:sz w:val="20"/>
          <w:szCs w:val="20"/>
          <w:lang w:val="en-US" w:eastAsia="zh-CN"/>
        </w:rPr>
        <w:t xml:space="preserve">专用锁）或手机扫描（以招标采购文件约定为准）自行登录不见面开标大厅。 </w:t>
      </w:r>
    </w:p>
    <w:p w14:paraId="54B4C50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 </w:t>
      </w:r>
      <w:r>
        <w:rPr>
          <w:rFonts w:hint="default" w:ascii="宋体" w:hAnsi="宋体" w:eastAsia="宋体" w:cs="宋体"/>
          <w:snapToGrid/>
          <w:spacing w:val="0"/>
          <w:w w:val="100"/>
          <w:kern w:val="21"/>
          <w:position w:val="0"/>
          <w:sz w:val="20"/>
          <w:szCs w:val="20"/>
          <w:lang w:val="en-US" w:eastAsia="zh-CN"/>
        </w:rPr>
        <w:t xml:space="preserve">30 </w:t>
      </w:r>
      <w:r>
        <w:rPr>
          <w:rFonts w:hint="eastAsia" w:ascii="宋体" w:hAnsi="宋体" w:eastAsia="宋体" w:cs="宋体"/>
          <w:snapToGrid/>
          <w:spacing w:val="0"/>
          <w:w w:val="100"/>
          <w:kern w:val="21"/>
          <w:position w:val="0"/>
          <w:sz w:val="20"/>
          <w:szCs w:val="20"/>
          <w:lang w:val="en-US" w:eastAsia="zh-CN"/>
        </w:rPr>
        <w:t xml:space="preserve">分钟内完成解密。 </w:t>
      </w:r>
    </w:p>
    <w:p w14:paraId="142960D6">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投标人（供应商）未按规定完成解密，视为放弃投标。 </w:t>
      </w:r>
    </w:p>
    <w:p w14:paraId="13866190">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第六条 投标人（供应商）应妥善保管和正确使用数字证书，期满前及时到证书颁发机构办理续期。 </w:t>
      </w:r>
    </w:p>
    <w:p w14:paraId="5CD595C2">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出现下列情况的，投标人（供应商）须重新用数字证书电子签章和加密投标文件，并在投标文件递交截止时间前将投标文件上传到达至六安市公共资源电子交易系统： </w:t>
      </w:r>
    </w:p>
    <w:p w14:paraId="2DC2DF3A">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（一）数字证书到期后重新续期； </w:t>
      </w:r>
    </w:p>
    <w:p w14:paraId="0DB36FE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（二）数字证书因遗失、损坏、企业信息变更等情况更换新证书。 </w:t>
      </w:r>
    </w:p>
    <w:p w14:paraId="37C8DACD">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投标人（供应商）由于数字证书遗失、损坏、更换、续期等原因导致投标文件无法解密，由投标人（供应商）自行承担责任。 </w:t>
      </w:r>
    </w:p>
    <w:p w14:paraId="466CCF14">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第七条 各投标人（供应商）在项目开标、评标（审）期间应保持在线状态，随时通过电子交易系统接受评标（审）委员会发出的询标信息，并在规定时间内答复，未能按时答复的，评标（审）委员会将视同其放弃澄清。 </w:t>
      </w:r>
    </w:p>
    <w:p w14:paraId="7F5A721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第八条 出现下列情形导致系统无法正常运行，或者无法保证交易过程的公平、公正和信息安全时，各方当事人免责： </w:t>
      </w:r>
    </w:p>
    <w:p w14:paraId="7723CC58">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hint="eastAsia" w:ascii="宋体" w:hAnsi="宋体" w:eastAsia="宋体" w:cs="宋体"/>
          <w:snapToGrid/>
          <w:spacing w:val="0"/>
          <w:w w:val="100"/>
          <w:kern w:val="21"/>
          <w:position w:val="0"/>
          <w:sz w:val="20"/>
          <w:szCs w:val="20"/>
          <w:lang w:val="en-US" w:eastAsia="zh-CN"/>
        </w:rPr>
        <w:t xml:space="preserve">（一）网络服务器发生故障而无法访问网站或无法使用不见面开标系统的； </w:t>
      </w:r>
    </w:p>
    <w:p w14:paraId="71A0E352">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（二）不见面开标系统的软件或网络数据库出现错误，不能进行正常操作的； </w:t>
      </w:r>
    </w:p>
    <w:p w14:paraId="5F718D3D">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（三）不见面开标系统发现有安全漏洞，有潜在的泄密危险的； </w:t>
      </w:r>
    </w:p>
    <w:p w14:paraId="74A93B8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（四）计算机病毒发作导致系统无法正常运行的；</w:t>
      </w:r>
    </w:p>
    <w:p w14:paraId="5F2E0737">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（五）电力系统发生故障导致不见面开标系统无法运行的； </w:t>
      </w:r>
    </w:p>
    <w:p w14:paraId="4C9ECE51">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（六）其他无法保证交易过程公平、公正和信息安全的情形。 </w:t>
      </w:r>
    </w:p>
    <w:p w14:paraId="62F69D1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第九条 出现第八条所列情形，不能及时解决的，应由招标人（采购人）和交易中心及时会商，并报告公共资源交易监管部门，采取以下方式处理： </w:t>
      </w:r>
    </w:p>
    <w:p w14:paraId="03F1F2B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（一）系统或网络故障在三个小时内排除并通过可靠测试的，恢复系统运行后可继续项目开标； </w:t>
      </w:r>
    </w:p>
    <w:p w14:paraId="222D8B7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（二）系统或网络故障在三个小时内未能排除的，可依法中止开标</w:t>
      </w:r>
      <w:r>
        <w:rPr>
          <w:rFonts w:hint="default" w:ascii="宋体" w:hAnsi="宋体" w:eastAsia="宋体" w:cs="宋体"/>
          <w:snapToGrid/>
          <w:spacing w:val="0"/>
          <w:w w:val="100"/>
          <w:kern w:val="21"/>
          <w:position w:val="0"/>
          <w:sz w:val="20"/>
          <w:szCs w:val="20"/>
          <w:lang w:val="en-US" w:eastAsia="zh-CN"/>
        </w:rPr>
        <w:t>,</w:t>
      </w:r>
      <w:r>
        <w:rPr>
          <w:rFonts w:hint="eastAsia" w:ascii="宋体" w:hAnsi="宋体" w:eastAsia="宋体" w:cs="宋体"/>
          <w:snapToGrid/>
          <w:spacing w:val="0"/>
          <w:w w:val="100"/>
          <w:kern w:val="21"/>
          <w:position w:val="0"/>
          <w:sz w:val="20"/>
          <w:szCs w:val="20"/>
          <w:lang w:val="en-US" w:eastAsia="zh-CN"/>
        </w:rPr>
        <w:t>做好招投标资料的封存和保密工作</w:t>
      </w:r>
      <w:r>
        <w:rPr>
          <w:rFonts w:hint="default" w:ascii="宋体" w:hAnsi="宋体" w:eastAsia="宋体" w:cs="宋体"/>
          <w:snapToGrid/>
          <w:spacing w:val="0"/>
          <w:w w:val="100"/>
          <w:kern w:val="21"/>
          <w:position w:val="0"/>
          <w:sz w:val="20"/>
          <w:szCs w:val="20"/>
          <w:lang w:val="en-US" w:eastAsia="zh-CN"/>
        </w:rPr>
        <w:t>,</w:t>
      </w:r>
      <w:r>
        <w:rPr>
          <w:rFonts w:hint="eastAsia" w:ascii="宋体" w:hAnsi="宋体" w:eastAsia="宋体" w:cs="宋体"/>
          <w:snapToGrid/>
          <w:spacing w:val="0"/>
          <w:w w:val="100"/>
          <w:kern w:val="21"/>
          <w:position w:val="0"/>
          <w:sz w:val="20"/>
          <w:szCs w:val="20"/>
          <w:lang w:val="en-US" w:eastAsia="zh-CN"/>
        </w:rPr>
        <w:t xml:space="preserve">待故障解除后重新开标。 </w:t>
      </w:r>
    </w:p>
    <w:p w14:paraId="43301D1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（三）其他无法保证交易过程公平、公正和信息安全的情形。 </w:t>
      </w:r>
    </w:p>
    <w:p w14:paraId="6F2A0F3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第十五条 出现第十四条所列情形，不能及时解决的，应由招标人（采购人）和交易中心及时会商，并报告公共资源交易监管部门，采取以下方式处理： </w:t>
      </w:r>
    </w:p>
    <w:p w14:paraId="527F6A2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 xml:space="preserve">（一）系统或网络故障在三个小时内排除并通过可靠测试的，恢复系统运行后可继续项目开标； </w:t>
      </w:r>
    </w:p>
    <w:p w14:paraId="5031001D">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hint="eastAsia" w:ascii="宋体" w:hAnsi="宋体" w:eastAsia="宋体" w:cs="宋体"/>
          <w:snapToGrid/>
          <w:spacing w:val="0"/>
          <w:w w:val="100"/>
          <w:kern w:val="21"/>
          <w:position w:val="0"/>
          <w:sz w:val="20"/>
          <w:szCs w:val="20"/>
          <w:lang w:val="en-US" w:eastAsia="zh-CN"/>
        </w:rPr>
      </w:pPr>
      <w:r>
        <w:rPr>
          <w:rFonts w:hint="eastAsia" w:ascii="宋体" w:hAnsi="宋体" w:eastAsia="宋体" w:cs="宋体"/>
          <w:snapToGrid/>
          <w:spacing w:val="0"/>
          <w:w w:val="100"/>
          <w:kern w:val="21"/>
          <w:position w:val="0"/>
          <w:sz w:val="20"/>
          <w:szCs w:val="20"/>
          <w:lang w:val="en-US" w:eastAsia="zh-CN"/>
        </w:rPr>
        <w:t>（二）系统或网络故障在三个小时内未能排除的，可依法中止开标</w:t>
      </w:r>
      <w:r>
        <w:rPr>
          <w:rFonts w:hint="default" w:ascii="宋体" w:hAnsi="宋体" w:eastAsia="宋体" w:cs="宋体"/>
          <w:snapToGrid/>
          <w:spacing w:val="0"/>
          <w:w w:val="100"/>
          <w:kern w:val="21"/>
          <w:position w:val="0"/>
          <w:sz w:val="20"/>
          <w:szCs w:val="20"/>
          <w:lang w:val="en-US" w:eastAsia="zh-CN"/>
        </w:rPr>
        <w:t>,</w:t>
      </w:r>
      <w:r>
        <w:rPr>
          <w:rFonts w:hint="eastAsia" w:ascii="宋体" w:hAnsi="宋体" w:eastAsia="宋体" w:cs="宋体"/>
          <w:snapToGrid/>
          <w:spacing w:val="0"/>
          <w:w w:val="100"/>
          <w:kern w:val="21"/>
          <w:position w:val="0"/>
          <w:sz w:val="20"/>
          <w:szCs w:val="20"/>
          <w:lang w:val="en-US" w:eastAsia="zh-CN"/>
        </w:rPr>
        <w:t>做好招投标资料的封存和保密工作</w:t>
      </w:r>
      <w:r>
        <w:rPr>
          <w:rFonts w:hint="default" w:ascii="宋体" w:hAnsi="宋体" w:eastAsia="宋体" w:cs="宋体"/>
          <w:snapToGrid/>
          <w:spacing w:val="0"/>
          <w:w w:val="100"/>
          <w:kern w:val="21"/>
          <w:position w:val="0"/>
          <w:sz w:val="20"/>
          <w:szCs w:val="20"/>
          <w:lang w:val="en-US" w:eastAsia="zh-CN"/>
        </w:rPr>
        <w:t>,</w:t>
      </w:r>
      <w:r>
        <w:rPr>
          <w:rFonts w:hint="eastAsia" w:ascii="宋体" w:hAnsi="宋体" w:eastAsia="宋体" w:cs="宋体"/>
          <w:snapToGrid/>
          <w:spacing w:val="0"/>
          <w:w w:val="100"/>
          <w:kern w:val="21"/>
          <w:position w:val="0"/>
          <w:sz w:val="20"/>
          <w:szCs w:val="20"/>
          <w:lang w:val="en-US" w:eastAsia="zh-CN"/>
        </w:rPr>
        <w:t>待故障解除后重新开标。</w:t>
      </w:r>
    </w:p>
    <w:p w14:paraId="76169CC5">
      <w:pPr>
        <w:pStyle w:val="10"/>
      </w:pPr>
    </w:p>
    <w:p w14:paraId="6F60C2E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sz w:val="23"/>
          <w:szCs w:val="23"/>
        </w:rPr>
        <w:sectPr>
          <w:footerReference r:id="rId13" w:type="default"/>
          <w:pgSz w:w="11906" w:h="16838"/>
          <w:pgMar w:top="1440" w:right="1080" w:bottom="1440" w:left="1080" w:header="0" w:footer="1185" w:gutter="0"/>
          <w:pgNumType w:fmt="decimal"/>
          <w:cols w:space="720" w:num="1"/>
        </w:sectPr>
      </w:pPr>
    </w:p>
    <w:p w14:paraId="2A1A9CA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107" w:name="bookmark124"/>
      <w:bookmarkEnd w:id="107"/>
      <w:bookmarkStart w:id="108" w:name="bookmark132"/>
      <w:bookmarkEnd w:id="108"/>
      <w:bookmarkStart w:id="109" w:name="_Toc4184"/>
      <w:bookmarkStart w:id="110" w:name="_Toc31225"/>
      <w:bookmarkStart w:id="111" w:name="_Toc251"/>
      <w:r>
        <w:rPr>
          <w:rFonts w:ascii="宋体" w:hAnsi="宋体" w:eastAsia="宋体" w:cs="宋体"/>
          <w:b/>
          <w:bCs/>
          <w:snapToGrid/>
          <w:spacing w:val="0"/>
          <w:w w:val="100"/>
          <w:kern w:val="21"/>
          <w:position w:val="0"/>
          <w:sz w:val="43"/>
          <w:szCs w:val="43"/>
        </w:rPr>
        <w:t>第三章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评标办法（综合评估法（综合评分））</w:t>
      </w:r>
      <w:bookmarkEnd w:id="109"/>
      <w:bookmarkEnd w:id="110"/>
      <w:bookmarkEnd w:id="111"/>
    </w:p>
    <w:p w14:paraId="134A9D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评标办法前附表</w:t>
      </w:r>
    </w:p>
    <w:tbl>
      <w:tblPr>
        <w:tblStyle w:val="26"/>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529"/>
        <w:gridCol w:w="2850"/>
        <w:gridCol w:w="4425"/>
      </w:tblGrid>
      <w:tr w14:paraId="57C1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378" w:type="dxa"/>
            <w:gridSpan w:val="2"/>
            <w:vAlign w:val="center"/>
          </w:tcPr>
          <w:p w14:paraId="76FAC2F6">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b/>
                <w:bCs/>
                <w:snapToGrid/>
                <w:spacing w:val="0"/>
                <w:w w:val="100"/>
                <w:kern w:val="21"/>
                <w:position w:val="0"/>
              </w:rPr>
              <w:t>条款号</w:t>
            </w:r>
          </w:p>
        </w:tc>
        <w:tc>
          <w:tcPr>
            <w:tcW w:w="2850" w:type="dxa"/>
            <w:vAlign w:val="center"/>
          </w:tcPr>
          <w:p w14:paraId="2C7A56B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b/>
                <w:bCs/>
                <w:snapToGrid/>
                <w:spacing w:val="0"/>
                <w:w w:val="100"/>
                <w:kern w:val="21"/>
                <w:position w:val="0"/>
              </w:rPr>
              <w:t>评审因素</w:t>
            </w:r>
          </w:p>
        </w:tc>
        <w:tc>
          <w:tcPr>
            <w:tcW w:w="4425" w:type="dxa"/>
            <w:vAlign w:val="center"/>
          </w:tcPr>
          <w:p w14:paraId="0123E76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b/>
                <w:bCs/>
                <w:snapToGrid/>
                <w:spacing w:val="0"/>
                <w:w w:val="100"/>
                <w:kern w:val="21"/>
                <w:position w:val="0"/>
              </w:rPr>
              <w:t>评审标准</w:t>
            </w:r>
          </w:p>
        </w:tc>
      </w:tr>
      <w:tr w14:paraId="5CE3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restart"/>
            <w:tcBorders>
              <w:bottom w:val="nil"/>
            </w:tcBorders>
            <w:vAlign w:val="center"/>
          </w:tcPr>
          <w:p w14:paraId="3BB448A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1</w:t>
            </w:r>
          </w:p>
        </w:tc>
        <w:tc>
          <w:tcPr>
            <w:tcW w:w="1529" w:type="dxa"/>
            <w:vMerge w:val="restart"/>
            <w:tcBorders>
              <w:bottom w:val="nil"/>
            </w:tcBorders>
            <w:vAlign w:val="center"/>
          </w:tcPr>
          <w:p w14:paraId="54F98B2E">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评标方法</w:t>
            </w:r>
          </w:p>
        </w:tc>
        <w:tc>
          <w:tcPr>
            <w:tcW w:w="2850" w:type="dxa"/>
            <w:vAlign w:val="center"/>
          </w:tcPr>
          <w:p w14:paraId="6102EAA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（1）中标候选人排序方法</w:t>
            </w:r>
          </w:p>
        </w:tc>
        <w:tc>
          <w:tcPr>
            <w:tcW w:w="4425" w:type="dxa"/>
            <w:vAlign w:val="center"/>
          </w:tcPr>
          <w:p w14:paraId="37B5E149">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color w:val="0000FF"/>
                <w:spacing w:val="0"/>
                <w:w w:val="100"/>
                <w:kern w:val="21"/>
                <w:position w:val="0"/>
                <w:sz w:val="21"/>
                <w:szCs w:val="21"/>
                <w:u w:val="single"/>
              </w:rPr>
            </w:pPr>
            <w:r>
              <w:rPr>
                <w:rFonts w:hint="eastAsia"/>
                <w:snapToGrid/>
                <w:color w:val="0000FF"/>
                <w:spacing w:val="0"/>
                <w:w w:val="100"/>
                <w:kern w:val="21"/>
                <w:position w:val="0"/>
                <w:sz w:val="21"/>
                <w:szCs w:val="21"/>
                <w:u w:val="single"/>
                <w:lang w:val="en-US" w:eastAsia="zh-CN"/>
              </w:rPr>
              <w:t>得分相同时，以投标报价较低的排序在前，投标报价相同时由评标委员会确定排序。</w:t>
            </w:r>
          </w:p>
        </w:tc>
      </w:tr>
      <w:tr w14:paraId="0C2B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3C85E143">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1CE062D2">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7AE6174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（2）推荐中标候选人的先后顺序</w:t>
            </w:r>
          </w:p>
        </w:tc>
        <w:tc>
          <w:tcPr>
            <w:tcW w:w="4425" w:type="dxa"/>
            <w:vAlign w:val="center"/>
          </w:tcPr>
          <w:p w14:paraId="0F3B49D4">
            <w:pPr>
              <w:spacing w:line="320" w:lineRule="exact"/>
              <w:jc w:val="both"/>
              <w:rPr>
                <w:snapToGrid/>
                <w:color w:val="0000FF"/>
                <w:spacing w:val="0"/>
                <w:w w:val="100"/>
                <w:kern w:val="21"/>
                <w:position w:val="0"/>
                <w:sz w:val="21"/>
                <w:szCs w:val="21"/>
                <w:u w:val="single"/>
              </w:rPr>
            </w:pPr>
            <w:r>
              <w:rPr>
                <w:rFonts w:hint="eastAsia" w:ascii="宋体" w:hAnsi="宋体"/>
                <w:b/>
                <w:i/>
                <w:color w:val="0000FF"/>
                <w:szCs w:val="21"/>
                <w:highlight w:val="none"/>
                <w:u w:val="single"/>
              </w:rPr>
              <w:t>/</w:t>
            </w:r>
          </w:p>
        </w:tc>
      </w:tr>
      <w:tr w14:paraId="047F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tcBorders>
            <w:vAlign w:val="center"/>
          </w:tcPr>
          <w:p w14:paraId="66FE5211">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tcBorders>
            <w:vAlign w:val="center"/>
          </w:tcPr>
          <w:p w14:paraId="5DF342DD">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16EB3344">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（3）最多可中标段数量</w:t>
            </w:r>
          </w:p>
        </w:tc>
        <w:tc>
          <w:tcPr>
            <w:tcW w:w="4425" w:type="dxa"/>
            <w:vAlign w:val="center"/>
          </w:tcPr>
          <w:p w14:paraId="500338F5">
            <w:pPr>
              <w:spacing w:line="320" w:lineRule="exact"/>
              <w:jc w:val="both"/>
              <w:rPr>
                <w:snapToGrid/>
                <w:color w:val="0000FF"/>
                <w:spacing w:val="0"/>
                <w:w w:val="100"/>
                <w:kern w:val="21"/>
                <w:position w:val="0"/>
                <w:sz w:val="21"/>
                <w:szCs w:val="21"/>
                <w:u w:val="single"/>
              </w:rPr>
            </w:pPr>
            <w:r>
              <w:rPr>
                <w:rFonts w:hint="eastAsia" w:ascii="宋体" w:hAnsi="宋体"/>
                <w:b/>
                <w:i/>
                <w:color w:val="0000FF"/>
                <w:szCs w:val="21"/>
                <w:highlight w:val="none"/>
                <w:u w:val="single"/>
              </w:rPr>
              <w:t>/</w:t>
            </w:r>
          </w:p>
        </w:tc>
      </w:tr>
      <w:tr w14:paraId="1756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restart"/>
            <w:tcBorders>
              <w:bottom w:val="nil"/>
            </w:tcBorders>
            <w:vAlign w:val="center"/>
          </w:tcPr>
          <w:p w14:paraId="251B0A55">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2.1.1</w:t>
            </w:r>
          </w:p>
        </w:tc>
        <w:tc>
          <w:tcPr>
            <w:tcW w:w="1529" w:type="dxa"/>
            <w:vMerge w:val="restart"/>
            <w:tcBorders>
              <w:bottom w:val="nil"/>
            </w:tcBorders>
            <w:vAlign w:val="center"/>
          </w:tcPr>
          <w:p w14:paraId="7AF3134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形式评审标准</w:t>
            </w:r>
          </w:p>
        </w:tc>
        <w:tc>
          <w:tcPr>
            <w:tcW w:w="2850" w:type="dxa"/>
            <w:vAlign w:val="center"/>
          </w:tcPr>
          <w:p w14:paraId="53CC85B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投标文件</w:t>
            </w:r>
          </w:p>
        </w:tc>
        <w:tc>
          <w:tcPr>
            <w:tcW w:w="4425" w:type="dxa"/>
            <w:vAlign w:val="center"/>
          </w:tcPr>
          <w:p w14:paraId="1E5B346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投标文件能正常打开</w:t>
            </w:r>
          </w:p>
        </w:tc>
      </w:tr>
      <w:tr w14:paraId="46D04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40842D18">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3C06C8CA">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2BE6079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投标人名称</w:t>
            </w:r>
          </w:p>
        </w:tc>
        <w:tc>
          <w:tcPr>
            <w:tcW w:w="4425" w:type="dxa"/>
            <w:vAlign w:val="center"/>
          </w:tcPr>
          <w:p w14:paraId="2102B2B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与营业执照、资质证书、安全生产许可证一致</w:t>
            </w:r>
          </w:p>
        </w:tc>
      </w:tr>
      <w:tr w14:paraId="496A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0E6465D5">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375C9DF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6C5C81D1">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签字盖章</w:t>
            </w:r>
          </w:p>
        </w:tc>
        <w:tc>
          <w:tcPr>
            <w:tcW w:w="4425" w:type="dxa"/>
            <w:vAlign w:val="center"/>
          </w:tcPr>
          <w:p w14:paraId="68A5138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签字盖章符合第二章投标人须知第 3.7.3 项规定</w:t>
            </w:r>
          </w:p>
        </w:tc>
      </w:tr>
      <w:tr w14:paraId="46A5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7075B2D1">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150F3F83">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7B5ACB4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投标文件格式</w:t>
            </w:r>
          </w:p>
        </w:tc>
        <w:tc>
          <w:tcPr>
            <w:tcW w:w="4425" w:type="dxa"/>
            <w:vAlign w:val="center"/>
          </w:tcPr>
          <w:p w14:paraId="300D666F">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snapToGrid/>
                <w:spacing w:val="0"/>
                <w:w w:val="100"/>
                <w:kern w:val="21"/>
                <w:position w:val="0"/>
              </w:rPr>
            </w:pPr>
            <w:r>
              <w:rPr>
                <w:snapToGrid/>
                <w:spacing w:val="0"/>
                <w:w w:val="100"/>
                <w:kern w:val="21"/>
                <w:position w:val="0"/>
              </w:rPr>
              <w:t>符合第八章“投标文件格式”的规定，实质性内容齐全、关键字迹清晰可辨</w:t>
            </w:r>
          </w:p>
        </w:tc>
      </w:tr>
      <w:tr w14:paraId="6E963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69E72C0A">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58DC6F23">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19B99BF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联合体投标人</w:t>
            </w:r>
          </w:p>
        </w:tc>
        <w:tc>
          <w:tcPr>
            <w:tcW w:w="4425" w:type="dxa"/>
            <w:vAlign w:val="center"/>
          </w:tcPr>
          <w:p w14:paraId="4F98770E">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提交符合招标文件要求的联合体协议书，明确各方承担连带责任，并明确联合体牵头人</w:t>
            </w:r>
          </w:p>
        </w:tc>
      </w:tr>
      <w:tr w14:paraId="5C01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12F5013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32A3857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700FF4F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备选投标方案</w:t>
            </w:r>
          </w:p>
        </w:tc>
        <w:tc>
          <w:tcPr>
            <w:tcW w:w="4425" w:type="dxa"/>
            <w:vAlign w:val="center"/>
          </w:tcPr>
          <w:p w14:paraId="74E269C3">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snapToGrid/>
                <w:spacing w:val="0"/>
                <w:w w:val="100"/>
                <w:kern w:val="21"/>
                <w:position w:val="0"/>
              </w:rPr>
            </w:pPr>
            <w:r>
              <w:rPr>
                <w:snapToGrid/>
                <w:spacing w:val="0"/>
                <w:w w:val="100"/>
                <w:kern w:val="21"/>
                <w:position w:val="0"/>
              </w:rPr>
              <w:t>除招标文件明确允许提交备选投标方案外，投标人不得提交备选投标方案</w:t>
            </w:r>
          </w:p>
        </w:tc>
      </w:tr>
      <w:tr w14:paraId="4FC4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nil"/>
            </w:tcBorders>
            <w:vAlign w:val="center"/>
          </w:tcPr>
          <w:p w14:paraId="6CC2E00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nil"/>
            </w:tcBorders>
            <w:vAlign w:val="center"/>
          </w:tcPr>
          <w:p w14:paraId="73C08FD2">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vAlign w:val="center"/>
          </w:tcPr>
          <w:p w14:paraId="64D4C5A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未出现异常情形</w:t>
            </w:r>
          </w:p>
        </w:tc>
        <w:tc>
          <w:tcPr>
            <w:tcW w:w="4425" w:type="dxa"/>
            <w:vAlign w:val="center"/>
          </w:tcPr>
          <w:p w14:paraId="01A9C8B6">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snapToGrid/>
                <w:spacing w:val="0"/>
                <w:w w:val="100"/>
                <w:kern w:val="21"/>
                <w:position w:val="0"/>
              </w:rPr>
            </w:pPr>
            <w:r>
              <w:rPr>
                <w:snapToGrid/>
                <w:spacing w:val="0"/>
                <w:w w:val="100"/>
                <w:kern w:val="21"/>
                <w:position w:val="0"/>
              </w:rPr>
              <w:t>不同投标人未出现使用相同的投标文件制作机器码 进行投标的情形。</w:t>
            </w:r>
          </w:p>
        </w:tc>
      </w:tr>
      <w:tr w14:paraId="31B8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nil"/>
              <w:bottom w:val="single" w:color="auto" w:sz="4" w:space="0"/>
            </w:tcBorders>
            <w:vAlign w:val="center"/>
          </w:tcPr>
          <w:p w14:paraId="1DDC0815">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nil"/>
              <w:bottom w:val="single" w:color="auto" w:sz="4" w:space="0"/>
            </w:tcBorders>
            <w:vAlign w:val="center"/>
          </w:tcPr>
          <w:p w14:paraId="72A9EE7D">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bottom w:val="single" w:color="auto" w:sz="4" w:space="0"/>
            </w:tcBorders>
            <w:vAlign w:val="center"/>
          </w:tcPr>
          <w:p w14:paraId="16B76041">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4425" w:type="dxa"/>
            <w:tcBorders>
              <w:bottom w:val="single" w:color="auto" w:sz="4" w:space="0"/>
            </w:tcBorders>
            <w:vAlign w:val="center"/>
          </w:tcPr>
          <w:p w14:paraId="0DA2783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w:t>
            </w:r>
          </w:p>
        </w:tc>
      </w:tr>
      <w:tr w14:paraId="76670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restart"/>
            <w:tcBorders>
              <w:top w:val="single" w:color="auto" w:sz="4" w:space="0"/>
              <w:left w:val="single" w:color="auto" w:sz="4" w:space="0"/>
              <w:bottom w:val="single" w:color="auto" w:sz="4" w:space="0"/>
              <w:right w:val="single" w:color="auto" w:sz="4" w:space="0"/>
            </w:tcBorders>
            <w:vAlign w:val="center"/>
          </w:tcPr>
          <w:p w14:paraId="50C732F1">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p w14:paraId="22912C3F">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rFonts w:ascii="Times New Roman" w:hAnsi="Times New Roman" w:eastAsia="Times New Roman" w:cs="Times New Roman"/>
                <w:snapToGrid/>
                <w:spacing w:val="0"/>
                <w:w w:val="100"/>
                <w:kern w:val="21"/>
                <w:position w:val="0"/>
              </w:rPr>
              <w:t>2.1.2</w:t>
            </w:r>
            <w:r>
              <w:rPr>
                <w:snapToGrid/>
                <w:spacing w:val="0"/>
                <w:w w:val="100"/>
                <w:kern w:val="21"/>
                <w:position w:val="0"/>
              </w:rPr>
              <w:t>（</w:t>
            </w:r>
            <w:r>
              <w:rPr>
                <w:rFonts w:ascii="Times New Roman" w:hAnsi="Times New Roman" w:eastAsia="Times New Roman" w:cs="Times New Roman"/>
                <w:snapToGrid/>
                <w:spacing w:val="0"/>
                <w:w w:val="100"/>
                <w:kern w:val="21"/>
                <w:position w:val="0"/>
              </w:rPr>
              <w:t>2</w:t>
            </w:r>
            <w:r>
              <w:rPr>
                <w:snapToGrid/>
                <w:spacing w:val="0"/>
                <w:w w:val="100"/>
                <w:kern w:val="21"/>
                <w:position w:val="0"/>
              </w:rPr>
              <w:t>）</w:t>
            </w:r>
          </w:p>
        </w:tc>
        <w:tc>
          <w:tcPr>
            <w:tcW w:w="1529" w:type="dxa"/>
            <w:vMerge w:val="restart"/>
            <w:tcBorders>
              <w:top w:val="single" w:color="auto" w:sz="4" w:space="0"/>
              <w:left w:val="single" w:color="auto" w:sz="4" w:space="0"/>
              <w:bottom w:val="single" w:color="auto" w:sz="4" w:space="0"/>
              <w:right w:val="single" w:color="auto" w:sz="4" w:space="0"/>
            </w:tcBorders>
            <w:vAlign w:val="center"/>
          </w:tcPr>
          <w:p w14:paraId="2A8D27CB">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p w14:paraId="323CFE10">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资格评审标准</w:t>
            </w:r>
          </w:p>
        </w:tc>
        <w:tc>
          <w:tcPr>
            <w:tcW w:w="2850" w:type="dxa"/>
            <w:tcBorders>
              <w:top w:val="single" w:color="auto" w:sz="4" w:space="0"/>
              <w:left w:val="single" w:color="auto" w:sz="4" w:space="0"/>
              <w:bottom w:val="single" w:color="auto" w:sz="4" w:space="0"/>
              <w:right w:val="single" w:color="auto" w:sz="4" w:space="0"/>
            </w:tcBorders>
            <w:vAlign w:val="center"/>
          </w:tcPr>
          <w:p w14:paraId="1A631CB6">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7"/>
              <w:jc w:val="center"/>
              <w:textAlignment w:val="baseline"/>
              <w:outlineLvl w:val="9"/>
              <w:rPr>
                <w:snapToGrid/>
                <w:spacing w:val="0"/>
                <w:w w:val="100"/>
                <w:kern w:val="21"/>
                <w:position w:val="0"/>
              </w:rPr>
            </w:pPr>
            <w:r>
              <w:rPr>
                <w:snapToGrid/>
                <w:spacing w:val="0"/>
                <w:w w:val="100"/>
                <w:kern w:val="21"/>
                <w:position w:val="0"/>
              </w:rPr>
              <w:t>营业执照和组织机构代码证、安全生产许可证</w:t>
            </w:r>
          </w:p>
        </w:tc>
        <w:tc>
          <w:tcPr>
            <w:tcW w:w="4425" w:type="dxa"/>
            <w:tcBorders>
              <w:top w:val="single" w:color="auto" w:sz="4" w:space="0"/>
              <w:left w:val="single" w:color="auto" w:sz="4" w:space="0"/>
              <w:bottom w:val="single" w:color="auto" w:sz="4" w:space="0"/>
              <w:right w:val="single" w:color="auto" w:sz="4" w:space="0"/>
            </w:tcBorders>
            <w:vAlign w:val="center"/>
          </w:tcPr>
          <w:p w14:paraId="5C404F72">
            <w:pPr>
              <w:pStyle w:val="27"/>
              <w:keepNext w:val="0"/>
              <w:keepLines w:val="0"/>
              <w:pageBreakBefore w:val="0"/>
              <w:widowControl w:val="0"/>
              <w:kinsoku/>
              <w:wordWrap w:val="0"/>
              <w:overflowPunct/>
              <w:topLinePunct/>
              <w:autoSpaceDE w:val="0"/>
              <w:autoSpaceDN/>
              <w:bidi w:val="0"/>
              <w:adjustRightInd/>
              <w:snapToGrid/>
              <w:spacing w:line="400" w:lineRule="exact"/>
              <w:ind w:right="0"/>
              <w:jc w:val="both"/>
              <w:textAlignment w:val="baseline"/>
              <w:outlineLvl w:val="9"/>
              <w:rPr>
                <w:snapToGrid/>
                <w:spacing w:val="0"/>
                <w:w w:val="100"/>
                <w:kern w:val="21"/>
                <w:position w:val="0"/>
              </w:rPr>
            </w:pPr>
            <w:r>
              <w:rPr>
                <w:snapToGrid/>
                <w:spacing w:val="0"/>
                <w:w w:val="100"/>
                <w:kern w:val="21"/>
                <w:position w:val="0"/>
              </w:rPr>
              <w:t>符合第二章“投标人须知 ”第3.5.1项规定，具备有效的营业执照和组织机构代码证、安全生产许可证</w:t>
            </w:r>
          </w:p>
        </w:tc>
      </w:tr>
      <w:tr w14:paraId="15B2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0CCEECD">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3114924">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193891D8">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资质要求</w:t>
            </w:r>
          </w:p>
        </w:tc>
        <w:tc>
          <w:tcPr>
            <w:tcW w:w="4425" w:type="dxa"/>
            <w:tcBorders>
              <w:top w:val="single" w:color="auto" w:sz="4" w:space="0"/>
              <w:left w:val="single" w:color="auto" w:sz="4" w:space="0"/>
              <w:bottom w:val="single" w:color="auto" w:sz="4" w:space="0"/>
              <w:right w:val="single" w:color="auto" w:sz="4" w:space="0"/>
            </w:tcBorders>
            <w:vAlign w:val="center"/>
          </w:tcPr>
          <w:p w14:paraId="475F5538">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6311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458C1E1D">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8140212">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08DD277F">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财务要求</w:t>
            </w:r>
          </w:p>
        </w:tc>
        <w:tc>
          <w:tcPr>
            <w:tcW w:w="4425" w:type="dxa"/>
            <w:tcBorders>
              <w:top w:val="single" w:color="auto" w:sz="4" w:space="0"/>
              <w:left w:val="single" w:color="auto" w:sz="4" w:space="0"/>
              <w:bottom w:val="single" w:color="auto" w:sz="4" w:space="0"/>
              <w:right w:val="single" w:color="auto" w:sz="4" w:space="0"/>
            </w:tcBorders>
            <w:vAlign w:val="center"/>
          </w:tcPr>
          <w:p w14:paraId="719AD21A">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6347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610587A8">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14E2C04C">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27533008">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业绩要求</w:t>
            </w:r>
          </w:p>
        </w:tc>
        <w:tc>
          <w:tcPr>
            <w:tcW w:w="4425" w:type="dxa"/>
            <w:tcBorders>
              <w:top w:val="single" w:color="auto" w:sz="4" w:space="0"/>
              <w:left w:val="single" w:color="auto" w:sz="4" w:space="0"/>
              <w:bottom w:val="single" w:color="auto" w:sz="4" w:space="0"/>
              <w:right w:val="single" w:color="auto" w:sz="4" w:space="0"/>
            </w:tcBorders>
            <w:vAlign w:val="center"/>
          </w:tcPr>
          <w:p w14:paraId="152A960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09BC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BF427DC">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7E3FECF0">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45E43B6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信誉要求</w:t>
            </w:r>
          </w:p>
        </w:tc>
        <w:tc>
          <w:tcPr>
            <w:tcW w:w="4425" w:type="dxa"/>
            <w:tcBorders>
              <w:top w:val="single" w:color="auto" w:sz="4" w:space="0"/>
              <w:left w:val="single" w:color="auto" w:sz="4" w:space="0"/>
              <w:bottom w:val="single" w:color="auto" w:sz="4" w:space="0"/>
              <w:right w:val="single" w:color="auto" w:sz="4" w:space="0"/>
            </w:tcBorders>
            <w:vAlign w:val="center"/>
          </w:tcPr>
          <w:p w14:paraId="292E51D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7CF9D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50EC8B63">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0CFC74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6E7D2F8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项目经理</w:t>
            </w:r>
          </w:p>
        </w:tc>
        <w:tc>
          <w:tcPr>
            <w:tcW w:w="4425" w:type="dxa"/>
            <w:tcBorders>
              <w:top w:val="single" w:color="auto" w:sz="4" w:space="0"/>
              <w:left w:val="single" w:color="auto" w:sz="4" w:space="0"/>
              <w:bottom w:val="single" w:color="auto" w:sz="4" w:space="0"/>
              <w:right w:val="single" w:color="auto" w:sz="4" w:space="0"/>
            </w:tcBorders>
            <w:vAlign w:val="center"/>
          </w:tcPr>
          <w:p w14:paraId="73658D3E">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75316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42D029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761837F2">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4738082A">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其他要求</w:t>
            </w:r>
          </w:p>
        </w:tc>
        <w:tc>
          <w:tcPr>
            <w:tcW w:w="4425" w:type="dxa"/>
            <w:tcBorders>
              <w:top w:val="single" w:color="auto" w:sz="4" w:space="0"/>
              <w:left w:val="single" w:color="auto" w:sz="4" w:space="0"/>
              <w:bottom w:val="single" w:color="auto" w:sz="4" w:space="0"/>
              <w:right w:val="single" w:color="auto" w:sz="4" w:space="0"/>
            </w:tcBorders>
            <w:vAlign w:val="center"/>
          </w:tcPr>
          <w:p w14:paraId="5A5136BA">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1.4.1 项规定</w:t>
            </w:r>
          </w:p>
        </w:tc>
      </w:tr>
      <w:tr w14:paraId="6041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1793C314">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0602EAB6">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756CA35E">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联合体投标人</w:t>
            </w:r>
          </w:p>
        </w:tc>
        <w:tc>
          <w:tcPr>
            <w:tcW w:w="4425" w:type="dxa"/>
            <w:tcBorders>
              <w:top w:val="single" w:color="auto" w:sz="4" w:space="0"/>
              <w:left w:val="single" w:color="auto" w:sz="4" w:space="0"/>
              <w:bottom w:val="single" w:color="auto" w:sz="4" w:space="0"/>
              <w:right w:val="single" w:color="auto" w:sz="4" w:space="0"/>
            </w:tcBorders>
            <w:vAlign w:val="center"/>
          </w:tcPr>
          <w:p w14:paraId="17E14D5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napToGrid/>
                <w:spacing w:val="0"/>
                <w:w w:val="100"/>
                <w:kern w:val="21"/>
                <w:position w:val="0"/>
              </w:rPr>
            </w:pPr>
            <w:r>
              <w:rPr>
                <w:snapToGrid/>
                <w:spacing w:val="0"/>
                <w:w w:val="100"/>
                <w:kern w:val="21"/>
                <w:position w:val="0"/>
              </w:rPr>
              <w:t>符合第二章“投标人须知 ”第 1.4.2 项规定</w:t>
            </w:r>
          </w:p>
        </w:tc>
      </w:tr>
      <w:tr w14:paraId="4E864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757C8D86">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5108B5A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vAlign w:val="center"/>
          </w:tcPr>
          <w:p w14:paraId="7815174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snapToGrid/>
                <w:spacing w:val="0"/>
                <w:w w:val="100"/>
                <w:kern w:val="21"/>
                <w:position w:val="0"/>
              </w:rPr>
            </w:pPr>
            <w:r>
              <w:rPr>
                <w:snapToGrid/>
                <w:spacing w:val="0"/>
                <w:w w:val="100"/>
                <w:kern w:val="21"/>
                <w:position w:val="0"/>
              </w:rPr>
              <w:t>不存在禁止投标的情形</w:t>
            </w:r>
          </w:p>
        </w:tc>
        <w:tc>
          <w:tcPr>
            <w:tcW w:w="4425" w:type="dxa"/>
            <w:tcBorders>
              <w:top w:val="single" w:color="auto" w:sz="4" w:space="0"/>
              <w:left w:val="single" w:color="auto" w:sz="4" w:space="0"/>
              <w:bottom w:val="single" w:color="auto" w:sz="4" w:space="0"/>
              <w:right w:val="single" w:color="auto" w:sz="4" w:space="0"/>
            </w:tcBorders>
            <w:vAlign w:val="center"/>
          </w:tcPr>
          <w:p w14:paraId="2D3F4789">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2"/>
              <w:jc w:val="both"/>
              <w:textAlignment w:val="baseline"/>
              <w:outlineLvl w:val="9"/>
              <w:rPr>
                <w:snapToGrid/>
                <w:spacing w:val="0"/>
                <w:w w:val="100"/>
                <w:kern w:val="21"/>
                <w:position w:val="0"/>
              </w:rPr>
            </w:pPr>
            <w:r>
              <w:rPr>
                <w:snapToGrid/>
                <w:spacing w:val="0"/>
                <w:w w:val="100"/>
                <w:kern w:val="21"/>
                <w:position w:val="0"/>
              </w:rPr>
              <w:t>不存在第二章“投标人须知 ”第 1.4.3 项规定的任何一种情形。</w:t>
            </w:r>
            <w:r>
              <w:rPr>
                <w:b/>
                <w:bCs/>
                <w:snapToGrid/>
                <w:spacing w:val="0"/>
                <w:w w:val="100"/>
                <w:kern w:val="21"/>
                <w:position w:val="0"/>
              </w:rPr>
              <w:t>投标人在投标函中承诺即可，不需要提供相关证明。</w:t>
            </w:r>
          </w:p>
        </w:tc>
      </w:tr>
      <w:tr w14:paraId="0773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0317699A">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8622C3D">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6A5CD11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7B5D17C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r>
      <w:tr w14:paraId="50EA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restart"/>
            <w:tcBorders>
              <w:top w:val="single" w:color="auto" w:sz="4" w:space="0"/>
              <w:left w:val="single" w:color="auto" w:sz="4" w:space="0"/>
              <w:bottom w:val="single" w:color="auto" w:sz="4" w:space="0"/>
              <w:right w:val="single" w:color="auto" w:sz="4" w:space="0"/>
            </w:tcBorders>
            <w:vAlign w:val="center"/>
          </w:tcPr>
          <w:p w14:paraId="77789A3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r>
              <w:rPr>
                <w:rFonts w:ascii="Times New Roman" w:hAnsi="Times New Roman" w:eastAsia="Times New Roman" w:cs="Times New Roman"/>
                <w:snapToGrid/>
                <w:spacing w:val="0"/>
                <w:w w:val="100"/>
                <w:kern w:val="21"/>
                <w:position w:val="0"/>
                <w:sz w:val="20"/>
                <w:szCs w:val="20"/>
              </w:rPr>
              <w:t>2.1.3</w:t>
            </w:r>
          </w:p>
        </w:tc>
        <w:tc>
          <w:tcPr>
            <w:tcW w:w="1529" w:type="dxa"/>
            <w:vMerge w:val="restart"/>
            <w:tcBorders>
              <w:top w:val="single" w:color="auto" w:sz="4" w:space="0"/>
              <w:left w:val="single" w:color="auto" w:sz="4" w:space="0"/>
              <w:bottom w:val="single" w:color="auto" w:sz="4" w:space="0"/>
              <w:right w:val="single" w:color="auto" w:sz="4" w:space="0"/>
            </w:tcBorders>
            <w:vAlign w:val="center"/>
          </w:tcPr>
          <w:p w14:paraId="637D89FF">
            <w:pPr>
              <w:pStyle w:val="27"/>
              <w:keepNext w:val="0"/>
              <w:keepLines w:val="0"/>
              <w:pageBreakBefore w:val="0"/>
              <w:widowControl w:val="0"/>
              <w:kinsoku/>
              <w:wordWrap w:val="0"/>
              <w:overflowPunct/>
              <w:topLinePunct/>
              <w:autoSpaceDE w:val="0"/>
              <w:autoSpaceDN/>
              <w:bidi w:val="0"/>
              <w:adjustRightInd/>
              <w:snapToGrid/>
              <w:spacing w:line="400" w:lineRule="exact"/>
              <w:ind w:right="0"/>
              <w:jc w:val="left"/>
              <w:textAlignment w:val="baseline"/>
              <w:outlineLvl w:val="9"/>
              <w:rPr>
                <w:rFonts w:ascii="Arial"/>
                <w:snapToGrid/>
                <w:spacing w:val="0"/>
                <w:w w:val="100"/>
                <w:kern w:val="21"/>
                <w:position w:val="0"/>
                <w:sz w:val="21"/>
              </w:rPr>
            </w:pPr>
            <w:r>
              <w:rPr>
                <w:snapToGrid/>
                <w:spacing w:val="0"/>
                <w:w w:val="100"/>
                <w:kern w:val="21"/>
                <w:position w:val="0"/>
              </w:rPr>
              <w:t>响应性评审标准</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085A83E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投标报价</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5A41383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3.2 款规定</w:t>
            </w:r>
          </w:p>
        </w:tc>
      </w:tr>
      <w:tr w14:paraId="4759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C30B6B6">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2726B358">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5A3B675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投标内容</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7BA2EEB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1.3.1 项规定</w:t>
            </w:r>
          </w:p>
        </w:tc>
      </w:tr>
      <w:tr w14:paraId="55DE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6BB9093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0CC342A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1AAEC7E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工期</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1A191B5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1.3.2 项规定</w:t>
            </w:r>
          </w:p>
        </w:tc>
      </w:tr>
      <w:tr w14:paraId="7246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CDAFC48">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2D160D34">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24A9BD8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质量要求</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7508BC0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1.3.3 项规定</w:t>
            </w:r>
          </w:p>
        </w:tc>
      </w:tr>
      <w:tr w14:paraId="491B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tcBorders>
            <w:vAlign w:val="center"/>
          </w:tcPr>
          <w:p w14:paraId="2E4B56B3">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tcBorders>
            <w:vAlign w:val="center"/>
          </w:tcPr>
          <w:p w14:paraId="2D76F28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tcBorders>
            <w:shd w:val="clear" w:color="auto" w:fill="auto"/>
            <w:vAlign w:val="top"/>
          </w:tcPr>
          <w:p w14:paraId="3FE3F85F">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安全目标</w:t>
            </w:r>
          </w:p>
        </w:tc>
        <w:tc>
          <w:tcPr>
            <w:tcW w:w="4425" w:type="dxa"/>
            <w:tcBorders>
              <w:top w:val="single" w:color="auto" w:sz="4" w:space="0"/>
            </w:tcBorders>
            <w:shd w:val="clear" w:color="auto" w:fill="auto"/>
            <w:vAlign w:val="top"/>
          </w:tcPr>
          <w:p w14:paraId="205389F2">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1.3.4 项规定</w:t>
            </w:r>
          </w:p>
        </w:tc>
      </w:tr>
      <w:tr w14:paraId="06CF2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tcBorders>
            <w:vAlign w:val="center"/>
          </w:tcPr>
          <w:p w14:paraId="09FFE140">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vAlign w:val="center"/>
          </w:tcPr>
          <w:p w14:paraId="3D450BF9">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shd w:val="clear" w:color="auto" w:fill="auto"/>
            <w:vAlign w:val="top"/>
          </w:tcPr>
          <w:p w14:paraId="55C864F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环保目标</w:t>
            </w:r>
          </w:p>
        </w:tc>
        <w:tc>
          <w:tcPr>
            <w:tcW w:w="4425" w:type="dxa"/>
            <w:shd w:val="clear" w:color="auto" w:fill="auto"/>
            <w:vAlign w:val="top"/>
          </w:tcPr>
          <w:p w14:paraId="4A974B7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1.3.5 项规定</w:t>
            </w:r>
          </w:p>
        </w:tc>
      </w:tr>
      <w:tr w14:paraId="00E43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tcBorders>
            <w:vAlign w:val="center"/>
          </w:tcPr>
          <w:p w14:paraId="100B1EEB">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vAlign w:val="center"/>
          </w:tcPr>
          <w:p w14:paraId="467065CF">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shd w:val="clear" w:color="auto" w:fill="auto"/>
            <w:vAlign w:val="top"/>
          </w:tcPr>
          <w:p w14:paraId="42FACA8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投标有效期</w:t>
            </w:r>
          </w:p>
        </w:tc>
        <w:tc>
          <w:tcPr>
            <w:tcW w:w="4425" w:type="dxa"/>
            <w:shd w:val="clear" w:color="auto" w:fill="auto"/>
            <w:vAlign w:val="top"/>
          </w:tcPr>
          <w:p w14:paraId="78021B8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3.3.1 项规定</w:t>
            </w:r>
          </w:p>
        </w:tc>
      </w:tr>
      <w:tr w14:paraId="7FFD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tcBorders>
            <w:vAlign w:val="center"/>
          </w:tcPr>
          <w:p w14:paraId="23D9534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vAlign w:val="center"/>
          </w:tcPr>
          <w:p w14:paraId="46BC2AB6">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shd w:val="clear" w:color="auto" w:fill="auto"/>
            <w:vAlign w:val="top"/>
          </w:tcPr>
          <w:p w14:paraId="71AE1B6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投标保证金</w:t>
            </w:r>
          </w:p>
        </w:tc>
        <w:tc>
          <w:tcPr>
            <w:tcW w:w="4425" w:type="dxa"/>
            <w:shd w:val="clear" w:color="auto" w:fill="auto"/>
            <w:vAlign w:val="top"/>
          </w:tcPr>
          <w:p w14:paraId="503B6406">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符合第二章“投标人须知 ”第 3.4.1 项规定</w:t>
            </w:r>
          </w:p>
        </w:tc>
      </w:tr>
      <w:tr w14:paraId="7A4C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tcBorders>
            <w:vAlign w:val="center"/>
          </w:tcPr>
          <w:p w14:paraId="50B1786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vAlign w:val="center"/>
          </w:tcPr>
          <w:p w14:paraId="5A402100">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shd w:val="clear" w:color="auto" w:fill="auto"/>
            <w:vAlign w:val="center"/>
          </w:tcPr>
          <w:p w14:paraId="5DC92534">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权利义务</w:t>
            </w:r>
          </w:p>
        </w:tc>
        <w:tc>
          <w:tcPr>
            <w:tcW w:w="4425" w:type="dxa"/>
            <w:shd w:val="clear" w:color="auto" w:fill="auto"/>
            <w:vAlign w:val="top"/>
          </w:tcPr>
          <w:p w14:paraId="679D8E42">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符合第四章“合同条款及格式 ”中的实质性要求和条件</w:t>
            </w:r>
          </w:p>
        </w:tc>
      </w:tr>
      <w:tr w14:paraId="54AFB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tcBorders>
            <w:vAlign w:val="center"/>
          </w:tcPr>
          <w:p w14:paraId="6A00A278">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vAlign w:val="center"/>
          </w:tcPr>
          <w:p w14:paraId="6BCD96C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shd w:val="clear" w:color="auto" w:fill="auto"/>
            <w:vAlign w:val="center"/>
          </w:tcPr>
          <w:p w14:paraId="042567F8">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技术标准和要求</w:t>
            </w:r>
          </w:p>
        </w:tc>
        <w:tc>
          <w:tcPr>
            <w:tcW w:w="4425" w:type="dxa"/>
            <w:shd w:val="clear" w:color="auto" w:fill="auto"/>
            <w:vAlign w:val="top"/>
          </w:tcPr>
          <w:p w14:paraId="57326E1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符合第七章“技术标准和要求 ”规定</w:t>
            </w:r>
          </w:p>
        </w:tc>
      </w:tr>
      <w:tr w14:paraId="79F6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left w:val="single" w:color="auto" w:sz="4" w:space="0"/>
              <w:bottom w:val="single" w:color="auto" w:sz="4" w:space="0"/>
            </w:tcBorders>
            <w:vAlign w:val="center"/>
          </w:tcPr>
          <w:p w14:paraId="2169A497">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bottom w:val="single" w:color="auto" w:sz="4" w:space="0"/>
            </w:tcBorders>
            <w:vAlign w:val="center"/>
          </w:tcPr>
          <w:p w14:paraId="3A335982">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bottom w:val="single" w:color="auto" w:sz="4" w:space="0"/>
            </w:tcBorders>
            <w:shd w:val="clear" w:color="auto" w:fill="auto"/>
            <w:vAlign w:val="center"/>
          </w:tcPr>
          <w:p w14:paraId="1E500F20">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投标报价偏差</w:t>
            </w:r>
          </w:p>
        </w:tc>
        <w:tc>
          <w:tcPr>
            <w:tcW w:w="4425" w:type="dxa"/>
            <w:tcBorders>
              <w:bottom w:val="single" w:color="auto" w:sz="4" w:space="0"/>
            </w:tcBorders>
            <w:shd w:val="clear" w:color="auto" w:fill="auto"/>
            <w:vAlign w:val="top"/>
          </w:tcPr>
          <w:p w14:paraId="77F9325C">
            <w:pPr>
              <w:pStyle w:val="27"/>
              <w:keepNext w:val="0"/>
              <w:keepLines w:val="0"/>
              <w:pageBreakBefore w:val="0"/>
              <w:widowControl w:val="0"/>
              <w:kinsoku/>
              <w:wordWrap w:val="0"/>
              <w:overflowPunct/>
              <w:topLinePunct/>
              <w:autoSpaceDE w:val="0"/>
              <w:autoSpaceDN/>
              <w:bidi w:val="0"/>
              <w:adjustRightInd/>
              <w:snapToGrid/>
              <w:spacing w:line="400" w:lineRule="exact"/>
              <w:ind w:right="0"/>
              <w:jc w:val="left"/>
              <w:textAlignment w:val="baseline"/>
              <w:outlineLvl w:val="9"/>
              <w:rPr>
                <w:snapToGrid/>
                <w:spacing w:val="0"/>
                <w:w w:val="100"/>
                <w:kern w:val="21"/>
                <w:position w:val="0"/>
              </w:rPr>
            </w:pPr>
            <w:r>
              <w:rPr>
                <w:snapToGrid/>
                <w:spacing w:val="0"/>
                <w:w w:val="100"/>
                <w:kern w:val="21"/>
                <w:position w:val="0"/>
              </w:rPr>
              <w:t>因投标人原因造成投标报价累计缺漏金额（多报金额不得抵销缺漏金额，缺漏金额计算时按照最高投标限价相应数据计算）占投标报价未超过3%，也未影响各投标人开标记录表中的投标价排序。</w:t>
            </w:r>
          </w:p>
          <w:p w14:paraId="14F596C0">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凡招标文件要求或者工程量清单计价规范规定应计 算的费用而投标人未报，且投标文件未阐明充分理由，并不能提供足够证据者，均视为缺漏金额。</w:t>
            </w:r>
          </w:p>
        </w:tc>
      </w:tr>
      <w:tr w14:paraId="4C23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2D3FA9DE">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4ACCFDEC">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F70A305">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both"/>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不平衡报价评审</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532EF83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对已标价的工程量清单报价书明显高出最高投标限 价对应部分分部分项报价，或与最高投标限价对应 部分分部分项报价相比明显降幅过大的情况，并经 评标委员会评审后，可认定为恶意不平衡报价，否 决其投标。</w:t>
            </w:r>
          </w:p>
        </w:tc>
      </w:tr>
      <w:tr w14:paraId="1B8F5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849" w:type="dxa"/>
            <w:vMerge w:val="continue"/>
            <w:tcBorders>
              <w:top w:val="single" w:color="auto" w:sz="4" w:space="0"/>
              <w:left w:val="single" w:color="auto" w:sz="4" w:space="0"/>
              <w:bottom w:val="single" w:color="auto" w:sz="4" w:space="0"/>
              <w:right w:val="single" w:color="auto" w:sz="4" w:space="0"/>
            </w:tcBorders>
            <w:vAlign w:val="center"/>
          </w:tcPr>
          <w:p w14:paraId="6A89261F">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14:paraId="392824A4">
            <w:pPr>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Arial"/>
                <w:snapToGrid/>
                <w:spacing w:val="0"/>
                <w:w w:val="100"/>
                <w:kern w:val="21"/>
                <w:position w:val="0"/>
                <w:sz w:val="21"/>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14:paraId="669BF29C">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4EDBC523">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r>
      <w:tr w14:paraId="6362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3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CE1948">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ascii="Times New Roman" w:hAnsi="Times New Roman" w:eastAsia="Times New Roman" w:cs="Times New Roman"/>
                <w:snapToGrid/>
                <w:color w:val="000000"/>
                <w:spacing w:val="0"/>
                <w:w w:val="100"/>
                <w:kern w:val="21"/>
                <w:position w:val="0"/>
                <w:sz w:val="20"/>
                <w:szCs w:val="20"/>
                <w:lang w:val="en-US" w:eastAsia="en-US" w:bidi="ar-SA"/>
              </w:rPr>
            </w:pPr>
            <w:r>
              <w:rPr>
                <w:rFonts w:ascii="Times New Roman" w:hAnsi="Times New Roman" w:eastAsia="Times New Roman" w:cs="Times New Roman"/>
                <w:snapToGrid/>
                <w:spacing w:val="0"/>
                <w:w w:val="100"/>
                <w:kern w:val="21"/>
                <w:position w:val="0"/>
                <w:sz w:val="20"/>
                <w:szCs w:val="20"/>
              </w:rPr>
              <w:t>2.2.1</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6BCF42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微软雅黑" w:hAnsi="微软雅黑" w:eastAsia="微软雅黑" w:cs="微软雅黑"/>
                <w:snapToGrid/>
                <w:spacing w:val="0"/>
                <w:w w:val="100"/>
                <w:kern w:val="21"/>
                <w:position w:val="0"/>
                <w:sz w:val="10"/>
                <w:szCs w:val="10"/>
              </w:rPr>
            </w:pPr>
            <w:r>
              <w:rPr>
                <w:snapToGrid/>
                <w:spacing w:val="0"/>
                <w:w w:val="100"/>
                <w:kern w:val="21"/>
                <w:position w:val="0"/>
              </w:rPr>
              <w:t>分值构成</w:t>
            </w:r>
            <w:r>
              <w:rPr>
                <w:snapToGrid/>
                <w:spacing w:val="0"/>
                <w:w w:val="100"/>
                <w:kern w:val="21"/>
                <w:position w:val="0"/>
              </w:rPr>
              <w:fldChar w:fldCharType="begin"/>
            </w:r>
            <w:r>
              <w:rPr>
                <w:snapToGrid/>
                <w:spacing w:val="0"/>
                <w:w w:val="100"/>
                <w:kern w:val="21"/>
                <w:position w:val="0"/>
              </w:rPr>
              <w:instrText xml:space="preserve"> HYPERLINK "wl2490" </w:instrText>
            </w:r>
            <w:r>
              <w:rPr>
                <w:snapToGrid/>
                <w:spacing w:val="0"/>
                <w:w w:val="100"/>
                <w:kern w:val="21"/>
                <w:position w:val="0"/>
              </w:rPr>
              <w:fldChar w:fldCharType="separate"/>
            </w:r>
            <w:r>
              <w:rPr>
                <w:rFonts w:ascii="微软雅黑" w:hAnsi="微软雅黑" w:eastAsia="微软雅黑" w:cs="微软雅黑"/>
                <w:snapToGrid/>
                <w:spacing w:val="0"/>
                <w:w w:val="100"/>
                <w:kern w:val="21"/>
                <w:position w:val="0"/>
                <w:sz w:val="10"/>
                <w:szCs w:val="10"/>
              </w:rPr>
              <w:t>①</w:t>
            </w:r>
            <w:r>
              <w:rPr>
                <w:rFonts w:ascii="微软雅黑" w:hAnsi="微软雅黑" w:eastAsia="微软雅黑" w:cs="微软雅黑"/>
                <w:snapToGrid/>
                <w:spacing w:val="0"/>
                <w:w w:val="100"/>
                <w:kern w:val="21"/>
                <w:position w:val="0"/>
                <w:sz w:val="10"/>
                <w:szCs w:val="10"/>
              </w:rPr>
              <w:fldChar w:fldCharType="end"/>
            </w:r>
          </w:p>
          <w:p w14:paraId="33E4450E">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ascii="Times New Roman" w:hAnsi="Times New Roman" w:eastAsia="Times New Roman" w:cs="Times New Roman"/>
                <w:snapToGrid/>
                <w:color w:val="000000"/>
                <w:spacing w:val="0"/>
                <w:w w:val="100"/>
                <w:kern w:val="21"/>
                <w:position w:val="0"/>
                <w:sz w:val="20"/>
                <w:szCs w:val="20"/>
                <w:lang w:val="en-US" w:eastAsia="en-US" w:bidi="ar-SA"/>
              </w:rPr>
            </w:pPr>
            <w:r>
              <w:rPr>
                <w:rFonts w:ascii="Times New Roman" w:hAnsi="Times New Roman" w:eastAsia="Times New Roman" w:cs="Times New Roman"/>
                <w:snapToGrid/>
                <w:spacing w:val="0"/>
                <w:w w:val="100"/>
                <w:kern w:val="21"/>
                <w:position w:val="0"/>
              </w:rPr>
              <w:t>(</w:t>
            </w:r>
            <w:r>
              <w:rPr>
                <w:snapToGrid/>
                <w:spacing w:val="0"/>
                <w:w w:val="100"/>
                <w:kern w:val="21"/>
                <w:position w:val="0"/>
              </w:rPr>
              <w:t xml:space="preserve">总分 </w:t>
            </w:r>
            <w:r>
              <w:rPr>
                <w:rFonts w:ascii="Times New Roman" w:hAnsi="Times New Roman" w:eastAsia="Times New Roman" w:cs="Times New Roman"/>
                <w:snapToGrid/>
                <w:spacing w:val="0"/>
                <w:w w:val="100"/>
                <w:kern w:val="21"/>
                <w:position w:val="0"/>
              </w:rPr>
              <w:t xml:space="preserve">100 </w:t>
            </w:r>
            <w:r>
              <w:rPr>
                <w:snapToGrid/>
                <w:spacing w:val="0"/>
                <w:w w:val="100"/>
                <w:kern w:val="21"/>
                <w:position w:val="0"/>
              </w:rPr>
              <w:t>分</w:t>
            </w:r>
            <w:r>
              <w:rPr>
                <w:rFonts w:ascii="Times New Roman" w:hAnsi="Times New Roman" w:eastAsia="Times New Roman" w:cs="Times New Roman"/>
                <w:snapToGrid/>
                <w:spacing w:val="0"/>
                <w:w w:val="100"/>
                <w:kern w:val="21"/>
                <w:position w:val="0"/>
              </w:rPr>
              <w:t>)</w:t>
            </w:r>
          </w:p>
        </w:tc>
        <w:tc>
          <w:tcPr>
            <w:tcW w:w="4425" w:type="dxa"/>
            <w:tcBorders>
              <w:top w:val="single" w:color="auto" w:sz="4" w:space="0"/>
              <w:left w:val="single" w:color="auto" w:sz="4" w:space="0"/>
              <w:bottom w:val="single" w:color="auto" w:sz="4" w:space="0"/>
              <w:right w:val="single" w:color="auto" w:sz="4" w:space="0"/>
            </w:tcBorders>
            <w:shd w:val="clear" w:color="auto" w:fill="auto"/>
            <w:vAlign w:val="top"/>
          </w:tcPr>
          <w:p w14:paraId="18B721A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1</w:t>
            </w:r>
            <w:r>
              <w:rPr>
                <w:snapToGrid/>
                <w:spacing w:val="0"/>
                <w:w w:val="100"/>
                <w:kern w:val="21"/>
                <w:position w:val="0"/>
              </w:rPr>
              <w:t>）资信业绩部分：</w:t>
            </w:r>
            <w:r>
              <w:rPr>
                <w:snapToGrid/>
                <w:spacing w:val="0"/>
                <w:w w:val="100"/>
                <w:kern w:val="21"/>
                <w:position w:val="0"/>
                <w:u w:val="single" w:color="auto"/>
              </w:rPr>
              <w:t xml:space="preserve"> </w:t>
            </w:r>
            <w:r>
              <w:rPr>
                <w:rFonts w:hint="eastAsia"/>
                <w:snapToGrid/>
                <w:spacing w:val="0"/>
                <w:w w:val="100"/>
                <w:kern w:val="21"/>
                <w:position w:val="0"/>
                <w:u w:val="single" w:color="auto"/>
                <w:lang w:val="en-US" w:eastAsia="zh-CN"/>
              </w:rPr>
              <w:t xml:space="preserve">25 </w:t>
            </w:r>
            <w:r>
              <w:rPr>
                <w:snapToGrid/>
                <w:spacing w:val="0"/>
                <w:w w:val="100"/>
                <w:kern w:val="21"/>
                <w:position w:val="0"/>
              </w:rPr>
              <w:t>分</w:t>
            </w:r>
            <w:r>
              <w:commentReference w:id="3"/>
            </w:r>
          </w:p>
          <w:p w14:paraId="446EB25E">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2</w:t>
            </w:r>
            <w:r>
              <w:rPr>
                <w:snapToGrid/>
                <w:spacing w:val="0"/>
                <w:w w:val="100"/>
                <w:kern w:val="21"/>
                <w:position w:val="0"/>
              </w:rPr>
              <w:t>）施工组织设计部分：</w:t>
            </w:r>
            <w:r>
              <w:rPr>
                <w:snapToGrid/>
                <w:spacing w:val="0"/>
                <w:w w:val="100"/>
                <w:kern w:val="21"/>
                <w:position w:val="0"/>
                <w:u w:val="single" w:color="auto"/>
              </w:rPr>
              <w:t xml:space="preserve"> </w:t>
            </w:r>
            <w:r>
              <w:rPr>
                <w:rFonts w:hint="eastAsia"/>
                <w:snapToGrid/>
                <w:spacing w:val="0"/>
                <w:w w:val="100"/>
                <w:kern w:val="21"/>
                <w:position w:val="0"/>
                <w:u w:val="single" w:color="auto"/>
                <w:lang w:val="en-US" w:eastAsia="zh-CN"/>
              </w:rPr>
              <w:t>10</w:t>
            </w:r>
            <w:r>
              <w:rPr>
                <w:snapToGrid/>
                <w:spacing w:val="0"/>
                <w:w w:val="100"/>
                <w:kern w:val="21"/>
                <w:position w:val="0"/>
                <w:u w:val="single" w:color="auto"/>
              </w:rPr>
              <w:t xml:space="preserve"> </w:t>
            </w:r>
            <w:r>
              <w:rPr>
                <w:snapToGrid/>
                <w:spacing w:val="0"/>
                <w:w w:val="100"/>
                <w:kern w:val="21"/>
                <w:position w:val="0"/>
              </w:rPr>
              <w:t xml:space="preserve"> 分</w:t>
            </w:r>
          </w:p>
          <w:p w14:paraId="7ED31323">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3</w:t>
            </w:r>
            <w:r>
              <w:rPr>
                <w:snapToGrid/>
                <w:spacing w:val="0"/>
                <w:w w:val="100"/>
                <w:kern w:val="21"/>
                <w:position w:val="0"/>
              </w:rPr>
              <w:t>）投标报价：</w:t>
            </w:r>
            <w:r>
              <w:rPr>
                <w:snapToGrid/>
                <w:spacing w:val="0"/>
                <w:w w:val="100"/>
                <w:kern w:val="21"/>
                <w:position w:val="0"/>
                <w:u w:val="single" w:color="auto"/>
              </w:rPr>
              <w:t xml:space="preserve"> </w:t>
            </w:r>
            <w:r>
              <w:rPr>
                <w:rFonts w:hint="eastAsia"/>
                <w:snapToGrid/>
                <w:spacing w:val="0"/>
                <w:w w:val="100"/>
                <w:kern w:val="21"/>
                <w:position w:val="0"/>
                <w:u w:val="single" w:color="auto"/>
                <w:lang w:val="en-US" w:eastAsia="zh-CN"/>
              </w:rPr>
              <w:t>65</w:t>
            </w:r>
            <w:r>
              <w:rPr>
                <w:snapToGrid/>
                <w:spacing w:val="0"/>
                <w:w w:val="100"/>
                <w:kern w:val="21"/>
                <w:position w:val="0"/>
                <w:u w:val="single" w:color="auto"/>
              </w:rPr>
              <w:t xml:space="preserve"> </w:t>
            </w:r>
            <w:r>
              <w:rPr>
                <w:snapToGrid/>
                <w:spacing w:val="0"/>
                <w:w w:val="100"/>
                <w:kern w:val="21"/>
                <w:position w:val="0"/>
              </w:rPr>
              <w:t xml:space="preserve"> 分</w:t>
            </w:r>
          </w:p>
          <w:p w14:paraId="6C46AA07">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r>
              <w:rPr>
                <w:rFonts w:ascii="Times New Roman" w:hAnsi="Times New Roman" w:eastAsia="Times New Roman" w:cs="Times New Roman"/>
                <w:snapToGrid/>
                <w:spacing w:val="0"/>
                <w:w w:val="100"/>
                <w:kern w:val="21"/>
                <w:position w:val="0"/>
              </w:rPr>
              <w:t>4</w:t>
            </w:r>
            <w:r>
              <w:rPr>
                <w:snapToGrid/>
                <w:spacing w:val="0"/>
                <w:w w:val="100"/>
                <w:kern w:val="21"/>
                <w:position w:val="0"/>
              </w:rPr>
              <w:t>）其他评分因素：</w:t>
            </w:r>
            <w:r>
              <w:rPr>
                <w:snapToGrid/>
                <w:spacing w:val="0"/>
                <w:w w:val="100"/>
                <w:kern w:val="21"/>
                <w:position w:val="0"/>
                <w:u w:val="single" w:color="auto"/>
              </w:rPr>
              <w:t xml:space="preserve"> </w:t>
            </w:r>
            <w:r>
              <w:rPr>
                <w:rFonts w:hint="eastAsia"/>
                <w:snapToGrid/>
                <w:spacing w:val="0"/>
                <w:w w:val="100"/>
                <w:kern w:val="21"/>
                <w:position w:val="0"/>
                <w:u w:val="single" w:color="auto"/>
                <w:lang w:val="en-US" w:eastAsia="zh-CN"/>
              </w:rPr>
              <w:t>\</w:t>
            </w:r>
            <w:r>
              <w:rPr>
                <w:snapToGrid/>
                <w:spacing w:val="0"/>
                <w:w w:val="100"/>
                <w:kern w:val="21"/>
                <w:position w:val="0"/>
                <w:u w:val="single" w:color="auto"/>
              </w:rPr>
              <w:t xml:space="preserve"> </w:t>
            </w:r>
            <w:r>
              <w:rPr>
                <w:snapToGrid/>
                <w:spacing w:val="0"/>
                <w:w w:val="100"/>
                <w:kern w:val="21"/>
                <w:position w:val="0"/>
              </w:rPr>
              <w:t>分</w:t>
            </w:r>
          </w:p>
        </w:tc>
      </w:tr>
      <w:tr w14:paraId="606E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378" w:type="dxa"/>
            <w:gridSpan w:val="2"/>
            <w:tcBorders>
              <w:top w:val="single" w:color="auto" w:sz="4" w:space="0"/>
              <w:bottom w:val="single" w:color="auto" w:sz="4" w:space="0"/>
            </w:tcBorders>
            <w:shd w:val="clear" w:color="auto" w:fill="auto"/>
            <w:vAlign w:val="center"/>
          </w:tcPr>
          <w:p w14:paraId="2906D0C9">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jc w:val="center"/>
              <w:textAlignment w:val="baseline"/>
              <w:outlineLvl w:val="9"/>
              <w:rPr>
                <w:rFonts w:ascii="Times New Roman" w:hAnsi="Times New Roman" w:eastAsia="Times New Roman" w:cs="Times New Roman"/>
                <w:snapToGrid/>
                <w:color w:val="000000"/>
                <w:spacing w:val="0"/>
                <w:w w:val="100"/>
                <w:kern w:val="21"/>
                <w:position w:val="0"/>
                <w:sz w:val="20"/>
                <w:szCs w:val="20"/>
                <w:lang w:val="en-US" w:eastAsia="en-US" w:bidi="ar-SA"/>
              </w:rPr>
            </w:pPr>
            <w:r>
              <w:rPr>
                <w:rFonts w:ascii="Times New Roman" w:hAnsi="Times New Roman" w:eastAsia="Times New Roman" w:cs="Times New Roman"/>
                <w:snapToGrid/>
                <w:spacing w:val="0"/>
                <w:w w:val="100"/>
                <w:kern w:val="21"/>
                <w:position w:val="0"/>
                <w:sz w:val="20"/>
                <w:szCs w:val="20"/>
              </w:rPr>
              <w:t>2.2.2</w:t>
            </w:r>
          </w:p>
        </w:tc>
        <w:tc>
          <w:tcPr>
            <w:tcW w:w="2850" w:type="dxa"/>
            <w:tcBorders>
              <w:top w:val="single" w:color="auto" w:sz="4" w:space="0"/>
              <w:bottom w:val="single" w:color="auto" w:sz="4" w:space="0"/>
            </w:tcBorders>
            <w:shd w:val="clear" w:color="auto" w:fill="auto"/>
            <w:vAlign w:val="center"/>
          </w:tcPr>
          <w:p w14:paraId="62CA117C">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评标基准价计算方法</w:t>
            </w:r>
          </w:p>
        </w:tc>
        <w:tc>
          <w:tcPr>
            <w:tcW w:w="4425" w:type="dxa"/>
            <w:tcBorders>
              <w:top w:val="single" w:color="auto" w:sz="4" w:space="0"/>
              <w:bottom w:val="single" w:color="auto" w:sz="4" w:space="0"/>
            </w:tcBorders>
            <w:shd w:val="clear" w:color="auto" w:fill="auto"/>
            <w:vAlign w:val="top"/>
          </w:tcPr>
          <w:p w14:paraId="008482AD">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snapToGrid/>
                <w:spacing w:val="0"/>
                <w:w w:val="100"/>
                <w:kern w:val="21"/>
                <w:position w:val="0"/>
              </w:rPr>
            </w:pPr>
            <w:r>
              <w:rPr>
                <w:snapToGrid/>
                <w:spacing w:val="0"/>
                <w:w w:val="100"/>
                <w:kern w:val="21"/>
                <w:position w:val="0"/>
              </w:rPr>
              <w:t>（1）评标价=投标函文字报价；</w:t>
            </w:r>
          </w:p>
          <w:p w14:paraId="4E5A8DC7">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left"/>
              <w:textAlignment w:val="baseline"/>
              <w:outlineLvl w:val="9"/>
              <w:rPr>
                <w:snapToGrid/>
                <w:spacing w:val="0"/>
                <w:w w:val="100"/>
                <w:kern w:val="21"/>
                <w:position w:val="0"/>
              </w:rPr>
            </w:pPr>
            <w:r>
              <w:rPr>
                <w:snapToGrid/>
                <w:spacing w:val="0"/>
                <w:w w:val="100"/>
                <w:kern w:val="21"/>
                <w:position w:val="0"/>
              </w:rPr>
              <w:t>（2）评标价平均值的计算：</w:t>
            </w:r>
          </w:p>
          <w:p w14:paraId="21E5A31E">
            <w:pPr>
              <w:pStyle w:val="27"/>
              <w:keepNext w:val="0"/>
              <w:keepLines w:val="0"/>
              <w:pageBreakBefore w:val="0"/>
              <w:widowControl w:val="0"/>
              <w:kinsoku/>
              <w:wordWrap w:val="0"/>
              <w:overflowPunct/>
              <w:topLinePunct/>
              <w:autoSpaceDE w:val="0"/>
              <w:autoSpaceDN/>
              <w:bidi w:val="0"/>
              <w:adjustRightInd/>
              <w:snapToGrid/>
              <w:spacing w:line="400" w:lineRule="exact"/>
              <w:ind w:left="0" w:right="0" w:firstLine="400" w:firstLineChars="200"/>
              <w:jc w:val="left"/>
              <w:textAlignment w:val="baseline"/>
              <w:outlineLvl w:val="9"/>
              <w:rPr>
                <w:snapToGrid/>
                <w:spacing w:val="0"/>
                <w:w w:val="100"/>
                <w:kern w:val="21"/>
                <w:position w:val="0"/>
              </w:rPr>
            </w:pPr>
            <w:r>
              <w:rPr>
                <w:snapToGrid/>
                <w:spacing w:val="0"/>
                <w:w w:val="100"/>
                <w:kern w:val="21"/>
                <w:position w:val="0"/>
              </w:rPr>
              <w:t>纳入评标价平均值计算范围需满足以下条件：</w:t>
            </w:r>
          </w:p>
          <w:p w14:paraId="13B637EA">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410" w:firstLineChars="0"/>
              <w:jc w:val="left"/>
              <w:textAlignment w:val="baseline"/>
              <w:outlineLvl w:val="9"/>
              <w:rPr>
                <w:snapToGrid/>
                <w:spacing w:val="0"/>
                <w:w w:val="100"/>
                <w:kern w:val="21"/>
                <w:position w:val="0"/>
              </w:rPr>
            </w:pPr>
            <w:r>
              <w:rPr>
                <w:snapToGrid/>
                <w:spacing w:val="0"/>
                <w:w w:val="100"/>
                <w:kern w:val="21"/>
                <w:position w:val="0"/>
              </w:rPr>
              <w:t>评标价位于招标人编制的最高投标限价的</w:t>
            </w:r>
            <w:r>
              <w:rPr>
                <w:rFonts w:hint="eastAsia"/>
                <w:snapToGrid/>
                <w:spacing w:val="0"/>
                <w:w w:val="100"/>
                <w:kern w:val="21"/>
                <w:position w:val="0"/>
                <w:lang w:val="en-US" w:eastAsia="zh-CN"/>
              </w:rPr>
              <w:t>A1</w:t>
            </w:r>
            <w:r>
              <w:rPr>
                <w:snapToGrid/>
                <w:spacing w:val="0"/>
                <w:w w:val="100"/>
                <w:kern w:val="21"/>
                <w:position w:val="0"/>
              </w:rPr>
              <w:t>～</w:t>
            </w:r>
            <w:r>
              <w:rPr>
                <w:rFonts w:hint="eastAsia"/>
                <w:snapToGrid/>
                <w:spacing w:val="0"/>
                <w:w w:val="100"/>
                <w:kern w:val="21"/>
                <w:position w:val="0"/>
                <w:lang w:val="en-US" w:eastAsia="zh-CN"/>
              </w:rPr>
              <w:t>A2</w:t>
            </w:r>
            <w:r>
              <w:rPr>
                <w:snapToGrid/>
                <w:spacing w:val="0"/>
                <w:w w:val="100"/>
                <w:kern w:val="21"/>
                <w:position w:val="0"/>
              </w:rPr>
              <w:t>范围内；</w:t>
            </w:r>
          </w:p>
          <w:p w14:paraId="3AA2683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strike/>
                <w:dstrike w:val="0"/>
                <w:snapToGrid/>
                <w:color w:val="FF0000"/>
                <w:spacing w:val="0"/>
                <w:w w:val="100"/>
                <w:kern w:val="21"/>
                <w:position w:val="0"/>
              </w:rPr>
            </w:pPr>
            <w:r>
              <w:rPr>
                <w:snapToGrid/>
                <w:spacing w:val="0"/>
                <w:w w:val="100"/>
                <w:kern w:val="21"/>
                <w:position w:val="0"/>
              </w:rPr>
              <w:t>将纳入评标价平均值计算范围的评标价按照由低到高进行排序，去除n个较高评标价和n个较低评标价，取其他评标价进行算术平均得出评标价平均值</w:t>
            </w:r>
            <w:r>
              <w:rPr>
                <w:rFonts w:hint="eastAsia"/>
                <w:snapToGrid/>
                <w:spacing w:val="0"/>
                <w:w w:val="100"/>
                <w:kern w:val="21"/>
                <w:position w:val="0"/>
                <w:lang w:eastAsia="zh-CN"/>
              </w:rPr>
              <w:t>。</w:t>
            </w:r>
            <w:r>
              <w:rPr>
                <w:rFonts w:hint="eastAsia" w:ascii="宋体" w:hAnsi="宋体" w:eastAsia="宋体" w:cs="宋体"/>
                <w:snapToGrid/>
                <w:color w:val="0000FF"/>
                <w:spacing w:val="0"/>
                <w:w w:val="100"/>
                <w:kern w:val="21"/>
                <w:position w:val="0"/>
                <w:sz w:val="21"/>
                <w:szCs w:val="21"/>
                <w:u w:val="single"/>
                <w:lang w:val="en-US" w:eastAsia="zh-CN"/>
              </w:rPr>
              <w:t>设评标价 A1～A2 范围内对应的投标人数量为 X，n 按照以下规定取值：</w:t>
            </w:r>
          </w:p>
          <w:p w14:paraId="6D46D3B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①当3≤X≤5，n=0；</w:t>
            </w:r>
          </w:p>
          <w:p w14:paraId="7432F87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②当5＜X≤10，n=1；</w:t>
            </w:r>
          </w:p>
          <w:p w14:paraId="013B38E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③当10＜X≤20，n=2；</w:t>
            </w:r>
          </w:p>
          <w:p w14:paraId="745AED0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④当20＜X≤30，n=3。</w:t>
            </w:r>
          </w:p>
          <w:p w14:paraId="4AAA7F2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如出现X＜3的，评标委员会将否决所有投标。</w:t>
            </w:r>
          </w:p>
          <w:p w14:paraId="44B1E3E1">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3"/>
              <w:jc w:val="left"/>
              <w:textAlignment w:val="baseline"/>
              <w:outlineLvl w:val="9"/>
              <w:rPr>
                <w:strike/>
                <w:dstrike w:val="0"/>
                <w:snapToGrid/>
                <w:color w:val="FF0000"/>
                <w:spacing w:val="0"/>
                <w:w w:val="100"/>
                <w:kern w:val="21"/>
                <w:position w:val="0"/>
                <w:sz w:val="21"/>
                <w:szCs w:val="21"/>
              </w:rPr>
            </w:pPr>
            <w:r>
              <w:rPr>
                <w:b/>
                <w:bCs/>
                <w:i w:val="0"/>
                <w:iCs w:val="0"/>
                <w:snapToGrid/>
                <w:spacing w:val="0"/>
                <w:w w:val="100"/>
                <w:kern w:val="21"/>
                <w:position w:val="0"/>
                <w:sz w:val="21"/>
                <w:szCs w:val="21"/>
              </w:rPr>
              <w:t>（说明：</w:t>
            </w:r>
            <w:r>
              <w:rPr>
                <w:rFonts w:hint="eastAsia" w:ascii="宋体" w:hAnsi="宋体" w:eastAsia="宋体" w:cs="宋体"/>
                <w:snapToGrid/>
                <w:color w:val="0000FF"/>
                <w:spacing w:val="0"/>
                <w:w w:val="100"/>
                <w:kern w:val="21"/>
                <w:position w:val="0"/>
                <w:sz w:val="21"/>
                <w:szCs w:val="21"/>
                <w:u w:val="single"/>
                <w:lang w:val="en-US" w:eastAsia="zh-CN"/>
              </w:rPr>
              <w:t>A1值为0.98，A2值为0.8</w:t>
            </w:r>
            <w:r>
              <w:rPr>
                <w:rFonts w:hint="eastAsia" w:cs="宋体"/>
                <w:snapToGrid/>
                <w:color w:val="0000FF"/>
                <w:spacing w:val="0"/>
                <w:w w:val="100"/>
                <w:kern w:val="21"/>
                <w:position w:val="0"/>
                <w:sz w:val="21"/>
                <w:szCs w:val="21"/>
                <w:u w:val="single"/>
                <w:lang w:val="en-US" w:eastAsia="zh-CN"/>
              </w:rPr>
              <w:t>5</w:t>
            </w:r>
            <w:r>
              <w:rPr>
                <w:rFonts w:hint="eastAsia"/>
                <w:b/>
                <w:bCs/>
                <w:i w:val="0"/>
                <w:iCs w:val="0"/>
                <w:snapToGrid/>
                <w:spacing w:val="0"/>
                <w:w w:val="100"/>
                <w:kern w:val="21"/>
                <w:position w:val="0"/>
                <w:sz w:val="21"/>
                <w:szCs w:val="21"/>
                <w:lang w:val="en-US" w:eastAsia="zh-CN"/>
              </w:rPr>
              <w:t>）</w:t>
            </w:r>
          </w:p>
          <w:p w14:paraId="68EEF87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trike w:val="0"/>
                <w:dstrike w:val="0"/>
                <w:snapToGrid/>
                <w:color w:val="auto"/>
                <w:spacing w:val="0"/>
                <w:w w:val="100"/>
                <w:kern w:val="21"/>
                <w:position w:val="0"/>
              </w:rPr>
            </w:pPr>
            <w:r>
              <w:rPr>
                <w:strike w:val="0"/>
                <w:dstrike w:val="0"/>
                <w:snapToGrid/>
                <w:color w:val="auto"/>
                <w:spacing w:val="0"/>
                <w:w w:val="100"/>
                <w:kern w:val="21"/>
                <w:position w:val="0"/>
              </w:rPr>
              <w:t>（3）评标基准价的确定：</w:t>
            </w:r>
          </w:p>
          <w:p w14:paraId="0DD025E8">
            <w:pPr>
              <w:pStyle w:val="27"/>
              <w:keepNext w:val="0"/>
              <w:keepLines w:val="0"/>
              <w:pageBreakBefore w:val="0"/>
              <w:widowControl w:val="0"/>
              <w:kinsoku/>
              <w:wordWrap w:val="0"/>
              <w:overflowPunct/>
              <w:topLinePunct/>
              <w:autoSpaceDE w:val="0"/>
              <w:autoSpaceDN/>
              <w:bidi w:val="0"/>
              <w:adjustRightInd/>
              <w:snapToGrid/>
              <w:spacing w:line="400" w:lineRule="exact"/>
              <w:ind w:right="0" w:rightChars="0"/>
              <w:jc w:val="left"/>
              <w:textAlignment w:val="baseline"/>
              <w:outlineLvl w:val="9"/>
              <w:rPr>
                <w:strike w:val="0"/>
                <w:dstrike w:val="0"/>
                <w:snapToGrid/>
                <w:color w:val="auto"/>
                <w:spacing w:val="0"/>
                <w:w w:val="100"/>
                <w:kern w:val="21"/>
                <w:position w:val="0"/>
              </w:rPr>
            </w:pPr>
            <w:r>
              <w:rPr>
                <w:rFonts w:hint="eastAsia"/>
                <w:strike w:val="0"/>
                <w:dstrike w:val="0"/>
                <w:snapToGrid/>
                <w:color w:val="auto"/>
                <w:spacing w:val="0"/>
                <w:w w:val="100"/>
                <w:kern w:val="21"/>
                <w:position w:val="0"/>
                <w:lang w:eastAsia="zh-CN"/>
              </w:rPr>
              <w:t>☑</w:t>
            </w:r>
            <w:r>
              <w:rPr>
                <w:strike w:val="0"/>
                <w:dstrike w:val="0"/>
                <w:snapToGrid/>
                <w:color w:val="auto"/>
                <w:spacing w:val="0"/>
                <w:w w:val="100"/>
                <w:kern w:val="21"/>
                <w:position w:val="0"/>
              </w:rPr>
              <w:t>招标人设置评标基准价系数C值，评标价平均值乘以评标基准价系数作为评标基准价。C值的计算方法如下：设在投标截止时间后系统成功接收投标文件的投标人总数为Y（无论是否成功解密），将Y除以5，根据余数对应取C值，见下表（多标段按各自标段X值计算选取）。</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890"/>
            </w:tblGrid>
            <w:tr w14:paraId="3158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0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5FFDC20">
                  <w:pPr>
                    <w:pStyle w:val="27"/>
                    <w:keepNext w:val="0"/>
                    <w:keepLines w:val="0"/>
                    <w:pageBreakBefore w:val="0"/>
                    <w:widowControl w:val="0"/>
                    <w:kinsoku/>
                    <w:wordWrap w:val="0"/>
                    <w:overflowPunct/>
                    <w:topLinePunct/>
                    <w:autoSpaceDE w:val="0"/>
                    <w:autoSpaceDN/>
                    <w:bidi w:val="0"/>
                    <w:adjustRightInd/>
                    <w:snapToGrid w:val="0"/>
                    <w:spacing w:line="240" w:lineRule="exact"/>
                    <w:ind w:right="0" w:rightChars="0"/>
                    <w:jc w:val="center"/>
                    <w:textAlignment w:val="baseline"/>
                    <w:outlineLvl w:val="9"/>
                    <mc:AlternateContent>
                      <mc:Choice Requires="wpsCustomData">
                        <wpsCustomData:diagonalParaType/>
                      </mc:Choice>
                    </mc:AlternateContent>
                    <w:rPr>
                      <w:strike w:val="0"/>
                      <w:dstrike w:val="0"/>
                      <w:snapToGrid/>
                      <w:color w:val="auto"/>
                      <w:spacing w:val="0"/>
                      <w:w w:val="100"/>
                      <w:kern w:val="21"/>
                      <w:position w:val="0"/>
                      <w:vertAlign w:val="baseline"/>
                    </w:rPr>
                  </w:pPr>
                  <w:r>
                    <w:rPr>
                      <w:rFonts w:hint="eastAsia"/>
                      <w:b/>
                      <w:bCs/>
                      <w:strike w:val="0"/>
                      <w:dstrike w:val="0"/>
                      <w:snapToGrid/>
                      <w:color w:val="auto"/>
                      <w:spacing w:val="0"/>
                      <w:w w:val="100"/>
                      <w:kern w:val="21"/>
                      <w:position w:val="0"/>
                      <w:lang w:val="en-US" w:eastAsia="zh-CN"/>
                    </w:rPr>
                    <w:t xml:space="preserve"> </w:t>
                  </w:r>
                  <w:r>
                    <w:rPr>
                      <w:b/>
                      <w:bCs/>
                      <w:strike w:val="0"/>
                      <w:dstrike w:val="0"/>
                      <w:snapToGrid/>
                      <w:color w:val="auto"/>
                      <w:spacing w:val="0"/>
                      <w:w w:val="100"/>
                      <w:kern w:val="21"/>
                      <w:position w:val="0"/>
                    </w:rPr>
                    <w:t>余数</w:t>
                  </w:r>
                </w:p>
                <w:p w14:paraId="3C782BAC">
                  <w:pPr>
                    <w:pStyle w:val="27"/>
                    <w:keepNext w:val="0"/>
                    <w:keepLines w:val="0"/>
                    <w:pageBreakBefore w:val="0"/>
                    <w:widowControl w:val="0"/>
                    <w:kinsoku/>
                    <w:wordWrap w:val="0"/>
                    <w:overflowPunct/>
                    <w:topLinePunct/>
                    <w:autoSpaceDE w:val="0"/>
                    <w:autoSpaceDN/>
                    <w:bidi w:val="0"/>
                    <w:adjustRightInd/>
                    <w:snapToGrid/>
                    <w:spacing w:line="240" w:lineRule="exact"/>
                    <w:ind w:right="0" w:rightChars="0"/>
                    <w:jc w:val="center"/>
                    <w:textAlignment w:val="baseline"/>
                    <w:outlineLvl w:val="9"/>
                    <w:rPr>
                      <w:strike w:val="0"/>
                      <w:dstrike w:val="0"/>
                      <w:snapToGrid/>
                      <w:color w:val="auto"/>
                      <w:spacing w:val="0"/>
                      <w:w w:val="100"/>
                      <w:kern w:val="21"/>
                      <w:position w:val="0"/>
                      <w:vertAlign w:val="baseline"/>
                    </w:rPr>
                  </w:pPr>
                  <w:r>
                    <w:rPr>
                      <w:b/>
                      <w:bCs/>
                      <w:strike w:val="0"/>
                      <w:dstrike w:val="0"/>
                      <w:snapToGrid/>
                      <w:color w:val="auto"/>
                      <w:spacing w:val="0"/>
                      <w:w w:val="100"/>
                      <w:kern w:val="21"/>
                      <w:position w:val="0"/>
                    </w:rPr>
                    <w:t>对应的C值</w:t>
                  </w:r>
                </w:p>
              </w:tc>
              <w:tc>
                <w:tcPr>
                  <w:tcW w:w="1890" w:type="dxa"/>
                  <w:vAlign w:val="center"/>
                </w:tcPr>
                <w:p w14:paraId="681CB34E">
                  <w:pPr>
                    <w:pStyle w:val="27"/>
                    <w:keepNext w:val="0"/>
                    <w:keepLines w:val="0"/>
                    <w:pageBreakBefore w:val="0"/>
                    <w:widowControl w:val="0"/>
                    <w:kinsoku/>
                    <w:wordWrap w:val="0"/>
                    <w:overflowPunct/>
                    <w:topLinePunct/>
                    <w:autoSpaceDE w:val="0"/>
                    <w:autoSpaceDN/>
                    <w:bidi w:val="0"/>
                    <w:adjustRightInd/>
                    <w:snapToGrid/>
                    <w:spacing w:line="240" w:lineRule="exact"/>
                    <w:ind w:right="0" w:rightChars="0"/>
                    <w:jc w:val="center"/>
                    <w:textAlignment w:val="baseline"/>
                    <w:outlineLvl w:val="9"/>
                    <w:rPr>
                      <w:rFonts w:hint="default" w:eastAsia="宋体"/>
                      <w:strike w:val="0"/>
                      <w:dstrike w:val="0"/>
                      <w:snapToGrid/>
                      <w:color w:val="auto"/>
                      <w:spacing w:val="0"/>
                      <w:w w:val="100"/>
                      <w:kern w:val="21"/>
                      <w:position w:val="0"/>
                      <w:vertAlign w:val="baseline"/>
                      <w:lang w:val="en-US" w:eastAsia="zh-CN"/>
                    </w:rPr>
                  </w:pPr>
                  <w:r>
                    <w:rPr>
                      <w:rFonts w:hint="eastAsia"/>
                      <w:strike w:val="0"/>
                      <w:dstrike w:val="0"/>
                      <w:snapToGrid/>
                      <w:color w:val="auto"/>
                      <w:spacing w:val="0"/>
                      <w:w w:val="100"/>
                      <w:kern w:val="21"/>
                      <w:position w:val="0"/>
                      <w:vertAlign w:val="baseline"/>
                      <w:lang w:val="en-US" w:eastAsia="zh-CN"/>
                    </w:rPr>
                    <w:t>C值</w:t>
                  </w:r>
                </w:p>
              </w:tc>
            </w:tr>
            <w:tr w14:paraId="341F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06" w:type="dxa"/>
                  <w:vAlign w:val="center"/>
                </w:tcPr>
                <w:p w14:paraId="6D70E161">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b w:val="0"/>
                      <w:bCs w:val="0"/>
                      <w:strike w:val="0"/>
                      <w:dstrike w:val="0"/>
                      <w:snapToGrid/>
                      <w:color w:val="auto"/>
                      <w:spacing w:val="0"/>
                      <w:w w:val="100"/>
                      <w:kern w:val="21"/>
                      <w:position w:val="0"/>
                      <w:vertAlign w:val="baseline"/>
                    </w:rPr>
                  </w:pPr>
                  <w:r>
                    <w:rPr>
                      <w:b w:val="0"/>
                      <w:bCs w:val="0"/>
                      <w:strike w:val="0"/>
                      <w:dstrike w:val="0"/>
                      <w:snapToGrid/>
                      <w:color w:val="auto"/>
                      <w:spacing w:val="0"/>
                      <w:w w:val="100"/>
                      <w:kern w:val="21"/>
                      <w:position w:val="0"/>
                    </w:rPr>
                    <w:t>0</w:t>
                  </w:r>
                </w:p>
              </w:tc>
              <w:tc>
                <w:tcPr>
                  <w:tcW w:w="1890" w:type="dxa"/>
                  <w:shd w:val="clear" w:color="auto" w:fill="auto"/>
                  <w:vAlign w:val="center"/>
                </w:tcPr>
                <w:p w14:paraId="308A62F0">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rFonts w:ascii="宋体" w:hAnsi="宋体" w:eastAsia="宋体" w:cs="宋体"/>
                      <w:b w:val="0"/>
                      <w:bCs w:val="0"/>
                      <w:strike w:val="0"/>
                      <w:dstrike w:val="0"/>
                      <w:snapToGrid/>
                      <w:color w:val="auto"/>
                      <w:spacing w:val="0"/>
                      <w:w w:val="100"/>
                      <w:kern w:val="21"/>
                      <w:position w:val="0"/>
                      <w:sz w:val="20"/>
                      <w:szCs w:val="20"/>
                      <w:lang w:val="en-US" w:eastAsia="en-US" w:bidi="ar-SA"/>
                    </w:rPr>
                  </w:pPr>
                  <w:r>
                    <w:rPr>
                      <w:b w:val="0"/>
                      <w:bCs w:val="0"/>
                      <w:strike w:val="0"/>
                      <w:dstrike w:val="0"/>
                      <w:snapToGrid/>
                      <w:color w:val="auto"/>
                      <w:spacing w:val="0"/>
                      <w:w w:val="100"/>
                      <w:kern w:val="21"/>
                      <w:position w:val="0"/>
                    </w:rPr>
                    <w:t>0.980</w:t>
                  </w:r>
                </w:p>
              </w:tc>
            </w:tr>
            <w:tr w14:paraId="60D4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06" w:type="dxa"/>
                  <w:vAlign w:val="center"/>
                </w:tcPr>
                <w:p w14:paraId="6310D9CF">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b w:val="0"/>
                      <w:bCs w:val="0"/>
                      <w:strike w:val="0"/>
                      <w:dstrike w:val="0"/>
                      <w:snapToGrid/>
                      <w:color w:val="auto"/>
                      <w:spacing w:val="0"/>
                      <w:w w:val="100"/>
                      <w:kern w:val="21"/>
                      <w:position w:val="0"/>
                      <w:vertAlign w:val="baseline"/>
                    </w:rPr>
                  </w:pPr>
                  <w:r>
                    <w:rPr>
                      <w:b w:val="0"/>
                      <w:bCs w:val="0"/>
                      <w:strike w:val="0"/>
                      <w:dstrike w:val="0"/>
                      <w:snapToGrid/>
                      <w:color w:val="auto"/>
                      <w:spacing w:val="0"/>
                      <w:w w:val="100"/>
                      <w:kern w:val="21"/>
                      <w:position w:val="0"/>
                    </w:rPr>
                    <w:t>1</w:t>
                  </w:r>
                </w:p>
              </w:tc>
              <w:tc>
                <w:tcPr>
                  <w:tcW w:w="1890" w:type="dxa"/>
                  <w:shd w:val="clear" w:color="auto" w:fill="auto"/>
                  <w:vAlign w:val="center"/>
                </w:tcPr>
                <w:p w14:paraId="3E4AE643">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rFonts w:ascii="宋体" w:hAnsi="宋体" w:eastAsia="宋体" w:cs="宋体"/>
                      <w:b w:val="0"/>
                      <w:bCs w:val="0"/>
                      <w:strike w:val="0"/>
                      <w:dstrike w:val="0"/>
                      <w:snapToGrid/>
                      <w:color w:val="auto"/>
                      <w:spacing w:val="0"/>
                      <w:w w:val="100"/>
                      <w:kern w:val="21"/>
                      <w:position w:val="0"/>
                      <w:sz w:val="20"/>
                      <w:szCs w:val="20"/>
                      <w:lang w:val="en-US" w:eastAsia="en-US" w:bidi="ar-SA"/>
                    </w:rPr>
                  </w:pPr>
                  <w:r>
                    <w:rPr>
                      <w:b w:val="0"/>
                      <w:bCs w:val="0"/>
                      <w:strike w:val="0"/>
                      <w:dstrike w:val="0"/>
                      <w:snapToGrid/>
                      <w:color w:val="auto"/>
                      <w:spacing w:val="0"/>
                      <w:w w:val="100"/>
                      <w:kern w:val="21"/>
                      <w:position w:val="0"/>
                    </w:rPr>
                    <w:t>0.985</w:t>
                  </w:r>
                </w:p>
              </w:tc>
            </w:tr>
            <w:tr w14:paraId="6AF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06" w:type="dxa"/>
                  <w:vAlign w:val="center"/>
                </w:tcPr>
                <w:p w14:paraId="1C640C4C">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b w:val="0"/>
                      <w:bCs w:val="0"/>
                      <w:strike w:val="0"/>
                      <w:dstrike w:val="0"/>
                      <w:snapToGrid/>
                      <w:color w:val="auto"/>
                      <w:spacing w:val="0"/>
                      <w:w w:val="100"/>
                      <w:kern w:val="21"/>
                      <w:position w:val="0"/>
                      <w:vertAlign w:val="baseline"/>
                    </w:rPr>
                  </w:pPr>
                  <w:r>
                    <w:rPr>
                      <w:b w:val="0"/>
                      <w:bCs w:val="0"/>
                      <w:strike w:val="0"/>
                      <w:dstrike w:val="0"/>
                      <w:snapToGrid/>
                      <w:color w:val="auto"/>
                      <w:spacing w:val="0"/>
                      <w:w w:val="100"/>
                      <w:kern w:val="21"/>
                      <w:position w:val="0"/>
                    </w:rPr>
                    <w:t>2</w:t>
                  </w:r>
                </w:p>
              </w:tc>
              <w:tc>
                <w:tcPr>
                  <w:tcW w:w="1890" w:type="dxa"/>
                  <w:shd w:val="clear" w:color="auto" w:fill="auto"/>
                  <w:vAlign w:val="center"/>
                </w:tcPr>
                <w:p w14:paraId="0333DBA8">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rFonts w:ascii="宋体" w:hAnsi="宋体" w:eastAsia="宋体" w:cs="宋体"/>
                      <w:b w:val="0"/>
                      <w:bCs w:val="0"/>
                      <w:strike w:val="0"/>
                      <w:dstrike w:val="0"/>
                      <w:snapToGrid/>
                      <w:color w:val="auto"/>
                      <w:spacing w:val="0"/>
                      <w:w w:val="100"/>
                      <w:kern w:val="21"/>
                      <w:position w:val="0"/>
                      <w:sz w:val="20"/>
                      <w:szCs w:val="20"/>
                      <w:lang w:val="en-US" w:eastAsia="en-US" w:bidi="ar-SA"/>
                    </w:rPr>
                  </w:pPr>
                  <w:r>
                    <w:rPr>
                      <w:b w:val="0"/>
                      <w:bCs w:val="0"/>
                      <w:strike w:val="0"/>
                      <w:dstrike w:val="0"/>
                      <w:snapToGrid/>
                      <w:color w:val="auto"/>
                      <w:spacing w:val="0"/>
                      <w:w w:val="100"/>
                      <w:kern w:val="21"/>
                      <w:position w:val="0"/>
                    </w:rPr>
                    <w:t>0.990</w:t>
                  </w:r>
                </w:p>
              </w:tc>
            </w:tr>
            <w:tr w14:paraId="680D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06" w:type="dxa"/>
                  <w:vAlign w:val="center"/>
                </w:tcPr>
                <w:p w14:paraId="3E8493A7">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b w:val="0"/>
                      <w:bCs w:val="0"/>
                      <w:strike w:val="0"/>
                      <w:dstrike w:val="0"/>
                      <w:snapToGrid/>
                      <w:color w:val="auto"/>
                      <w:spacing w:val="0"/>
                      <w:w w:val="100"/>
                      <w:kern w:val="21"/>
                      <w:position w:val="0"/>
                      <w:vertAlign w:val="baseline"/>
                    </w:rPr>
                  </w:pPr>
                  <w:r>
                    <w:rPr>
                      <w:b w:val="0"/>
                      <w:bCs w:val="0"/>
                      <w:strike w:val="0"/>
                      <w:dstrike w:val="0"/>
                      <w:snapToGrid/>
                      <w:color w:val="auto"/>
                      <w:spacing w:val="0"/>
                      <w:w w:val="100"/>
                      <w:kern w:val="21"/>
                      <w:position w:val="0"/>
                    </w:rPr>
                    <w:t>3</w:t>
                  </w:r>
                </w:p>
              </w:tc>
              <w:tc>
                <w:tcPr>
                  <w:tcW w:w="1890" w:type="dxa"/>
                  <w:shd w:val="clear" w:color="auto" w:fill="auto"/>
                  <w:vAlign w:val="center"/>
                </w:tcPr>
                <w:p w14:paraId="19120631">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rFonts w:ascii="宋体" w:hAnsi="宋体" w:eastAsia="宋体" w:cs="宋体"/>
                      <w:b w:val="0"/>
                      <w:bCs w:val="0"/>
                      <w:strike w:val="0"/>
                      <w:dstrike w:val="0"/>
                      <w:snapToGrid/>
                      <w:color w:val="auto"/>
                      <w:spacing w:val="0"/>
                      <w:w w:val="100"/>
                      <w:kern w:val="21"/>
                      <w:position w:val="0"/>
                      <w:sz w:val="20"/>
                      <w:szCs w:val="20"/>
                      <w:lang w:val="en-US" w:eastAsia="en-US" w:bidi="ar-SA"/>
                    </w:rPr>
                  </w:pPr>
                  <w:r>
                    <w:rPr>
                      <w:b w:val="0"/>
                      <w:bCs w:val="0"/>
                      <w:strike w:val="0"/>
                      <w:dstrike w:val="0"/>
                      <w:snapToGrid/>
                      <w:color w:val="auto"/>
                      <w:spacing w:val="0"/>
                      <w:w w:val="100"/>
                      <w:kern w:val="21"/>
                      <w:position w:val="0"/>
                    </w:rPr>
                    <w:t>0.995</w:t>
                  </w:r>
                </w:p>
              </w:tc>
            </w:tr>
            <w:tr w14:paraId="17D5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06" w:type="dxa"/>
                  <w:vAlign w:val="center"/>
                </w:tcPr>
                <w:p w14:paraId="6D91B214">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b w:val="0"/>
                      <w:bCs w:val="0"/>
                      <w:strike w:val="0"/>
                      <w:dstrike w:val="0"/>
                      <w:snapToGrid/>
                      <w:color w:val="auto"/>
                      <w:spacing w:val="0"/>
                      <w:w w:val="100"/>
                      <w:kern w:val="21"/>
                      <w:position w:val="0"/>
                      <w:vertAlign w:val="baseline"/>
                    </w:rPr>
                  </w:pPr>
                  <w:r>
                    <w:rPr>
                      <w:b w:val="0"/>
                      <w:bCs w:val="0"/>
                      <w:strike w:val="0"/>
                      <w:dstrike w:val="0"/>
                      <w:snapToGrid/>
                      <w:color w:val="auto"/>
                      <w:spacing w:val="0"/>
                      <w:w w:val="100"/>
                      <w:kern w:val="21"/>
                      <w:position w:val="0"/>
                    </w:rPr>
                    <w:t>4</w:t>
                  </w:r>
                </w:p>
              </w:tc>
              <w:tc>
                <w:tcPr>
                  <w:tcW w:w="1890" w:type="dxa"/>
                  <w:shd w:val="clear" w:color="auto" w:fill="auto"/>
                  <w:vAlign w:val="center"/>
                </w:tcPr>
                <w:p w14:paraId="22C5EC4B">
                  <w:pPr>
                    <w:pStyle w:val="27"/>
                    <w:keepNext w:val="0"/>
                    <w:keepLines w:val="0"/>
                    <w:pageBreakBefore w:val="0"/>
                    <w:widowControl w:val="0"/>
                    <w:kinsoku/>
                    <w:wordWrap w:val="0"/>
                    <w:overflowPunct/>
                    <w:topLinePunct/>
                    <w:autoSpaceDE w:val="0"/>
                    <w:autoSpaceDN/>
                    <w:bidi w:val="0"/>
                    <w:adjustRightInd/>
                    <w:snapToGrid/>
                    <w:spacing w:line="240" w:lineRule="exact"/>
                    <w:ind w:left="0" w:leftChars="0" w:right="0" w:rightChars="0"/>
                    <w:jc w:val="center"/>
                    <w:textAlignment w:val="baseline"/>
                    <w:outlineLvl w:val="9"/>
                    <w:rPr>
                      <w:rFonts w:ascii="宋体" w:hAnsi="宋体" w:eastAsia="宋体" w:cs="宋体"/>
                      <w:b w:val="0"/>
                      <w:bCs w:val="0"/>
                      <w:strike w:val="0"/>
                      <w:dstrike w:val="0"/>
                      <w:snapToGrid/>
                      <w:color w:val="auto"/>
                      <w:spacing w:val="0"/>
                      <w:w w:val="100"/>
                      <w:kern w:val="21"/>
                      <w:position w:val="0"/>
                      <w:sz w:val="20"/>
                      <w:szCs w:val="20"/>
                      <w:lang w:val="en-US" w:eastAsia="en-US" w:bidi="ar-SA"/>
                    </w:rPr>
                  </w:pPr>
                  <w:r>
                    <w:rPr>
                      <w:b w:val="0"/>
                      <w:bCs w:val="0"/>
                      <w:strike w:val="0"/>
                      <w:dstrike w:val="0"/>
                      <w:snapToGrid/>
                      <w:color w:val="auto"/>
                      <w:spacing w:val="0"/>
                      <w:w w:val="100"/>
                      <w:kern w:val="21"/>
                      <w:position w:val="0"/>
                    </w:rPr>
                    <w:t>1.000</w:t>
                  </w:r>
                </w:p>
              </w:tc>
            </w:tr>
          </w:tbl>
          <w:p w14:paraId="2FB52EAB">
            <w:pPr>
              <w:pStyle w:val="27"/>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410" w:firstLineChars="0"/>
              <w:jc w:val="left"/>
              <w:textAlignment w:val="baseline"/>
              <w:outlineLvl w:val="9"/>
              <w:rPr>
                <w:snapToGrid/>
                <w:spacing w:val="0"/>
                <w:w w:val="100"/>
                <w:kern w:val="21"/>
                <w:position w:val="0"/>
                <w:lang w:val="en-US" w:eastAsia="en-US"/>
              </w:rPr>
            </w:pPr>
            <w:r>
              <w:rPr>
                <w:b/>
                <w:bCs/>
                <w:strike w:val="0"/>
                <w:dstrike w:val="0"/>
                <w:snapToGrid/>
                <w:color w:val="auto"/>
                <w:spacing w:val="0"/>
                <w:w w:val="100"/>
                <w:kern w:val="21"/>
                <w:position w:val="0"/>
              </w:rPr>
              <w:t>评标基准价除存在计算错误之外，不随任何因素发生变化。</w:t>
            </w:r>
          </w:p>
        </w:tc>
      </w:tr>
      <w:tr w14:paraId="07E56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2378" w:type="dxa"/>
            <w:gridSpan w:val="2"/>
            <w:tcBorders>
              <w:top w:val="single" w:color="auto" w:sz="4" w:space="0"/>
            </w:tcBorders>
            <w:shd w:val="clear" w:color="auto" w:fill="auto"/>
            <w:vAlign w:val="top"/>
          </w:tcPr>
          <w:p w14:paraId="4467AF2B">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宋体" w:hAnsi="宋体" w:eastAsia="宋体" w:cs="宋体"/>
                <w:snapToGrid/>
                <w:spacing w:val="0"/>
                <w:w w:val="100"/>
                <w:kern w:val="21"/>
                <w:position w:val="0"/>
              </w:rPr>
            </w:pPr>
          </w:p>
          <w:p w14:paraId="027726D6">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宋体" w:hAnsi="宋体" w:eastAsia="宋体" w:cs="宋体"/>
                <w:snapToGrid/>
                <w:spacing w:val="0"/>
                <w:w w:val="100"/>
                <w:kern w:val="21"/>
                <w:position w:val="0"/>
                <w:lang w:val="en-US" w:eastAsia="en-US"/>
              </w:rPr>
            </w:pPr>
            <w:r>
              <w:rPr>
                <w:rFonts w:ascii="宋体" w:hAnsi="宋体" w:eastAsia="宋体" w:cs="宋体"/>
                <w:snapToGrid/>
                <w:spacing w:val="0"/>
                <w:w w:val="100"/>
                <w:kern w:val="21"/>
                <w:position w:val="0"/>
              </w:rPr>
              <w:t>2.2.3</w:t>
            </w:r>
          </w:p>
        </w:tc>
        <w:tc>
          <w:tcPr>
            <w:tcW w:w="2850" w:type="dxa"/>
            <w:tcBorders>
              <w:top w:val="single" w:color="auto" w:sz="4" w:space="0"/>
            </w:tcBorders>
            <w:shd w:val="clear" w:color="auto" w:fill="auto"/>
            <w:vAlign w:val="center"/>
          </w:tcPr>
          <w:p w14:paraId="615E7408">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center"/>
              <w:textAlignment w:val="baseline"/>
              <w:outlineLvl w:val="9"/>
              <w:rPr>
                <w:rFonts w:ascii="宋体" w:hAnsi="宋体" w:eastAsia="宋体" w:cs="宋体"/>
                <w:snapToGrid/>
                <w:spacing w:val="0"/>
                <w:w w:val="100"/>
                <w:kern w:val="21"/>
                <w:position w:val="0"/>
                <w:lang w:val="en-US" w:eastAsia="en-US"/>
              </w:rPr>
            </w:pPr>
            <w:r>
              <w:rPr>
                <w:rFonts w:ascii="宋体" w:hAnsi="宋体" w:eastAsia="宋体" w:cs="宋体"/>
                <w:snapToGrid/>
                <w:spacing w:val="0"/>
                <w:w w:val="100"/>
                <w:kern w:val="21"/>
                <w:position w:val="0"/>
              </w:rPr>
              <w:t>投标报价的偏差率公式</w:t>
            </w:r>
          </w:p>
        </w:tc>
        <w:tc>
          <w:tcPr>
            <w:tcW w:w="4425" w:type="dxa"/>
            <w:tcBorders>
              <w:top w:val="single" w:color="auto" w:sz="4" w:space="0"/>
            </w:tcBorders>
            <w:shd w:val="clear" w:color="auto" w:fill="auto"/>
            <w:vAlign w:val="top"/>
          </w:tcPr>
          <w:p w14:paraId="21A88E75">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pPr>
            <w:r>
              <w:rPr>
                <w:rFonts w:ascii="宋体" w:hAnsi="宋体" w:eastAsia="宋体" w:cs="宋体"/>
                <w:snapToGrid/>
                <w:spacing w:val="0"/>
                <w:w w:val="100"/>
                <w:kern w:val="21"/>
                <w:position w:val="0"/>
              </w:rPr>
              <w:t>偏差率=100%*（投标人评标价－评标基准价）/评标基准价；偏差率保留两位小数（小数点后第三位“四舍五入”），即为*.**%。</w:t>
            </w:r>
            <w:r>
              <w:commentReference w:id="4"/>
            </w:r>
          </w:p>
          <w:p w14:paraId="49BFBC89">
            <w:pPr>
              <w:pStyle w:val="27"/>
              <w:keepNext w:val="0"/>
              <w:keepLines w:val="0"/>
              <w:pageBreakBefore w:val="0"/>
              <w:widowControl w:val="0"/>
              <w:kinsoku/>
              <w:wordWrap w:val="0"/>
              <w:overflowPunct/>
              <w:topLinePunct/>
              <w:autoSpaceDE w:val="0"/>
              <w:autoSpaceDN/>
              <w:bidi w:val="0"/>
              <w:adjustRightInd/>
              <w:snapToGrid/>
              <w:spacing w:line="400" w:lineRule="exact"/>
              <w:ind w:left="0" w:right="0"/>
              <w:jc w:val="both"/>
              <w:textAlignment w:val="baseline"/>
              <w:outlineLvl w:val="9"/>
              <w:rPr>
                <w:rFonts w:hint="eastAsia" w:eastAsia="宋体"/>
                <w:lang w:val="en-US" w:eastAsia="zh-CN"/>
              </w:rPr>
            </w:pPr>
            <w:r>
              <w:rPr>
                <w:rFonts w:hint="eastAsia"/>
                <w:lang w:eastAsia="zh-CN"/>
              </w:rPr>
              <w:t>注：暂列金不参与投标报价计算。</w:t>
            </w:r>
          </w:p>
        </w:tc>
      </w:tr>
    </w:tbl>
    <w:p w14:paraId="7D707B2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182FDF5">
      <w:pPr>
        <w:rPr>
          <w:rFonts w:ascii="宋体" w:hAnsi="宋体" w:eastAsia="宋体" w:cs="宋体"/>
          <w:b/>
          <w:bCs/>
          <w:snapToGrid/>
          <w:spacing w:val="0"/>
          <w:w w:val="100"/>
          <w:kern w:val="21"/>
          <w:position w:val="0"/>
          <w:sz w:val="31"/>
          <w:szCs w:val="31"/>
        </w:rPr>
      </w:pPr>
      <w:r>
        <w:rPr>
          <w:rFonts w:ascii="宋体" w:hAnsi="宋体" w:eastAsia="宋体" w:cs="宋体"/>
          <w:b/>
          <w:bCs/>
          <w:snapToGrid/>
          <w:spacing w:val="0"/>
          <w:w w:val="100"/>
          <w:kern w:val="21"/>
          <w:position w:val="0"/>
          <w:sz w:val="31"/>
          <w:szCs w:val="31"/>
        </w:rPr>
        <w:br w:type="page"/>
      </w:r>
    </w:p>
    <w:p w14:paraId="6A099A6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评分标准表</w:t>
      </w:r>
    </w:p>
    <w:tbl>
      <w:tblPr>
        <w:tblStyle w:val="26"/>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244"/>
        <w:gridCol w:w="1810"/>
        <w:gridCol w:w="821"/>
        <w:gridCol w:w="4145"/>
      </w:tblGrid>
      <w:tr w14:paraId="1AC0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2514" w:type="dxa"/>
            <w:gridSpan w:val="2"/>
            <w:vAlign w:val="center"/>
          </w:tcPr>
          <w:p w14:paraId="4F09F97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条款号</w:t>
            </w:r>
          </w:p>
        </w:tc>
        <w:tc>
          <w:tcPr>
            <w:tcW w:w="1810" w:type="dxa"/>
            <w:vAlign w:val="center"/>
          </w:tcPr>
          <w:p w14:paraId="7F42203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评分因素</w:t>
            </w:r>
          </w:p>
        </w:tc>
        <w:tc>
          <w:tcPr>
            <w:tcW w:w="821" w:type="dxa"/>
            <w:vAlign w:val="center"/>
          </w:tcPr>
          <w:p w14:paraId="09D7EA2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分值</w:t>
            </w:r>
          </w:p>
        </w:tc>
        <w:tc>
          <w:tcPr>
            <w:tcW w:w="4145" w:type="dxa"/>
            <w:vAlign w:val="center"/>
          </w:tcPr>
          <w:p w14:paraId="7E94368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评分标准</w:t>
            </w:r>
          </w:p>
        </w:tc>
      </w:tr>
      <w:tr w14:paraId="02EC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1270" w:type="dxa"/>
            <w:vMerge w:val="restart"/>
            <w:vAlign w:val="center"/>
          </w:tcPr>
          <w:p w14:paraId="533E636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p>
        </w:tc>
        <w:tc>
          <w:tcPr>
            <w:tcW w:w="1244" w:type="dxa"/>
            <w:vMerge w:val="restart"/>
            <w:vAlign w:val="center"/>
          </w:tcPr>
          <w:p w14:paraId="7086FDC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p>
        </w:tc>
        <w:tc>
          <w:tcPr>
            <w:tcW w:w="1810" w:type="dxa"/>
            <w:vAlign w:val="center"/>
          </w:tcPr>
          <w:p w14:paraId="7662874D">
            <w:pPr>
              <w:widowControl/>
              <w:spacing w:before="100" w:beforeAutospacing="1" w:after="100" w:afterAutospacing="1" w:line="320" w:lineRule="exact"/>
              <w:jc w:val="center"/>
              <w:rPr>
                <w:snapToGrid/>
                <w:spacing w:val="0"/>
                <w:w w:val="100"/>
                <w:kern w:val="21"/>
                <w:position w:val="0"/>
              </w:rPr>
            </w:pPr>
            <w:r>
              <w:rPr>
                <w:rFonts w:hint="eastAsia" w:ascii="宋体" w:hAnsi="宋体" w:cs="宋体"/>
                <w:color w:val="000000" w:themeColor="text1"/>
                <w:szCs w:val="21"/>
                <w:highlight w:val="none"/>
                <w14:textFill>
                  <w14:solidFill>
                    <w14:schemeClr w14:val="tx1"/>
                  </w14:solidFill>
                </w14:textFill>
              </w:rPr>
              <w:t>信誉</w:t>
            </w:r>
          </w:p>
        </w:tc>
        <w:tc>
          <w:tcPr>
            <w:tcW w:w="821" w:type="dxa"/>
            <w:vAlign w:val="center"/>
          </w:tcPr>
          <w:p w14:paraId="134991E7">
            <w:pPr>
              <w:widowControl/>
              <w:spacing w:before="100" w:beforeAutospacing="1" w:after="100" w:afterAutospacing="1" w:line="320" w:lineRule="exact"/>
              <w:jc w:val="center"/>
              <w:rPr>
                <w:snapToGrid/>
                <w:spacing w:val="0"/>
                <w:w w:val="100"/>
                <w:kern w:val="21"/>
                <w:position w:val="0"/>
              </w:rPr>
            </w:pPr>
            <w:r>
              <w:rPr>
                <w:rFonts w:hint="eastAsia" w:ascii="宋体" w:hAnsi="宋体" w:cs="宋体"/>
                <w:color w:val="000000" w:themeColor="text1"/>
                <w:kern w:val="0"/>
                <w:szCs w:val="21"/>
                <w:highlight w:val="none"/>
                <w14:textFill>
                  <w14:solidFill>
                    <w14:schemeClr w14:val="tx1"/>
                  </w14:solidFill>
                </w14:textFill>
              </w:rPr>
              <w:t>4分</w:t>
            </w:r>
          </w:p>
        </w:tc>
        <w:tc>
          <w:tcPr>
            <w:tcW w:w="4145" w:type="dxa"/>
            <w:vAlign w:val="center"/>
          </w:tcPr>
          <w:p w14:paraId="1C5DBAC0">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自2022年1月1日以来（以颁奖文件颁布时间或者颁奖单位官网文件发布时间为准），投标人承建或参建的农业工程（须包含高标准农田建设内容），获得过地市级及以上行政主管部门或地市级及以上在国内依法登记注册的行业协会（或学会）颁发的优质工程奖的，每有1项得2分，最多得4分。 </w:t>
            </w:r>
            <w:r>
              <w:commentReference w:id="5"/>
            </w:r>
          </w:p>
          <w:p w14:paraId="552A54F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注：1.投标文件中同时提供：①获奖证书扫描件，②有关部门发布的相关文件或其官网公示截图，③获奖项目合同协议书扫描件。 </w:t>
            </w:r>
          </w:p>
          <w:p w14:paraId="270F9EDC">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2.同一项目获得多个奖项的，仅计取一次。 </w:t>
            </w:r>
          </w:p>
          <w:p w14:paraId="26E71B01">
            <w:pPr>
              <w:spacing w:line="320" w:lineRule="exact"/>
              <w:jc w:val="left"/>
              <w:rPr>
                <w:rFonts w:ascii="Arial"/>
                <w:snapToGrid/>
                <w:spacing w:val="0"/>
                <w:w w:val="100"/>
                <w:kern w:val="21"/>
                <w:position w:val="0"/>
                <w:sz w:val="21"/>
              </w:rPr>
            </w:pPr>
            <w:r>
              <w:rPr>
                <w:rFonts w:hint="eastAsia" w:ascii="宋体" w:hAnsi="宋体" w:cs="宋体"/>
                <w:color w:val="000000" w:themeColor="text1"/>
                <w:szCs w:val="21"/>
                <w:highlight w:val="none"/>
                <w14:textFill>
                  <w14:solidFill>
                    <w14:schemeClr w14:val="tx1"/>
                  </w14:solidFill>
                </w14:textFill>
              </w:rPr>
              <w:t>3.“国内依法登记注册”以中国社会组织政务服务平台中“全国社会组织信用信息公示平台”查询结果为准。针对国内依法登记注册的行业协会（或学会）颁发的奖项，投标文件中须同时提供该协会在中国社会组织政务服务平台中“全国社会组织信用信息公示平台”查询结果截图。民政部公布的“离岸社团”、“山寨社团”或中国社会组织政务服务平台中“全国社会组织信用信息公示平台”公示的“涉嫌非法社会组织”颁发的荣誉、奖励均无效。</w:t>
            </w:r>
          </w:p>
        </w:tc>
      </w:tr>
      <w:tr w14:paraId="3669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270" w:type="dxa"/>
            <w:vMerge w:val="continue"/>
            <w:vAlign w:val="center"/>
          </w:tcPr>
          <w:p w14:paraId="04525B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vAlign w:val="center"/>
          </w:tcPr>
          <w:p w14:paraId="4F3C62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161ECF9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类似项目</w:t>
            </w:r>
          </w:p>
          <w:p w14:paraId="271518C5">
            <w:pPr>
              <w:spacing w:line="320" w:lineRule="exact"/>
              <w:jc w:val="center"/>
              <w:rPr>
                <w:snapToGrid/>
                <w:spacing w:val="0"/>
                <w:w w:val="100"/>
                <w:kern w:val="21"/>
                <w:position w:val="0"/>
              </w:rPr>
            </w:pPr>
            <w:r>
              <w:rPr>
                <w:rFonts w:hint="eastAsia" w:ascii="宋体" w:hAnsi="宋体" w:cs="宋体"/>
                <w:color w:val="000000" w:themeColor="text1"/>
                <w:szCs w:val="21"/>
                <w:highlight w:val="none"/>
                <w14:textFill>
                  <w14:solidFill>
                    <w14:schemeClr w14:val="tx1"/>
                  </w14:solidFill>
                </w14:textFill>
              </w:rPr>
              <w:t>业绩</w:t>
            </w:r>
          </w:p>
        </w:tc>
        <w:tc>
          <w:tcPr>
            <w:tcW w:w="821" w:type="dxa"/>
            <w:vAlign w:val="center"/>
          </w:tcPr>
          <w:p w14:paraId="0554041D">
            <w:pPr>
              <w:widowControl/>
              <w:spacing w:before="100" w:beforeAutospacing="1" w:after="100" w:afterAutospacing="1" w:line="320" w:lineRule="exact"/>
              <w:jc w:val="center"/>
              <w:rPr>
                <w:snapToGrid/>
                <w:spacing w:val="0"/>
                <w:w w:val="100"/>
                <w:kern w:val="21"/>
                <w:position w:val="0"/>
              </w:rPr>
            </w:pPr>
            <w:r>
              <w:rPr>
                <w:rFonts w:hint="eastAsia" w:ascii="宋体" w:hAnsi="宋体" w:cs="宋体"/>
                <w:color w:val="000000" w:themeColor="text1"/>
                <w:kern w:val="0"/>
                <w:szCs w:val="21"/>
                <w:highlight w:val="none"/>
                <w14:textFill>
                  <w14:solidFill>
                    <w14:schemeClr w14:val="tx1"/>
                  </w14:solidFill>
                </w14:textFill>
              </w:rPr>
              <w:t>6分</w:t>
            </w:r>
          </w:p>
        </w:tc>
        <w:tc>
          <w:tcPr>
            <w:tcW w:w="4145" w:type="dxa"/>
            <w:vAlign w:val="center"/>
          </w:tcPr>
          <w:p w14:paraId="4A2D45EE">
            <w:pPr>
              <w:topLinePunct/>
              <w:spacing w:line="320" w:lineRule="exac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2022年1月1日至投标截止时间（以工程完工时间或竣工验收时间为准），投标人</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每</w:t>
            </w:r>
            <w:r>
              <w:rPr>
                <w:rFonts w:hint="eastAsia" w:ascii="宋体" w:hAnsi="宋体" w:cs="宋体"/>
                <w:snapToGrid w:val="0"/>
                <w:color w:val="000000" w:themeColor="text1"/>
                <w:kern w:val="0"/>
                <w:szCs w:val="21"/>
                <w:highlight w:val="none"/>
                <w14:textFill>
                  <w14:solidFill>
                    <w14:schemeClr w14:val="tx1"/>
                  </w14:solidFill>
                </w14:textFill>
              </w:rPr>
              <w:t>具有1个单项合同额不低于</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20</w:t>
            </w:r>
            <w:r>
              <w:rPr>
                <w:rFonts w:hint="eastAsia" w:ascii="宋体" w:hAnsi="宋体" w:cs="宋体"/>
                <w:snapToGrid w:val="0"/>
                <w:color w:val="000000" w:themeColor="text1"/>
                <w:kern w:val="0"/>
                <w:szCs w:val="21"/>
                <w:highlight w:val="none"/>
                <w14:textFill>
                  <w14:solidFill>
                    <w14:schemeClr w14:val="tx1"/>
                  </w14:solidFill>
                </w14:textFill>
              </w:rPr>
              <w:t>00万元的农田水利建设项目</w:t>
            </w:r>
            <w:r>
              <w:rPr>
                <w:rFonts w:hint="eastAsia"/>
                <w:snapToGrid w:val="0"/>
                <w:color w:val="000000" w:themeColor="text1"/>
                <w:kern w:val="0"/>
                <w:highlight w:val="none"/>
                <w14:textFill>
                  <w14:solidFill>
                    <w14:schemeClr w14:val="tx1"/>
                  </w14:solidFill>
                </w14:textFill>
              </w:rPr>
              <w:t>(包括高标准农田建设或农田水利最后一公里或节水灌溉或田间工程项目）</w:t>
            </w:r>
            <w:r>
              <w:rPr>
                <w:rFonts w:hint="eastAsia" w:ascii="宋体" w:hAnsi="宋体" w:cs="宋体"/>
                <w:snapToGrid w:val="0"/>
                <w:color w:val="000000" w:themeColor="text1"/>
                <w:kern w:val="0"/>
                <w:szCs w:val="21"/>
                <w:highlight w:val="none"/>
                <w14:textFill>
                  <w14:solidFill>
                    <w14:schemeClr w14:val="tx1"/>
                  </w14:solidFill>
                </w14:textFill>
              </w:rPr>
              <w:t>施工业绩的得</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cs="宋体"/>
                <w:snapToGrid w:val="0"/>
                <w:color w:val="000000" w:themeColor="text1"/>
                <w:kern w:val="0"/>
                <w:szCs w:val="21"/>
                <w:highlight w:val="none"/>
                <w14:textFill>
                  <w14:solidFill>
                    <w14:schemeClr w14:val="tx1"/>
                  </w14:solidFill>
                </w14:textFill>
              </w:rPr>
              <w:t>分，本项满分6分。</w:t>
            </w:r>
            <w:r>
              <w:commentReference w:id="6"/>
            </w:r>
          </w:p>
          <w:p w14:paraId="3A00F914">
            <w:pPr>
              <w:topLinePunct/>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注：1）业绩证明材料相关要求同投标人须知前附表1.4.1</w:t>
            </w:r>
            <w:r>
              <w:rPr>
                <w:rFonts w:hint="eastAsia" w:ascii="宋体" w:hAnsi="宋体" w:cs="宋体"/>
                <w:b/>
                <w:bCs/>
                <w:color w:val="000000" w:themeColor="text1"/>
                <w:szCs w:val="21"/>
                <w:highlight w:val="none"/>
                <w14:textFill>
                  <w14:solidFill>
                    <w14:schemeClr w14:val="tx1"/>
                  </w14:solidFill>
                </w14:textFill>
              </w:rPr>
              <w:t>投标人业绩提供的资料；</w:t>
            </w:r>
          </w:p>
          <w:p w14:paraId="735908C8">
            <w:pPr>
              <w:topLinePunct/>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2）业绩如为联合体形式中标的业绩，须证明投标人在其中所占份额，且份额须满足招标文件中业绩金额要求，否则不予认可。提供联合体协议书或业主盖单位公章的证明材料。</w:t>
            </w:r>
          </w:p>
          <w:p w14:paraId="3BEED3DF">
            <w:pPr>
              <w:topLinePunct/>
              <w:spacing w:line="320" w:lineRule="exact"/>
              <w:rPr>
                <w:rFonts w:ascii="Arial"/>
                <w:snapToGrid/>
                <w:spacing w:val="0"/>
                <w:w w:val="100"/>
                <w:kern w:val="21"/>
                <w:position w:val="0"/>
                <w:sz w:val="21"/>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bidi="ar"/>
                <w14:textFill>
                  <w14:solidFill>
                    <w14:schemeClr w14:val="tx1"/>
                  </w14:solidFill>
                </w14:textFill>
              </w:rPr>
              <w:t>经评标委员会评审通过的初审业绩（包含投标人业绩和项目经理业绩）可作为得分业绩；</w:t>
            </w:r>
          </w:p>
        </w:tc>
      </w:tr>
      <w:tr w14:paraId="3C9D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270" w:type="dxa"/>
            <w:vMerge w:val="continue"/>
            <w:vAlign w:val="center"/>
          </w:tcPr>
          <w:p w14:paraId="1DC7A5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vAlign w:val="center"/>
          </w:tcPr>
          <w:p w14:paraId="65D65D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628DC728">
            <w:pPr>
              <w:spacing w:line="320" w:lineRule="exact"/>
              <w:jc w:val="center"/>
              <w:rPr>
                <w:snapToGrid/>
                <w:spacing w:val="0"/>
                <w:w w:val="100"/>
                <w:kern w:val="21"/>
                <w:position w:val="0"/>
              </w:rPr>
            </w:pPr>
            <w:r>
              <w:rPr>
                <w:rFonts w:hint="eastAsia" w:ascii="宋体" w:hAnsi="宋体" w:cs="宋体"/>
                <w:color w:val="000000" w:themeColor="text1"/>
                <w:szCs w:val="21"/>
                <w:highlight w:val="none"/>
                <w14:textFill>
                  <w14:solidFill>
                    <w14:schemeClr w14:val="tx1"/>
                  </w14:solidFill>
                </w14:textFill>
              </w:rPr>
              <w:t>项目经理资历和业绩</w:t>
            </w:r>
          </w:p>
        </w:tc>
        <w:tc>
          <w:tcPr>
            <w:tcW w:w="821" w:type="dxa"/>
            <w:vAlign w:val="center"/>
          </w:tcPr>
          <w:p w14:paraId="35EA7047">
            <w:pPr>
              <w:widowControl/>
              <w:spacing w:before="100" w:beforeAutospacing="1" w:after="100" w:afterAutospacing="1" w:line="320" w:lineRule="exact"/>
              <w:jc w:val="center"/>
              <w:rPr>
                <w:snapToGrid/>
                <w:spacing w:val="0"/>
                <w:w w:val="100"/>
                <w:kern w:val="21"/>
                <w:position w:val="0"/>
              </w:rPr>
            </w:pPr>
            <w:r>
              <w:rPr>
                <w:rFonts w:hint="eastAsia" w:ascii="宋体" w:hAnsi="宋体" w:cs="宋体"/>
                <w:color w:val="000000" w:themeColor="text1"/>
                <w:kern w:val="0"/>
                <w:szCs w:val="21"/>
                <w:highlight w:val="none"/>
                <w14:textFill>
                  <w14:solidFill>
                    <w14:schemeClr w14:val="tx1"/>
                  </w14:solidFill>
                </w14:textFill>
              </w:rPr>
              <w:t>5分</w:t>
            </w:r>
          </w:p>
        </w:tc>
        <w:tc>
          <w:tcPr>
            <w:tcW w:w="4145" w:type="dxa"/>
            <w:vAlign w:val="center"/>
          </w:tcPr>
          <w:p w14:paraId="69EA61D5">
            <w:pPr>
              <w:numPr>
                <w:ilvl w:val="0"/>
                <w:numId w:val="1"/>
              </w:numPr>
              <w:topLinePunct/>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项目经理具有农业工程或水利工程相关专业高级及以上技术职称的得2分。提供职称证书扫描件。</w:t>
            </w:r>
          </w:p>
          <w:p w14:paraId="65859992">
            <w:pPr>
              <w:widowControl/>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2、2022年1月1日至投标截止时间</w:t>
            </w:r>
            <w:r>
              <w:rPr>
                <w:rFonts w:hint="eastAsia" w:ascii="宋体" w:hAnsi="宋体" w:cs="宋体"/>
                <w:snapToGrid w:val="0"/>
                <w:color w:val="000000" w:themeColor="text1"/>
                <w:kern w:val="0"/>
                <w:szCs w:val="21"/>
                <w:highlight w:val="none"/>
                <w14:textFill>
                  <w14:solidFill>
                    <w14:schemeClr w14:val="tx1"/>
                  </w14:solidFill>
                </w14:textFill>
              </w:rPr>
              <w:t>（以工程完工时间或竣工验收时间为准）</w:t>
            </w:r>
            <w:r>
              <w:rPr>
                <w:rFonts w:hint="eastAsia" w:ascii="宋体" w:hAnsi="宋体" w:cs="宋体"/>
                <w:color w:val="000000" w:themeColor="text1"/>
                <w:szCs w:val="21"/>
                <w:highlight w:val="none"/>
                <w14:textFill>
                  <w14:solidFill>
                    <w14:schemeClr w14:val="tx1"/>
                  </w14:solidFill>
                </w14:textFill>
              </w:rPr>
              <w:t>，以项目经理身份承担过1个单项合同额不低于</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00万元的</w:t>
            </w:r>
            <w:r>
              <w:rPr>
                <w:rFonts w:hint="eastAsia" w:ascii="宋体" w:hAnsi="宋体" w:cs="宋体"/>
                <w:snapToGrid w:val="0"/>
                <w:color w:val="000000" w:themeColor="text1"/>
                <w:kern w:val="0"/>
                <w:szCs w:val="21"/>
                <w:highlight w:val="none"/>
                <w14:textFill>
                  <w14:solidFill>
                    <w14:schemeClr w14:val="tx1"/>
                  </w14:solidFill>
                </w14:textFill>
              </w:rPr>
              <w:t>农田水利建设项目</w:t>
            </w:r>
            <w:r>
              <w:rPr>
                <w:rFonts w:hint="eastAsia"/>
                <w:snapToGrid w:val="0"/>
                <w:color w:val="000000" w:themeColor="text1"/>
                <w:kern w:val="0"/>
                <w:highlight w:val="none"/>
                <w14:textFill>
                  <w14:solidFill>
                    <w14:schemeClr w14:val="tx1"/>
                  </w14:solidFill>
                </w14:textFill>
              </w:rPr>
              <w:t>(包括高标准农田建设或农田水利最后一公里或节水灌溉或田间工程项目）</w:t>
            </w:r>
            <w:r>
              <w:rPr>
                <w:rFonts w:hint="eastAsia" w:ascii="宋体" w:hAnsi="宋体" w:cs="宋体"/>
                <w:snapToGrid w:val="0"/>
                <w:color w:val="000000" w:themeColor="text1"/>
                <w:kern w:val="0"/>
                <w:szCs w:val="21"/>
                <w:highlight w:val="none"/>
                <w14:textFill>
                  <w14:solidFill>
                    <w14:schemeClr w14:val="tx1"/>
                  </w14:solidFill>
                </w14:textFill>
              </w:rPr>
              <w:t>施工业绩的得3分。本小项满分3分。</w:t>
            </w:r>
          </w:p>
          <w:p w14:paraId="3DDA6F66">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注：1）业绩证明材料相关要求同投标人须知前附表1.4.1</w:t>
            </w:r>
            <w:r>
              <w:rPr>
                <w:rFonts w:hint="eastAsia" w:ascii="宋体" w:hAnsi="宋体" w:cs="宋体"/>
                <w:b/>
                <w:bCs/>
                <w:color w:val="000000" w:themeColor="text1"/>
                <w:szCs w:val="21"/>
                <w:highlight w:val="none"/>
                <w14:textFill>
                  <w14:solidFill>
                    <w14:schemeClr w14:val="tx1"/>
                  </w14:solidFill>
                </w14:textFill>
              </w:rPr>
              <w:t>投标人业绩提供的资料；</w:t>
            </w:r>
          </w:p>
          <w:p w14:paraId="40712EA1">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2）项目经理业绩指在承建的项目中担任项目经理岗位的施工业绩；</w:t>
            </w:r>
          </w:p>
          <w:p w14:paraId="1E2A49DC">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3）项目经理业绩中中标通知书、合同协议书、完工或竣工证明材料中项目经理名称不一致的，以完工或竣工验收证明中的项目经理为准，且须同时提供业主盖单位公章的证明材料。</w:t>
            </w:r>
          </w:p>
          <w:p w14:paraId="565A5B3E">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业绩如为联合体形式中标的业绩，须证明投标人在其中所占份额，且份额须满足招标文件中业绩金额要求，否则不予认可。提供联合体协议书或业主盖单位公章的证明材料。</w:t>
            </w:r>
          </w:p>
          <w:p w14:paraId="17982195">
            <w:pPr>
              <w:widowControl/>
              <w:jc w:val="left"/>
              <w:rPr>
                <w:rFonts w:ascii="Arial"/>
                <w:snapToGrid/>
                <w:spacing w:val="0"/>
                <w:w w:val="100"/>
                <w:kern w:val="21"/>
                <w:position w:val="0"/>
                <w:sz w:val="21"/>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b/>
                <w:bCs/>
                <w:color w:val="000000" w:themeColor="text1"/>
                <w:kern w:val="0"/>
                <w:szCs w:val="21"/>
                <w:highlight w:val="none"/>
                <w:lang w:bidi="ar"/>
                <w14:textFill>
                  <w14:solidFill>
                    <w14:schemeClr w14:val="tx1"/>
                  </w14:solidFill>
                </w14:textFill>
              </w:rPr>
              <w:t>经评标委员会评审通过的初审业绩（包含投标人业绩和项目经理业绩）可作为得分业绩；</w:t>
            </w:r>
          </w:p>
        </w:tc>
      </w:tr>
      <w:tr w14:paraId="5C273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270" w:type="dxa"/>
            <w:vMerge w:val="continue"/>
            <w:vAlign w:val="center"/>
          </w:tcPr>
          <w:p w14:paraId="7198784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vAlign w:val="center"/>
          </w:tcPr>
          <w:p w14:paraId="3AB9D3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61BBBA40">
            <w:pPr>
              <w:spacing w:line="320" w:lineRule="exact"/>
              <w:jc w:val="center"/>
              <w:rPr>
                <w:snapToGrid/>
                <w:spacing w:val="0"/>
                <w:w w:val="100"/>
                <w:kern w:val="21"/>
                <w:position w:val="0"/>
              </w:rPr>
            </w:pPr>
            <w:r>
              <w:rPr>
                <w:rFonts w:hint="eastAsia" w:ascii="宋体" w:hAnsi="宋体" w:cs="宋体"/>
                <w:color w:val="000000" w:themeColor="text1"/>
                <w:szCs w:val="21"/>
                <w:highlight w:val="none"/>
                <w14:textFill>
                  <w14:solidFill>
                    <w14:schemeClr w14:val="tx1"/>
                  </w14:solidFill>
                </w14:textFill>
              </w:rPr>
              <w:t>其他主要人员资历、业绩及进场计划</w:t>
            </w:r>
          </w:p>
        </w:tc>
        <w:tc>
          <w:tcPr>
            <w:tcW w:w="821" w:type="dxa"/>
            <w:vAlign w:val="center"/>
          </w:tcPr>
          <w:p w14:paraId="5A0F56B1">
            <w:pPr>
              <w:widowControl/>
              <w:spacing w:before="100" w:beforeAutospacing="1" w:after="100" w:afterAutospacing="1" w:line="320" w:lineRule="exact"/>
              <w:jc w:val="center"/>
              <w:rPr>
                <w:snapToGrid/>
                <w:spacing w:val="0"/>
                <w:w w:val="100"/>
                <w:kern w:val="21"/>
                <w:position w:val="0"/>
              </w:rPr>
            </w:pPr>
            <w:r>
              <w:rPr>
                <w:rFonts w:hint="eastAsia" w:ascii="宋体" w:hAnsi="宋体" w:cs="宋体"/>
                <w:color w:val="000000" w:themeColor="text1"/>
                <w:kern w:val="0"/>
                <w:szCs w:val="21"/>
                <w:highlight w:val="none"/>
                <w14:textFill>
                  <w14:solidFill>
                    <w14:schemeClr w14:val="tx1"/>
                  </w14:solidFill>
                </w14:textFill>
              </w:rPr>
              <w:t>10分</w:t>
            </w:r>
          </w:p>
        </w:tc>
        <w:tc>
          <w:tcPr>
            <w:tcW w:w="4145" w:type="dxa"/>
            <w:vAlign w:val="center"/>
          </w:tcPr>
          <w:p w14:paraId="30350625">
            <w:pPr>
              <w:widowControl/>
              <w:snapToGrid w:val="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其他主要人员配备（包括但不限于安全员、质检员、施工员、造价人员、质量负责人、终检工程师等）：从人员配备数量、专业匹配、职称、执业资格、业绩、进场计划等进行综合评审并横向比较，7分＜优良≤10分，4分＜一般≤7分，0分≤差≤4分。 </w:t>
            </w:r>
          </w:p>
          <w:p w14:paraId="0E36A79F">
            <w:pPr>
              <w:widowControl/>
              <w:snapToGrid w:val="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注：1）本工程拟派专职人员均不得兼任。 </w:t>
            </w:r>
          </w:p>
          <w:p w14:paraId="50D1A6B8">
            <w:pPr>
              <w:widowControl/>
              <w:snapToGrid w:val="0"/>
              <w:jc w:val="left"/>
              <w:rPr>
                <w:rFonts w:ascii="Arial"/>
                <w:snapToGrid/>
                <w:spacing w:val="0"/>
                <w:w w:val="100"/>
                <w:kern w:val="21"/>
                <w:position w:val="0"/>
                <w:sz w:val="21"/>
              </w:rPr>
            </w:pPr>
            <w:r>
              <w:rPr>
                <w:rFonts w:hint="eastAsia" w:ascii="宋体" w:hAnsi="宋体" w:cs="宋体"/>
                <w:color w:val="000000" w:themeColor="text1"/>
                <w:kern w:val="0"/>
                <w:szCs w:val="21"/>
                <w:highlight w:val="none"/>
                <w14:textFill>
                  <w14:solidFill>
                    <w14:schemeClr w14:val="tx1"/>
                  </w14:solidFill>
                </w14:textFill>
              </w:rPr>
              <w:t>2）投标文件中须同时提供上述人员相应相应证书、业绩（如有）、社保证明材料（社保证明材料要求同投标人须知前附表1.4.1）等相关资料。</w:t>
            </w:r>
          </w:p>
        </w:tc>
      </w:tr>
      <w:tr w14:paraId="1C6B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1270" w:type="dxa"/>
            <w:vMerge w:val="restart"/>
            <w:tcBorders>
              <w:bottom w:val="nil"/>
            </w:tcBorders>
            <w:vAlign w:val="center"/>
          </w:tcPr>
          <w:p w14:paraId="0FE8AE4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188DB7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5B5FA3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634B0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A601DD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E3A53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682EC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1D98B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20683B8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EDE342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14B723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F185E0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7E054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C9668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9480E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7D6774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13F982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2.2.4（2）</w:t>
            </w:r>
          </w:p>
        </w:tc>
        <w:tc>
          <w:tcPr>
            <w:tcW w:w="1244" w:type="dxa"/>
            <w:vMerge w:val="restart"/>
            <w:tcBorders>
              <w:bottom w:val="nil"/>
            </w:tcBorders>
            <w:vAlign w:val="center"/>
          </w:tcPr>
          <w:p w14:paraId="7604B8B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80A936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9C1D52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FFD09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AB330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A06FC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8A315A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9A43B4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954FF1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3A0EBD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93243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EFFEDB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B9B5FA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396C564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6041BB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8225B9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施工组织</w:t>
            </w:r>
          </w:p>
          <w:p w14:paraId="6D88010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设计评分</w:t>
            </w:r>
          </w:p>
          <w:p w14:paraId="7A34E06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标准</w:t>
            </w:r>
          </w:p>
        </w:tc>
        <w:tc>
          <w:tcPr>
            <w:tcW w:w="1810" w:type="dxa"/>
            <w:vAlign w:val="center"/>
          </w:tcPr>
          <w:p w14:paraId="0ADB23BB">
            <w:pPr>
              <w:pStyle w:val="27"/>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snapToGrid/>
                <w:spacing w:val="0"/>
                <w:w w:val="100"/>
                <w:kern w:val="21"/>
                <w:position w:val="0"/>
              </w:rPr>
            </w:pPr>
            <w:r>
              <w:rPr>
                <w:snapToGrid/>
                <w:spacing w:val="0"/>
                <w:w w:val="100"/>
                <w:kern w:val="21"/>
                <w:position w:val="0"/>
              </w:rPr>
              <w:t>主要施工方案与技术措施</w:t>
            </w:r>
          </w:p>
        </w:tc>
        <w:tc>
          <w:tcPr>
            <w:tcW w:w="821" w:type="dxa"/>
            <w:vAlign w:val="center"/>
          </w:tcPr>
          <w:p w14:paraId="44C36DD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2D61468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both"/>
              <w:textAlignment w:val="baseline"/>
              <w:outlineLvl w:val="9"/>
              <w:rPr>
                <w:snapToGrid/>
                <w:spacing w:val="0"/>
                <w:w w:val="100"/>
                <w:kern w:val="21"/>
                <w:position w:val="0"/>
              </w:rPr>
            </w:pPr>
            <w:r>
              <w:rPr>
                <w:snapToGrid/>
                <w:spacing w:val="0"/>
                <w:w w:val="100"/>
                <w:kern w:val="21"/>
                <w:position w:val="0"/>
              </w:rPr>
              <w:t>依据各分部分项工程的主要施工方案与技术措施进行评审。优良得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43AB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jc w:val="center"/>
        </w:trPr>
        <w:tc>
          <w:tcPr>
            <w:tcW w:w="1270" w:type="dxa"/>
            <w:vMerge w:val="continue"/>
            <w:tcBorders>
              <w:top w:val="nil"/>
              <w:bottom w:val="nil"/>
            </w:tcBorders>
            <w:vAlign w:val="center"/>
          </w:tcPr>
          <w:p w14:paraId="7F2C846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30294DE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64758738">
            <w:pPr>
              <w:pStyle w:val="27"/>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snapToGrid/>
                <w:spacing w:val="0"/>
                <w:w w:val="100"/>
                <w:kern w:val="21"/>
                <w:position w:val="0"/>
              </w:rPr>
            </w:pPr>
            <w:r>
              <w:rPr>
                <w:snapToGrid/>
                <w:spacing w:val="0"/>
                <w:w w:val="100"/>
                <w:kern w:val="21"/>
                <w:position w:val="0"/>
              </w:rPr>
              <w:t>主要物资供应计划</w:t>
            </w:r>
          </w:p>
        </w:tc>
        <w:tc>
          <w:tcPr>
            <w:tcW w:w="821" w:type="dxa"/>
            <w:vAlign w:val="center"/>
          </w:tcPr>
          <w:p w14:paraId="65DB550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6AA79444">
            <w:pPr>
              <w:pStyle w:val="27"/>
              <w:keepNext w:val="0"/>
              <w:keepLines w:val="0"/>
              <w:pageBreakBefore w:val="0"/>
              <w:widowControl w:val="0"/>
              <w:tabs>
                <w:tab w:val="left" w:pos="3987"/>
              </w:tabs>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结合本工程特点，投入的施工材料有详细计划且计划周密，数量、选型配置、进场数量、时间安排合理，满足施工需要。优良得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542F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jc w:val="center"/>
        </w:trPr>
        <w:tc>
          <w:tcPr>
            <w:tcW w:w="1270" w:type="dxa"/>
            <w:vMerge w:val="continue"/>
            <w:tcBorders>
              <w:top w:val="nil"/>
              <w:bottom w:val="nil"/>
            </w:tcBorders>
            <w:vAlign w:val="center"/>
          </w:tcPr>
          <w:p w14:paraId="251C03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7D7F3FC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13AC6011">
            <w:pPr>
              <w:pStyle w:val="27"/>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snapToGrid/>
                <w:spacing w:val="0"/>
                <w:w w:val="100"/>
                <w:kern w:val="21"/>
                <w:position w:val="0"/>
              </w:rPr>
            </w:pPr>
            <w:r>
              <w:rPr>
                <w:snapToGrid/>
                <w:spacing w:val="0"/>
                <w:w w:val="100"/>
                <w:kern w:val="21"/>
                <w:position w:val="0"/>
              </w:rPr>
              <w:t>主要施工机械、设备进场计划</w:t>
            </w:r>
          </w:p>
        </w:tc>
        <w:tc>
          <w:tcPr>
            <w:tcW w:w="821" w:type="dxa"/>
            <w:vAlign w:val="center"/>
          </w:tcPr>
          <w:p w14:paraId="7AD2DAE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4C4C87DF">
            <w:pPr>
              <w:pStyle w:val="27"/>
              <w:keepNext w:val="0"/>
              <w:keepLines w:val="0"/>
              <w:pageBreakBefore w:val="0"/>
              <w:widowControl w:val="0"/>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结合本工程特点，投入的施工机械、设备、机具有详细计划且计划周密，设备数量、选型配置、进场数量、时间安排合理，满足施工需要。优良得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4A3B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1270" w:type="dxa"/>
            <w:vMerge w:val="continue"/>
            <w:tcBorders>
              <w:top w:val="nil"/>
              <w:bottom w:val="nil"/>
            </w:tcBorders>
            <w:vAlign w:val="center"/>
          </w:tcPr>
          <w:p w14:paraId="1CB5A23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17EC0E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1108C2D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劳动力安排计划</w:t>
            </w:r>
          </w:p>
        </w:tc>
        <w:tc>
          <w:tcPr>
            <w:tcW w:w="821" w:type="dxa"/>
            <w:vAlign w:val="center"/>
          </w:tcPr>
          <w:p w14:paraId="2181A54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5C14893C">
            <w:pPr>
              <w:pStyle w:val="27"/>
              <w:keepNext w:val="0"/>
              <w:keepLines w:val="0"/>
              <w:pageBreakBefore w:val="0"/>
              <w:widowControl w:val="0"/>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结合本工程特点，各主要施工工序应有详细周密的劳动力安排计划明细，有各工种劳动力安排计划，劳动力投入经济合理，满足施工需要。优良得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214BB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1270" w:type="dxa"/>
            <w:vMerge w:val="continue"/>
            <w:tcBorders>
              <w:top w:val="nil"/>
              <w:bottom w:val="nil"/>
            </w:tcBorders>
            <w:vAlign w:val="center"/>
          </w:tcPr>
          <w:p w14:paraId="2E5BA4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3E4BC4D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4750BEB0">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4"/>
              <w:jc w:val="center"/>
              <w:textAlignment w:val="baseline"/>
              <w:outlineLvl w:val="9"/>
              <w:rPr>
                <w:snapToGrid/>
                <w:spacing w:val="0"/>
                <w:w w:val="100"/>
                <w:kern w:val="21"/>
                <w:position w:val="0"/>
              </w:rPr>
            </w:pPr>
            <w:r>
              <w:rPr>
                <w:snapToGrid/>
                <w:spacing w:val="0"/>
                <w:w w:val="100"/>
                <w:kern w:val="21"/>
                <w:position w:val="0"/>
              </w:rPr>
              <w:t>确保工程质量的管理体系与措施</w:t>
            </w:r>
          </w:p>
        </w:tc>
        <w:tc>
          <w:tcPr>
            <w:tcW w:w="821" w:type="dxa"/>
            <w:vAlign w:val="center"/>
          </w:tcPr>
          <w:p w14:paraId="39D1E67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487E4642">
            <w:pPr>
              <w:pStyle w:val="27"/>
              <w:keepNext w:val="0"/>
              <w:keepLines w:val="0"/>
              <w:pageBreakBefore w:val="0"/>
              <w:widowControl w:val="0"/>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结合本工程特点，依据投标人提出的确保工程质量的管理体系与措施进行评审。优良得</w:t>
            </w:r>
            <w:r>
              <w:rPr>
                <w:rFonts w:hint="eastAsia"/>
                <w:snapToGrid/>
                <w:spacing w:val="0"/>
                <w:w w:val="100"/>
                <w:kern w:val="21"/>
                <w:position w:val="0"/>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7437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1270" w:type="dxa"/>
            <w:vMerge w:val="continue"/>
            <w:tcBorders>
              <w:top w:val="nil"/>
              <w:bottom w:val="nil"/>
            </w:tcBorders>
            <w:vAlign w:val="center"/>
          </w:tcPr>
          <w:p w14:paraId="3ECA4C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760B91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649C343F">
            <w:pPr>
              <w:pStyle w:val="27"/>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snapToGrid/>
                <w:spacing w:val="0"/>
                <w:w w:val="100"/>
                <w:kern w:val="21"/>
                <w:position w:val="0"/>
              </w:rPr>
            </w:pPr>
            <w:r>
              <w:rPr>
                <w:snapToGrid/>
                <w:spacing w:val="0"/>
                <w:w w:val="100"/>
                <w:kern w:val="21"/>
                <w:position w:val="0"/>
              </w:rPr>
              <w:t>确保安全生产的管理体系与措施</w:t>
            </w:r>
          </w:p>
        </w:tc>
        <w:tc>
          <w:tcPr>
            <w:tcW w:w="821" w:type="dxa"/>
            <w:vAlign w:val="center"/>
          </w:tcPr>
          <w:p w14:paraId="0351CEA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03B6A30C">
            <w:pPr>
              <w:pStyle w:val="27"/>
              <w:keepNext w:val="0"/>
              <w:keepLines w:val="0"/>
              <w:pageBreakBefore w:val="0"/>
              <w:widowControl w:val="0"/>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结合本工程特点，依据投标人提出的确保安全生产的管理体系与措施进行评审。优良得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5C05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0" w:type="dxa"/>
            <w:vMerge w:val="continue"/>
            <w:tcBorders>
              <w:top w:val="nil"/>
              <w:bottom w:val="nil"/>
            </w:tcBorders>
            <w:vAlign w:val="center"/>
          </w:tcPr>
          <w:p w14:paraId="20AC670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vMerge w:val="continue"/>
            <w:tcBorders>
              <w:top w:val="nil"/>
              <w:bottom w:val="nil"/>
            </w:tcBorders>
            <w:vAlign w:val="center"/>
          </w:tcPr>
          <w:p w14:paraId="5893D7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vAlign w:val="center"/>
          </w:tcPr>
          <w:p w14:paraId="00B44EB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工程进度计划与措施及施工网络图</w:t>
            </w:r>
          </w:p>
        </w:tc>
        <w:tc>
          <w:tcPr>
            <w:tcW w:w="821" w:type="dxa"/>
            <w:vAlign w:val="center"/>
          </w:tcPr>
          <w:p w14:paraId="6946E2D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vAlign w:val="center"/>
          </w:tcPr>
          <w:p w14:paraId="05344091">
            <w:pPr>
              <w:pStyle w:val="27"/>
              <w:keepNext w:val="0"/>
              <w:keepLines w:val="0"/>
              <w:pageBreakBefore w:val="0"/>
              <w:widowControl w:val="0"/>
              <w:tabs>
                <w:tab w:val="left" w:pos="4032"/>
              </w:tabs>
              <w:kinsoku/>
              <w:wordWrap w:val="0"/>
              <w:overflowPunct/>
              <w:topLinePunct/>
              <w:autoSpaceDE w:val="0"/>
              <w:autoSpaceDN/>
              <w:bidi w:val="0"/>
              <w:adjustRightInd/>
              <w:snapToGrid/>
              <w:spacing w:line="560" w:lineRule="exact"/>
              <w:ind w:right="0"/>
              <w:jc w:val="both"/>
              <w:textAlignment w:val="baseline"/>
              <w:outlineLvl w:val="9"/>
              <w:rPr>
                <w:snapToGrid/>
                <w:spacing w:val="0"/>
                <w:w w:val="100"/>
                <w:kern w:val="21"/>
                <w:position w:val="0"/>
              </w:rPr>
            </w:pPr>
            <w:r>
              <w:rPr>
                <w:snapToGrid/>
                <w:spacing w:val="0"/>
                <w:w w:val="100"/>
                <w:kern w:val="21"/>
                <w:position w:val="0"/>
              </w:rPr>
              <w:t>结合本工程特点，依据投标人提出的工程进度网络计划及保证措施进行评审。优良得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2F61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0" w:type="dxa"/>
            <w:tcBorders>
              <w:top w:val="nil"/>
              <w:bottom w:val="nil"/>
            </w:tcBorders>
            <w:vAlign w:val="center"/>
          </w:tcPr>
          <w:p w14:paraId="72CCE3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tcBorders>
              <w:top w:val="nil"/>
              <w:bottom w:val="nil"/>
            </w:tcBorders>
            <w:vAlign w:val="center"/>
          </w:tcPr>
          <w:p w14:paraId="2222C6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shd w:val="clear" w:color="auto" w:fill="auto"/>
            <w:vAlign w:val="center"/>
          </w:tcPr>
          <w:p w14:paraId="6F6492FA">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hanging="4" w:firstLine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确保文明施工的管理体系与措施</w:t>
            </w:r>
          </w:p>
        </w:tc>
        <w:tc>
          <w:tcPr>
            <w:tcW w:w="821" w:type="dxa"/>
            <w:shd w:val="clear" w:color="auto" w:fill="auto"/>
            <w:vAlign w:val="center"/>
          </w:tcPr>
          <w:p w14:paraId="7C6FBC16">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shd w:val="clear" w:color="auto" w:fill="auto"/>
            <w:vAlign w:val="top"/>
          </w:tcPr>
          <w:p w14:paraId="67B7D20E">
            <w:pPr>
              <w:pStyle w:val="27"/>
              <w:keepNext w:val="0"/>
              <w:keepLines w:val="0"/>
              <w:pageBreakBefore w:val="0"/>
              <w:widowControl w:val="0"/>
              <w:kinsoku/>
              <w:wordWrap w:val="0"/>
              <w:overflowPunct/>
              <w:topLinePunct/>
              <w:autoSpaceDE w:val="0"/>
              <w:autoSpaceDN/>
              <w:bidi w:val="0"/>
              <w:adjustRightInd/>
              <w:snapToGrid/>
              <w:spacing w:line="560" w:lineRule="exact"/>
              <w:ind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结合本工程特点，依据投标人提出的确保文明施工的管理体系与措施进行评审。优良得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62DF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0" w:type="dxa"/>
            <w:tcBorders>
              <w:top w:val="nil"/>
              <w:bottom w:val="nil"/>
            </w:tcBorders>
            <w:vAlign w:val="center"/>
          </w:tcPr>
          <w:p w14:paraId="28526F5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tcBorders>
              <w:top w:val="nil"/>
              <w:bottom w:val="nil"/>
            </w:tcBorders>
            <w:vAlign w:val="center"/>
          </w:tcPr>
          <w:p w14:paraId="3363A5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shd w:val="clear" w:color="auto" w:fill="auto"/>
            <w:vAlign w:val="center"/>
          </w:tcPr>
          <w:p w14:paraId="5AC83F72">
            <w:pPr>
              <w:pStyle w:val="27"/>
              <w:keepNext w:val="0"/>
              <w:keepLines w:val="0"/>
              <w:pageBreakBefore w:val="0"/>
              <w:widowControl w:val="0"/>
              <w:kinsoku/>
              <w:wordWrap w:val="0"/>
              <w:overflowPunct/>
              <w:topLinePunct/>
              <w:autoSpaceDE w:val="0"/>
              <w:autoSpaceDN/>
              <w:bidi w:val="0"/>
              <w:adjustRightInd/>
              <w:snapToGrid/>
              <w:spacing w:line="560" w:lineRule="exact"/>
              <w:ind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总体筹划与总平面布置</w:t>
            </w:r>
          </w:p>
        </w:tc>
        <w:tc>
          <w:tcPr>
            <w:tcW w:w="821" w:type="dxa"/>
            <w:shd w:val="clear" w:color="auto" w:fill="auto"/>
            <w:vAlign w:val="center"/>
          </w:tcPr>
          <w:p w14:paraId="5B5747D5">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shd w:val="clear" w:color="auto" w:fill="auto"/>
            <w:vAlign w:val="top"/>
          </w:tcPr>
          <w:p w14:paraId="37B45B18">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结合本工程特点，依据投标人提出的施工总体筹划、目标、节点、关键工序及工期保障，施工场地布置等进行评审。优良得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07E30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0" w:type="dxa"/>
            <w:tcBorders>
              <w:top w:val="nil"/>
              <w:bottom w:val="nil"/>
            </w:tcBorders>
            <w:vAlign w:val="center"/>
          </w:tcPr>
          <w:p w14:paraId="6E50339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tcBorders>
              <w:top w:val="nil"/>
              <w:bottom w:val="nil"/>
            </w:tcBorders>
            <w:vAlign w:val="center"/>
          </w:tcPr>
          <w:p w14:paraId="2CA4E9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shd w:val="clear" w:color="auto" w:fill="auto"/>
            <w:vAlign w:val="center"/>
          </w:tcPr>
          <w:p w14:paraId="40A8166B">
            <w:pPr>
              <w:pStyle w:val="27"/>
              <w:keepNext w:val="0"/>
              <w:keepLines w:val="0"/>
              <w:pageBreakBefore w:val="0"/>
              <w:widowControl w:val="0"/>
              <w:kinsoku/>
              <w:wordWrap w:val="0"/>
              <w:overflowPunct/>
              <w:topLinePunct/>
              <w:autoSpaceDE w:val="0"/>
              <w:autoSpaceDN/>
              <w:bidi w:val="0"/>
              <w:adjustRightInd/>
              <w:snapToGrid/>
              <w:spacing w:line="560" w:lineRule="exact"/>
              <w:ind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工程重难点及对应保证措施</w:t>
            </w:r>
          </w:p>
        </w:tc>
        <w:tc>
          <w:tcPr>
            <w:tcW w:w="821" w:type="dxa"/>
            <w:shd w:val="clear" w:color="auto" w:fill="auto"/>
            <w:vAlign w:val="center"/>
          </w:tcPr>
          <w:p w14:paraId="1D801151">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rFonts w:hint="eastAsia" w:ascii="Times New Roman" w:hAnsi="Times New Roman" w:cs="Times New Roman"/>
                <w:snapToGrid/>
                <w:spacing w:val="0"/>
                <w:w w:val="100"/>
                <w:kern w:val="21"/>
                <w:position w:val="0"/>
                <w:lang w:val="en-US" w:eastAsia="zh-CN"/>
              </w:rPr>
              <w:t>1</w:t>
            </w:r>
            <w:r>
              <w:rPr>
                <w:snapToGrid/>
                <w:spacing w:val="0"/>
                <w:w w:val="100"/>
                <w:kern w:val="21"/>
                <w:position w:val="0"/>
              </w:rPr>
              <w:t>分</w:t>
            </w:r>
          </w:p>
        </w:tc>
        <w:tc>
          <w:tcPr>
            <w:tcW w:w="4145" w:type="dxa"/>
            <w:shd w:val="clear" w:color="auto" w:fill="auto"/>
            <w:vAlign w:val="top"/>
          </w:tcPr>
          <w:p w14:paraId="009FFBDF">
            <w:pPr>
              <w:pStyle w:val="27"/>
              <w:keepNext w:val="0"/>
              <w:keepLines w:val="0"/>
              <w:pageBreakBefore w:val="0"/>
              <w:widowControl w:val="0"/>
              <w:tabs>
                <w:tab w:val="left" w:pos="3987"/>
              </w:tabs>
              <w:kinsoku/>
              <w:wordWrap w:val="0"/>
              <w:overflowPunct/>
              <w:topLinePunct/>
              <w:autoSpaceDE w:val="0"/>
              <w:autoSpaceDN/>
              <w:bidi w:val="0"/>
              <w:adjustRightInd/>
              <w:snapToGrid/>
              <w:spacing w:line="560" w:lineRule="exact"/>
              <w:ind w:left="0" w:leftChars="0" w:right="0" w:rightChars="0" w:firstLine="2" w:firstLine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结合本工程特点，依据投标人提出的重难点分析、对应保证措施进行评审。优良得</w:t>
            </w:r>
            <w:r>
              <w:rPr>
                <w:rFonts w:hint="eastAsia"/>
                <w:snapToGrid/>
                <w:spacing w:val="0"/>
                <w:w w:val="100"/>
                <w:kern w:val="21"/>
                <w:position w:val="0"/>
                <w:u w:val="none" w:color="auto"/>
                <w:lang w:val="en-US" w:eastAsia="zh-CN"/>
              </w:rPr>
              <w:t>1</w:t>
            </w:r>
            <w:r>
              <w:rPr>
                <w:snapToGrid/>
                <w:spacing w:val="0"/>
                <w:w w:val="100"/>
                <w:kern w:val="21"/>
                <w:position w:val="0"/>
              </w:rPr>
              <w:t>分，一般得</w:t>
            </w:r>
            <w:r>
              <w:rPr>
                <w:rFonts w:hint="eastAsia"/>
                <w:snapToGrid/>
                <w:spacing w:val="0"/>
                <w:w w:val="100"/>
                <w:kern w:val="21"/>
                <w:position w:val="0"/>
                <w:lang w:val="en-US" w:eastAsia="zh-CN"/>
              </w:rPr>
              <w:t>0.7</w:t>
            </w:r>
            <w:r>
              <w:rPr>
                <w:snapToGrid/>
                <w:spacing w:val="0"/>
                <w:w w:val="100"/>
                <w:kern w:val="21"/>
                <w:position w:val="0"/>
              </w:rPr>
              <w:t>分，差的得</w:t>
            </w:r>
            <w:r>
              <w:rPr>
                <w:rFonts w:hint="eastAsia"/>
                <w:snapToGrid/>
                <w:spacing w:val="0"/>
                <w:w w:val="100"/>
                <w:kern w:val="21"/>
                <w:position w:val="0"/>
                <w:lang w:val="en-US" w:eastAsia="zh-CN"/>
              </w:rPr>
              <w:t>0.4</w:t>
            </w:r>
            <w:r>
              <w:rPr>
                <w:snapToGrid/>
                <w:spacing w:val="0"/>
                <w:w w:val="100"/>
                <w:kern w:val="21"/>
                <w:position w:val="0"/>
              </w:rPr>
              <w:t>分。</w:t>
            </w:r>
          </w:p>
        </w:tc>
      </w:tr>
      <w:tr w14:paraId="653F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1270" w:type="dxa"/>
            <w:tcBorders>
              <w:top w:val="nil"/>
              <w:bottom w:val="nil"/>
            </w:tcBorders>
            <w:vAlign w:val="center"/>
          </w:tcPr>
          <w:p w14:paraId="0D1CCC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44" w:type="dxa"/>
            <w:tcBorders>
              <w:top w:val="nil"/>
              <w:bottom w:val="nil"/>
            </w:tcBorders>
            <w:vAlign w:val="center"/>
          </w:tcPr>
          <w:p w14:paraId="109F69B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10" w:type="dxa"/>
            <w:shd w:val="clear" w:color="auto" w:fill="auto"/>
            <w:vAlign w:val="center"/>
          </w:tcPr>
          <w:p w14:paraId="76C7FDAB">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c>
          <w:tcPr>
            <w:tcW w:w="821" w:type="dxa"/>
            <w:shd w:val="clear" w:color="auto" w:fill="auto"/>
            <w:vAlign w:val="center"/>
          </w:tcPr>
          <w:p w14:paraId="581F0D65">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c>
          <w:tcPr>
            <w:tcW w:w="4145" w:type="dxa"/>
            <w:shd w:val="clear" w:color="auto" w:fill="auto"/>
            <w:vAlign w:val="center"/>
          </w:tcPr>
          <w:p w14:paraId="1FD9B18C">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w:t>
            </w:r>
          </w:p>
        </w:tc>
      </w:tr>
      <w:tr w14:paraId="3A46E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70" w:type="dxa"/>
            <w:tcBorders>
              <w:top w:val="nil"/>
              <w:bottom w:val="nil"/>
            </w:tcBorders>
            <w:shd w:val="clear" w:color="auto" w:fill="auto"/>
            <w:vAlign w:val="center"/>
          </w:tcPr>
          <w:p w14:paraId="1D436876">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2.2.4（3）</w:t>
            </w:r>
          </w:p>
        </w:tc>
        <w:tc>
          <w:tcPr>
            <w:tcW w:w="1244" w:type="dxa"/>
            <w:tcBorders>
              <w:top w:val="nil"/>
              <w:bottom w:val="nil"/>
            </w:tcBorders>
            <w:shd w:val="clear" w:color="auto" w:fill="auto"/>
            <w:vAlign w:val="center"/>
          </w:tcPr>
          <w:p w14:paraId="5A27A55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投标报价评分标准</w:t>
            </w:r>
          </w:p>
        </w:tc>
        <w:tc>
          <w:tcPr>
            <w:tcW w:w="1810" w:type="dxa"/>
            <w:shd w:val="clear" w:color="auto" w:fill="auto"/>
            <w:vAlign w:val="center"/>
          </w:tcPr>
          <w:p w14:paraId="250BE7F1">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投标报价得分</w:t>
            </w:r>
          </w:p>
        </w:tc>
        <w:tc>
          <w:tcPr>
            <w:tcW w:w="821" w:type="dxa"/>
            <w:shd w:val="clear" w:color="auto" w:fill="auto"/>
            <w:vAlign w:val="center"/>
          </w:tcPr>
          <w:p w14:paraId="1D2DD1F7">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color w:val="000000"/>
                <w:spacing w:val="0"/>
                <w:w w:val="100"/>
                <w:kern w:val="21"/>
                <w:position w:val="0"/>
                <w:sz w:val="20"/>
                <w:szCs w:val="20"/>
                <w:lang w:val="en-US" w:eastAsia="en-US" w:bidi="ar-SA"/>
              </w:rPr>
            </w:pPr>
            <w:r>
              <w:rPr>
                <w:rFonts w:hint="eastAsia" w:ascii="Times New Roman" w:hAnsi="Times New Roman" w:cs="Times New Roman"/>
                <w:snapToGrid/>
                <w:spacing w:val="0"/>
                <w:w w:val="100"/>
                <w:kern w:val="21"/>
                <w:position w:val="0"/>
                <w:lang w:val="en-US" w:eastAsia="zh-CN"/>
              </w:rPr>
              <w:t>80</w:t>
            </w:r>
            <w:r>
              <w:rPr>
                <w:snapToGrid/>
                <w:spacing w:val="0"/>
                <w:w w:val="100"/>
                <w:kern w:val="21"/>
                <w:position w:val="0"/>
              </w:rPr>
              <w:t>分</w:t>
            </w:r>
          </w:p>
        </w:tc>
        <w:tc>
          <w:tcPr>
            <w:tcW w:w="4145" w:type="dxa"/>
            <w:shd w:val="clear" w:color="auto" w:fill="auto"/>
            <w:vAlign w:val="top"/>
          </w:tcPr>
          <w:p w14:paraId="616B9A80">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7"/>
              <w:jc w:val="left"/>
              <w:textAlignment w:val="baseline"/>
              <w:outlineLvl w:val="9"/>
              <w:rPr>
                <w:snapToGrid/>
                <w:spacing w:val="0"/>
                <w:w w:val="100"/>
                <w:kern w:val="21"/>
                <w:position w:val="0"/>
              </w:rPr>
            </w:pPr>
            <w:r>
              <w:rPr>
                <w:snapToGrid/>
                <w:spacing w:val="0"/>
                <w:w w:val="100"/>
                <w:kern w:val="21"/>
                <w:position w:val="0"/>
              </w:rPr>
              <w:t>（1）如果投标人评标价＞评标基准价，则投标报价得分＝F－偏差率*100*E</w:t>
            </w:r>
            <w:r>
              <w:rPr>
                <w:snapToGrid/>
                <w:spacing w:val="0"/>
                <w:w w:val="100"/>
                <w:kern w:val="21"/>
                <w:position w:val="0"/>
                <w:sz w:val="10"/>
                <w:szCs w:val="10"/>
              </w:rPr>
              <w:t>1</w:t>
            </w:r>
            <w:r>
              <w:rPr>
                <w:snapToGrid/>
                <w:spacing w:val="0"/>
                <w:w w:val="100"/>
                <w:kern w:val="21"/>
                <w:position w:val="0"/>
              </w:rPr>
              <w:t>；</w:t>
            </w:r>
          </w:p>
          <w:p w14:paraId="11078895">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7"/>
              <w:jc w:val="left"/>
              <w:textAlignment w:val="baseline"/>
              <w:outlineLvl w:val="9"/>
              <w:rPr>
                <w:snapToGrid/>
                <w:spacing w:val="0"/>
                <w:w w:val="100"/>
                <w:kern w:val="21"/>
                <w:position w:val="0"/>
              </w:rPr>
            </w:pPr>
            <w:r>
              <w:rPr>
                <w:snapToGrid/>
                <w:spacing w:val="0"/>
                <w:w w:val="100"/>
                <w:kern w:val="21"/>
                <w:position w:val="0"/>
              </w:rPr>
              <w:t>（2）如果投标人评标价≤评标基准价，则投标报价＝F＋偏差率*100*E</w:t>
            </w:r>
            <w:r>
              <w:rPr>
                <w:snapToGrid/>
                <w:spacing w:val="0"/>
                <w:w w:val="100"/>
                <w:kern w:val="21"/>
                <w:position w:val="0"/>
                <w:sz w:val="10"/>
                <w:szCs w:val="10"/>
              </w:rPr>
              <w:t>2</w:t>
            </w:r>
            <w:r>
              <w:rPr>
                <w:snapToGrid/>
                <w:spacing w:val="0"/>
                <w:w w:val="100"/>
                <w:kern w:val="21"/>
                <w:position w:val="0"/>
              </w:rPr>
              <w:t>。</w:t>
            </w:r>
            <w:r>
              <w:commentReference w:id="7"/>
            </w:r>
          </w:p>
          <w:p w14:paraId="292CC21E">
            <w:pPr>
              <w:pStyle w:val="27"/>
              <w:keepNext w:val="0"/>
              <w:keepLines w:val="0"/>
              <w:pageBreakBefore w:val="0"/>
              <w:widowControl w:val="0"/>
              <w:tabs>
                <w:tab w:val="left" w:pos="4138"/>
              </w:tabs>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本招标项目E</w:t>
            </w:r>
            <w:r>
              <w:rPr>
                <w:snapToGrid/>
                <w:spacing w:val="0"/>
                <w:w w:val="100"/>
                <w:kern w:val="21"/>
                <w:position w:val="0"/>
                <w:sz w:val="10"/>
                <w:szCs w:val="10"/>
              </w:rPr>
              <w:t>1</w:t>
            </w:r>
            <w:r>
              <w:rPr>
                <w:snapToGrid/>
                <w:spacing w:val="0"/>
                <w:w w:val="100"/>
                <w:kern w:val="21"/>
                <w:position w:val="0"/>
              </w:rPr>
              <w:t>=</w:t>
            </w:r>
            <w:r>
              <w:rPr>
                <w:rFonts w:hint="eastAsia"/>
                <w:snapToGrid/>
                <w:spacing w:val="0"/>
                <w:w w:val="100"/>
                <w:kern w:val="21"/>
                <w:position w:val="0"/>
                <w:u w:val="single" w:color="auto"/>
                <w:lang w:val="en-US" w:eastAsia="zh-CN"/>
              </w:rPr>
              <w:t>1</w:t>
            </w:r>
            <w:r>
              <w:rPr>
                <w:snapToGrid/>
                <w:spacing w:val="0"/>
                <w:w w:val="100"/>
                <w:kern w:val="21"/>
                <w:position w:val="0"/>
              </w:rPr>
              <w:t>；E</w:t>
            </w:r>
            <w:r>
              <w:rPr>
                <w:snapToGrid/>
                <w:spacing w:val="0"/>
                <w:w w:val="100"/>
                <w:kern w:val="21"/>
                <w:position w:val="0"/>
                <w:sz w:val="10"/>
                <w:szCs w:val="10"/>
              </w:rPr>
              <w:t>2</w:t>
            </w:r>
            <w:r>
              <w:rPr>
                <w:snapToGrid/>
                <w:spacing w:val="0"/>
                <w:w w:val="100"/>
                <w:kern w:val="21"/>
                <w:position w:val="0"/>
              </w:rPr>
              <w:t xml:space="preserve">= </w:t>
            </w:r>
            <w:r>
              <w:rPr>
                <w:rFonts w:hint="eastAsia"/>
                <w:snapToGrid/>
                <w:spacing w:val="0"/>
                <w:w w:val="100"/>
                <w:kern w:val="21"/>
                <w:position w:val="0"/>
                <w:u w:val="single" w:color="auto"/>
                <w:lang w:val="en-US" w:eastAsia="zh-CN"/>
              </w:rPr>
              <w:t>0.5</w:t>
            </w:r>
            <w:r>
              <w:rPr>
                <w:strike/>
                <w:dstrike w:val="0"/>
                <w:snapToGrid/>
                <w:spacing w:val="0"/>
                <w:w w:val="100"/>
                <w:kern w:val="21"/>
                <w:position w:val="0"/>
                <w:sz w:val="21"/>
                <w:szCs w:val="21"/>
                <w:u w:val="none"/>
              </w:rPr>
              <w:t xml:space="preserve"> </w:t>
            </w:r>
            <w:r>
              <w:rPr>
                <w:snapToGrid/>
                <w:spacing w:val="0"/>
                <w:w w:val="100"/>
                <w:kern w:val="21"/>
                <w:position w:val="0"/>
              </w:rPr>
              <w:t>其中：F是评标价所占的权重分值，E</w:t>
            </w:r>
            <w:r>
              <w:rPr>
                <w:snapToGrid/>
                <w:spacing w:val="0"/>
                <w:w w:val="100"/>
                <w:kern w:val="21"/>
                <w:position w:val="0"/>
                <w:sz w:val="10"/>
                <w:szCs w:val="10"/>
              </w:rPr>
              <w:t xml:space="preserve">1 </w:t>
            </w:r>
            <w:r>
              <w:rPr>
                <w:snapToGrid/>
                <w:spacing w:val="0"/>
                <w:w w:val="100"/>
                <w:kern w:val="21"/>
                <w:position w:val="0"/>
              </w:rPr>
              <w:t>是评标价每高于评标基准价一个百分点的扣分值，E</w:t>
            </w:r>
            <w:r>
              <w:rPr>
                <w:snapToGrid/>
                <w:spacing w:val="0"/>
                <w:w w:val="100"/>
                <w:kern w:val="21"/>
                <w:position w:val="0"/>
                <w:sz w:val="10"/>
                <w:szCs w:val="10"/>
              </w:rPr>
              <w:t xml:space="preserve">2 </w:t>
            </w:r>
            <w:r>
              <w:rPr>
                <w:snapToGrid/>
                <w:spacing w:val="0"/>
                <w:w w:val="100"/>
                <w:kern w:val="21"/>
                <w:position w:val="0"/>
              </w:rPr>
              <w:t>是评标价每低于评标基准价一个百分点的扣分值。</w:t>
            </w:r>
          </w:p>
          <w:p w14:paraId="3CE81B7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当投标报价得分为负时，均按0分计算。</w:t>
            </w:r>
          </w:p>
        </w:tc>
      </w:tr>
      <w:tr w14:paraId="6B6A3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1270" w:type="dxa"/>
            <w:tcBorders>
              <w:top w:val="nil"/>
              <w:bottom w:val="nil"/>
            </w:tcBorders>
            <w:shd w:val="clear" w:color="auto" w:fill="auto"/>
            <w:vAlign w:val="top"/>
          </w:tcPr>
          <w:p w14:paraId="1B83DE5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265DB3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DE44D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391735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7C403F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AAC7EC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AC99D7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4DDDF9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764119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5F3AB9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782CAB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916760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220766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EFDF7C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9BAF18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4B1FA0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98655F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FB4B8B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40B4D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5BD80D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A50A00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74F113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6C79E4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C3C9E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0C1B8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2F7341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5729E9B">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3.2.4</w:t>
            </w:r>
          </w:p>
        </w:tc>
        <w:tc>
          <w:tcPr>
            <w:tcW w:w="1244" w:type="dxa"/>
            <w:tcBorders>
              <w:top w:val="nil"/>
              <w:bottom w:val="nil"/>
            </w:tcBorders>
            <w:shd w:val="clear" w:color="auto" w:fill="auto"/>
            <w:vAlign w:val="top"/>
          </w:tcPr>
          <w:p w14:paraId="161244B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FD3AAA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C0E6B9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BC271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F10FE1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D47638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05DA36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671204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506034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1170AD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047856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371A03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C9236D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B8D177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66B7C2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9E8AE6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11F929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331A73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160D7E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34FB57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80A763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A9D5E9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E55AD5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B994C1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7008C4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056920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1015A0D">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详细评审</w:t>
            </w:r>
          </w:p>
        </w:tc>
        <w:tc>
          <w:tcPr>
            <w:tcW w:w="2631" w:type="dxa"/>
            <w:gridSpan w:val="2"/>
            <w:shd w:val="clear" w:color="auto" w:fill="auto"/>
            <w:vAlign w:val="top"/>
          </w:tcPr>
          <w:p w14:paraId="1336803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0E3F73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5988A5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F19C0B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B8CCB8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AAACFF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25A4AD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81BFD3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ECBE20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0A52DF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7CD60F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A9EAB8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9425C9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3D3EB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F06053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26E58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F59C2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4F4F5D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F11937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1CB0FB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4ECE6E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0FDDE3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6C7A9C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CD82A3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6F0ED7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19C97EC">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hanging="99" w:firstLine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□异常低价投标情形的界定及评审要求</w:t>
            </w:r>
          </w:p>
        </w:tc>
        <w:tc>
          <w:tcPr>
            <w:tcW w:w="4145" w:type="dxa"/>
            <w:shd w:val="clear" w:color="auto" w:fill="auto"/>
            <w:vAlign w:val="top"/>
          </w:tcPr>
          <w:p w14:paraId="7EC90263">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1"/>
              <w:jc w:val="left"/>
              <w:textAlignment w:val="baseline"/>
              <w:outlineLvl w:val="9"/>
              <w:rPr>
                <w:snapToGrid/>
                <w:spacing w:val="0"/>
                <w:w w:val="100"/>
                <w:kern w:val="21"/>
                <w:position w:val="0"/>
                <w:sz w:val="21"/>
                <w:szCs w:val="21"/>
              </w:rPr>
            </w:pPr>
            <w:r>
              <w:rPr>
                <w:snapToGrid/>
                <w:spacing w:val="0"/>
                <w:w w:val="100"/>
                <w:kern w:val="21"/>
                <w:position w:val="0"/>
              </w:rPr>
              <w:t>投标人的投标函文字报价低于最高投标限价的</w:t>
            </w:r>
            <w:r>
              <w:rPr>
                <w:rFonts w:hint="eastAsia"/>
                <w:snapToGrid/>
                <w:spacing w:val="0"/>
                <w:w w:val="100"/>
                <w:kern w:val="21"/>
                <w:position w:val="0"/>
                <w:u w:val="single" w:color="auto"/>
                <w:lang w:val="en-US" w:eastAsia="zh-CN"/>
              </w:rPr>
              <w:t>85</w:t>
            </w:r>
            <w:r>
              <w:rPr>
                <w:snapToGrid/>
                <w:spacing w:val="0"/>
                <w:w w:val="100"/>
                <w:kern w:val="21"/>
                <w:position w:val="0"/>
                <w:u w:val="single" w:color="auto"/>
              </w:rPr>
              <w:t>%</w:t>
            </w:r>
            <w:r>
              <w:rPr>
                <w:snapToGrid/>
                <w:spacing w:val="0"/>
                <w:w w:val="100"/>
                <w:kern w:val="21"/>
                <w:position w:val="0"/>
              </w:rPr>
              <w:t>且低于评标价平均值的</w:t>
            </w:r>
            <w:r>
              <w:rPr>
                <w:rFonts w:hint="eastAsia"/>
                <w:snapToGrid/>
                <w:spacing w:val="0"/>
                <w:w w:val="100"/>
                <w:kern w:val="21"/>
                <w:position w:val="0"/>
                <w:u w:val="single" w:color="auto"/>
                <w:lang w:val="en-US" w:eastAsia="zh-CN"/>
              </w:rPr>
              <w:t>95</w:t>
            </w:r>
            <w:r>
              <w:rPr>
                <w:snapToGrid/>
                <w:spacing w:val="0"/>
                <w:w w:val="100"/>
                <w:kern w:val="21"/>
                <w:position w:val="0"/>
                <w:u w:val="single" w:color="auto"/>
              </w:rPr>
              <w:t>%</w:t>
            </w:r>
            <w:r>
              <w:rPr>
                <w:snapToGrid/>
                <w:spacing w:val="0"/>
                <w:w w:val="100"/>
                <w:kern w:val="21"/>
                <w:position w:val="0"/>
              </w:rPr>
              <w:t>，作为异常低</w:t>
            </w:r>
            <w:r>
              <w:commentReference w:id="8"/>
            </w:r>
            <w:r>
              <w:rPr>
                <w:snapToGrid/>
                <w:spacing w:val="0"/>
                <w:w w:val="100"/>
                <w:kern w:val="21"/>
                <w:position w:val="0"/>
              </w:rPr>
              <w:t>价。</w:t>
            </w:r>
          </w:p>
          <w:p w14:paraId="455E181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评标委员会在推荐中标候选人前，应当对拟推荐中标候选人的投标报价进行异常低价评审。具体评审要求如下：</w:t>
            </w:r>
          </w:p>
          <w:p w14:paraId="694FC662">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9"/>
              <w:jc w:val="left"/>
              <w:textAlignment w:val="baseline"/>
              <w:outlineLvl w:val="9"/>
              <w:rPr>
                <w:snapToGrid/>
                <w:spacing w:val="0"/>
                <w:w w:val="100"/>
                <w:kern w:val="21"/>
                <w:position w:val="0"/>
              </w:rPr>
            </w:pPr>
            <w:r>
              <w:rPr>
                <w:snapToGrid/>
                <w:spacing w:val="0"/>
                <w:w w:val="100"/>
                <w:kern w:val="21"/>
                <w:position w:val="0"/>
              </w:rPr>
              <w:t>（1）评审要求：投标人的投标函文字报价属于异常低价时，评标委员会将进行异常低价评审。</w:t>
            </w:r>
          </w:p>
          <w:p w14:paraId="477C1F2E">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11"/>
              <w:jc w:val="left"/>
              <w:textAlignment w:val="baseline"/>
              <w:outlineLvl w:val="9"/>
              <w:rPr>
                <w:snapToGrid/>
                <w:spacing w:val="0"/>
                <w:w w:val="100"/>
                <w:kern w:val="21"/>
                <w:position w:val="0"/>
              </w:rPr>
            </w:pPr>
            <w:r>
              <w:rPr>
                <w:snapToGrid/>
                <w:spacing w:val="0"/>
                <w:w w:val="100"/>
                <w:kern w:val="21"/>
                <w:position w:val="0"/>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14:paraId="3ED40B32">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6"/>
              <w:jc w:val="left"/>
              <w:textAlignment w:val="baseline"/>
              <w:outlineLvl w:val="9"/>
              <w:rPr>
                <w:snapToGrid/>
                <w:spacing w:val="0"/>
                <w:w w:val="100"/>
                <w:kern w:val="21"/>
                <w:position w:val="0"/>
              </w:rPr>
            </w:pPr>
            <w:r>
              <w:rPr>
                <w:snapToGrid/>
                <w:spacing w:val="0"/>
                <w:w w:val="100"/>
                <w:kern w:val="21"/>
                <w:position w:val="0"/>
              </w:rPr>
              <w:t>（3）以下情形不得作为异常低价投标说明的依据：</w:t>
            </w:r>
          </w:p>
          <w:p w14:paraId="68F3867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a.机械、材料自有或闲置；</w:t>
            </w:r>
          </w:p>
          <w:p w14:paraId="20E989BC">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4"/>
              <w:jc w:val="left"/>
              <w:textAlignment w:val="baseline"/>
              <w:outlineLvl w:val="9"/>
              <w:rPr>
                <w:snapToGrid/>
                <w:spacing w:val="0"/>
                <w:w w:val="100"/>
                <w:kern w:val="21"/>
                <w:position w:val="0"/>
              </w:rPr>
            </w:pPr>
            <w:r>
              <w:rPr>
                <w:snapToGrid/>
                <w:spacing w:val="0"/>
                <w:w w:val="100"/>
                <w:kern w:val="21"/>
                <w:position w:val="0"/>
              </w:rPr>
              <w:t>b.自有弃土场土源或与临近项目签订的土方倒运协议；</w:t>
            </w:r>
          </w:p>
          <w:p w14:paraId="699E81A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c.人员闲置；</w:t>
            </w:r>
          </w:p>
          <w:p w14:paraId="36BFB26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d.亏本让利；</w:t>
            </w:r>
          </w:p>
          <w:p w14:paraId="752EDE2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e.企业市场拓展或品牌宣传；</w:t>
            </w:r>
          </w:p>
          <w:p w14:paraId="20F41CD2">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2"/>
              <w:jc w:val="left"/>
              <w:textAlignment w:val="baseline"/>
              <w:outlineLvl w:val="9"/>
              <w:rPr>
                <w:snapToGrid/>
                <w:spacing w:val="0"/>
                <w:w w:val="100"/>
                <w:kern w:val="21"/>
                <w:position w:val="0"/>
              </w:rPr>
            </w:pPr>
            <w:r>
              <w:rPr>
                <w:snapToGrid/>
                <w:spacing w:val="0"/>
                <w:w w:val="100"/>
                <w:kern w:val="21"/>
                <w:position w:val="0"/>
              </w:rPr>
              <w:t>f.降低或改变原设计方案、技术工艺、施工标准的；</w:t>
            </w:r>
          </w:p>
          <w:p w14:paraId="1DD1EEB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g.类似项目业绩；</w:t>
            </w:r>
          </w:p>
          <w:p w14:paraId="240D80F3">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4"/>
              <w:jc w:val="left"/>
              <w:textAlignment w:val="baseline"/>
              <w:outlineLvl w:val="9"/>
              <w:rPr>
                <w:snapToGrid/>
                <w:spacing w:val="0"/>
                <w:w w:val="100"/>
                <w:kern w:val="21"/>
                <w:position w:val="0"/>
              </w:rPr>
            </w:pPr>
            <w:r>
              <w:rPr>
                <w:snapToGrid/>
                <w:spacing w:val="0"/>
                <w:w w:val="100"/>
                <w:kern w:val="21"/>
                <w:position w:val="0"/>
              </w:rPr>
              <w:t>h.评标委员会认为不得作为降低投标报价依据的情形。</w:t>
            </w:r>
          </w:p>
          <w:p w14:paraId="19BA9938">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10" w:firstLineChars="0"/>
              <w:jc w:val="left"/>
              <w:textAlignment w:val="baseline"/>
              <w:outlineLvl w:val="9"/>
              <w:rPr>
                <w:rFonts w:ascii="宋体" w:hAnsi="宋体" w:eastAsia="宋体" w:cs="宋体"/>
                <w:snapToGrid/>
                <w:color w:val="000000"/>
                <w:spacing w:val="0"/>
                <w:w w:val="100"/>
                <w:kern w:val="21"/>
                <w:position w:val="0"/>
                <w:sz w:val="20"/>
                <w:szCs w:val="20"/>
                <w:lang w:val="en-US" w:eastAsia="en-US" w:bidi="ar-SA"/>
              </w:rPr>
            </w:pPr>
            <w:r>
              <w:rPr>
                <w:snapToGrid/>
                <w:spacing w:val="0"/>
                <w:w w:val="100"/>
                <w:kern w:val="21"/>
                <w:position w:val="0"/>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14:paraId="71E4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9290" w:type="dxa"/>
            <w:gridSpan w:val="5"/>
            <w:tcBorders>
              <w:top w:val="nil"/>
            </w:tcBorders>
            <w:shd w:val="clear" w:color="auto" w:fill="auto"/>
            <w:vAlign w:val="top"/>
          </w:tcPr>
          <w:p w14:paraId="5CC6B6E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需要补充的其他内容：</w:t>
            </w:r>
          </w:p>
          <w:p w14:paraId="65AF47AD">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17"/>
              <w:jc w:val="left"/>
              <w:textAlignment w:val="baseline"/>
              <w:outlineLvl w:val="9"/>
              <w:rPr>
                <w:snapToGrid/>
                <w:spacing w:val="0"/>
                <w:w w:val="100"/>
                <w:kern w:val="21"/>
                <w:position w:val="0"/>
              </w:rPr>
            </w:pPr>
            <w:r>
              <w:rPr>
                <w:rFonts w:ascii="Times New Roman" w:hAnsi="Times New Roman" w:eastAsia="Times New Roman" w:cs="Times New Roman"/>
                <w:snapToGrid/>
                <w:spacing w:val="0"/>
                <w:w w:val="100"/>
                <w:kern w:val="21"/>
                <w:position w:val="0"/>
              </w:rPr>
              <w:t>1.</w:t>
            </w:r>
            <w:r>
              <w:rPr>
                <w:snapToGrid/>
                <w:spacing w:val="0"/>
                <w:w w:val="100"/>
                <w:kern w:val="21"/>
                <w:position w:val="0"/>
              </w:rPr>
              <w:t>评标委员会对拟推荐的中标候选人进行查询，并将查询截图及查询结果在评标报告中予以记录。存在下列情形的，不得推荐为中标候选人。具体查询要求如下：</w:t>
            </w:r>
          </w:p>
          <w:p w14:paraId="0D0CDD94">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5"/>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1</w:t>
            </w:r>
            <w:r>
              <w:rPr>
                <w:snapToGrid/>
                <w:spacing w:val="0"/>
                <w:w w:val="100"/>
                <w:kern w:val="21"/>
                <w:position w:val="0"/>
              </w:rPr>
              <w:t>）评标委员会仅通过“国家企业信用信息公示系统”查询拟推荐中标候选人是否被列入严重违法失信名单；</w:t>
            </w:r>
          </w:p>
          <w:p w14:paraId="61E3CEB5">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5"/>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2</w:t>
            </w:r>
            <w:r>
              <w:rPr>
                <w:snapToGrid/>
                <w:spacing w:val="0"/>
                <w:w w:val="100"/>
                <w:kern w:val="21"/>
                <w:position w:val="0"/>
              </w:rPr>
              <w:t>）评标委员会仅通过“信用中国”查询拟推荐中标候选人是否被列为失信被执行人或者是否被确定为重大税收违法失信主体或者是否被列入拖欠农民工工资失信联合惩戒对象名单；</w:t>
            </w:r>
          </w:p>
          <w:p w14:paraId="5B54ACD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3</w:t>
            </w:r>
            <w:r>
              <w:rPr>
                <w:snapToGrid/>
                <w:spacing w:val="0"/>
                <w:w w:val="100"/>
                <w:kern w:val="21"/>
                <w:position w:val="0"/>
              </w:rPr>
              <w:t>）……</w:t>
            </w:r>
          </w:p>
          <w:p w14:paraId="69A56C6B">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4"/>
              <w:jc w:val="left"/>
              <w:textAlignment w:val="baseline"/>
              <w:outlineLvl w:val="9"/>
              <w:rPr>
                <w:snapToGrid/>
                <w:spacing w:val="0"/>
                <w:w w:val="100"/>
                <w:kern w:val="21"/>
                <w:position w:val="0"/>
              </w:rPr>
            </w:pPr>
            <w:r>
              <w:rPr>
                <w:rFonts w:ascii="Times New Roman" w:hAnsi="Times New Roman" w:eastAsia="Times New Roman" w:cs="Times New Roman"/>
                <w:snapToGrid/>
                <w:spacing w:val="0"/>
                <w:w w:val="100"/>
                <w:kern w:val="21"/>
                <w:position w:val="0"/>
              </w:rPr>
              <w:t>2.</w:t>
            </w:r>
            <w:r>
              <w:rPr>
                <w:snapToGrid/>
                <w:spacing w:val="0"/>
                <w:w w:val="100"/>
                <w:kern w:val="21"/>
                <w:position w:val="0"/>
              </w:rPr>
              <w:t>施工组织设计评审采用暗标评审的，投标文件制作应当符合第二章投标人须知前附表第</w:t>
            </w:r>
            <w:r>
              <w:rPr>
                <w:rFonts w:ascii="Times New Roman" w:hAnsi="Times New Roman" w:eastAsia="Times New Roman" w:cs="Times New Roman"/>
                <w:snapToGrid/>
                <w:spacing w:val="0"/>
                <w:w w:val="100"/>
                <w:kern w:val="21"/>
                <w:position w:val="0"/>
              </w:rPr>
              <w:t>3.7.6</w:t>
            </w:r>
            <w:r>
              <w:rPr>
                <w:snapToGrid/>
                <w:spacing w:val="0"/>
                <w:w w:val="100"/>
                <w:kern w:val="21"/>
                <w:position w:val="0"/>
              </w:rPr>
              <w:t>项规定。</w:t>
            </w:r>
          </w:p>
          <w:p w14:paraId="02C981DD">
            <w:pPr>
              <w:pStyle w:val="27"/>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10" w:firstLineChars="0"/>
              <w:jc w:val="left"/>
              <w:textAlignment w:val="baseline"/>
              <w:outlineLvl w:val="9"/>
              <w:rPr>
                <w:snapToGrid/>
                <w:spacing w:val="0"/>
                <w:w w:val="100"/>
                <w:kern w:val="21"/>
                <w:position w:val="0"/>
              </w:rPr>
            </w:pPr>
            <w:r>
              <w:rPr>
                <w:rFonts w:ascii="Times New Roman" w:hAnsi="Times New Roman" w:eastAsia="Times New Roman" w:cs="Times New Roman"/>
                <w:snapToGrid/>
                <w:spacing w:val="0"/>
                <w:w w:val="100"/>
                <w:kern w:val="21"/>
                <w:position w:val="0"/>
              </w:rPr>
              <w:t>3.</w:t>
            </w:r>
            <w:r>
              <w:rPr>
                <w:snapToGrid/>
                <w:spacing w:val="0"/>
                <w:w w:val="100"/>
                <w:kern w:val="21"/>
                <w:position w:val="0"/>
              </w:rPr>
              <w:t>……</w:t>
            </w:r>
          </w:p>
        </w:tc>
      </w:tr>
    </w:tbl>
    <w:p w14:paraId="7E99357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E95801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hAnsi="Arial" w:eastAsia="Arial" w:cs="Arial"/>
          <w:snapToGrid/>
          <w:spacing w:val="0"/>
          <w:w w:val="100"/>
          <w:kern w:val="21"/>
          <w:position w:val="0"/>
          <w:sz w:val="21"/>
          <w:szCs w:val="21"/>
        </w:rPr>
        <w:sectPr>
          <w:footerReference r:id="rId14" w:type="default"/>
          <w:pgSz w:w="11906" w:h="16838"/>
          <w:pgMar w:top="1440" w:right="1080" w:bottom="1440" w:left="1080" w:header="0" w:footer="1185" w:gutter="0"/>
          <w:pgNumType w:fmt="decimal"/>
          <w:cols w:space="720" w:num="1"/>
        </w:sectPr>
      </w:pPr>
    </w:p>
    <w:p w14:paraId="68634C5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12" w:name="_Toc12730"/>
      <w:r>
        <w:rPr>
          <w:rFonts w:ascii="Times New Roman" w:hAnsi="Times New Roman" w:eastAsia="Times New Roman" w:cs="Times New Roman"/>
          <w:b/>
          <w:bCs/>
          <w:snapToGrid/>
          <w:spacing w:val="0"/>
          <w:w w:val="100"/>
          <w:kern w:val="21"/>
          <w:position w:val="0"/>
          <w:sz w:val="31"/>
          <w:szCs w:val="31"/>
        </w:rPr>
        <w:t xml:space="preserve">1 </w:t>
      </w:r>
      <w:r>
        <w:rPr>
          <w:rFonts w:ascii="宋体" w:hAnsi="宋体" w:eastAsia="宋体" w:cs="宋体"/>
          <w:b/>
          <w:bCs/>
          <w:snapToGrid/>
          <w:spacing w:val="0"/>
          <w:w w:val="100"/>
          <w:kern w:val="21"/>
          <w:position w:val="0"/>
          <w:sz w:val="31"/>
          <w:szCs w:val="31"/>
        </w:rPr>
        <w:t>．评标方法</w:t>
      </w:r>
      <w:bookmarkEnd w:id="112"/>
    </w:p>
    <w:p w14:paraId="666842C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本次评标采用综合评估法（综合评分）。评标委员会对满足招标文件实质性要求的投标文件，按 照本章第</w:t>
      </w:r>
      <w:r>
        <w:rPr>
          <w:rFonts w:ascii="Times New Roman" w:hAnsi="Times New Roman" w:eastAsia="Times New Roman" w:cs="Times New Roman"/>
          <w:snapToGrid/>
          <w:spacing w:val="0"/>
          <w:w w:val="100"/>
          <w:kern w:val="21"/>
          <w:position w:val="0"/>
          <w:sz w:val="20"/>
          <w:szCs w:val="20"/>
        </w:rPr>
        <w:t xml:space="preserve">2.2  </w:t>
      </w:r>
      <w:r>
        <w:rPr>
          <w:rFonts w:ascii="宋体" w:hAnsi="宋体" w:eastAsia="宋体" w:cs="宋体"/>
          <w:snapToGrid/>
          <w:spacing w:val="0"/>
          <w:w w:val="100"/>
          <w:kern w:val="21"/>
          <w:position w:val="0"/>
          <w:sz w:val="20"/>
          <w:szCs w:val="20"/>
        </w:rPr>
        <w:t>款规定的评分标准进行打分，并按得分由高到低顺序推荐中标候选人，或根据招标人  授权直接确定中标人，但投标报价低于其成本的除外。综合评分相等时， 以投标报价低的优先；投 标报价也相等的，按照评标办法前附表的规定确定中标候选人顺序。</w:t>
      </w:r>
    </w:p>
    <w:p w14:paraId="5ED3C8A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本次评标推荐中标候选人的先后顺序及最多可中标段数量详见评标办法前附表。</w:t>
      </w:r>
      <w:r>
        <w:rPr>
          <w:rFonts w:ascii="宋体" w:hAnsi="宋体" w:eastAsia="宋体" w:cs="宋体"/>
          <w:b/>
          <w:bCs/>
          <w:snapToGrid/>
          <w:spacing w:val="0"/>
          <w:w w:val="100"/>
          <w:kern w:val="21"/>
          <w:position w:val="0"/>
          <w:sz w:val="20"/>
          <w:szCs w:val="20"/>
        </w:rPr>
        <w:t>被推荐为第一中标候选人的标段个数已达到最多允许中标的标段个数的投标人在其他后续标段均不得推荐为中标候选人。</w:t>
      </w:r>
    </w:p>
    <w:p w14:paraId="0B6E0B7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13" w:name="_Toc14212"/>
      <w:r>
        <w:rPr>
          <w:rFonts w:ascii="Times New Roman" w:hAnsi="Times New Roman" w:eastAsia="Times New Roman" w:cs="Times New Roman"/>
          <w:b/>
          <w:bCs/>
          <w:snapToGrid/>
          <w:spacing w:val="0"/>
          <w:w w:val="100"/>
          <w:kern w:val="21"/>
          <w:position w:val="0"/>
          <w:sz w:val="31"/>
          <w:szCs w:val="31"/>
        </w:rPr>
        <w:t xml:space="preserve">2 </w:t>
      </w:r>
      <w:r>
        <w:rPr>
          <w:rFonts w:ascii="宋体" w:hAnsi="宋体" w:eastAsia="宋体" w:cs="宋体"/>
          <w:b/>
          <w:bCs/>
          <w:snapToGrid/>
          <w:spacing w:val="0"/>
          <w:w w:val="100"/>
          <w:kern w:val="21"/>
          <w:position w:val="0"/>
          <w:sz w:val="31"/>
          <w:szCs w:val="31"/>
        </w:rPr>
        <w:t>．评审标准</w:t>
      </w:r>
      <w:bookmarkEnd w:id="113"/>
    </w:p>
    <w:p w14:paraId="7FFB574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14" w:name="_Toc15041"/>
      <w:r>
        <w:rPr>
          <w:rFonts w:ascii="宋体" w:hAnsi="宋体" w:eastAsia="宋体" w:cs="宋体"/>
          <w:b/>
          <w:bCs/>
          <w:snapToGrid/>
          <w:spacing w:val="0"/>
          <w:w w:val="100"/>
          <w:kern w:val="21"/>
          <w:position w:val="0"/>
          <w:sz w:val="28"/>
          <w:szCs w:val="28"/>
        </w:rPr>
        <w:t>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初步评审标准</w:t>
      </w:r>
      <w:bookmarkEnd w:id="114"/>
    </w:p>
    <w:p w14:paraId="7F48CC7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2.1.1  </w:t>
      </w:r>
      <w:r>
        <w:rPr>
          <w:rFonts w:ascii="宋体" w:hAnsi="宋体" w:eastAsia="宋体" w:cs="宋体"/>
          <w:snapToGrid/>
          <w:spacing w:val="0"/>
          <w:w w:val="100"/>
          <w:kern w:val="21"/>
          <w:position w:val="0"/>
          <w:sz w:val="20"/>
          <w:szCs w:val="20"/>
        </w:rPr>
        <w:t>形式评审标准：见评标办法前附表。</w:t>
      </w:r>
    </w:p>
    <w:p w14:paraId="72BE4CEA">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2.1.2  </w:t>
      </w:r>
      <w:r>
        <w:rPr>
          <w:rFonts w:ascii="宋体" w:hAnsi="宋体" w:eastAsia="宋体" w:cs="宋体"/>
          <w:snapToGrid/>
          <w:spacing w:val="0"/>
          <w:w w:val="100"/>
          <w:kern w:val="21"/>
          <w:position w:val="0"/>
          <w:sz w:val="20"/>
          <w:szCs w:val="20"/>
        </w:rPr>
        <w:t>资格评审标准：见评标办法前附表。</w:t>
      </w:r>
    </w:p>
    <w:p w14:paraId="5033286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2.1.3  </w:t>
      </w:r>
      <w:r>
        <w:rPr>
          <w:rFonts w:ascii="宋体" w:hAnsi="宋体" w:eastAsia="宋体" w:cs="宋体"/>
          <w:snapToGrid/>
          <w:spacing w:val="0"/>
          <w:w w:val="100"/>
          <w:kern w:val="21"/>
          <w:position w:val="0"/>
          <w:sz w:val="20"/>
          <w:szCs w:val="20"/>
        </w:rPr>
        <w:t>响应性评审标准：见评标办法前附表。</w:t>
      </w:r>
    </w:p>
    <w:p w14:paraId="001E14D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15" w:name="_Toc15338"/>
      <w:r>
        <w:rPr>
          <w:rFonts w:ascii="宋体" w:hAnsi="宋体" w:eastAsia="宋体" w:cs="宋体"/>
          <w:b/>
          <w:bCs/>
          <w:snapToGrid/>
          <w:spacing w:val="0"/>
          <w:w w:val="100"/>
          <w:kern w:val="21"/>
          <w:position w:val="0"/>
          <w:sz w:val="28"/>
          <w:szCs w:val="28"/>
        </w:rPr>
        <w:t>2.2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分值构成与评分标准</w:t>
      </w:r>
      <w:bookmarkEnd w:id="115"/>
    </w:p>
    <w:p w14:paraId="7EA8A82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3"/>
        <w:rPr>
          <w:rFonts w:ascii="Times New Roman" w:hAnsi="Times New Roman" w:eastAsia="Times New Roman" w:cs="Times New Roman"/>
          <w:snapToGrid/>
          <w:spacing w:val="0"/>
          <w:w w:val="100"/>
          <w:kern w:val="21"/>
          <w:position w:val="0"/>
          <w:sz w:val="20"/>
          <w:szCs w:val="20"/>
        </w:rPr>
      </w:pPr>
      <w:bookmarkStart w:id="116" w:name="_Toc32190"/>
      <w:r>
        <w:rPr>
          <w:rFonts w:ascii="Times New Roman" w:hAnsi="Times New Roman" w:eastAsia="Times New Roman" w:cs="Times New Roman"/>
          <w:snapToGrid/>
          <w:spacing w:val="0"/>
          <w:w w:val="100"/>
          <w:kern w:val="21"/>
          <w:position w:val="0"/>
          <w:sz w:val="20"/>
          <w:szCs w:val="20"/>
        </w:rPr>
        <w:t>2.2.1  分值构成：</w:t>
      </w:r>
      <w:bookmarkEnd w:id="116"/>
    </w:p>
    <w:p w14:paraId="1F2EFB1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（1）资信业绩部分：见评标办法前附表；</w:t>
      </w:r>
    </w:p>
    <w:p w14:paraId="5C1F83F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（2）施工组织设计部分：见评标办法前附表；</w:t>
      </w:r>
    </w:p>
    <w:p w14:paraId="42DC94F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（3）投标报价：见评标办法前附表；</w:t>
      </w:r>
    </w:p>
    <w:p w14:paraId="4A70669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（4）其他评分因素：见评标办法前附表。</w:t>
      </w:r>
    </w:p>
    <w:p w14:paraId="38566B0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3"/>
        <w:rPr>
          <w:rFonts w:ascii="Times New Roman" w:hAnsi="Times New Roman" w:eastAsia="Times New Roman" w:cs="Times New Roman"/>
          <w:snapToGrid/>
          <w:spacing w:val="0"/>
          <w:w w:val="100"/>
          <w:kern w:val="21"/>
          <w:position w:val="0"/>
          <w:sz w:val="20"/>
          <w:szCs w:val="20"/>
        </w:rPr>
      </w:pPr>
      <w:bookmarkStart w:id="117" w:name="_Toc30344"/>
      <w:r>
        <w:rPr>
          <w:rFonts w:ascii="Times New Roman" w:hAnsi="Times New Roman" w:eastAsia="Times New Roman" w:cs="Times New Roman"/>
          <w:snapToGrid/>
          <w:spacing w:val="0"/>
          <w:w w:val="100"/>
          <w:kern w:val="21"/>
          <w:position w:val="0"/>
          <w:sz w:val="20"/>
          <w:szCs w:val="20"/>
        </w:rPr>
        <w:t>2.2.2 评标基准价计算</w:t>
      </w:r>
      <w:bookmarkEnd w:id="117"/>
    </w:p>
    <w:p w14:paraId="7502962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评标基准价计算方法：见评标办法前附表。</w:t>
      </w:r>
    </w:p>
    <w:p w14:paraId="24CB929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3"/>
        <w:rPr>
          <w:rFonts w:ascii="Times New Roman" w:hAnsi="Times New Roman" w:eastAsia="Times New Roman" w:cs="Times New Roman"/>
          <w:snapToGrid/>
          <w:spacing w:val="0"/>
          <w:w w:val="100"/>
          <w:kern w:val="21"/>
          <w:position w:val="0"/>
          <w:sz w:val="20"/>
          <w:szCs w:val="20"/>
        </w:rPr>
      </w:pPr>
      <w:bookmarkStart w:id="118" w:name="_Toc26311"/>
      <w:r>
        <w:rPr>
          <w:rFonts w:ascii="Times New Roman" w:hAnsi="Times New Roman" w:eastAsia="Times New Roman" w:cs="Times New Roman"/>
          <w:snapToGrid/>
          <w:spacing w:val="0"/>
          <w:w w:val="100"/>
          <w:kern w:val="21"/>
          <w:position w:val="0"/>
          <w:sz w:val="20"/>
          <w:szCs w:val="20"/>
        </w:rPr>
        <w:t>2.2.3 投标报价的偏差率计算</w:t>
      </w:r>
      <w:bookmarkEnd w:id="118"/>
    </w:p>
    <w:p w14:paraId="16D5DF8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投标报价的偏差率计算公式：见评标办法前附表。</w:t>
      </w:r>
    </w:p>
    <w:p w14:paraId="2B41E53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3"/>
        <w:rPr>
          <w:rFonts w:ascii="Times New Roman" w:hAnsi="Times New Roman" w:eastAsia="Times New Roman" w:cs="Times New Roman"/>
          <w:snapToGrid/>
          <w:spacing w:val="0"/>
          <w:w w:val="100"/>
          <w:kern w:val="21"/>
          <w:position w:val="0"/>
          <w:sz w:val="20"/>
          <w:szCs w:val="20"/>
        </w:rPr>
      </w:pPr>
      <w:bookmarkStart w:id="119" w:name="_Toc1510"/>
      <w:r>
        <w:rPr>
          <w:rFonts w:ascii="Times New Roman" w:hAnsi="Times New Roman" w:eastAsia="Times New Roman" w:cs="Times New Roman"/>
          <w:snapToGrid/>
          <w:spacing w:val="0"/>
          <w:w w:val="100"/>
          <w:kern w:val="21"/>
          <w:position w:val="0"/>
          <w:sz w:val="20"/>
          <w:szCs w:val="20"/>
        </w:rPr>
        <w:t>2.2.4  评分标准：</w:t>
      </w:r>
      <w:bookmarkEnd w:id="119"/>
    </w:p>
    <w:p w14:paraId="4A001BD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（1）资信业绩评分标准：见评标办法前附表；</w:t>
      </w:r>
    </w:p>
    <w:p w14:paraId="4359C65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（2）施工组织设计评分标准：见评标办法前附表；</w:t>
      </w:r>
    </w:p>
    <w:p w14:paraId="3A0CE61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（3）投标报价评分标准：见评标办法前附表；</w:t>
      </w:r>
    </w:p>
    <w:p w14:paraId="72013EC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（4）其他因素评分标准：见评标办法前附表。</w:t>
      </w:r>
    </w:p>
    <w:p w14:paraId="32BE259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20" w:name="_Toc6631"/>
      <w:r>
        <w:rPr>
          <w:rFonts w:ascii="Times New Roman" w:hAnsi="Times New Roman" w:eastAsia="Times New Roman" w:cs="Times New Roman"/>
          <w:b/>
          <w:bCs/>
          <w:snapToGrid/>
          <w:spacing w:val="0"/>
          <w:w w:val="100"/>
          <w:kern w:val="21"/>
          <w:position w:val="0"/>
          <w:sz w:val="31"/>
          <w:szCs w:val="31"/>
        </w:rPr>
        <w:t xml:space="preserve">3 </w:t>
      </w:r>
      <w:r>
        <w:rPr>
          <w:rFonts w:ascii="宋体" w:hAnsi="宋体" w:eastAsia="宋体" w:cs="宋体"/>
          <w:b/>
          <w:bCs/>
          <w:snapToGrid/>
          <w:spacing w:val="0"/>
          <w:w w:val="100"/>
          <w:kern w:val="21"/>
          <w:position w:val="0"/>
          <w:sz w:val="31"/>
          <w:szCs w:val="31"/>
        </w:rPr>
        <w:t>．评标程序</w:t>
      </w:r>
      <w:bookmarkEnd w:id="120"/>
    </w:p>
    <w:p w14:paraId="2518692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21" w:name="_Toc1786"/>
      <w:r>
        <w:rPr>
          <w:rFonts w:ascii="宋体" w:hAnsi="宋体" w:eastAsia="宋体" w:cs="宋体"/>
          <w:b/>
          <w:bCs/>
          <w:snapToGrid/>
          <w:spacing w:val="0"/>
          <w:w w:val="100"/>
          <w:kern w:val="21"/>
          <w:position w:val="0"/>
          <w:sz w:val="28"/>
          <w:szCs w:val="28"/>
        </w:rPr>
        <w:t>3.1初步评审</w:t>
      </w:r>
      <w:bookmarkEnd w:id="121"/>
    </w:p>
    <w:p w14:paraId="590604D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3.1.1评标委员会依据本章第2.1款规定的标准对投标文件进行初步评审。有一项不符合评审标准 的，评标委员会应当否决其投标。</w:t>
      </w:r>
    </w:p>
    <w:p w14:paraId="20A6848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3.1.2  投标人有以下情形之一的，评标委员会应当否决其投标：</w:t>
      </w:r>
    </w:p>
    <w:p w14:paraId="0201149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（1）投标文件没有对招标文件的实质性要求和条件作出响应，或者对招标文件的偏差超出招标 文件规定的偏差范围或最高项数；</w:t>
      </w:r>
    </w:p>
    <w:p w14:paraId="2CDBBA7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（2）有串通投标、弄虚作假、行贿等违法行为。</w:t>
      </w:r>
    </w:p>
    <w:p w14:paraId="51B4623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3.1.3  投标报价有算术错误及其他错误的，评标委员会按以下原则对投标报价进行修正，并要求 投标人书面澄清确认。投标人拒不澄清确认的，评标委员会应当否决其投标：</w:t>
      </w:r>
    </w:p>
    <w:p w14:paraId="234AA16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（1）投标文件中的大写金额与小写金额不一致的， 以大写金额为准；</w:t>
      </w:r>
    </w:p>
    <w:p w14:paraId="55DEB2D0">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（2）总价金额与单价金额不一致的， 以单价金额为准，但单价金额小数点有明显错误的除外。</w:t>
      </w:r>
    </w:p>
    <w:p w14:paraId="38693C4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22" w:name="_Toc3306"/>
      <w:r>
        <w:rPr>
          <w:rFonts w:ascii="宋体" w:hAnsi="宋体" w:eastAsia="宋体" w:cs="宋体"/>
          <w:b/>
          <w:bCs/>
          <w:snapToGrid/>
          <w:spacing w:val="0"/>
          <w:w w:val="100"/>
          <w:kern w:val="21"/>
          <w:position w:val="0"/>
          <w:sz w:val="28"/>
          <w:szCs w:val="28"/>
        </w:rPr>
        <w:t>3.2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详细评审</w:t>
      </w:r>
      <w:bookmarkEnd w:id="122"/>
    </w:p>
    <w:p w14:paraId="010109E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3.2.1  评标委员会按本章第 2.2 款规定的量化因素和分值进行打分，并计算出综合评估得分。</w:t>
      </w:r>
    </w:p>
    <w:p w14:paraId="73FC481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（1）按本章第 2.2.4（ 1） 目规定的评审因素和分值对资信业绩部分计算出得分 A；</w:t>
      </w:r>
    </w:p>
    <w:p w14:paraId="591FDB8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（2）按本章第 2.2.4（2） 目规定的评审因素和分值对施工组织设计部分计算出得分 B；</w:t>
      </w:r>
    </w:p>
    <w:p w14:paraId="2BF8D0D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（3）按本章第 2.2.4（ 3） 目规定的评审因素和分值对投标报价计算出得分 C；</w:t>
      </w:r>
    </w:p>
    <w:p w14:paraId="3355F4B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（4）按本章第 2.2.4（4） 目规定的评审因素和分值对其他部分计算出得分 D。</w:t>
      </w:r>
    </w:p>
    <w:p w14:paraId="22498DB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3.2.2  评分分值计算保留小数点后两位，小数点后第三位“ 四舍五入 ”。</w:t>
      </w:r>
    </w:p>
    <w:p w14:paraId="2BA3B3F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3.2.3  投标人得分=A+B+C+D。</w:t>
      </w:r>
    </w:p>
    <w:p w14:paraId="72FFB6C1">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3.2.4  评标委员会发现投标人的报价明显低于其他投标报价或者存在异常低价投标情形，使得其 投标报价可能低于其个别成本的，应当要求该投标人作出书面说明并提供相应的证明材料。异常低 价投标情形的界定和评审要求见评标办法前附表。投标人不能合理说明或者不能提供相应证明材料 的，评标委员会应当认定该投标人以低于成本报价竞标，并否决其投标。</w:t>
      </w:r>
    </w:p>
    <w:p w14:paraId="72607ED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23" w:name="_Toc31310"/>
      <w:r>
        <w:rPr>
          <w:rFonts w:ascii="宋体" w:hAnsi="宋体" w:eastAsia="宋体" w:cs="宋体"/>
          <w:b/>
          <w:bCs/>
          <w:snapToGrid/>
          <w:spacing w:val="0"/>
          <w:w w:val="100"/>
          <w:kern w:val="21"/>
          <w:position w:val="0"/>
          <w:sz w:val="28"/>
          <w:szCs w:val="28"/>
        </w:rPr>
        <w:t>3.3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投标文件的澄清和补正</w:t>
      </w:r>
      <w:bookmarkEnd w:id="123"/>
    </w:p>
    <w:p w14:paraId="6BF70BAE">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3.3.1  </w:t>
      </w:r>
      <w:r>
        <w:rPr>
          <w:rFonts w:ascii="宋体" w:hAnsi="宋体" w:eastAsia="宋体" w:cs="宋体"/>
          <w:snapToGrid/>
          <w:spacing w:val="0"/>
          <w:w w:val="100"/>
          <w:kern w:val="21"/>
          <w:position w:val="0"/>
          <w:sz w:val="20"/>
          <w:szCs w:val="20"/>
        </w:rPr>
        <w:t>在评标过程中，评标委员会可以书面形式要求投标人对投标文件中含义不明确、对同类问 题表述不一致或者有明显文字和计算错误的内容作必要的澄清、说明或补正。澄清、说明或补正应 以书面方式进行。评标委员会不接受投标人主动提出的澄清、说明或补正。</w:t>
      </w:r>
    </w:p>
    <w:p w14:paraId="65F77EE5">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3.3.2  </w:t>
      </w:r>
      <w:r>
        <w:rPr>
          <w:rFonts w:ascii="宋体" w:hAnsi="宋体" w:eastAsia="宋体" w:cs="宋体"/>
          <w:snapToGrid/>
          <w:spacing w:val="0"/>
          <w:w w:val="100"/>
          <w:kern w:val="21"/>
          <w:position w:val="0"/>
          <w:sz w:val="20"/>
          <w:szCs w:val="20"/>
        </w:rPr>
        <w:t>澄清、说明或补正不得超出投标文件的范围且不得改变投标文件的实质性内容（算术性错 误修正的除外），并构成投标文件的组成部分。</w:t>
      </w:r>
    </w:p>
    <w:p w14:paraId="0DFE8129">
      <w:pPr>
        <w:keepNext w:val="0"/>
        <w:keepLines w:val="0"/>
        <w:pageBreakBefore w:val="0"/>
        <w:widowControl w:val="0"/>
        <w:kinsoku/>
        <w:wordWrap w:val="0"/>
        <w:overflowPunct/>
        <w:topLinePunct/>
        <w:autoSpaceDE w:val="0"/>
        <w:autoSpaceDN/>
        <w:bidi w:val="0"/>
        <w:adjustRightInd/>
        <w:snapToGrid/>
        <w:spacing w:line="560" w:lineRule="exact"/>
        <w:ind w:left="0" w:right="0" w:firstLine="4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3.3.3  </w:t>
      </w:r>
      <w:r>
        <w:rPr>
          <w:rFonts w:ascii="宋体" w:hAnsi="宋体" w:eastAsia="宋体" w:cs="宋体"/>
          <w:snapToGrid/>
          <w:spacing w:val="0"/>
          <w:w w:val="100"/>
          <w:kern w:val="21"/>
          <w:position w:val="0"/>
          <w:sz w:val="20"/>
          <w:szCs w:val="20"/>
        </w:rPr>
        <w:t>评标委员会对投标人提交的澄清、说明或补正有疑问的，可以要求投标人进一步澄清、说 明或补正，直至满足评标委员会的要求。</w:t>
      </w:r>
    </w:p>
    <w:p w14:paraId="0879AD3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8"/>
          <w:szCs w:val="28"/>
        </w:rPr>
      </w:pPr>
      <w:bookmarkStart w:id="124" w:name="_Toc16506"/>
      <w:r>
        <w:rPr>
          <w:rFonts w:ascii="宋体" w:hAnsi="宋体" w:eastAsia="宋体" w:cs="宋体"/>
          <w:b/>
          <w:bCs/>
          <w:snapToGrid/>
          <w:spacing w:val="0"/>
          <w:w w:val="100"/>
          <w:kern w:val="21"/>
          <w:position w:val="0"/>
          <w:sz w:val="28"/>
          <w:szCs w:val="28"/>
        </w:rPr>
        <w:t>3.4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评标结果</w:t>
      </w:r>
      <w:bookmarkEnd w:id="124"/>
    </w:p>
    <w:p w14:paraId="2924551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3.4.1除第二章“投标人须知 ”前附表授权直接确定中标人外，评标委员会按照得分由高到低的 顺序推荐中标候选人，并标明推荐顺序。</w:t>
      </w:r>
    </w:p>
    <w:p w14:paraId="120729E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3.4.2  评标委员会完成评标后，应当向招标人提交书面评标报告和中标候选人名单。</w:t>
      </w:r>
    </w:p>
    <w:p w14:paraId="47EEA3E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Arial"/>
          <w:snapToGrid/>
          <w:spacing w:val="0"/>
          <w:w w:val="100"/>
          <w:kern w:val="21"/>
          <w:position w:val="0"/>
          <w:sz w:val="21"/>
        </w:rPr>
      </w:pPr>
      <w:bookmarkStart w:id="125" w:name="_Toc24345"/>
      <w:r>
        <w:rPr>
          <w:rFonts w:ascii="Times New Roman" w:hAnsi="Times New Roman" w:eastAsia="Times New Roman" w:cs="Times New Roman"/>
          <w:b/>
          <w:bCs/>
          <w:snapToGrid/>
          <w:spacing w:val="0"/>
          <w:w w:val="100"/>
          <w:kern w:val="21"/>
          <w:position w:val="0"/>
          <w:sz w:val="31"/>
          <w:szCs w:val="31"/>
        </w:rPr>
        <w:t xml:space="preserve">4.  </w:t>
      </w:r>
      <w:r>
        <w:rPr>
          <w:rFonts w:ascii="宋体" w:hAnsi="宋体" w:eastAsia="宋体" w:cs="宋体"/>
          <w:b/>
          <w:bCs/>
          <w:snapToGrid/>
          <w:spacing w:val="0"/>
          <w:w w:val="100"/>
          <w:kern w:val="21"/>
          <w:position w:val="0"/>
          <w:sz w:val="31"/>
          <w:szCs w:val="31"/>
        </w:rPr>
        <w:t>特殊情况的处置</w:t>
      </w:r>
      <w:bookmarkEnd w:id="125"/>
    </w:p>
    <w:p w14:paraId="08B3120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26" w:name="_Toc6976"/>
      <w:r>
        <w:rPr>
          <w:rFonts w:ascii="宋体" w:hAnsi="宋体" w:eastAsia="宋体" w:cs="宋体"/>
          <w:b/>
          <w:bCs/>
          <w:snapToGrid/>
          <w:spacing w:val="0"/>
          <w:w w:val="100"/>
          <w:kern w:val="21"/>
          <w:position w:val="0"/>
          <w:sz w:val="28"/>
          <w:szCs w:val="28"/>
        </w:rPr>
        <w:t>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关于评标活动暂停</w:t>
      </w:r>
      <w:bookmarkEnd w:id="126"/>
    </w:p>
    <w:p w14:paraId="2A1AAF85">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4.1.1  </w:t>
      </w:r>
      <w:r>
        <w:rPr>
          <w:rFonts w:ascii="宋体" w:hAnsi="宋体" w:eastAsia="宋体" w:cs="宋体"/>
          <w:snapToGrid/>
          <w:spacing w:val="0"/>
          <w:w w:val="100"/>
          <w:kern w:val="21"/>
          <w:position w:val="0"/>
          <w:sz w:val="20"/>
          <w:szCs w:val="20"/>
        </w:rPr>
        <w:t>评标委员会应当连续评标，按评标办法中规定的程序、内容、方法、标准完成全部评标工 作。只有发生不可抗力导致评标工作无法进行时，评标活动方可暂停。</w:t>
      </w:r>
    </w:p>
    <w:p w14:paraId="7E4E33F7">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4.1.2  </w:t>
      </w:r>
      <w:r>
        <w:rPr>
          <w:rFonts w:ascii="宋体" w:hAnsi="宋体" w:eastAsia="宋体" w:cs="宋体"/>
          <w:snapToGrid/>
          <w:spacing w:val="0"/>
          <w:w w:val="100"/>
          <w:kern w:val="21"/>
          <w:position w:val="0"/>
          <w:sz w:val="20"/>
          <w:szCs w:val="20"/>
        </w:rPr>
        <w:t>发生评标暂停情况时，评标委员会应当封存全部投标文件和开标评标资料，待不可抗力的 影响结束且具备继续评标的条件时， 由原评标委员会继续评标。</w:t>
      </w:r>
    </w:p>
    <w:p w14:paraId="1730E8E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Arial"/>
          <w:snapToGrid/>
          <w:spacing w:val="0"/>
          <w:w w:val="100"/>
          <w:kern w:val="21"/>
          <w:position w:val="0"/>
          <w:sz w:val="21"/>
        </w:rPr>
      </w:pPr>
      <w:bookmarkStart w:id="127" w:name="_Toc7281"/>
      <w:r>
        <w:rPr>
          <w:rFonts w:ascii="宋体" w:hAnsi="宋体" w:eastAsia="宋体" w:cs="宋体"/>
          <w:b/>
          <w:bCs/>
          <w:snapToGrid/>
          <w:spacing w:val="0"/>
          <w:w w:val="100"/>
          <w:kern w:val="21"/>
          <w:position w:val="0"/>
          <w:sz w:val="28"/>
          <w:szCs w:val="28"/>
        </w:rPr>
        <w:t>4.2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关于评标中途更换评标委员会成员</w:t>
      </w:r>
      <w:bookmarkEnd w:id="127"/>
    </w:p>
    <w:p w14:paraId="6B4AF5A9">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4.2.1  除非发生下列情况之一，评标委员会成员不得在评标中途更换：</w:t>
      </w:r>
    </w:p>
    <w:p w14:paraId="74F9F94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（1）因不可抗拒的客观原因，不能到场或需在评标中途退出评标活动。</w:t>
      </w:r>
    </w:p>
    <w:p w14:paraId="5D78D1D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（2）根据法律法规规定，某个或某几个评标委员会成员需要回避。</w:t>
      </w:r>
    </w:p>
    <w:p w14:paraId="4006997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Times New Roman" w:hAnsi="Times New Roman" w:eastAsia="Times New Roman" w:cs="Times New Roman"/>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4.2.2  退出评标的评标委员会成员，其已完成的评标行为无效。由招标人根据本招标文件规定的 评标委员会成员产生方式另行确定替代者进行评标。</w:t>
      </w:r>
    </w:p>
    <w:p w14:paraId="242FEE6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28" w:name="_Toc16096"/>
      <w:r>
        <w:rPr>
          <w:rFonts w:ascii="宋体" w:hAnsi="宋体" w:eastAsia="宋体" w:cs="宋体"/>
          <w:b/>
          <w:bCs/>
          <w:snapToGrid/>
          <w:spacing w:val="0"/>
          <w:w w:val="100"/>
          <w:kern w:val="21"/>
          <w:position w:val="0"/>
          <w:sz w:val="28"/>
          <w:szCs w:val="28"/>
        </w:rPr>
        <w:t>4.3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记名投票</w:t>
      </w:r>
      <w:bookmarkEnd w:id="128"/>
    </w:p>
    <w:p w14:paraId="06B2C01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b/>
          <w:bCs/>
          <w:snapToGrid/>
          <w:spacing w:val="0"/>
          <w:w w:val="100"/>
          <w:kern w:val="21"/>
          <w:position w:val="0"/>
          <w:sz w:val="43"/>
          <w:szCs w:val="43"/>
        </w:rPr>
      </w:pPr>
      <w:r>
        <w:rPr>
          <w:rFonts w:ascii="Times New Roman" w:hAnsi="Times New Roman" w:eastAsia="Times New Roman" w:cs="Times New Roman"/>
          <w:snapToGrid/>
          <w:spacing w:val="0"/>
          <w:w w:val="100"/>
          <w:kern w:val="21"/>
          <w:position w:val="0"/>
          <w:sz w:val="20"/>
          <w:szCs w:val="20"/>
        </w:rPr>
        <w:t>在任何评标环节中，需评标委员会就某项定性的评审结论做出表决的， 由评标委员会全体成员 按照少数服从多数的原则， 以记名投票方式表决（不得弃权）。</w:t>
      </w:r>
    </w:p>
    <w:p w14:paraId="36A75348">
      <w:pPr>
        <w:rPr>
          <w:rFonts w:ascii="宋体" w:hAnsi="宋体" w:eastAsia="宋体" w:cs="宋体"/>
          <w:b/>
          <w:bCs/>
          <w:snapToGrid/>
          <w:spacing w:val="0"/>
          <w:w w:val="100"/>
          <w:kern w:val="21"/>
          <w:position w:val="0"/>
          <w:sz w:val="43"/>
          <w:szCs w:val="43"/>
        </w:rPr>
      </w:pPr>
      <w:r>
        <w:rPr>
          <w:rFonts w:ascii="宋体" w:hAnsi="宋体" w:eastAsia="宋体" w:cs="宋体"/>
          <w:b/>
          <w:bCs/>
          <w:snapToGrid/>
          <w:spacing w:val="0"/>
          <w:w w:val="100"/>
          <w:kern w:val="21"/>
          <w:position w:val="0"/>
          <w:sz w:val="43"/>
          <w:szCs w:val="43"/>
        </w:rPr>
        <w:br w:type="page"/>
      </w:r>
    </w:p>
    <w:p w14:paraId="3F8ED31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129" w:name="_Toc16927"/>
      <w:bookmarkStart w:id="130" w:name="_Toc20671"/>
      <w:bookmarkStart w:id="131" w:name="_Toc14247"/>
      <w:r>
        <w:rPr>
          <w:rFonts w:ascii="宋体" w:hAnsi="宋体" w:eastAsia="宋体" w:cs="宋体"/>
          <w:b/>
          <w:bCs/>
          <w:snapToGrid/>
          <w:spacing w:val="0"/>
          <w:w w:val="100"/>
          <w:kern w:val="21"/>
          <w:position w:val="0"/>
          <w:sz w:val="43"/>
          <w:szCs w:val="43"/>
        </w:rPr>
        <w:t>第四章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合同条款及格式</w:t>
      </w:r>
      <w:bookmarkEnd w:id="129"/>
      <w:bookmarkEnd w:id="130"/>
      <w:bookmarkEnd w:id="131"/>
    </w:p>
    <w:p w14:paraId="75AA0EA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9"/>
        <w:rPr>
          <w:rFonts w:ascii="宋体" w:hAnsi="宋体" w:eastAsia="宋体" w:cs="宋体"/>
          <w:snapToGrid/>
          <w:spacing w:val="0"/>
          <w:w w:val="100"/>
          <w:kern w:val="21"/>
          <w:position w:val="0"/>
          <w:sz w:val="31"/>
          <w:szCs w:val="31"/>
        </w:rPr>
      </w:pPr>
      <w:bookmarkStart w:id="132" w:name="bookmark133"/>
      <w:bookmarkEnd w:id="132"/>
      <w:bookmarkStart w:id="133" w:name="_Toc11788"/>
      <w:r>
        <w:rPr>
          <w:rFonts w:ascii="宋体" w:hAnsi="宋体" w:eastAsia="宋体" w:cs="宋体"/>
          <w:b/>
          <w:bCs/>
          <w:snapToGrid/>
          <w:spacing w:val="0"/>
          <w:w w:val="100"/>
          <w:kern w:val="21"/>
          <w:position w:val="0"/>
          <w:sz w:val="31"/>
          <w:szCs w:val="31"/>
        </w:rPr>
        <w:t>第一节</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通用合同条款</w:t>
      </w:r>
      <w:bookmarkEnd w:id="133"/>
    </w:p>
    <w:p w14:paraId="434C824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34" w:name="bookmark134"/>
      <w:bookmarkEnd w:id="134"/>
      <w:bookmarkStart w:id="135" w:name="_Toc8730"/>
      <w:r>
        <w:rPr>
          <w:rFonts w:ascii="宋体" w:hAnsi="宋体" w:eastAsia="宋体" w:cs="宋体"/>
          <w:b/>
          <w:bCs/>
          <w:snapToGrid/>
          <w:spacing w:val="0"/>
          <w:w w:val="100"/>
          <w:kern w:val="21"/>
          <w:position w:val="0"/>
          <w:sz w:val="31"/>
          <w:szCs w:val="31"/>
        </w:rPr>
        <w:t>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一般约定</w:t>
      </w:r>
      <w:bookmarkEnd w:id="135"/>
    </w:p>
    <w:p w14:paraId="0CE0CD8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36" w:name="_Toc5124"/>
      <w:r>
        <w:rPr>
          <w:rFonts w:ascii="宋体" w:hAnsi="宋体" w:eastAsia="宋体" w:cs="宋体"/>
          <w:b/>
          <w:bCs/>
          <w:snapToGrid/>
          <w:spacing w:val="0"/>
          <w:w w:val="100"/>
          <w:kern w:val="21"/>
          <w:position w:val="0"/>
          <w:sz w:val="28"/>
          <w:szCs w:val="28"/>
        </w:rPr>
        <w:t>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词语定义</w:t>
      </w:r>
      <w:bookmarkEnd w:id="136"/>
    </w:p>
    <w:p w14:paraId="4FA76F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通用合同条款、专用合同条款中的下列词语应具有本款所赋予的含义。</w:t>
      </w:r>
    </w:p>
    <w:p w14:paraId="2747B1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37" w:name="_Toc15926"/>
      <w:r>
        <w:rPr>
          <w:rFonts w:ascii="宋体" w:hAnsi="宋体" w:eastAsia="宋体" w:cs="宋体"/>
          <w:b/>
          <w:bCs/>
          <w:snapToGrid/>
          <w:spacing w:val="0"/>
          <w:w w:val="100"/>
          <w:kern w:val="21"/>
          <w:position w:val="0"/>
          <w:sz w:val="20"/>
          <w:szCs w:val="20"/>
        </w:rPr>
        <w:t>1.1.1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合同</w:t>
      </w:r>
      <w:bookmarkEnd w:id="137"/>
    </w:p>
    <w:p w14:paraId="01A062F2">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1.1.1.1 合同文件（或称合同）：指合同协议书、中标通知书、投标函及投标函附录、专用合同 条款、通用合同条款、技术标准和要求、图纸、已标价工程量清单， 以及其他合同文件。</w:t>
      </w:r>
    </w:p>
    <w:p w14:paraId="31E4A10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1.1.1.2 合同协议书：指第 1.5 款所指的合同协议书。</w:t>
      </w:r>
    </w:p>
    <w:p w14:paraId="424999A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1.1.1.3 中标通知书：指发包人通知承包人中标的函件。</w:t>
      </w:r>
    </w:p>
    <w:p w14:paraId="4907129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1.1.1.4 投标函：指构成合同文件组成部分的由承包人填写并签署的投标函。</w:t>
      </w:r>
    </w:p>
    <w:p w14:paraId="52699B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1.1.1.5 投标函附录：指附在投标函后构成合同文件的投标函附录。</w:t>
      </w:r>
    </w:p>
    <w:p w14:paraId="148A09F6">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1.1.1.6 技术标准和要求：指构成合同文件组成部分的名为技术标准和要求的文件，包括合同 双方当事人约定对其所作的修改或补充。</w:t>
      </w:r>
    </w:p>
    <w:p w14:paraId="77813810">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1.1.1.7 图纸：指包含在合同中的工程图纸， 以及由发包人按合同约定提供的任何补充和修改 的图纸，包括配套的说明。</w:t>
      </w:r>
    </w:p>
    <w:p w14:paraId="7AB0F0A2">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1.1.1.8 已标价工程量清单：指构成合同文件组成部分的由承包人按照规定的格式和要求填写 并标明价格的工程量清单。</w:t>
      </w:r>
    </w:p>
    <w:p w14:paraId="533498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1.1.1.9 其他合同文件：指经合同双方当事人确认构成合同文件的其他文件。</w:t>
      </w:r>
    </w:p>
    <w:p w14:paraId="4EBA913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38" w:name="_Toc16701"/>
      <w:r>
        <w:rPr>
          <w:rFonts w:ascii="宋体" w:hAnsi="宋体" w:eastAsia="宋体" w:cs="宋体"/>
          <w:b/>
          <w:bCs/>
          <w:snapToGrid/>
          <w:spacing w:val="0"/>
          <w:w w:val="100"/>
          <w:kern w:val="21"/>
          <w:position w:val="0"/>
          <w:sz w:val="20"/>
          <w:szCs w:val="20"/>
        </w:rPr>
        <w:t>1.1.2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合同当事人和人员</w:t>
      </w:r>
      <w:bookmarkEnd w:id="138"/>
    </w:p>
    <w:p w14:paraId="5328A1C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1.1.2.1 合同当事人:指发包人和（或） 承包人。</w:t>
      </w:r>
    </w:p>
    <w:p w14:paraId="79BB58A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1.1.2.2 发包人：指专用合同条款中指明并与承包人在合同协议书中签字的当事人。</w:t>
      </w:r>
    </w:p>
    <w:p w14:paraId="7A55364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1.1.2.3 承包人：指与发包人签订合同协议书的当事人。</w:t>
      </w:r>
    </w:p>
    <w:p w14:paraId="36E46F2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1.1.2.4 承包人项目经理：指承包人派驻施工场地的全权负责人。</w:t>
      </w:r>
    </w:p>
    <w:p w14:paraId="32D0F66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1.1.2.5 分包人：指从承包人处分包合同中某一部分工程，并与其签订分包合同的分包人。</w:t>
      </w:r>
    </w:p>
    <w:p w14:paraId="5493E5AD">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1.1.2.6 监理人：指在专用合同条款中指明的，受发包人委托对合同履行实施管理的法人或其 他组织。</w:t>
      </w:r>
    </w:p>
    <w:p w14:paraId="1AE32A22">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1.1.2.7 总监理工程师（总监）：指由监理人委派常驻施工场地对合同履行实施管理的全权负责 人。</w:t>
      </w:r>
    </w:p>
    <w:p w14:paraId="1455884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39" w:name="_Toc28423"/>
      <w:r>
        <w:rPr>
          <w:rFonts w:ascii="宋体" w:hAnsi="宋体" w:eastAsia="宋体" w:cs="宋体"/>
          <w:b/>
          <w:bCs/>
          <w:snapToGrid/>
          <w:spacing w:val="0"/>
          <w:w w:val="100"/>
          <w:kern w:val="21"/>
          <w:position w:val="0"/>
          <w:sz w:val="20"/>
          <w:szCs w:val="20"/>
        </w:rPr>
        <w:t>1.1.3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工程和设备</w:t>
      </w:r>
      <w:bookmarkEnd w:id="139"/>
    </w:p>
    <w:p w14:paraId="27EB9FD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1.1.3.1 工程：指永久工程和（或） 临时工程。</w:t>
      </w:r>
    </w:p>
    <w:p w14:paraId="76977D6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1.1.3.2 永久工程：指按合同约定建造并移交给发包人的工程，包括工程设备。</w:t>
      </w:r>
    </w:p>
    <w:p w14:paraId="5995A0F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1.1.3.3 临时工程：指为完成合同约定的永久工程所修建的各类临时性工程，不包括施工设备。</w:t>
      </w:r>
    </w:p>
    <w:p w14:paraId="0AD3EFA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1.1.3.4 单位工程：指专用合同条款中指明特定范围的永久工程。</w:t>
      </w:r>
    </w:p>
    <w:p w14:paraId="1B2E3640">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1.1.3.5 工程设备：指构成或计划构成永久工程一部分的机电设备、金属结构设备、仪器装置 及其他类似的设备和装置。</w:t>
      </w:r>
    </w:p>
    <w:p w14:paraId="1F1F9192">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1.1.3.6 施工设备：指为完成合同约定的各项工作所需的设备、器具和其他物品，不包括临时 工程和材料。</w:t>
      </w:r>
    </w:p>
    <w:p w14:paraId="0B2D959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1.1.3.7 临时设施：指为完成合同约定的各项工作所服务的临时性生产和生活设施。</w:t>
      </w:r>
    </w:p>
    <w:p w14:paraId="5D3A5B8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1.1.3.8 承包人设备：指承包人自带的施工设备。</w:t>
      </w:r>
    </w:p>
    <w:p w14:paraId="075E63C8">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1.1.3.9 施工场地（或称工地、现场）：指用于合同工程施工的场所，以及在合同中指定作为施 工场地组成部分的其他场所，包括永久占地和临时占地。</w:t>
      </w:r>
    </w:p>
    <w:p w14:paraId="680D99E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"1.1.3.10"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1.1.3.10</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永久占地：指专用合同条款中指明为实施合同工程需永久占用的土地。</w:t>
      </w:r>
    </w:p>
    <w:p w14:paraId="14999CE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"1.1.3.11"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1.1.3.11</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临时占地：指专用合同条款中指明为实施合同工程需临时占用的土地。</w:t>
      </w:r>
    </w:p>
    <w:p w14:paraId="62462CC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40" w:name="_Toc19965"/>
      <w:r>
        <w:rPr>
          <w:rFonts w:ascii="宋体" w:hAnsi="宋体" w:eastAsia="宋体" w:cs="宋体"/>
          <w:b/>
          <w:bCs/>
          <w:snapToGrid/>
          <w:spacing w:val="0"/>
          <w:w w:val="100"/>
          <w:kern w:val="21"/>
          <w:position w:val="0"/>
          <w:sz w:val="20"/>
          <w:szCs w:val="20"/>
        </w:rPr>
        <w:t>1.1.4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日期</w:t>
      </w:r>
      <w:bookmarkEnd w:id="140"/>
    </w:p>
    <w:p w14:paraId="28B4561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1.1.4.1 开工通知：指监理人按第 11.1 款通知承包人开工的函件。</w:t>
      </w:r>
    </w:p>
    <w:p w14:paraId="0F0F836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1.1.4.2 开工日期：指监理人按第 11.1 款发出的开工通知中写明的开工日期。</w:t>
      </w:r>
    </w:p>
    <w:p w14:paraId="2FE89EA8">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1.1.4.3 工期：指承包人在投标函中承诺的完成合同工程所需的期限，包括按第 11.3 款、第 11.4 款和第 11.6 款约定所作的变更。</w:t>
      </w:r>
    </w:p>
    <w:p w14:paraId="7D044CF4">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1.1.4.4 竣工日期：指第 </w:t>
      </w:r>
      <w:r>
        <w:rPr>
          <w:snapToGrid/>
          <w:spacing w:val="0"/>
          <w:w w:val="100"/>
          <w:kern w:val="21"/>
          <w:position w:val="0"/>
        </w:rPr>
        <w:fldChar w:fldCharType="begin"/>
      </w:r>
      <w:r>
        <w:rPr>
          <w:snapToGrid/>
          <w:spacing w:val="0"/>
          <w:w w:val="100"/>
          <w:kern w:val="21"/>
          <w:position w:val="0"/>
        </w:rPr>
        <w:instrText xml:space="preserve"> HYPERLINK "1.1.4.3"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1.1.4.3</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目约定工期届满时的日期。实际竣工日期以工程接收证书中 写明的日期为准。</w:t>
      </w:r>
    </w:p>
    <w:p w14:paraId="3359185F">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1.1.4.5 缺陷责任期：指履行第 19.2 款约定的缺陷责任的期限，具体期限由专用合同条款约定， 包括根据第 19.3 款约定所作的延长。</w:t>
      </w:r>
    </w:p>
    <w:p w14:paraId="6E523E7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1.1.4.6 基准日期：指投标截止时间前 28 天的日期。</w:t>
      </w:r>
    </w:p>
    <w:p w14:paraId="3C0E72CE">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1.1.4.7 天：除特别指明外，指日历天。合同中按天计算时间的，开始当天不计入，从次日开 始计算。期限最后一天的截止时间为当天 24:00。</w:t>
      </w:r>
    </w:p>
    <w:p w14:paraId="6DF5583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41" w:name="_Toc4428"/>
      <w:r>
        <w:rPr>
          <w:rFonts w:ascii="宋体" w:hAnsi="宋体" w:eastAsia="宋体" w:cs="宋体"/>
          <w:b/>
          <w:bCs/>
          <w:snapToGrid/>
          <w:spacing w:val="0"/>
          <w:w w:val="100"/>
          <w:kern w:val="21"/>
          <w:position w:val="0"/>
          <w:sz w:val="20"/>
          <w:szCs w:val="20"/>
        </w:rPr>
        <w:t>1.1.5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合同价格和费用</w:t>
      </w:r>
      <w:bookmarkEnd w:id="141"/>
    </w:p>
    <w:p w14:paraId="5894CCC6">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1.1.5.1 签约合同价：指签订合同时合同协议书中写明的，包括了暂列金额、暂估价的合同总 金额。</w:t>
      </w:r>
    </w:p>
    <w:p w14:paraId="21969020">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1.1.5.2 合同价格：指承包人按合同约定完成了包括缺陷责任期内的全部承包工作后，发包人 应付给承包人的金额，包括在履行合同过程中按合同约定进行的变更和调整。</w:t>
      </w:r>
    </w:p>
    <w:p w14:paraId="443A7D1D">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1.1.5.3 费用：指为履行合同所发生的或将要发生的所有合理开支，包括管理费和应分摊的其 他费用，但不包括利润。</w:t>
      </w:r>
    </w:p>
    <w:p w14:paraId="0666B472">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1.1.5.4 暂列金额：指已标价工程量清单中所列的暂列金额，用于在签订协议书时尚未确定或 不可预见变更的施工及其所需材料、工程设备、服务等的金额，包括以计日工方式支付的金额。</w:t>
      </w:r>
    </w:p>
    <w:p w14:paraId="4B19D0C8">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1.1.5.5 暂估价：指发包人在工程量清单中给定的用于支付必然发生但暂时不能确定价格的材 料、设备以及专业工程的金额。</w:t>
      </w:r>
    </w:p>
    <w:p w14:paraId="67791C57">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1.1.5.6 计日工：指对零星工作采取的一种计价方式，按合同中的计日工子目及其单价计价付 款。</w:t>
      </w:r>
    </w:p>
    <w:p w14:paraId="049BF13A">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1.1.5.7 质量保证金（或称保留金）：指按第 17.4.1 项约定用于保证在缺陷责任期内履行缺陷 修复义务的金额。</w:t>
      </w:r>
    </w:p>
    <w:p w14:paraId="24B3DE9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42" w:name="_Toc6967"/>
      <w:r>
        <w:rPr>
          <w:rFonts w:ascii="宋体" w:hAnsi="宋体" w:eastAsia="宋体" w:cs="宋体"/>
          <w:b/>
          <w:bCs/>
          <w:snapToGrid/>
          <w:spacing w:val="0"/>
          <w:w w:val="100"/>
          <w:kern w:val="21"/>
          <w:position w:val="0"/>
          <w:sz w:val="20"/>
          <w:szCs w:val="20"/>
        </w:rPr>
        <w:t>1.1.6</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其他</w:t>
      </w:r>
      <w:bookmarkEnd w:id="142"/>
    </w:p>
    <w:p w14:paraId="1A909D3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Times New Roman" w:hAnsi="Times New Roman" w:eastAsia="Times New Roman" w:cs="Times New Roman"/>
          <w:snapToGrid/>
          <w:spacing w:val="0"/>
          <w:w w:val="100"/>
          <w:kern w:val="21"/>
          <w:position w:val="0"/>
          <w:sz w:val="20"/>
          <w:szCs w:val="20"/>
        </w:rPr>
        <w:t xml:space="preserve">1.1.6.1  </w:t>
      </w:r>
      <w:r>
        <w:rPr>
          <w:rFonts w:ascii="宋体" w:hAnsi="宋体" w:eastAsia="宋体" w:cs="宋体"/>
          <w:snapToGrid/>
          <w:spacing w:val="0"/>
          <w:w w:val="100"/>
          <w:kern w:val="21"/>
          <w:position w:val="0"/>
          <w:sz w:val="20"/>
          <w:szCs w:val="20"/>
        </w:rPr>
        <w:t>书面形式：指合同文件、信函、电报、传真等可以有形地表现所载内容的形式。</w:t>
      </w:r>
    </w:p>
    <w:p w14:paraId="386E3AB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43" w:name="_Toc25756"/>
      <w:r>
        <w:rPr>
          <w:rFonts w:ascii="宋体" w:hAnsi="宋体" w:eastAsia="宋体" w:cs="宋体"/>
          <w:b/>
          <w:bCs/>
          <w:snapToGrid/>
          <w:spacing w:val="0"/>
          <w:w w:val="100"/>
          <w:kern w:val="21"/>
          <w:position w:val="0"/>
          <w:sz w:val="28"/>
          <w:szCs w:val="28"/>
        </w:rPr>
        <w:t>1.2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语言文字</w:t>
      </w:r>
      <w:bookmarkEnd w:id="143"/>
    </w:p>
    <w:p w14:paraId="5A2CEBC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除专用术语外，合同使用的语言文字为中文。必要时专用术语应附有中文注释。</w:t>
      </w:r>
    </w:p>
    <w:p w14:paraId="7A36186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AA7058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44" w:name="_Toc27373"/>
      <w:r>
        <w:rPr>
          <w:rFonts w:ascii="宋体" w:hAnsi="宋体" w:eastAsia="宋体" w:cs="宋体"/>
          <w:b/>
          <w:bCs/>
          <w:snapToGrid/>
          <w:spacing w:val="0"/>
          <w:w w:val="100"/>
          <w:kern w:val="21"/>
          <w:position w:val="0"/>
          <w:sz w:val="28"/>
          <w:szCs w:val="28"/>
        </w:rPr>
        <w:t>1.3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法律</w:t>
      </w:r>
      <w:bookmarkEnd w:id="144"/>
    </w:p>
    <w:p w14:paraId="45059499">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适用于合同的法律包括中华人民共和国法律、行政法规、部门规章， 以及工程所在地的地方法 规、自治条例、单行条例和地方政府规章。</w:t>
      </w:r>
    </w:p>
    <w:p w14:paraId="6A0942F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45" w:name="_Toc10410"/>
      <w:r>
        <w:rPr>
          <w:rFonts w:ascii="宋体" w:hAnsi="宋体" w:eastAsia="宋体" w:cs="宋体"/>
          <w:b/>
          <w:bCs/>
          <w:snapToGrid/>
          <w:spacing w:val="0"/>
          <w:w w:val="100"/>
          <w:kern w:val="21"/>
          <w:position w:val="0"/>
          <w:sz w:val="28"/>
          <w:szCs w:val="28"/>
        </w:rPr>
        <w:t>1.4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合同文件的优先顺序</w:t>
      </w:r>
      <w:bookmarkEnd w:id="145"/>
    </w:p>
    <w:p w14:paraId="3F78B4FE">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组成合同的各项文件应互相解释，互为说明。除专用合同条款另有约定外，解释合同文件的优 先顺序如下：</w:t>
      </w:r>
    </w:p>
    <w:p w14:paraId="6428B24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（1）合同协议书；</w:t>
      </w:r>
    </w:p>
    <w:p w14:paraId="55E6366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（2）中标通知书；</w:t>
      </w:r>
    </w:p>
    <w:p w14:paraId="5AC5DB4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（3）投标函及投标函附录；</w:t>
      </w:r>
    </w:p>
    <w:p w14:paraId="3D9B897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（4）专用合同条款；</w:t>
      </w:r>
    </w:p>
    <w:p w14:paraId="0437008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（5）通用合同条款；</w:t>
      </w:r>
    </w:p>
    <w:p w14:paraId="3995C94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（6）技术标准和要求；</w:t>
      </w:r>
    </w:p>
    <w:p w14:paraId="19A37EE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（7）图纸；</w:t>
      </w:r>
    </w:p>
    <w:p w14:paraId="246872D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 已标价工程量清单；</w:t>
      </w:r>
    </w:p>
    <w:p w14:paraId="28593A8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（9）其他合同文件。</w:t>
      </w:r>
    </w:p>
    <w:p w14:paraId="79AF173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46" w:name="_Toc21718"/>
      <w:r>
        <w:rPr>
          <w:rFonts w:ascii="宋体" w:hAnsi="宋体" w:eastAsia="宋体" w:cs="宋体"/>
          <w:b/>
          <w:bCs/>
          <w:snapToGrid/>
          <w:spacing w:val="0"/>
          <w:w w:val="100"/>
          <w:kern w:val="21"/>
          <w:position w:val="0"/>
          <w:sz w:val="28"/>
          <w:szCs w:val="28"/>
        </w:rPr>
        <w:t>1.5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合同协议书</w:t>
      </w:r>
      <w:bookmarkEnd w:id="146"/>
    </w:p>
    <w:p w14:paraId="51AA1879">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承包人按中标通知书规定的时间与发包人签订合同协议书。除法律另有规定或合同另有约定外， 发包人和承包人的法定代表人或其委托代理人在合同协议书上签字并盖单位章后，合同生效。</w:t>
      </w:r>
    </w:p>
    <w:p w14:paraId="56D92F3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47" w:name="_Toc23001"/>
      <w:r>
        <w:rPr>
          <w:rFonts w:ascii="宋体" w:hAnsi="宋体" w:eastAsia="宋体" w:cs="宋体"/>
          <w:b/>
          <w:bCs/>
          <w:snapToGrid/>
          <w:spacing w:val="0"/>
          <w:w w:val="100"/>
          <w:kern w:val="21"/>
          <w:position w:val="0"/>
          <w:sz w:val="28"/>
          <w:szCs w:val="28"/>
        </w:rPr>
        <w:t>1.6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图纸和承包人文件</w:t>
      </w:r>
      <w:bookmarkEnd w:id="147"/>
    </w:p>
    <w:p w14:paraId="4F31EC7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48" w:name="_Toc16681"/>
      <w:r>
        <w:rPr>
          <w:rFonts w:ascii="宋体" w:hAnsi="宋体" w:eastAsia="宋体" w:cs="宋体"/>
          <w:b/>
          <w:bCs/>
          <w:snapToGrid/>
          <w:spacing w:val="0"/>
          <w:w w:val="100"/>
          <w:kern w:val="21"/>
          <w:position w:val="0"/>
          <w:sz w:val="20"/>
          <w:szCs w:val="20"/>
        </w:rPr>
        <w:t>1.6.1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图纸的提供</w:t>
      </w:r>
      <w:bookmarkEnd w:id="148"/>
    </w:p>
    <w:p w14:paraId="20F23431">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 图纸应在合理的期限内按照合同约定的数量提供给承包人。由于 发包人未按时提供图纸造成工期延误的，按第 11.3 款的约定办理。</w:t>
      </w:r>
    </w:p>
    <w:p w14:paraId="536E06F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49" w:name="_Toc12129"/>
      <w:r>
        <w:rPr>
          <w:rFonts w:ascii="宋体" w:hAnsi="宋体" w:eastAsia="宋体" w:cs="宋体"/>
          <w:b/>
          <w:bCs/>
          <w:snapToGrid/>
          <w:spacing w:val="0"/>
          <w:w w:val="100"/>
          <w:kern w:val="21"/>
          <w:position w:val="0"/>
          <w:sz w:val="20"/>
          <w:szCs w:val="20"/>
        </w:rPr>
        <w:t>1.6.2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承包人提供的文件</w:t>
      </w:r>
      <w:bookmarkEnd w:id="149"/>
    </w:p>
    <w:p w14:paraId="363B9056">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按专用合同条款约定由承包人提供的文件，包括部分工程的大样图、加工图等，承包人应按约 定的数量和期限报送监理人。监理人应在专用合同条款约定的期限内批复。</w:t>
      </w:r>
    </w:p>
    <w:p w14:paraId="47978A9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50" w:name="_Toc8880"/>
      <w:r>
        <w:rPr>
          <w:rFonts w:ascii="宋体" w:hAnsi="宋体" w:eastAsia="宋体" w:cs="宋体"/>
          <w:b/>
          <w:bCs/>
          <w:snapToGrid/>
          <w:spacing w:val="0"/>
          <w:w w:val="100"/>
          <w:kern w:val="21"/>
          <w:position w:val="0"/>
          <w:sz w:val="20"/>
          <w:szCs w:val="20"/>
        </w:rPr>
        <w:t>1.6.3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图纸的修改</w:t>
      </w:r>
      <w:bookmarkEnd w:id="150"/>
    </w:p>
    <w:p w14:paraId="1366DCA9">
      <w:pPr>
        <w:keepNext w:val="0"/>
        <w:keepLines w:val="0"/>
        <w:pageBreakBefore w:val="0"/>
        <w:widowControl w:val="0"/>
        <w:kinsoku/>
        <w:wordWrap w:val="0"/>
        <w:overflowPunct/>
        <w:topLinePunct/>
        <w:autoSpaceDE w:val="0"/>
        <w:autoSpaceDN/>
        <w:bidi w:val="0"/>
        <w:adjustRightInd/>
        <w:snapToGrid/>
        <w:spacing w:line="560" w:lineRule="exact"/>
        <w:ind w:left="0" w:right="0" w:firstLine="43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图纸需要修改和补充的，应由监理人取得发包人同意后，在该工程或工程相应部位施工前的合 理期限内签发图纸修改图给承包人，具体签发期限在专用合同条款中约定。承包人应按修改后的图 纸施工。</w:t>
      </w:r>
    </w:p>
    <w:p w14:paraId="2E09F3D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51" w:name="_Toc20362"/>
      <w:r>
        <w:rPr>
          <w:rFonts w:ascii="宋体" w:hAnsi="宋体" w:eastAsia="宋体" w:cs="宋体"/>
          <w:b/>
          <w:bCs/>
          <w:snapToGrid/>
          <w:spacing w:val="0"/>
          <w:w w:val="100"/>
          <w:kern w:val="21"/>
          <w:position w:val="0"/>
          <w:sz w:val="20"/>
          <w:szCs w:val="20"/>
        </w:rPr>
        <w:t>1.6.4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图纸的错误</w:t>
      </w:r>
      <w:bookmarkEnd w:id="151"/>
    </w:p>
    <w:p w14:paraId="6115866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承包人发现发包人提供的图纸存在明显错误或疏忽，应及时通知监理人。</w:t>
      </w:r>
    </w:p>
    <w:p w14:paraId="2225987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52" w:name="_Toc12954"/>
      <w:r>
        <w:rPr>
          <w:rFonts w:ascii="宋体" w:hAnsi="宋体" w:eastAsia="宋体" w:cs="宋体"/>
          <w:b/>
          <w:bCs/>
          <w:snapToGrid/>
          <w:spacing w:val="0"/>
          <w:w w:val="100"/>
          <w:kern w:val="21"/>
          <w:position w:val="0"/>
          <w:sz w:val="20"/>
          <w:szCs w:val="20"/>
        </w:rPr>
        <w:t>1.6.5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图纸和承包人文件的保管</w:t>
      </w:r>
      <w:bookmarkEnd w:id="152"/>
    </w:p>
    <w:p w14:paraId="10AC51A7">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监理人和承包人均应在施工场地各保存一套完整的包含第 1.6.1 项、第 1.6.2 项、第 1.6.3 项 约定内容的图纸和承包人文件。</w:t>
      </w:r>
    </w:p>
    <w:p w14:paraId="4A84554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3" w:name="_Toc4806"/>
      <w:r>
        <w:rPr>
          <w:rFonts w:ascii="宋体" w:hAnsi="宋体" w:eastAsia="宋体" w:cs="宋体"/>
          <w:b/>
          <w:bCs/>
          <w:snapToGrid/>
          <w:spacing w:val="0"/>
          <w:w w:val="100"/>
          <w:kern w:val="21"/>
          <w:position w:val="0"/>
          <w:sz w:val="28"/>
          <w:szCs w:val="28"/>
        </w:rPr>
        <w:t>1.7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联络</w:t>
      </w:r>
      <w:bookmarkEnd w:id="153"/>
    </w:p>
    <w:p w14:paraId="65985061">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1.7.1 与合同有关的通知、批准、证明、证书、指示、要求、请求、同意、意见、确定和决定 等，均应采用书面形式。</w:t>
      </w:r>
    </w:p>
    <w:p w14:paraId="639DB31A">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1.7.2 第 1.7.1 项中的通知、批准、证明、证书、指示、要求、请求、同意、意见、确定和决 定等来往函件，均应在合同约定的期限内送达指定地点和接收人，并办理签收手续。</w:t>
      </w:r>
    </w:p>
    <w:p w14:paraId="7B21F45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BB175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4" w:name="_Toc17307"/>
      <w:r>
        <w:rPr>
          <w:rFonts w:ascii="宋体" w:hAnsi="宋体" w:eastAsia="宋体" w:cs="宋体"/>
          <w:b/>
          <w:bCs/>
          <w:snapToGrid/>
          <w:spacing w:val="0"/>
          <w:w w:val="100"/>
          <w:kern w:val="21"/>
          <w:position w:val="0"/>
          <w:sz w:val="28"/>
          <w:szCs w:val="28"/>
        </w:rPr>
        <w:t>1.8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转让</w:t>
      </w:r>
      <w:bookmarkEnd w:id="154"/>
    </w:p>
    <w:p w14:paraId="0E89B27A">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除合同另有约定外，未经对方当事人同意，一方当事人不得将合同权利全部或部分转让给第三 人，也不得全部或部分转移合同义务。</w:t>
      </w:r>
    </w:p>
    <w:p w14:paraId="4853F7C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5" w:name="_Toc13501"/>
      <w:r>
        <w:rPr>
          <w:rFonts w:ascii="宋体" w:hAnsi="宋体" w:eastAsia="宋体" w:cs="宋体"/>
          <w:b/>
          <w:bCs/>
          <w:snapToGrid/>
          <w:spacing w:val="0"/>
          <w:w w:val="100"/>
          <w:kern w:val="21"/>
          <w:position w:val="0"/>
          <w:sz w:val="28"/>
          <w:szCs w:val="28"/>
        </w:rPr>
        <w:t>1.9</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严禁贿赂</w:t>
      </w:r>
      <w:bookmarkEnd w:id="155"/>
    </w:p>
    <w:p w14:paraId="704CF3D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合同双方当事人不得以贿赂或变相贿赂的方式，谋取不当利益或损害对方权益。因贿赂造成对 方损失的，行为人应赔偿损失，并承担相应的法律责任。</w:t>
      </w:r>
    </w:p>
    <w:p w14:paraId="752A7CA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6" w:name="_Toc12131"/>
      <w:r>
        <w:rPr>
          <w:rFonts w:ascii="宋体" w:hAnsi="宋体" w:eastAsia="宋体" w:cs="宋体"/>
          <w:b/>
          <w:bCs/>
          <w:snapToGrid/>
          <w:spacing w:val="0"/>
          <w:w w:val="100"/>
          <w:kern w:val="21"/>
          <w:position w:val="0"/>
          <w:sz w:val="28"/>
          <w:szCs w:val="28"/>
        </w:rPr>
        <w:t>1.10</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化石、文物</w:t>
      </w:r>
      <w:bookmarkEnd w:id="156"/>
    </w:p>
    <w:p w14:paraId="0A967CAF">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1.10.1 在施工场地发掘的所有文物、古迹以及具有地质研究或考古价值的其他遗迹、化石、钱 币或物品属于国家所有。一旦发现上述文物，承包人应采取有效合理的保护措施，防止任何人员移 动或损坏上述物品，并立即报告当地文物行政部门， 同时通知监理人。发包人、监理人和承包人应按文物行政部门要求采取妥善保护措施， 由此导致费用增加和（或） 工期延误由发包人承担。</w:t>
      </w:r>
    </w:p>
    <w:p w14:paraId="1B612E38">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1.10.2 承包人发现文物后不及时报告或隐瞒不报，致使文物丢失或损坏的，应赔偿损失，并承 担相应的法律责任。</w:t>
      </w:r>
    </w:p>
    <w:p w14:paraId="5DBB47E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7" w:name="_Toc2688"/>
      <w:r>
        <w:rPr>
          <w:rFonts w:ascii="宋体" w:hAnsi="宋体" w:eastAsia="宋体" w:cs="宋体"/>
          <w:b/>
          <w:bCs/>
          <w:snapToGrid/>
          <w:spacing w:val="0"/>
          <w:w w:val="100"/>
          <w:kern w:val="21"/>
          <w:position w:val="0"/>
          <w:sz w:val="28"/>
          <w:szCs w:val="28"/>
        </w:rPr>
        <w:t>1.11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专利技术</w:t>
      </w:r>
      <w:bookmarkEnd w:id="157"/>
    </w:p>
    <w:p w14:paraId="6BDFF092">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1.11.1 承包人在使用任何材料、承包人设备、工程设备或采用施工工艺时，因侵犯专利权或其 他知识产权所引起的责任， 由承包人承担，但由于遵照发包人提供的设计或技术标准和要求引起的 除外。</w:t>
      </w:r>
    </w:p>
    <w:p w14:paraId="39CD817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1.11.2 承包人在投标文件中采用专利技术的，专利技术的使用费包含在投标报价内。</w:t>
      </w:r>
    </w:p>
    <w:p w14:paraId="133C87F7">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1.11.3 承包人的技术秘密和声明需要保密的资料和信息，发包人和监理人不得为合同以外的目 的泄露给他人。</w:t>
      </w:r>
    </w:p>
    <w:p w14:paraId="599A4F1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58" w:name="_Toc14448"/>
      <w:r>
        <w:rPr>
          <w:rFonts w:ascii="宋体" w:hAnsi="宋体" w:eastAsia="宋体" w:cs="宋体"/>
          <w:b/>
          <w:bCs/>
          <w:snapToGrid/>
          <w:spacing w:val="0"/>
          <w:w w:val="100"/>
          <w:kern w:val="21"/>
          <w:position w:val="0"/>
          <w:sz w:val="28"/>
          <w:szCs w:val="28"/>
        </w:rPr>
        <w:t>1.12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图纸和文件的保密</w:t>
      </w:r>
      <w:bookmarkEnd w:id="158"/>
    </w:p>
    <w:p w14:paraId="34B1D613">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1.12.1 发包人提供的图纸和文件，未经发包人同意，承包人不得为合同以外的目的泄露给他人 或公开发表与引用。</w:t>
      </w:r>
    </w:p>
    <w:p w14:paraId="39E7874C">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1.12.2 承包人提供的文件，未经承包人同意，发包人和监理人不得为合同以外的目的泄露给他 人或公开发表与引用。</w:t>
      </w:r>
    </w:p>
    <w:p w14:paraId="28B7AA8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59" w:name="bookmark135"/>
      <w:bookmarkEnd w:id="159"/>
      <w:bookmarkStart w:id="160" w:name="_Toc20345"/>
      <w:r>
        <w:rPr>
          <w:rFonts w:ascii="宋体" w:hAnsi="宋体" w:eastAsia="宋体" w:cs="宋体"/>
          <w:b/>
          <w:bCs/>
          <w:snapToGrid/>
          <w:spacing w:val="0"/>
          <w:w w:val="100"/>
          <w:kern w:val="21"/>
          <w:position w:val="0"/>
          <w:sz w:val="31"/>
          <w:szCs w:val="31"/>
        </w:rPr>
        <w:t>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发包人义务</w:t>
      </w:r>
      <w:bookmarkEnd w:id="160"/>
    </w:p>
    <w:p w14:paraId="3490C5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1" w:name="_Toc19395"/>
      <w:r>
        <w:rPr>
          <w:rFonts w:ascii="宋体" w:hAnsi="宋体" w:eastAsia="宋体" w:cs="宋体"/>
          <w:b/>
          <w:bCs/>
          <w:snapToGrid/>
          <w:spacing w:val="0"/>
          <w:w w:val="100"/>
          <w:kern w:val="21"/>
          <w:position w:val="0"/>
          <w:sz w:val="28"/>
          <w:szCs w:val="28"/>
        </w:rPr>
        <w:t>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遵守法律</w:t>
      </w:r>
      <w:bookmarkEnd w:id="161"/>
    </w:p>
    <w:p w14:paraId="0A8271EE">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发包人在履行合同过程中应遵守法律，并保证承包人免于承担因发包人违反法律而引起的任何 责任。</w:t>
      </w:r>
    </w:p>
    <w:p w14:paraId="1A7299F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2" w:name="_Toc26335"/>
      <w:r>
        <w:rPr>
          <w:rFonts w:ascii="宋体" w:hAnsi="宋体" w:eastAsia="宋体" w:cs="宋体"/>
          <w:b/>
          <w:bCs/>
          <w:snapToGrid/>
          <w:spacing w:val="0"/>
          <w:w w:val="100"/>
          <w:kern w:val="21"/>
          <w:position w:val="0"/>
          <w:sz w:val="28"/>
          <w:szCs w:val="28"/>
        </w:rPr>
        <w:t>2.2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发出开工通知</w:t>
      </w:r>
      <w:bookmarkEnd w:id="162"/>
    </w:p>
    <w:p w14:paraId="59E5E1D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发包人应委托监理人按第 11.1 款的约定向承包人发出开工通知。</w:t>
      </w:r>
    </w:p>
    <w:p w14:paraId="57C31AD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3" w:name="_Toc10510"/>
      <w:r>
        <w:rPr>
          <w:rFonts w:ascii="宋体" w:hAnsi="宋体" w:eastAsia="宋体" w:cs="宋体"/>
          <w:b/>
          <w:bCs/>
          <w:snapToGrid/>
          <w:spacing w:val="0"/>
          <w:w w:val="100"/>
          <w:kern w:val="21"/>
          <w:position w:val="0"/>
          <w:sz w:val="28"/>
          <w:szCs w:val="28"/>
        </w:rPr>
        <w:t>2.3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提供施工场地</w:t>
      </w:r>
      <w:bookmarkEnd w:id="163"/>
    </w:p>
    <w:p w14:paraId="2ACBF58B">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发包人应按专用合同条款约定向承包人提供施工场地， 以及施工场地内地下管线和地下设施等 有关资料，并保证资料的真实、准确、完整。</w:t>
      </w:r>
    </w:p>
    <w:p w14:paraId="0D07BCD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4" w:name="_Toc7597"/>
      <w:r>
        <w:rPr>
          <w:rFonts w:ascii="宋体" w:hAnsi="宋体" w:eastAsia="宋体" w:cs="宋体"/>
          <w:b/>
          <w:bCs/>
          <w:snapToGrid/>
          <w:spacing w:val="0"/>
          <w:w w:val="100"/>
          <w:kern w:val="21"/>
          <w:position w:val="0"/>
          <w:sz w:val="28"/>
          <w:szCs w:val="28"/>
        </w:rPr>
        <w:t>2.4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协助承包人办理证件和批件</w:t>
      </w:r>
      <w:bookmarkEnd w:id="164"/>
    </w:p>
    <w:p w14:paraId="33229A1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发包人应协助承包人办理法律规定的有关施工证件和批件。</w:t>
      </w:r>
    </w:p>
    <w:p w14:paraId="2557BE7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5" w:name="_Toc27965"/>
      <w:r>
        <w:rPr>
          <w:rFonts w:ascii="宋体" w:hAnsi="宋体" w:eastAsia="宋体" w:cs="宋体"/>
          <w:b/>
          <w:bCs/>
          <w:snapToGrid/>
          <w:spacing w:val="0"/>
          <w:w w:val="100"/>
          <w:kern w:val="21"/>
          <w:position w:val="0"/>
          <w:sz w:val="28"/>
          <w:szCs w:val="28"/>
        </w:rPr>
        <w:t>2.5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组织设计交底</w:t>
      </w:r>
      <w:bookmarkEnd w:id="165"/>
    </w:p>
    <w:p w14:paraId="302AB1A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发包人应根据合同进度计划，组织设计单位向承包人进行设计交底。</w:t>
      </w:r>
    </w:p>
    <w:p w14:paraId="360D598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6" w:name="_Toc6512"/>
      <w:r>
        <w:rPr>
          <w:rFonts w:ascii="宋体" w:hAnsi="宋体" w:eastAsia="宋体" w:cs="宋体"/>
          <w:b/>
          <w:bCs/>
          <w:snapToGrid/>
          <w:spacing w:val="0"/>
          <w:w w:val="100"/>
          <w:kern w:val="21"/>
          <w:position w:val="0"/>
          <w:sz w:val="28"/>
          <w:szCs w:val="28"/>
        </w:rPr>
        <w:t>2.6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支付合同价款</w:t>
      </w:r>
      <w:bookmarkEnd w:id="166"/>
    </w:p>
    <w:p w14:paraId="0956C4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发包人应按合同约定向承包人及时支付合同价款。</w:t>
      </w:r>
    </w:p>
    <w:p w14:paraId="1520F77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7" w:name="_Toc6817"/>
      <w:r>
        <w:rPr>
          <w:rFonts w:ascii="宋体" w:hAnsi="宋体" w:eastAsia="宋体" w:cs="宋体"/>
          <w:b/>
          <w:bCs/>
          <w:snapToGrid/>
          <w:spacing w:val="0"/>
          <w:w w:val="100"/>
          <w:kern w:val="21"/>
          <w:position w:val="0"/>
          <w:sz w:val="28"/>
          <w:szCs w:val="28"/>
        </w:rPr>
        <w:t>2.7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组织竣工验收</w:t>
      </w:r>
      <w:bookmarkEnd w:id="167"/>
    </w:p>
    <w:p w14:paraId="713C7F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发包人应按合同约定及时组织竣工验收。</w:t>
      </w:r>
    </w:p>
    <w:p w14:paraId="5A1EDB1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68" w:name="_Toc16999"/>
      <w:r>
        <w:rPr>
          <w:rFonts w:ascii="宋体" w:hAnsi="宋体" w:eastAsia="宋体" w:cs="宋体"/>
          <w:b/>
          <w:bCs/>
          <w:snapToGrid/>
          <w:spacing w:val="0"/>
          <w:w w:val="100"/>
          <w:kern w:val="21"/>
          <w:position w:val="0"/>
          <w:sz w:val="28"/>
          <w:szCs w:val="28"/>
        </w:rPr>
        <w:t>2.8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其他义务</w:t>
      </w:r>
      <w:bookmarkEnd w:id="168"/>
    </w:p>
    <w:p w14:paraId="60013D8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发包人应履行合同约定的其他义务。</w:t>
      </w:r>
    </w:p>
    <w:p w14:paraId="7DCD34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69" w:name="bookmark136"/>
      <w:bookmarkEnd w:id="169"/>
      <w:bookmarkStart w:id="170" w:name="_Toc21239"/>
      <w:r>
        <w:rPr>
          <w:rFonts w:ascii="宋体" w:hAnsi="宋体" w:eastAsia="宋体" w:cs="宋体"/>
          <w:b/>
          <w:bCs/>
          <w:snapToGrid/>
          <w:spacing w:val="0"/>
          <w:w w:val="100"/>
          <w:kern w:val="21"/>
          <w:position w:val="0"/>
          <w:sz w:val="31"/>
          <w:szCs w:val="31"/>
        </w:rPr>
        <w:t>3.</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监理人</w:t>
      </w:r>
      <w:bookmarkEnd w:id="170"/>
    </w:p>
    <w:p w14:paraId="3C00D02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1" w:name="_Toc11214"/>
      <w:r>
        <w:rPr>
          <w:rFonts w:ascii="宋体" w:hAnsi="宋体" w:eastAsia="宋体" w:cs="宋体"/>
          <w:b/>
          <w:bCs/>
          <w:snapToGrid/>
          <w:spacing w:val="0"/>
          <w:w w:val="100"/>
          <w:kern w:val="21"/>
          <w:position w:val="0"/>
          <w:sz w:val="28"/>
          <w:szCs w:val="28"/>
        </w:rPr>
        <w:t>3.1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监理人的职责和权力</w:t>
      </w:r>
      <w:bookmarkEnd w:id="171"/>
    </w:p>
    <w:p w14:paraId="5375014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3.1.1 监理人受发包人委托，享有合同约定的权力。监理人在行使某项权力前需要经发包人事 先批准而通用合同条款没有指明的，应在专用合同条款中指明。</w:t>
      </w:r>
    </w:p>
    <w:p w14:paraId="3C497137">
      <w:pPr>
        <w:keepNext w:val="0"/>
        <w:keepLines w:val="0"/>
        <w:pageBreakBefore w:val="0"/>
        <w:widowControl w:val="0"/>
        <w:kinsoku/>
        <w:wordWrap w:val="0"/>
        <w:overflowPunct/>
        <w:topLinePunct/>
        <w:autoSpaceDE w:val="0"/>
        <w:autoSpaceDN/>
        <w:bidi w:val="0"/>
        <w:adjustRightInd/>
        <w:snapToGrid/>
        <w:spacing w:line="560" w:lineRule="exact"/>
        <w:ind w:left="0" w:right="0" w:firstLine="40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3.1.2 监理人发出的任何指示应视为已得到发包人的批准，但监理人无权免除或变更合同约定 的发包人和承包人的权利、义务和责任。</w:t>
      </w:r>
    </w:p>
    <w:p w14:paraId="5DCDC151">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3.1.3 合同约定应由承包人承担的义务和责任，不因监理人对承包人提交文件的审查或批准， 对工程、材料和设备的检查和检验， 以及为实施监理作出的指示等职务行为而减轻或解除。</w:t>
      </w:r>
    </w:p>
    <w:p w14:paraId="39B6D81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2" w:name="_Toc23332"/>
      <w:r>
        <w:rPr>
          <w:rFonts w:ascii="宋体" w:hAnsi="宋体" w:eastAsia="宋体" w:cs="宋体"/>
          <w:b/>
          <w:bCs/>
          <w:snapToGrid/>
          <w:spacing w:val="0"/>
          <w:w w:val="100"/>
          <w:kern w:val="21"/>
          <w:position w:val="0"/>
          <w:sz w:val="28"/>
          <w:szCs w:val="28"/>
        </w:rPr>
        <w:t>3.2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总监理工程师</w:t>
      </w:r>
      <w:bookmarkEnd w:id="172"/>
    </w:p>
    <w:p w14:paraId="669B40AA">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发包人应在发出开工通知前将总监理工程师的任命通知承包人。总监理工程师更换时，应在调 离 14 天前通知承包人。总监理工程师短期离开施工场地的，应委派代表代行其职责，并通知承包人。</w:t>
      </w:r>
    </w:p>
    <w:p w14:paraId="5C00792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3" w:name="_Toc21318"/>
      <w:r>
        <w:rPr>
          <w:rFonts w:ascii="宋体" w:hAnsi="宋体" w:eastAsia="宋体" w:cs="宋体"/>
          <w:b/>
          <w:bCs/>
          <w:snapToGrid/>
          <w:spacing w:val="0"/>
          <w:w w:val="100"/>
          <w:kern w:val="21"/>
          <w:position w:val="0"/>
          <w:sz w:val="28"/>
          <w:szCs w:val="28"/>
        </w:rPr>
        <w:t>3.3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监理人员</w:t>
      </w:r>
      <w:bookmarkEnd w:id="173"/>
    </w:p>
    <w:p w14:paraId="1B475938">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3.3.1 总监理工程师可以授权其他监理人员负责执行其指派的一项或多项监理工作。总监理工 程师应将被授权监理人员的姓名及其授权范围通知承包人。被授权的监理人员在授权范围内发出的 指示视为已得到总监理工程师的同意，与总监理工程师发出的指示具有同等效力。总监理工程师撤 销某项授权时，应将撤销授权的决定及时通知承包人。</w:t>
      </w:r>
    </w:p>
    <w:p w14:paraId="5E18D027">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3.3.2 监理人员对承包人的任何工作、工程或其采用的材料和工程设备未在约定的或合理的期 限内提出否定意见的，视为已获批准，但不影响监理人在以后拒绝该项工作、工程、材料或工程设 备的权利。</w:t>
      </w:r>
    </w:p>
    <w:p w14:paraId="3A6D0936">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3.3.3 承包人对总监理工程师授权的监理人员发出的指示有疑问的，可向总监理工程师提出书 面异议，总监理工程师应在 48 小时内对该指示予以确认、更改或撤销。</w:t>
      </w:r>
    </w:p>
    <w:p w14:paraId="49BAF2F0">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3.3.4 除专用合同条款另有约定外，总监理工程师不应将第 3.5 款约定应由总监理工程师作出 确定的权力授权或委托给其他监理人员。</w:t>
      </w:r>
    </w:p>
    <w:p w14:paraId="7D8EE09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4" w:name="_Toc32097"/>
      <w:r>
        <w:rPr>
          <w:rFonts w:ascii="宋体" w:hAnsi="宋体" w:eastAsia="宋体" w:cs="宋体"/>
          <w:b/>
          <w:bCs/>
          <w:snapToGrid/>
          <w:spacing w:val="0"/>
          <w:w w:val="100"/>
          <w:kern w:val="21"/>
          <w:position w:val="0"/>
          <w:sz w:val="28"/>
          <w:szCs w:val="28"/>
        </w:rPr>
        <w:t>3.4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监理人的指示</w:t>
      </w:r>
      <w:bookmarkEnd w:id="174"/>
    </w:p>
    <w:p w14:paraId="37B09907">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3.4.1 监理人应按第 3.1 款的约定向承包人发出指示，监理人的指示应盖有监理人授权的施工 场地机构章，并由总监理工程师或总监理工程师按第 3.3.1 项约定授权的监理人员签字。</w:t>
      </w:r>
    </w:p>
    <w:p w14:paraId="72234ED5">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3.4.2 承包人收到监理人按第 3.4.1 项作出的指示后应遵照执行。指示构成变更的，应按第 15 条处理。</w:t>
      </w:r>
    </w:p>
    <w:p w14:paraId="7F905501">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3.4.3 在紧急情况下，总监理工程师或被授权的监理人员可以当场签发临时书面指示，承包人 应遵照执行。承包人应在收到上述临时书面指示后 24 小时内，向监理人发出书面确认函。监理人在 收到书面确认函后 24 小时内未予答复的，该书面确认函应被视为监理人的正式指示。</w:t>
      </w:r>
    </w:p>
    <w:p w14:paraId="0D0B1941">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3.4.4 除合同另有约定外，承包人只从总监理工程师或按第 3.3.1 项被授权的监理人员处取得 指示。</w:t>
      </w:r>
    </w:p>
    <w:p w14:paraId="4DF3C0AE">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3.4.5 由于监理人未能按合同约定发出指示、指示延误或指示错误而导致承包人费用增加和 （或）工期延误的， 由发包人承担赔偿责任。</w:t>
      </w:r>
    </w:p>
    <w:p w14:paraId="280774B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5" w:name="_Toc6330"/>
      <w:r>
        <w:rPr>
          <w:rFonts w:ascii="宋体" w:hAnsi="宋体" w:eastAsia="宋体" w:cs="宋体"/>
          <w:b/>
          <w:bCs/>
          <w:snapToGrid/>
          <w:spacing w:val="0"/>
          <w:w w:val="100"/>
          <w:kern w:val="21"/>
          <w:position w:val="0"/>
          <w:sz w:val="28"/>
          <w:szCs w:val="28"/>
        </w:rPr>
        <w:t>3.5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商定或确定</w:t>
      </w:r>
      <w:bookmarkEnd w:id="175"/>
    </w:p>
    <w:p w14:paraId="6F0E8776">
      <w:pPr>
        <w:keepNext w:val="0"/>
        <w:keepLines w:val="0"/>
        <w:pageBreakBefore w:val="0"/>
        <w:widowControl w:val="0"/>
        <w:kinsoku/>
        <w:wordWrap w:val="0"/>
        <w:overflowPunct/>
        <w:topLinePunct/>
        <w:autoSpaceDE w:val="0"/>
        <w:autoSpaceDN/>
        <w:bidi w:val="0"/>
        <w:adjustRightInd/>
        <w:snapToGrid/>
        <w:spacing w:line="560" w:lineRule="exact"/>
        <w:ind w:left="0" w:right="0" w:firstLine="40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3.5.1 合同约定总监理工程师应按照本款对任何事项进行商定或确定时，总监理工程师应与合 同当事人协商，尽量达成一致。不能达成一致的，总监理工程师应认真研究后审慎确定。</w:t>
      </w:r>
    </w:p>
    <w:p w14:paraId="4DC39598">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3.5.2 总监理工程师应将商定或确定的事项通知合同当事人，并附详细依据。对总监理工程师 的确定有异议的，构成争议，按照第 24 条的约定处理。在争议解决前，双方应暂按总监理工程师的 确定执行，按照第 24 条的约定对总监理工程师的确定作出修改的，按修改后的结果执行。</w:t>
      </w:r>
    </w:p>
    <w:p w14:paraId="55496F1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176" w:name="bookmark137"/>
      <w:bookmarkEnd w:id="176"/>
      <w:bookmarkStart w:id="177" w:name="_Toc648"/>
      <w:bookmarkStart w:id="178" w:name="_Toc17956"/>
      <w:r>
        <w:rPr>
          <w:rFonts w:ascii="宋体" w:hAnsi="宋体" w:eastAsia="宋体" w:cs="宋体"/>
          <w:b/>
          <w:bCs/>
          <w:snapToGrid/>
          <w:spacing w:val="0"/>
          <w:w w:val="100"/>
          <w:kern w:val="21"/>
          <w:position w:val="0"/>
          <w:sz w:val="31"/>
          <w:szCs w:val="31"/>
        </w:rPr>
        <w:t>4.</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承包人</w:t>
      </w:r>
      <w:bookmarkEnd w:id="177"/>
      <w:bookmarkEnd w:id="178"/>
    </w:p>
    <w:p w14:paraId="66DB2A4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79" w:name="_Toc6706"/>
      <w:r>
        <w:rPr>
          <w:rFonts w:ascii="宋体" w:hAnsi="宋体" w:eastAsia="宋体" w:cs="宋体"/>
          <w:b/>
          <w:bCs/>
          <w:snapToGrid/>
          <w:spacing w:val="0"/>
          <w:w w:val="100"/>
          <w:kern w:val="21"/>
          <w:position w:val="0"/>
          <w:sz w:val="28"/>
          <w:szCs w:val="28"/>
        </w:rPr>
        <w:t>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承包人的一般义务</w:t>
      </w:r>
      <w:bookmarkEnd w:id="179"/>
    </w:p>
    <w:p w14:paraId="4130607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0" w:name="_Toc14614"/>
      <w:r>
        <w:rPr>
          <w:rFonts w:ascii="宋体" w:hAnsi="宋体" w:eastAsia="宋体" w:cs="宋体"/>
          <w:b/>
          <w:bCs/>
          <w:snapToGrid/>
          <w:spacing w:val="0"/>
          <w:w w:val="100"/>
          <w:kern w:val="21"/>
          <w:position w:val="0"/>
          <w:sz w:val="20"/>
          <w:szCs w:val="20"/>
        </w:rPr>
        <w:t>4.1.1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遵守法律</w:t>
      </w:r>
      <w:bookmarkEnd w:id="180"/>
    </w:p>
    <w:p w14:paraId="0CD380E3">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承包人在履行合同过程中应遵守法律，并保证发包人免于承担因承包人违反法律而引起的任何 责任。</w:t>
      </w:r>
    </w:p>
    <w:p w14:paraId="60151E3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1" w:name="_Toc15214"/>
      <w:r>
        <w:rPr>
          <w:rFonts w:ascii="宋体" w:hAnsi="宋体" w:eastAsia="宋体" w:cs="宋体"/>
          <w:b/>
          <w:bCs/>
          <w:snapToGrid/>
          <w:spacing w:val="0"/>
          <w:w w:val="100"/>
          <w:kern w:val="21"/>
          <w:position w:val="0"/>
          <w:sz w:val="20"/>
          <w:szCs w:val="20"/>
        </w:rPr>
        <w:t>4.1.2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依法纳税</w:t>
      </w:r>
      <w:bookmarkEnd w:id="181"/>
    </w:p>
    <w:p w14:paraId="203F93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承包人应按有关法律规定纳税，应缴纳的税金包括在合同价格内。</w:t>
      </w:r>
    </w:p>
    <w:p w14:paraId="33EDF95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2" w:name="_Toc18119"/>
      <w:r>
        <w:rPr>
          <w:rFonts w:ascii="宋体" w:hAnsi="宋体" w:eastAsia="宋体" w:cs="宋体"/>
          <w:b/>
          <w:bCs/>
          <w:snapToGrid/>
          <w:spacing w:val="0"/>
          <w:w w:val="100"/>
          <w:kern w:val="21"/>
          <w:position w:val="0"/>
          <w:sz w:val="20"/>
          <w:szCs w:val="20"/>
        </w:rPr>
        <w:t>4.1.3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完成各项承包工作</w:t>
      </w:r>
      <w:bookmarkEnd w:id="182"/>
    </w:p>
    <w:p w14:paraId="634E158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承包人应按合同约定以及监理人根据第 3.4 款作出的指示，实施、完成全部工程，并修补工程中的任何缺陷。除专用合同条款另有约定外，承包人应提供为完成合同工作所需的劳务、材料、施 工设备、工程设备和其他物品，并按合同约定负责临时设施的设计、建造、运行、维护、管理和拆 除。</w:t>
      </w:r>
    </w:p>
    <w:p w14:paraId="4D0C980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3" w:name="_Toc8010"/>
      <w:r>
        <w:rPr>
          <w:rFonts w:ascii="宋体" w:hAnsi="宋体" w:eastAsia="宋体" w:cs="宋体"/>
          <w:b/>
          <w:bCs/>
          <w:snapToGrid/>
          <w:spacing w:val="0"/>
          <w:w w:val="100"/>
          <w:kern w:val="21"/>
          <w:position w:val="0"/>
          <w:sz w:val="20"/>
          <w:szCs w:val="20"/>
        </w:rPr>
        <w:t>4.1.4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对施工作业和施工方法的完备性负责</w:t>
      </w:r>
      <w:bookmarkEnd w:id="183"/>
    </w:p>
    <w:p w14:paraId="731A8358">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承包人应按合同约定的工作内容和施工进度要求，编制施工组织设计和施工措施计划，并对所 有施工作业和施工方法的完备性和安全可靠性负责。</w:t>
      </w:r>
    </w:p>
    <w:p w14:paraId="6DA7F21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4" w:name="_Toc20743"/>
      <w:r>
        <w:rPr>
          <w:rFonts w:ascii="宋体" w:hAnsi="宋体" w:eastAsia="宋体" w:cs="宋体"/>
          <w:b/>
          <w:bCs/>
          <w:snapToGrid/>
          <w:spacing w:val="0"/>
          <w:w w:val="100"/>
          <w:kern w:val="21"/>
          <w:position w:val="0"/>
          <w:sz w:val="20"/>
          <w:szCs w:val="20"/>
        </w:rPr>
        <w:t>4.1.5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保证工程施工和人员的安全</w:t>
      </w:r>
      <w:bookmarkEnd w:id="184"/>
    </w:p>
    <w:p w14:paraId="3714BDE0">
      <w:pPr>
        <w:keepNext w:val="0"/>
        <w:keepLines w:val="0"/>
        <w:pageBreakBefore w:val="0"/>
        <w:widowControl w:val="0"/>
        <w:kinsoku/>
        <w:wordWrap w:val="0"/>
        <w:overflowPunct/>
        <w:topLinePunct/>
        <w:autoSpaceDE w:val="0"/>
        <w:autoSpaceDN/>
        <w:bidi w:val="0"/>
        <w:adjustRightInd/>
        <w:snapToGrid/>
        <w:spacing w:line="560" w:lineRule="exact"/>
        <w:ind w:left="0" w:right="0" w:firstLine="40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承包人应按第 9.2 款约定采取施工安全措施，确保工程及其人员、材料、设备和设施的安全， 防止因工程施工造成的人身伤害和财产损失。</w:t>
      </w:r>
    </w:p>
    <w:p w14:paraId="6128A49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5" w:name="_Toc18735"/>
      <w:r>
        <w:rPr>
          <w:rFonts w:ascii="宋体" w:hAnsi="宋体" w:eastAsia="宋体" w:cs="宋体"/>
          <w:b/>
          <w:bCs/>
          <w:snapToGrid/>
          <w:spacing w:val="0"/>
          <w:w w:val="100"/>
          <w:kern w:val="21"/>
          <w:position w:val="0"/>
          <w:sz w:val="20"/>
          <w:szCs w:val="20"/>
        </w:rPr>
        <w:t>4.1.6</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负责施工场地及其周边环境与生态的保护工作</w:t>
      </w:r>
      <w:bookmarkEnd w:id="185"/>
    </w:p>
    <w:p w14:paraId="46D679E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承包人应按照第 9.4 款约定负责施工场地及其周边环境与生态的保护工作。</w:t>
      </w:r>
    </w:p>
    <w:p w14:paraId="0EE98B5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6" w:name="_Toc15118"/>
      <w:r>
        <w:rPr>
          <w:rFonts w:ascii="宋体" w:hAnsi="宋体" w:eastAsia="宋体" w:cs="宋体"/>
          <w:b/>
          <w:bCs/>
          <w:snapToGrid/>
          <w:spacing w:val="0"/>
          <w:w w:val="100"/>
          <w:kern w:val="21"/>
          <w:position w:val="0"/>
          <w:sz w:val="20"/>
          <w:szCs w:val="20"/>
        </w:rPr>
        <w:t>4.1.7</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避免施工对公众与他人的利益造成损害</w:t>
      </w:r>
      <w:bookmarkEnd w:id="186"/>
    </w:p>
    <w:p w14:paraId="1A3D0B72">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承包人在进行合同约定的各项工作时，不得侵害发包人与他人使用公用道路、水源、市政管网 等公共设施的权利，避免对邻近的公共设施产生干扰。承包人占用或使用他人的施工场地，影响他 人作业或生活的，应承担相应责任。</w:t>
      </w:r>
    </w:p>
    <w:p w14:paraId="21AF59A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7" w:name="_Toc3870"/>
      <w:r>
        <w:rPr>
          <w:rFonts w:ascii="宋体" w:hAnsi="宋体" w:eastAsia="宋体" w:cs="宋体"/>
          <w:b/>
          <w:bCs/>
          <w:snapToGrid/>
          <w:spacing w:val="0"/>
          <w:w w:val="100"/>
          <w:kern w:val="21"/>
          <w:position w:val="0"/>
          <w:sz w:val="20"/>
          <w:szCs w:val="20"/>
        </w:rPr>
        <w:t>4.1.8</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为他人提供方便</w:t>
      </w:r>
      <w:bookmarkEnd w:id="187"/>
    </w:p>
    <w:p w14:paraId="11059C2B">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承包人应按监理人的指示为他人在施工场地或附近实施与工程有关的其他各项工作提供可能的 条件。除合同另有约定外，提供有关条件的内容和可能发生的费用， 由监理人按第 3.5 款商定或确 定。</w:t>
      </w:r>
    </w:p>
    <w:p w14:paraId="2227CCC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8" w:name="_Toc11222"/>
      <w:r>
        <w:rPr>
          <w:rFonts w:ascii="宋体" w:hAnsi="宋体" w:eastAsia="宋体" w:cs="宋体"/>
          <w:b/>
          <w:bCs/>
          <w:snapToGrid/>
          <w:spacing w:val="0"/>
          <w:w w:val="100"/>
          <w:kern w:val="21"/>
          <w:position w:val="0"/>
          <w:sz w:val="20"/>
          <w:szCs w:val="20"/>
        </w:rPr>
        <w:t>4.1.9</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工程的维护和照管</w:t>
      </w:r>
      <w:bookmarkEnd w:id="188"/>
    </w:p>
    <w:p w14:paraId="02B1F17E">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工程接收证书颁发前，承包人应负责照管和维护工程。工程接收证书颁发时尚有部分未竣工工 程的，承包人还应负责该未竣工工程的照管和维护工作，直至竣工后移交给发包人为止。</w:t>
      </w:r>
    </w:p>
    <w:p w14:paraId="26CE86E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189" w:name="_Toc2338"/>
      <w:r>
        <w:rPr>
          <w:rFonts w:ascii="宋体" w:hAnsi="宋体" w:eastAsia="宋体" w:cs="宋体"/>
          <w:b/>
          <w:bCs/>
          <w:snapToGrid/>
          <w:spacing w:val="0"/>
          <w:w w:val="100"/>
          <w:kern w:val="21"/>
          <w:position w:val="0"/>
          <w:sz w:val="20"/>
          <w:szCs w:val="20"/>
        </w:rPr>
        <w:t>4.1.10</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其他义务</w:t>
      </w:r>
      <w:bookmarkEnd w:id="189"/>
    </w:p>
    <w:p w14:paraId="616949F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承包人应履行合同约定的其他义务。</w:t>
      </w:r>
    </w:p>
    <w:p w14:paraId="1BD99C9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0" w:name="_Toc7255"/>
      <w:r>
        <w:rPr>
          <w:rFonts w:ascii="宋体" w:hAnsi="宋体" w:eastAsia="宋体" w:cs="宋体"/>
          <w:b/>
          <w:bCs/>
          <w:snapToGrid/>
          <w:spacing w:val="0"/>
          <w:w w:val="100"/>
          <w:kern w:val="21"/>
          <w:position w:val="0"/>
          <w:sz w:val="28"/>
          <w:szCs w:val="28"/>
        </w:rPr>
        <w:t>4.2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履约担保</w:t>
      </w:r>
      <w:bookmarkEnd w:id="190"/>
    </w:p>
    <w:p w14:paraId="78BE049C">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承包人应保证其履约担保在发包人颁发工程接收证书前一直有效。发包人应在工程接收证书颁 发后 28 天内把履约担保退还给承包人。</w:t>
      </w:r>
    </w:p>
    <w:p w14:paraId="289127D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1" w:name="_Toc20767"/>
      <w:r>
        <w:rPr>
          <w:rFonts w:ascii="宋体" w:hAnsi="宋体" w:eastAsia="宋体" w:cs="宋体"/>
          <w:b/>
          <w:bCs/>
          <w:snapToGrid/>
          <w:spacing w:val="0"/>
          <w:w w:val="100"/>
          <w:kern w:val="21"/>
          <w:position w:val="0"/>
          <w:sz w:val="28"/>
          <w:szCs w:val="28"/>
        </w:rPr>
        <w:t>4.3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分包</w:t>
      </w:r>
      <w:bookmarkEnd w:id="191"/>
    </w:p>
    <w:p w14:paraId="505C261C">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4.3.1 承包人不得将其承包的全部工程转包给第三人，或将其承包的全部工程肢解后以分包的 名义转包给第三人。</w:t>
      </w:r>
    </w:p>
    <w:p w14:paraId="5C5C70BF">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4.3.2 承包人不得将工程主体、关键性工作分包给第三人。除专用合同条款另有约定外，未经 发包人同意，承包人不得将工程的其他部分或工作分包给第三人。</w:t>
      </w:r>
    </w:p>
    <w:p w14:paraId="013EE14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4.3.3 分包人的资格能力应与其分包工程的标准和规模相适应。</w:t>
      </w:r>
    </w:p>
    <w:p w14:paraId="79B1FC6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4.3.4 按投标函附录约定分包工程的，承包人应向发包人和监理人提交分包合同副本。</w:t>
      </w:r>
    </w:p>
    <w:p w14:paraId="3E281D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4.3.5 承包人应与分包人就分包工程向发包人承担连带责任。</w:t>
      </w:r>
    </w:p>
    <w:p w14:paraId="7BD61DB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2" w:name="_Toc22656"/>
      <w:r>
        <w:rPr>
          <w:rFonts w:ascii="宋体" w:hAnsi="宋体" w:eastAsia="宋体" w:cs="宋体"/>
          <w:b/>
          <w:bCs/>
          <w:snapToGrid/>
          <w:spacing w:val="0"/>
          <w:w w:val="100"/>
          <w:kern w:val="21"/>
          <w:position w:val="0"/>
          <w:sz w:val="28"/>
          <w:szCs w:val="28"/>
        </w:rPr>
        <w:t>4.4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联合体</w:t>
      </w:r>
      <w:bookmarkEnd w:id="192"/>
    </w:p>
    <w:p w14:paraId="3E47826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4.4.1 联合体各方应共同与发包人签订合同协议书。联合体各方应为履行合同承担连带责任。</w:t>
      </w:r>
    </w:p>
    <w:p w14:paraId="29973E14">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4.4.2 联合体协议经发包人确认后作为合同附件。在履行合同过程中，未经发包人同意，不得 修改联合体协议。</w:t>
      </w:r>
    </w:p>
    <w:p w14:paraId="71BD8490">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4.4.3 联合体牵头人负责与发包人和监理人联系，并接受指示，负责组织联合体各成员全面履 行合同。</w:t>
      </w:r>
    </w:p>
    <w:p w14:paraId="4E1366A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3" w:name="_Toc15968"/>
      <w:r>
        <w:rPr>
          <w:rFonts w:ascii="宋体" w:hAnsi="宋体" w:eastAsia="宋体" w:cs="宋体"/>
          <w:b/>
          <w:bCs/>
          <w:snapToGrid/>
          <w:spacing w:val="0"/>
          <w:w w:val="100"/>
          <w:kern w:val="21"/>
          <w:position w:val="0"/>
          <w:sz w:val="28"/>
          <w:szCs w:val="28"/>
        </w:rPr>
        <w:t>4.5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承包人项目经理</w:t>
      </w:r>
      <w:bookmarkEnd w:id="193"/>
    </w:p>
    <w:p w14:paraId="7E3A7D3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4.5.1 承包人应按合同约定指派项目经理，并在约定的期限内到职。承包人更换项目经理应事 先征得发包人同意，并应在更换 14 天前通知发包人和监理人。承包人项目经理短期离开施工场地， 应事先征得监理人同意，并委派代表代行其职责。</w:t>
      </w:r>
    </w:p>
    <w:p w14:paraId="7ACD657E">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4.5.2 承包人项目经理应按合同约定以及监理人按第 3.4 款作出的指示，负责组织合同工程的 实施。在情况紧急且无法与监理人取得联系时，可采取保证工程和人员生命财产安全的紧急措施， 并在采取措施后 24 小时内向监理人提交书面报告。</w:t>
      </w:r>
    </w:p>
    <w:p w14:paraId="382ECB7E">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4.5.3 承包人为履行合同发出的一切函件均应盖有承包人授权的施工场地管理机构章，并由承 包人项目经理或其授权代表签字。</w:t>
      </w:r>
    </w:p>
    <w:p w14:paraId="48F3C5BC">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4.5.4 承包人项目经理可以授权其下属人员履行其某项职责，但事先应将这些人员的姓名和授 权范围通知监理人。</w:t>
      </w:r>
    </w:p>
    <w:p w14:paraId="47AC236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4" w:name="_Toc4390"/>
      <w:r>
        <w:rPr>
          <w:rFonts w:ascii="宋体" w:hAnsi="宋体" w:eastAsia="宋体" w:cs="宋体"/>
          <w:b/>
          <w:bCs/>
          <w:snapToGrid/>
          <w:spacing w:val="0"/>
          <w:w w:val="100"/>
          <w:kern w:val="21"/>
          <w:position w:val="0"/>
          <w:sz w:val="28"/>
          <w:szCs w:val="28"/>
        </w:rPr>
        <w:t>4.6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承包人人员的管理</w:t>
      </w:r>
      <w:bookmarkEnd w:id="194"/>
    </w:p>
    <w:p w14:paraId="3545DBC1">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4.6.1 承包人应在接到开工通知后 28 天内，向监理人提交承包人在施工场地的管理机构以及人 员安排的报告，其内容应包括管理机构的设置、各主要岗位的技术和管理人员名单及其资格， 以及 各工种技术工人的安排状况。承包人应向监理人提交施工场地人员变动情况的报告。</w:t>
      </w:r>
    </w:p>
    <w:p w14:paraId="290E26F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4.6.2 为完成合同约定的各项工作，承包人应向施工场地派遣或雇佣足够数量的下列人员：</w:t>
      </w:r>
    </w:p>
    <w:p w14:paraId="20270D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（1）具有相应资格的专业技工和合格的普工；</w:t>
      </w:r>
    </w:p>
    <w:p w14:paraId="27208CF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（2）具有相应施工经验的技术人员；</w:t>
      </w:r>
    </w:p>
    <w:p w14:paraId="2BA6864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（3）具有相应岗位资格的各级管理人员。</w:t>
      </w:r>
    </w:p>
    <w:p w14:paraId="7E348678">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4.6.3 承包人安排在施工场地的主要管理人员和技术骨干应相对稳定。承包人更换主要管理人 员和技术骨干时，应取得监理人的同意。</w:t>
      </w:r>
    </w:p>
    <w:p w14:paraId="3609D54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4.6.4 特殊岗位的工作人员均应持有相应的资格证明，监理人有权随时检查。监理人认为有必要时，可进行现场考核。</w:t>
      </w:r>
    </w:p>
    <w:p w14:paraId="6EA628C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5" w:name="_Toc25172"/>
      <w:r>
        <w:rPr>
          <w:rFonts w:ascii="宋体" w:hAnsi="宋体" w:eastAsia="宋体" w:cs="宋体"/>
          <w:b/>
          <w:bCs/>
          <w:snapToGrid/>
          <w:spacing w:val="0"/>
          <w:w w:val="100"/>
          <w:kern w:val="21"/>
          <w:position w:val="0"/>
          <w:sz w:val="28"/>
          <w:szCs w:val="28"/>
        </w:rPr>
        <w:t>4.7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撤换承包人项目经理和其他人员</w:t>
      </w:r>
      <w:bookmarkEnd w:id="195"/>
    </w:p>
    <w:p w14:paraId="0815F09F">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承包人应对其项目经理和其他人员进行有效管理。监理人要求撤换不能胜任本职工作、行为不 端或玩忽职守的承包人项目经理和其他人员的，承包人应予以撤换。</w:t>
      </w:r>
    </w:p>
    <w:p w14:paraId="48D029E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6" w:name="_Toc20031"/>
      <w:r>
        <w:rPr>
          <w:rFonts w:ascii="宋体" w:hAnsi="宋体" w:eastAsia="宋体" w:cs="宋体"/>
          <w:b/>
          <w:bCs/>
          <w:snapToGrid/>
          <w:spacing w:val="0"/>
          <w:w w:val="100"/>
          <w:kern w:val="21"/>
          <w:position w:val="0"/>
          <w:sz w:val="28"/>
          <w:szCs w:val="28"/>
        </w:rPr>
        <w:t>4.8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保障承包人人员的合法权益</w:t>
      </w:r>
      <w:bookmarkEnd w:id="196"/>
    </w:p>
    <w:p w14:paraId="2961DFF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4.8.1 承包人应与其雇佣的人员签订劳动合同，并按时发放工资。</w:t>
      </w:r>
    </w:p>
    <w:p w14:paraId="29711780">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4.8.2 承包人应按劳动法的规定安排工作时间，保证其雇佣人员享有休息和休假的权利。因工 程施工的特殊需要占用休假日或延长工作时间的，应不超过法律规定的限度，并按法律规定给予补 休或付酬。</w:t>
      </w:r>
    </w:p>
    <w:p w14:paraId="5E57AD6D">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4.8.3 承包人应为其雇佣人员提供必要的食宿条件，以及符合环境保护和卫生要求的生活环境， 在远离城镇的施工场地，还应配备必要的伤病防治和急救的医务人员与医疗设施。</w:t>
      </w:r>
    </w:p>
    <w:p w14:paraId="50013C02">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4.8.4 承包人应按国家有关劳动保护的规定，采取有效的防止粉尘、降低噪声、控制有害气体 和保障高温、高寒、高空作业安全等劳动保护措施。其雇佣人员在施工中受到伤害的，承包人应立 即采取有效措施进行抢救和治疗。</w:t>
      </w:r>
    </w:p>
    <w:p w14:paraId="20F0788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4.8.5 承包人应按有关法律规定和合同约定，为其雇佣人员办理保险。</w:t>
      </w:r>
    </w:p>
    <w:p w14:paraId="54FD769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4.8.6 承包人应负责处理其雇佣人员因工伤亡事故的善后事宜。</w:t>
      </w:r>
    </w:p>
    <w:p w14:paraId="1BD5168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7" w:name="_Toc30796"/>
      <w:r>
        <w:rPr>
          <w:rFonts w:ascii="宋体" w:hAnsi="宋体" w:eastAsia="宋体" w:cs="宋体"/>
          <w:b/>
          <w:bCs/>
          <w:snapToGrid/>
          <w:spacing w:val="0"/>
          <w:w w:val="100"/>
          <w:kern w:val="21"/>
          <w:position w:val="0"/>
          <w:sz w:val="28"/>
          <w:szCs w:val="28"/>
        </w:rPr>
        <w:t>4.9</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工程价款应专款专用</w:t>
      </w:r>
      <w:bookmarkEnd w:id="197"/>
    </w:p>
    <w:p w14:paraId="631705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发包人按合同约定支付给承包人的各项价款应专用于合同工程。</w:t>
      </w:r>
    </w:p>
    <w:p w14:paraId="0B9857D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8" w:name="_Toc19492"/>
      <w:r>
        <w:rPr>
          <w:rFonts w:ascii="宋体" w:hAnsi="宋体" w:eastAsia="宋体" w:cs="宋体"/>
          <w:b/>
          <w:bCs/>
          <w:snapToGrid/>
          <w:spacing w:val="0"/>
          <w:w w:val="100"/>
          <w:kern w:val="21"/>
          <w:position w:val="0"/>
          <w:sz w:val="28"/>
          <w:szCs w:val="28"/>
        </w:rPr>
        <w:t>4.10</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承包人现场查勘</w:t>
      </w:r>
      <w:bookmarkEnd w:id="198"/>
    </w:p>
    <w:p w14:paraId="63637C5F">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4.10.1 发包人应将其持有的现场地质勘探资料、水文气象资料提供给承包人，并对其准确性负 责。但承包人应对其阅读上述有关资料后所作出的解释和推断负责。</w:t>
      </w:r>
    </w:p>
    <w:p w14:paraId="4B659FCD">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4.10.2 承包人应对施工场地和周围环境进行查勘，并收集有关地质、水文、气象条件、交通条 件、风俗习惯以及其他为完成合同工作有关的当地资料。在全部合同工作中，应视为承包人已充分 估计了应承担的责任和风险。</w:t>
      </w:r>
    </w:p>
    <w:p w14:paraId="29E3298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199" w:name="_Toc18510"/>
      <w:r>
        <w:rPr>
          <w:rFonts w:ascii="宋体" w:hAnsi="宋体" w:eastAsia="宋体" w:cs="宋体"/>
          <w:b/>
          <w:bCs/>
          <w:snapToGrid/>
          <w:spacing w:val="0"/>
          <w:w w:val="100"/>
          <w:kern w:val="21"/>
          <w:position w:val="0"/>
          <w:sz w:val="28"/>
          <w:szCs w:val="28"/>
        </w:rPr>
        <w:t>4.11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不利物质条件</w:t>
      </w:r>
      <w:bookmarkEnd w:id="199"/>
    </w:p>
    <w:p w14:paraId="6E7D72EC">
      <w:pPr>
        <w:keepNext w:val="0"/>
        <w:keepLines w:val="0"/>
        <w:pageBreakBefore w:val="0"/>
        <w:widowControl w:val="0"/>
        <w:kinsoku/>
        <w:wordWrap w:val="0"/>
        <w:overflowPunct/>
        <w:topLinePunct/>
        <w:autoSpaceDE w:val="0"/>
        <w:autoSpaceDN/>
        <w:bidi w:val="0"/>
        <w:adjustRightInd/>
        <w:snapToGrid/>
        <w:spacing w:line="560" w:lineRule="exact"/>
        <w:ind w:left="0" w:right="0" w:firstLine="38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4.11.1 不利物质条件，除专用合同条款另有约定外，是指承包人在施工场地遇到的不可预见的 自然物质条件、非自然的物质障碍和污染物，包括地下和水文条件，但不包括气候条件。</w:t>
      </w:r>
    </w:p>
    <w:p w14:paraId="2007146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4.11.2 承包人遇到不利物质条件时，应采取适应不利物质条件的合理措施继续施工，并及时通知监理人。监理人应当及时发出指示，指示构成变更的，按第 15 条约定办理。监理人没有发出指示 的，承包人因采取合理措施而增加的费用和（或） 工期延误， 由发包人承担。</w:t>
      </w:r>
    </w:p>
    <w:p w14:paraId="473A2C1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00" w:name="bookmark138"/>
      <w:bookmarkEnd w:id="200"/>
      <w:bookmarkStart w:id="201" w:name="_Toc30957"/>
      <w:bookmarkStart w:id="202" w:name="_Toc25519"/>
      <w:r>
        <w:rPr>
          <w:rFonts w:ascii="宋体" w:hAnsi="宋体" w:eastAsia="宋体" w:cs="宋体"/>
          <w:b/>
          <w:bCs/>
          <w:snapToGrid/>
          <w:spacing w:val="0"/>
          <w:w w:val="100"/>
          <w:kern w:val="21"/>
          <w:position w:val="0"/>
          <w:sz w:val="31"/>
          <w:szCs w:val="31"/>
        </w:rPr>
        <w:t>5.</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材料和工程设备</w:t>
      </w:r>
      <w:bookmarkEnd w:id="201"/>
      <w:bookmarkEnd w:id="202"/>
    </w:p>
    <w:p w14:paraId="69AF169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03" w:name="_Toc15653"/>
      <w:r>
        <w:rPr>
          <w:rFonts w:ascii="宋体" w:hAnsi="宋体" w:eastAsia="宋体" w:cs="宋体"/>
          <w:b/>
          <w:bCs/>
          <w:snapToGrid/>
          <w:spacing w:val="0"/>
          <w:w w:val="100"/>
          <w:kern w:val="21"/>
          <w:position w:val="0"/>
          <w:sz w:val="28"/>
          <w:szCs w:val="28"/>
        </w:rPr>
        <w:t>5.1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承包人提供的材料和工程设备</w:t>
      </w:r>
      <w:bookmarkEnd w:id="203"/>
    </w:p>
    <w:p w14:paraId="4D5A1C0B">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5.1.1 除专用合同条款另有约定外，承包人提供的材料和工程设备均由承包人负责采购、运输 和保管。承包人应对其采购的材料和工程设备负责。</w:t>
      </w:r>
    </w:p>
    <w:p w14:paraId="540B81E4">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5.1.2 承包人应按专用合同条款的约定，将各项材料和工程设备的供货人及品种、规格、数量 和供货时间等报送监理人审批。承包人应向监理人提交其负责提供的材料和工程设备的质量证明文 件，并满足合同约定的质量标准。</w:t>
      </w:r>
    </w:p>
    <w:p w14:paraId="31B12F0F">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5.1.3 对承包人提供的材料和工程设备，承包人应会同监理人进行检验和交货验收，查验材料 合格证明和产品合格证书，并按合同约定和监理人指示，进行材料的抽样检验和工程设备的检验测 试，检验和测试结果应提交监理人，所需费用由承包人承担。</w:t>
      </w:r>
    </w:p>
    <w:p w14:paraId="1FA3299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04" w:name="_Toc23656"/>
      <w:r>
        <w:rPr>
          <w:rFonts w:ascii="宋体" w:hAnsi="宋体" w:eastAsia="宋体" w:cs="宋体"/>
          <w:b/>
          <w:bCs/>
          <w:snapToGrid/>
          <w:spacing w:val="0"/>
          <w:w w:val="100"/>
          <w:kern w:val="21"/>
          <w:position w:val="0"/>
          <w:sz w:val="28"/>
          <w:szCs w:val="28"/>
        </w:rPr>
        <w:t>5.2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发包人提供的材料和工程设备</w:t>
      </w:r>
      <w:bookmarkEnd w:id="204"/>
    </w:p>
    <w:p w14:paraId="0233E76C">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5.2.1 发包人提供的材料和工程设备，应在专用合同条款中写明材料和工程设备的名称、规格、 数量、价格、交货方式、交货地点和计划交货日期等。</w:t>
      </w:r>
    </w:p>
    <w:p w14:paraId="25A84623">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5.2.2 承包人应根据合同进度计划的安排， 向监理人报送要求发包人交货的日期计划。发包人 应按照监理人与合同双方当事人商定的交货日期， 向承包人提交材料和工程设备。</w:t>
      </w:r>
    </w:p>
    <w:p w14:paraId="6B2E611C">
      <w:pPr>
        <w:keepNext w:val="0"/>
        <w:keepLines w:val="0"/>
        <w:pageBreakBefore w:val="0"/>
        <w:widowControl w:val="0"/>
        <w:kinsoku/>
        <w:wordWrap w:val="0"/>
        <w:overflowPunct/>
        <w:topLinePunct/>
        <w:autoSpaceDE w:val="0"/>
        <w:autoSpaceDN/>
        <w:bidi w:val="0"/>
        <w:adjustRightInd/>
        <w:snapToGrid/>
        <w:spacing w:line="560" w:lineRule="exact"/>
        <w:ind w:left="0" w:right="0" w:firstLine="39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5.2.3 发包人应在材料和工程设备到货 7 天前通知承包人，承包人应会同监理人在约定的时间 内，赴交货地点共同进行验收。除专用合同条款另有约定外，发包人提供的材料和工程设备验收后， 由承包人负责接收、运输和保管。</w:t>
      </w:r>
    </w:p>
    <w:p w14:paraId="14AEB8B0">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5.2.4 发包人要求向承包人提前交货的，承包人不得拒绝，但发包人应承担承包人由此增加的 费用。</w:t>
      </w:r>
    </w:p>
    <w:p w14:paraId="08FEF6FE">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5.2.5 承包人要求更改交货日期或地点的，应事先报请监理人批准。由于承包人要求更改交货 时间或地点所增加的费用和（或）工期延误由承包人承担。</w:t>
      </w:r>
    </w:p>
    <w:p w14:paraId="6F08646C">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5.2.6 发包人提供的材料和工程设备的规格、数量或质量不符合合同要求，或由于发包人原因 发生交货日期延误及交货地点变更等情况的，发包人应承担由此增加的费用和（或）工期延误，并 向承包人支付合理利润。</w:t>
      </w:r>
    </w:p>
    <w:p w14:paraId="3982668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0164C3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05" w:name="_Toc12381"/>
      <w:r>
        <w:rPr>
          <w:rFonts w:ascii="宋体" w:hAnsi="宋体" w:eastAsia="宋体" w:cs="宋体"/>
          <w:b/>
          <w:bCs/>
          <w:snapToGrid/>
          <w:spacing w:val="0"/>
          <w:w w:val="100"/>
          <w:kern w:val="21"/>
          <w:position w:val="0"/>
          <w:sz w:val="28"/>
          <w:szCs w:val="28"/>
        </w:rPr>
        <w:t>5.3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材料和工程设备专用于合同工程</w:t>
      </w:r>
      <w:bookmarkEnd w:id="205"/>
    </w:p>
    <w:p w14:paraId="3CFF8511">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5.3.1 运入施工场地的材料、工程设备，包括备品备件、安装专用工器具与随机资料，必须专 用于合同工程，未经监理人同意，承包人不得运出施工场地或挪作他用。</w:t>
      </w:r>
    </w:p>
    <w:p w14:paraId="058A1D0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5.3.2 随同工程设备运入施工场地的备品备件、专用工器具与随机资料，应由承包人会同监理人按供货人的装箱单清点后共同封存，未经监理人同意不得启用。承包人因合同工作需要使用上述 物品时，应向监理人提出申请。</w:t>
      </w:r>
    </w:p>
    <w:p w14:paraId="75A0341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06" w:name="_Toc16687"/>
      <w:r>
        <w:rPr>
          <w:rFonts w:ascii="宋体" w:hAnsi="宋体" w:eastAsia="宋体" w:cs="宋体"/>
          <w:b/>
          <w:bCs/>
          <w:snapToGrid/>
          <w:spacing w:val="0"/>
          <w:w w:val="100"/>
          <w:kern w:val="21"/>
          <w:position w:val="0"/>
          <w:sz w:val="28"/>
          <w:szCs w:val="28"/>
        </w:rPr>
        <w:t>5.4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禁止使用不合格的材料和工程设备</w:t>
      </w:r>
      <w:bookmarkEnd w:id="206"/>
    </w:p>
    <w:p w14:paraId="1F1E4981">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5.4.1 监理人有权拒绝承包人提供的不合格材料或工程设备，并要求承包人立即进行更换。监 理人应在更换后再次进行检查和检验， 由此增加的费用和（或） 工期延误由承包人承担。</w:t>
      </w:r>
    </w:p>
    <w:p w14:paraId="44EA89D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5.4.2 监理人发现承包人使用了不合格的材料和工程设备，应即时发出指示要求承包人立即改 正，并禁止在工程中继续使用不合格的材料和工程设备。</w:t>
      </w:r>
    </w:p>
    <w:p w14:paraId="6206BA59">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5.4.3 发包人提供的材料或工程设备不符合合同要求的，承包人有权拒绝，并可要求发包人更 换， 由此增加的费用和（或）工期延误由发包人承担。</w:t>
      </w:r>
    </w:p>
    <w:p w14:paraId="3A01CBA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07" w:name="bookmark139"/>
      <w:bookmarkEnd w:id="207"/>
      <w:bookmarkStart w:id="208" w:name="_Toc17111"/>
      <w:bookmarkStart w:id="209" w:name="_Toc10319"/>
      <w:r>
        <w:rPr>
          <w:rFonts w:ascii="宋体" w:hAnsi="宋体" w:eastAsia="宋体" w:cs="宋体"/>
          <w:b/>
          <w:bCs/>
          <w:snapToGrid/>
          <w:spacing w:val="0"/>
          <w:w w:val="100"/>
          <w:kern w:val="21"/>
          <w:position w:val="0"/>
          <w:sz w:val="31"/>
          <w:szCs w:val="31"/>
        </w:rPr>
        <w:t>6.</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施工设备和临时设施</w:t>
      </w:r>
      <w:bookmarkEnd w:id="208"/>
      <w:bookmarkEnd w:id="209"/>
    </w:p>
    <w:p w14:paraId="1CBA1E5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0" w:name="_Toc21238"/>
      <w:r>
        <w:rPr>
          <w:rFonts w:ascii="宋体" w:hAnsi="宋体" w:eastAsia="宋体" w:cs="宋体"/>
          <w:b/>
          <w:bCs/>
          <w:snapToGrid/>
          <w:spacing w:val="0"/>
          <w:w w:val="100"/>
          <w:kern w:val="21"/>
          <w:position w:val="0"/>
          <w:sz w:val="28"/>
          <w:szCs w:val="28"/>
        </w:rPr>
        <w:t>6.1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承包人提供的施工设备和临时设施</w:t>
      </w:r>
      <w:bookmarkEnd w:id="210"/>
    </w:p>
    <w:p w14:paraId="18C88F42">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6.1.1 承包人应按合同进度计划的要求，及时配置施工设备和修建临时设施。进入施工场地的 承包人设备需经监理人核查后才能投入使用。承包人更换合同约定的承包人设备的，应报监理人批 准。</w:t>
      </w:r>
    </w:p>
    <w:p w14:paraId="0EB7D909">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6.1.2 除专用合同条款另有约定外，承包人应自行承担修建临时设施的费用，需要临时占地的， 应由发包人办理申请手续并承担相应费用。</w:t>
      </w:r>
    </w:p>
    <w:p w14:paraId="6A0C2E1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1" w:name="_Toc3844"/>
      <w:r>
        <w:rPr>
          <w:rFonts w:ascii="宋体" w:hAnsi="宋体" w:eastAsia="宋体" w:cs="宋体"/>
          <w:b/>
          <w:bCs/>
          <w:snapToGrid/>
          <w:spacing w:val="0"/>
          <w:w w:val="100"/>
          <w:kern w:val="21"/>
          <w:position w:val="0"/>
          <w:sz w:val="28"/>
          <w:szCs w:val="28"/>
        </w:rPr>
        <w:t>6.2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发包人提供的施工设备和临时设施</w:t>
      </w:r>
      <w:bookmarkEnd w:id="211"/>
    </w:p>
    <w:p w14:paraId="5E46777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发包人提供的施工设备或临时设施在专用合同条款中约定。</w:t>
      </w:r>
    </w:p>
    <w:p w14:paraId="3D76B94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2" w:name="_Toc21130"/>
      <w:r>
        <w:rPr>
          <w:rFonts w:ascii="宋体" w:hAnsi="宋体" w:eastAsia="宋体" w:cs="宋体"/>
          <w:b/>
          <w:bCs/>
          <w:snapToGrid/>
          <w:spacing w:val="0"/>
          <w:w w:val="100"/>
          <w:kern w:val="21"/>
          <w:position w:val="0"/>
          <w:sz w:val="28"/>
          <w:szCs w:val="28"/>
        </w:rPr>
        <w:t>6.3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要求承包人增加或更换施工设备</w:t>
      </w:r>
      <w:bookmarkEnd w:id="212"/>
    </w:p>
    <w:p w14:paraId="05DCCD5B">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承包人使用的施工设备不能满足合同进度计划和（或）质量要求时，监理人有权要求承包人增 加或更换施工设备，承包人应及时增加或更换， 由此增加的费用和（或） 工期延误由承包人承担。</w:t>
      </w:r>
    </w:p>
    <w:p w14:paraId="2549099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3" w:name="_Toc10775"/>
      <w:r>
        <w:rPr>
          <w:rFonts w:ascii="宋体" w:hAnsi="宋体" w:eastAsia="宋体" w:cs="宋体"/>
          <w:b/>
          <w:bCs/>
          <w:snapToGrid/>
          <w:spacing w:val="0"/>
          <w:w w:val="100"/>
          <w:kern w:val="21"/>
          <w:position w:val="0"/>
          <w:sz w:val="28"/>
          <w:szCs w:val="28"/>
        </w:rPr>
        <w:t>6.4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施工设备和临时设施专用于合同工程</w:t>
      </w:r>
      <w:bookmarkEnd w:id="213"/>
    </w:p>
    <w:p w14:paraId="0B4D3572">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6.4.1 除合同另有约定外，运入施工场地的所有施工设备以及在施工场地建设的临时设施应专 用于合同工程。未经监理人同意，不得将上述施工设备和临时设施中的任何部分运出施工场地或挪 作他用。</w:t>
      </w:r>
    </w:p>
    <w:p w14:paraId="3C5DF1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6.4.2 经监理人同意，承包人可根据合同进度计划撤走闲置的施工设备。</w:t>
      </w:r>
    </w:p>
    <w:p w14:paraId="36807AD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14" w:name="bookmark140"/>
      <w:bookmarkEnd w:id="214"/>
      <w:bookmarkStart w:id="215" w:name="_Toc30247"/>
      <w:bookmarkStart w:id="216" w:name="_Toc24965"/>
      <w:r>
        <w:rPr>
          <w:rFonts w:ascii="宋体" w:hAnsi="宋体" w:eastAsia="宋体" w:cs="宋体"/>
          <w:b/>
          <w:bCs/>
          <w:snapToGrid/>
          <w:spacing w:val="0"/>
          <w:w w:val="100"/>
          <w:kern w:val="21"/>
          <w:position w:val="0"/>
          <w:sz w:val="31"/>
          <w:szCs w:val="31"/>
        </w:rPr>
        <w:t>7.</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交通运输</w:t>
      </w:r>
      <w:bookmarkEnd w:id="215"/>
      <w:bookmarkEnd w:id="216"/>
    </w:p>
    <w:p w14:paraId="0BD35B5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7" w:name="_Toc21419"/>
      <w:r>
        <w:rPr>
          <w:rFonts w:ascii="宋体" w:hAnsi="宋体" w:eastAsia="宋体" w:cs="宋体"/>
          <w:b/>
          <w:bCs/>
          <w:snapToGrid/>
          <w:spacing w:val="0"/>
          <w:w w:val="100"/>
          <w:kern w:val="21"/>
          <w:position w:val="0"/>
          <w:sz w:val="28"/>
          <w:szCs w:val="28"/>
        </w:rPr>
        <w:t>7.1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道路通行权和场外设施</w:t>
      </w:r>
      <w:bookmarkEnd w:id="217"/>
    </w:p>
    <w:p w14:paraId="53FE0CDB">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除专用合同条款另有约定外，发包人应根据合同工程的施工需要，负责办理取得出入施工场地 的专用和临时道路的通行权， 以及取得为工程建设所需修建场外设施的权利，并承担有关费用。承 包人应协助发包人办理上述手续。</w:t>
      </w:r>
    </w:p>
    <w:p w14:paraId="79D5F9A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8" w:name="_Toc31703"/>
      <w:r>
        <w:rPr>
          <w:rFonts w:ascii="宋体" w:hAnsi="宋体" w:eastAsia="宋体" w:cs="宋体"/>
          <w:b/>
          <w:bCs/>
          <w:snapToGrid/>
          <w:spacing w:val="0"/>
          <w:w w:val="100"/>
          <w:kern w:val="21"/>
          <w:position w:val="0"/>
          <w:sz w:val="28"/>
          <w:szCs w:val="28"/>
        </w:rPr>
        <w:t>7.2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场内施工道路</w:t>
      </w:r>
      <w:bookmarkEnd w:id="218"/>
    </w:p>
    <w:p w14:paraId="6BE31BCF">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7.2.1 除专用合同条款另有约定外，承包人应负责修建、维修、养护和管理施工所需的临时道 路和交通设施，包括维修、养护和管理发包人提供的道路和交通设施，并承担相应费用。</w:t>
      </w:r>
    </w:p>
    <w:p w14:paraId="01F58E30">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7.2.2 除专用合同条款另有约定外，承包人修建的临时道路和交通设施应免费提供发包人和监 理人使用。</w:t>
      </w:r>
    </w:p>
    <w:p w14:paraId="7C2C034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19" w:name="_Toc28590"/>
      <w:r>
        <w:rPr>
          <w:rFonts w:ascii="宋体" w:hAnsi="宋体" w:eastAsia="宋体" w:cs="宋体"/>
          <w:b/>
          <w:bCs/>
          <w:snapToGrid/>
          <w:spacing w:val="0"/>
          <w:w w:val="100"/>
          <w:kern w:val="21"/>
          <w:position w:val="0"/>
          <w:sz w:val="28"/>
          <w:szCs w:val="28"/>
        </w:rPr>
        <w:t>7.3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场外交通</w:t>
      </w:r>
      <w:bookmarkEnd w:id="219"/>
    </w:p>
    <w:p w14:paraId="4223605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7.3.1 承包人车辆外出行驶所需的场外公共道路的通行费、养路费和税款等由承包人承担。</w:t>
      </w:r>
    </w:p>
    <w:p w14:paraId="7F085785">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7.3.2 承包人应遵守有关交通法规，严格按照道路和桥梁的限制荷重安全行驶，并服从交通管 理部门的检查和监督。</w:t>
      </w:r>
    </w:p>
    <w:p w14:paraId="087B8A5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0" w:name="_Toc22150"/>
      <w:r>
        <w:rPr>
          <w:rFonts w:ascii="宋体" w:hAnsi="宋体" w:eastAsia="宋体" w:cs="宋体"/>
          <w:b/>
          <w:bCs/>
          <w:snapToGrid/>
          <w:spacing w:val="0"/>
          <w:w w:val="100"/>
          <w:kern w:val="21"/>
          <w:position w:val="0"/>
          <w:sz w:val="28"/>
          <w:szCs w:val="28"/>
        </w:rPr>
        <w:t>7.4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超大件和超重件的运输</w:t>
      </w:r>
      <w:bookmarkEnd w:id="220"/>
    </w:p>
    <w:p w14:paraId="69F62433">
      <w:pPr>
        <w:keepNext w:val="0"/>
        <w:keepLines w:val="0"/>
        <w:pageBreakBefore w:val="0"/>
        <w:widowControl w:val="0"/>
        <w:kinsoku/>
        <w:wordWrap w:val="0"/>
        <w:overflowPunct/>
        <w:topLinePunct/>
        <w:autoSpaceDE w:val="0"/>
        <w:autoSpaceDN/>
        <w:bidi w:val="0"/>
        <w:adjustRightInd/>
        <w:snapToGrid/>
        <w:spacing w:line="560" w:lineRule="exact"/>
        <w:ind w:left="0" w:right="0" w:firstLine="44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由承包人负责运输的超大件或超重件，应由承包人负责向交通管理部门办理申请手续，发包人 给予协助。运输超大件或超重件所需的道路和桥梁临时加固改造费用和其他有关费用， 由承包人承 担，但专用合同条款另有约定除外。</w:t>
      </w:r>
    </w:p>
    <w:p w14:paraId="0FC4517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1" w:name="_Toc1172"/>
      <w:r>
        <w:rPr>
          <w:rFonts w:ascii="宋体" w:hAnsi="宋体" w:eastAsia="宋体" w:cs="宋体"/>
          <w:b/>
          <w:bCs/>
          <w:snapToGrid/>
          <w:spacing w:val="0"/>
          <w:w w:val="100"/>
          <w:kern w:val="21"/>
          <w:position w:val="0"/>
          <w:sz w:val="28"/>
          <w:szCs w:val="28"/>
        </w:rPr>
        <w:t>7.5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道路和桥梁的损坏责任</w:t>
      </w:r>
      <w:bookmarkEnd w:id="221"/>
    </w:p>
    <w:p w14:paraId="2FDF4FC8">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因承包人运输造成施工场地内外公共道路和桥梁损坏的， 由承包人承担修复损坏的全部费用和 可能引起的赔偿。</w:t>
      </w:r>
    </w:p>
    <w:p w14:paraId="4AD203B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2" w:name="_Toc5533"/>
      <w:r>
        <w:rPr>
          <w:rFonts w:ascii="宋体" w:hAnsi="宋体" w:eastAsia="宋体" w:cs="宋体"/>
          <w:b/>
          <w:bCs/>
          <w:snapToGrid/>
          <w:spacing w:val="0"/>
          <w:w w:val="100"/>
          <w:kern w:val="21"/>
          <w:position w:val="0"/>
          <w:sz w:val="28"/>
          <w:szCs w:val="28"/>
        </w:rPr>
        <w:t>7.6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水路和航空运输</w:t>
      </w:r>
      <w:bookmarkEnd w:id="222"/>
    </w:p>
    <w:p w14:paraId="061731F4">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本条上述各款的内容适用于水路运输和航空运输，其中“道路 ”一词的涵义包括河道、航线、 船闸、机场、码头、堤防以及水路或航空运输中其他相似结构物；“车辆 ”一词的涵义包括船舶和飞 机等。</w:t>
      </w:r>
    </w:p>
    <w:p w14:paraId="3588AD7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23" w:name="bookmark141"/>
      <w:bookmarkEnd w:id="223"/>
      <w:bookmarkStart w:id="224" w:name="_Toc32153"/>
      <w:bookmarkStart w:id="225" w:name="_Toc2069"/>
      <w:r>
        <w:rPr>
          <w:rFonts w:ascii="宋体" w:hAnsi="宋体" w:eastAsia="宋体" w:cs="宋体"/>
          <w:b/>
          <w:bCs/>
          <w:snapToGrid/>
          <w:spacing w:val="0"/>
          <w:w w:val="100"/>
          <w:kern w:val="21"/>
          <w:position w:val="0"/>
          <w:sz w:val="31"/>
          <w:szCs w:val="31"/>
        </w:rPr>
        <w:t>8.</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测量放线</w:t>
      </w:r>
      <w:bookmarkEnd w:id="224"/>
      <w:bookmarkEnd w:id="225"/>
    </w:p>
    <w:p w14:paraId="0BBE15E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6" w:name="_Toc6753"/>
      <w:r>
        <w:rPr>
          <w:rFonts w:ascii="宋体" w:hAnsi="宋体" w:eastAsia="宋体" w:cs="宋体"/>
          <w:b/>
          <w:bCs/>
          <w:snapToGrid/>
          <w:spacing w:val="0"/>
          <w:w w:val="100"/>
          <w:kern w:val="21"/>
          <w:position w:val="0"/>
          <w:sz w:val="28"/>
          <w:szCs w:val="28"/>
        </w:rPr>
        <w:t>8.1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施工控制网</w:t>
      </w:r>
      <w:bookmarkEnd w:id="226"/>
    </w:p>
    <w:p w14:paraId="1719973B">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8.1.1 发包人应在专用合同条款约定的期限内，通过监理人向承包人提供测量基准点、基准线 和水准点及其书面资料。除专用合同条款另有约定外，承包人应根据国家测绘基准、测绘系统和工 程测量技术规范，按上述基准点（线） 以及合同工程精度要求，测设施工控制网，并在专用合同条 款约定的期限内，将施工控制网资料报送监理人审批。</w:t>
      </w:r>
    </w:p>
    <w:p w14:paraId="69CD12DF">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8.1.2 承包人应负责管理施工控制网点。施工控制网点丢失或损坏的，承包人应及时修复。承 包人应承担施工控制网点的管理与修复费用，并在工程竣工后将施工控制网点移交发包人。</w:t>
      </w:r>
    </w:p>
    <w:p w14:paraId="2C8EBD8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7" w:name="_Toc22288"/>
      <w:r>
        <w:rPr>
          <w:rFonts w:ascii="宋体" w:hAnsi="宋体" w:eastAsia="宋体" w:cs="宋体"/>
          <w:b/>
          <w:bCs/>
          <w:snapToGrid/>
          <w:spacing w:val="0"/>
          <w:w w:val="100"/>
          <w:kern w:val="21"/>
          <w:position w:val="0"/>
          <w:sz w:val="28"/>
          <w:szCs w:val="28"/>
        </w:rPr>
        <w:t>8.2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施工测量</w:t>
      </w:r>
      <w:bookmarkEnd w:id="227"/>
    </w:p>
    <w:p w14:paraId="7582B9D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8.2.1 承包人应负责施工过程中的全部施工测量放线工作，并配置合格的人员、仪器、设备和 其他物品。</w:t>
      </w:r>
    </w:p>
    <w:p w14:paraId="5F7AFD64">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8.2.2 监理人可以指示承包人进行抽样复测，当复测中发现错误或出现超过合同约定的误差时， 承包人应按监理人指示进行修正或补测，并承担相应的复测费用。</w:t>
      </w:r>
    </w:p>
    <w:p w14:paraId="1B45FCC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8" w:name="_Toc29755"/>
      <w:r>
        <w:rPr>
          <w:rFonts w:ascii="宋体" w:hAnsi="宋体" w:eastAsia="宋体" w:cs="宋体"/>
          <w:b/>
          <w:bCs/>
          <w:snapToGrid/>
          <w:spacing w:val="0"/>
          <w:w w:val="100"/>
          <w:kern w:val="21"/>
          <w:position w:val="0"/>
          <w:sz w:val="28"/>
          <w:szCs w:val="28"/>
        </w:rPr>
        <w:t>8.3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基准资料错误的责任</w:t>
      </w:r>
      <w:bookmarkEnd w:id="228"/>
    </w:p>
    <w:p w14:paraId="7861BB7A">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发包人应对其提供的测量基准点、基准线和水准点及其书面资料的真实性、准确性和完整性负 责。发包人提供上述基准资料错误导致承包人测量放线工作的返工或造成工程损失的，发包人应当 承担由此增加的费用和（或）工期延误，并向承包人支付合理利润。承包人发现发包人提供的上述 基准资料存在明显错误或疏忽的，应及时通知监理人。</w:t>
      </w:r>
    </w:p>
    <w:p w14:paraId="3CA02CC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29" w:name="_Toc22851"/>
      <w:r>
        <w:rPr>
          <w:rFonts w:ascii="宋体" w:hAnsi="宋体" w:eastAsia="宋体" w:cs="宋体"/>
          <w:b/>
          <w:bCs/>
          <w:snapToGrid/>
          <w:spacing w:val="0"/>
          <w:w w:val="100"/>
          <w:kern w:val="21"/>
          <w:position w:val="0"/>
          <w:sz w:val="28"/>
          <w:szCs w:val="28"/>
        </w:rPr>
        <w:t>8.4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监理人使用施工控制网</w:t>
      </w:r>
      <w:bookmarkEnd w:id="229"/>
    </w:p>
    <w:p w14:paraId="683059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监理人需要使用施工控制网的，承包人应提供必要的协助，发包人不再为此支付费用。</w:t>
      </w:r>
    </w:p>
    <w:p w14:paraId="32DEB19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30" w:name="bookmark142"/>
      <w:bookmarkEnd w:id="230"/>
      <w:bookmarkStart w:id="231" w:name="_Toc17794"/>
      <w:bookmarkStart w:id="232" w:name="_Toc4610"/>
      <w:r>
        <w:rPr>
          <w:rFonts w:ascii="宋体" w:hAnsi="宋体" w:eastAsia="宋体" w:cs="宋体"/>
          <w:b/>
          <w:bCs/>
          <w:snapToGrid/>
          <w:spacing w:val="0"/>
          <w:w w:val="100"/>
          <w:kern w:val="21"/>
          <w:position w:val="0"/>
          <w:sz w:val="31"/>
          <w:szCs w:val="31"/>
        </w:rPr>
        <w:t>9.</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施工安全、治安保卫和环境保护</w:t>
      </w:r>
      <w:bookmarkEnd w:id="231"/>
      <w:bookmarkEnd w:id="232"/>
    </w:p>
    <w:p w14:paraId="020520D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33" w:name="_Toc6131"/>
      <w:r>
        <w:rPr>
          <w:rFonts w:ascii="宋体" w:hAnsi="宋体" w:eastAsia="宋体" w:cs="宋体"/>
          <w:b/>
          <w:bCs/>
          <w:snapToGrid/>
          <w:spacing w:val="0"/>
          <w:w w:val="100"/>
          <w:kern w:val="21"/>
          <w:position w:val="0"/>
          <w:sz w:val="28"/>
          <w:szCs w:val="28"/>
        </w:rPr>
        <w:t>9.1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发包人的施工安全责任</w:t>
      </w:r>
      <w:bookmarkEnd w:id="233"/>
    </w:p>
    <w:p w14:paraId="2CA0D0CB">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9.1.1 发包人应按合同约定履行安全职责，授权监理人按合同约定的安全工作内容监督、检查 承包人安全工作的实施，组织承包人和有关单位进行安全检查。</w:t>
      </w:r>
    </w:p>
    <w:p w14:paraId="746DC169">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9.1.2 发包人应对其现场机构雇佣的全部人员的工伤事故承担责任，但由于承包人原因造成发 包人人员工伤的，应由承包人承担责任。</w:t>
      </w:r>
    </w:p>
    <w:p w14:paraId="2FFB40A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9.1.3 发包人应负责赔偿以下各种情况造成的第三者人身伤亡和财产损失：</w:t>
      </w:r>
    </w:p>
    <w:p w14:paraId="541F7A2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工程或工程的任何部分对土地的占用所造成的第三者财产损失；</w:t>
      </w:r>
    </w:p>
    <w:p w14:paraId="013678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由于发包人原因在施工场地及其毗邻地带造成的第三者人身伤亡和财产损失。</w:t>
      </w:r>
    </w:p>
    <w:p w14:paraId="20D9F9D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34" w:name="_Toc32391"/>
      <w:r>
        <w:rPr>
          <w:rFonts w:ascii="宋体" w:hAnsi="宋体" w:eastAsia="宋体" w:cs="宋体"/>
          <w:b/>
          <w:bCs/>
          <w:snapToGrid/>
          <w:spacing w:val="0"/>
          <w:w w:val="100"/>
          <w:kern w:val="21"/>
          <w:position w:val="0"/>
          <w:sz w:val="28"/>
          <w:szCs w:val="28"/>
        </w:rPr>
        <w:t>9.2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承包人的施工安全责任</w:t>
      </w:r>
      <w:bookmarkEnd w:id="234"/>
    </w:p>
    <w:p w14:paraId="1B750671">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9.2.1 承包人应按合同约定履行安全职责,执行监理人有关安全工作的指示,并在专用合同条款 约定的期限内，按合同约定的安全工作内容，编制施工安全措施计划报送监理人审批。</w:t>
      </w:r>
    </w:p>
    <w:p w14:paraId="7D78496E">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9.2.2 承包人应加强施工作业安全管理，特别应加强易燃、易爆材料、火工器材、有毒与腐蚀 性材料和其他危险品的管理， 以及对爆破作业和地下工程施工等危险作业的管理。</w:t>
      </w:r>
    </w:p>
    <w:p w14:paraId="449CF678">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9.2.3 承包人应严格按照国家安全标准制定施工安全操作规程，配备必要的安全生产和劳动保 护设施，加强对承包人人员的安全教育，并发放安全工作手册和劳动保护用具。</w:t>
      </w:r>
    </w:p>
    <w:p w14:paraId="4C57659A">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9.2.4 承包人应按监理人的指示制定应对灾害的紧急预案，报送监理人审批。承包人还应按预 案做好安全检查，配置必要的救助物资和器材，切实保护好有关人员的人身和财产安全。</w:t>
      </w:r>
    </w:p>
    <w:p w14:paraId="79820506">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9.2.5 合同约定的安全作业环境及安全施工措施所需费用应遵守有关规定，并包括在相关工作 的合同价格中。因采取合同未约定的安全作业环境及安全施工措施增加的费用， 由监理人按第 3.5 款商定或确定。</w:t>
      </w:r>
    </w:p>
    <w:p w14:paraId="304CCDEF">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9.2.6 承包人应对其履行合同所雇佣的全部人员，包括分包人人员的工伤事故承担责任，但由 于发包人原因造成承包人人员工伤事故的，应由发包人承担责任。</w:t>
      </w:r>
    </w:p>
    <w:p w14:paraId="1A4261E9">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9.2.7 由于承包人原因在施工场地内及其毗邻地带造成的第三者人员伤亡和财产损失， 由承包 人负责赔偿。</w:t>
      </w:r>
    </w:p>
    <w:p w14:paraId="7FA4220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35" w:name="_Toc1731"/>
      <w:r>
        <w:rPr>
          <w:rFonts w:ascii="宋体" w:hAnsi="宋体" w:eastAsia="宋体" w:cs="宋体"/>
          <w:b/>
          <w:bCs/>
          <w:snapToGrid/>
          <w:spacing w:val="0"/>
          <w:w w:val="100"/>
          <w:kern w:val="21"/>
          <w:position w:val="0"/>
          <w:sz w:val="28"/>
          <w:szCs w:val="28"/>
        </w:rPr>
        <w:t>9.3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治安保卫</w:t>
      </w:r>
      <w:bookmarkEnd w:id="235"/>
    </w:p>
    <w:p w14:paraId="7546714B">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9.3.1 除合同另有约定外，发包人应与当地公安部门协商，在现场建立治安管理机构或联防组 织，统一管理施工场地的治安保卫事项，履行合同工程的治安保卫职责。</w:t>
      </w:r>
    </w:p>
    <w:p w14:paraId="5E73613A">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9.3.2 发包人和承包人除应协助现场治安管理机构或联防组织维护施工场地的社会治安外，还 应做好包括生活区在内的各自管辖区的治安保卫工作。</w:t>
      </w:r>
    </w:p>
    <w:p w14:paraId="2DF62A7E">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9.3.3 除合同另有约定外，发包人和承包人应在工程开工后，共同编制施工场地治安管理计划， 并制定应对突发治安事件的紧急预案。在工程施工过程中，发生暴乱、爆炸等恐怖事件，以及群殴、 械斗等群体性突发治安事件的，发包人和承包人应立即向当地政府报告。发包人和承包人应积极协 助当地有关部门采取措施平息事态， 防止事态扩大，尽量减少财产损失和避免人员伤亡。</w:t>
      </w:r>
    </w:p>
    <w:p w14:paraId="27A8FF4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36" w:name="_Toc2708"/>
      <w:r>
        <w:rPr>
          <w:rFonts w:ascii="宋体" w:hAnsi="宋体" w:eastAsia="宋体" w:cs="宋体"/>
          <w:b/>
          <w:bCs/>
          <w:snapToGrid/>
          <w:spacing w:val="0"/>
          <w:w w:val="100"/>
          <w:kern w:val="21"/>
          <w:position w:val="0"/>
          <w:sz w:val="28"/>
          <w:szCs w:val="28"/>
        </w:rPr>
        <w:t>9.4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环境保护</w:t>
      </w:r>
      <w:bookmarkEnd w:id="236"/>
    </w:p>
    <w:p w14:paraId="737FCEBC">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9.4.1 承包人在施工过程中，应遵守有关环境保护的法律，履行合同约定的环境保护义务，并 对违反法律和合同约定义务所造成的环境破坏、人身伤害和财产损失负责。</w:t>
      </w:r>
    </w:p>
    <w:p w14:paraId="24BA637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9.4.2 承包人应按合同约定的环保工作内容，编制施工环保措施计划，报送监理人审批。</w:t>
      </w:r>
    </w:p>
    <w:p w14:paraId="40D232E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9.4.3 承包人应按照批准的施工环保措施计划有序地堆放和处理施工废弃物，避免对环境造成破坏。因承包人任意堆放或弃置施工废弃物造成妨碍公共交通、影响城镇居民生活、降低河流行洪 能力、危及居民安全、破坏周边环境，或者影响其他承包人施工等后果的，承包人应承担责任。</w:t>
      </w:r>
    </w:p>
    <w:p w14:paraId="315FB400">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9.4.4 承包人应按合同约定采取有效措施，对施工开挖的边坡及时进行支护,维护排水设施，并 进行水土保护，避免因施工造成的地质灾害。</w:t>
      </w:r>
    </w:p>
    <w:p w14:paraId="208CA85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9.4.5 承包人应按国家饮用水管理标准定期对饮用水源进行监测，防止施工活动污染饮用水源。</w:t>
      </w:r>
    </w:p>
    <w:p w14:paraId="7E8374BA">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9.4.6 承包人应按合同约定，加强对噪声、粉尘、废气、废水和废油的控制，努力降低噪声， 控制粉尘和废气浓度，做好废水和废油的治理和排放。</w:t>
      </w:r>
    </w:p>
    <w:p w14:paraId="54B1BD1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37" w:name="_Toc30789"/>
      <w:r>
        <w:rPr>
          <w:rFonts w:ascii="宋体" w:hAnsi="宋体" w:eastAsia="宋体" w:cs="宋体"/>
          <w:b/>
          <w:bCs/>
          <w:snapToGrid/>
          <w:spacing w:val="0"/>
          <w:w w:val="100"/>
          <w:kern w:val="21"/>
          <w:position w:val="0"/>
          <w:sz w:val="28"/>
          <w:szCs w:val="28"/>
        </w:rPr>
        <w:t>9.5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事故处理</w:t>
      </w:r>
      <w:bookmarkEnd w:id="237"/>
    </w:p>
    <w:p w14:paraId="12F9521A">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工程施工过程中发生事故的，承包人应立即通知监理人，监理人应立即通知发包人。发包人和 承包人应立即组织人员和设备进行紧急抢救和抢修，减少人员伤亡和财产损失， 防止事故扩大，并 保护事故现场。需要移动现场物品时，应作出标记和书面记录，妥善保管有关证据。发包人和承包 人应按国家有关规定，及时如实地向有关部门报告事故发生的情况， 以及正在采取的紧急措施等。</w:t>
      </w:r>
    </w:p>
    <w:p w14:paraId="6F8374B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38" w:name="bookmark143"/>
      <w:bookmarkEnd w:id="238"/>
      <w:bookmarkStart w:id="239" w:name="_Toc6070"/>
      <w:bookmarkStart w:id="240" w:name="_Toc32630"/>
      <w:r>
        <w:rPr>
          <w:rFonts w:ascii="宋体" w:hAnsi="宋体" w:eastAsia="宋体" w:cs="宋体"/>
          <w:b/>
          <w:bCs/>
          <w:snapToGrid/>
          <w:spacing w:val="0"/>
          <w:w w:val="100"/>
          <w:kern w:val="21"/>
          <w:position w:val="0"/>
          <w:sz w:val="31"/>
          <w:szCs w:val="31"/>
        </w:rPr>
        <w:t>10.</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进度计划</w:t>
      </w:r>
      <w:bookmarkEnd w:id="239"/>
      <w:bookmarkEnd w:id="240"/>
    </w:p>
    <w:p w14:paraId="6321FA3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1" w:name="_Toc17417"/>
      <w:r>
        <w:rPr>
          <w:rFonts w:ascii="宋体" w:hAnsi="宋体" w:eastAsia="宋体" w:cs="宋体"/>
          <w:b/>
          <w:bCs/>
          <w:snapToGrid/>
          <w:spacing w:val="0"/>
          <w:w w:val="100"/>
          <w:kern w:val="21"/>
          <w:position w:val="0"/>
          <w:sz w:val="28"/>
          <w:szCs w:val="28"/>
        </w:rPr>
        <w:t>10.1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合同进度计划</w:t>
      </w:r>
      <w:bookmarkEnd w:id="241"/>
    </w:p>
    <w:p w14:paraId="453EE672">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承包人应按专用合同条款约定的内容和期限，编制详细的施工进度计划和施工方案说明报送监 理人。监理人应在专用合同条款约定的期限内批复或提出修改意见，否则该进度计划视为已得到批 准。经监理人批准的施工进度计划称合同进度计划，是控制合同工程进度的依据。承包人还应根据 合同进度计划，编制更为详细的分阶段或分项进度计划，报监理人审批。</w:t>
      </w:r>
    </w:p>
    <w:p w14:paraId="7DF22F9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2" w:name="_Toc4748"/>
      <w:r>
        <w:rPr>
          <w:rFonts w:ascii="宋体" w:hAnsi="宋体" w:eastAsia="宋体" w:cs="宋体"/>
          <w:b/>
          <w:bCs/>
          <w:snapToGrid/>
          <w:spacing w:val="0"/>
          <w:w w:val="100"/>
          <w:kern w:val="21"/>
          <w:position w:val="0"/>
          <w:sz w:val="28"/>
          <w:szCs w:val="28"/>
        </w:rPr>
        <w:t>10.2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合同进度计划的修订</w:t>
      </w:r>
      <w:bookmarkEnd w:id="242"/>
    </w:p>
    <w:p w14:paraId="252DFDA6">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不论何种原因造成工程的实际进度与第 10.1 款的合同进度计划不符时，承包人可以在专用合同 条款约定的期限内向监理人提交修订合同进度计划的申请报告，并附有关措施和相关资料，报监理 人审批；监理人也可以直接向承包人作出修订合同进度计划的指示，承包人应按该指示修订合同进 度计划，报监理人审批。监理人应在专用合同条款约定的期限内批复。监理人在批复前应获得发包 人同意。</w:t>
      </w:r>
    </w:p>
    <w:p w14:paraId="0CF7A39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43" w:name="bookmark144"/>
      <w:bookmarkEnd w:id="243"/>
      <w:bookmarkStart w:id="244" w:name="_Toc4666"/>
      <w:bookmarkStart w:id="245" w:name="_Toc22333"/>
      <w:r>
        <w:rPr>
          <w:rFonts w:ascii="宋体" w:hAnsi="宋体" w:eastAsia="宋体" w:cs="宋体"/>
          <w:b/>
          <w:bCs/>
          <w:snapToGrid/>
          <w:spacing w:val="0"/>
          <w:w w:val="100"/>
          <w:kern w:val="21"/>
          <w:position w:val="0"/>
          <w:sz w:val="31"/>
          <w:szCs w:val="31"/>
        </w:rPr>
        <w:t>11.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开工和竣工</w:t>
      </w:r>
      <w:bookmarkEnd w:id="244"/>
      <w:bookmarkEnd w:id="245"/>
    </w:p>
    <w:p w14:paraId="66BF130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6" w:name="_Toc24700"/>
      <w:r>
        <w:rPr>
          <w:rFonts w:ascii="宋体" w:hAnsi="宋体" w:eastAsia="宋体" w:cs="宋体"/>
          <w:b/>
          <w:bCs/>
          <w:snapToGrid/>
          <w:spacing w:val="0"/>
          <w:w w:val="100"/>
          <w:kern w:val="21"/>
          <w:position w:val="0"/>
          <w:sz w:val="28"/>
          <w:szCs w:val="28"/>
        </w:rPr>
        <w:t>11.1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开工</w:t>
      </w:r>
      <w:bookmarkEnd w:id="246"/>
    </w:p>
    <w:p w14:paraId="22F2AF7A">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11.1.1 监理人应在开工日期 7 天前向承包人发出开工通知。监理人在发出开工通知前应获得发 包人同意。工期自监理人发出的开工通知中载明的开工日期起计算。承包人应在开工日期后尽快施 工。</w:t>
      </w:r>
    </w:p>
    <w:p w14:paraId="11E0C2E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11.1.2 承包人应按第 10.1 款约定的合同进度计划， 向监理人提交工程开工报审表，经监理人审批后执行。开工报审表应详细说明按合同进度计划正常施工所需的施工道路、临时设施、材料设 备、施工人员等施工组织措施的落实情况以及工程的进度安排。</w:t>
      </w:r>
    </w:p>
    <w:p w14:paraId="4D2A9AF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7" w:name="_Toc8454"/>
      <w:r>
        <w:rPr>
          <w:rFonts w:ascii="宋体" w:hAnsi="宋体" w:eastAsia="宋体" w:cs="宋体"/>
          <w:b/>
          <w:bCs/>
          <w:snapToGrid/>
          <w:spacing w:val="0"/>
          <w:w w:val="100"/>
          <w:kern w:val="21"/>
          <w:position w:val="0"/>
          <w:sz w:val="28"/>
          <w:szCs w:val="28"/>
        </w:rPr>
        <w:t>11.2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w:t>
      </w:r>
      <w:bookmarkEnd w:id="247"/>
    </w:p>
    <w:p w14:paraId="5C88ED9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承包人应在第 </w:t>
      </w:r>
      <w:r>
        <w:rPr>
          <w:snapToGrid/>
          <w:spacing w:val="0"/>
          <w:w w:val="100"/>
          <w:kern w:val="21"/>
          <w:position w:val="0"/>
        </w:rPr>
        <w:fldChar w:fldCharType="begin"/>
      </w:r>
      <w:r>
        <w:rPr>
          <w:snapToGrid/>
          <w:spacing w:val="0"/>
          <w:w w:val="100"/>
          <w:kern w:val="21"/>
          <w:position w:val="0"/>
        </w:rPr>
        <w:instrText xml:space="preserve"> HYPERLINK "1.1.4.3"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1.1.4.3</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目约定的期限内完成合同工程。实际竣工日期在接收证书中写明。</w:t>
      </w:r>
    </w:p>
    <w:p w14:paraId="6556264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8" w:name="_Toc25578"/>
      <w:r>
        <w:rPr>
          <w:rFonts w:ascii="宋体" w:hAnsi="宋体" w:eastAsia="宋体" w:cs="宋体"/>
          <w:b/>
          <w:bCs/>
          <w:snapToGrid/>
          <w:spacing w:val="0"/>
          <w:w w:val="100"/>
          <w:kern w:val="21"/>
          <w:position w:val="0"/>
          <w:sz w:val="28"/>
          <w:szCs w:val="28"/>
        </w:rPr>
        <w:t>11.3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发包人的工期延误</w:t>
      </w:r>
      <w:bookmarkEnd w:id="248"/>
    </w:p>
    <w:p w14:paraId="6EF65A97">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在履行合同过程中， 由于发包人的下列原因造成工期延误的，承包人有权要求发包人延长工期 和（或） 增加费用，并支付合理利润。需要修订合同进度计划的，按照第 10.2 款的约定办理。</w:t>
      </w:r>
    </w:p>
    <w:p w14:paraId="1BB346E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（1）增加合同工作内容；</w:t>
      </w:r>
    </w:p>
    <w:p w14:paraId="31013BF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（2）改变合同中任何一项工作的质量要求或其他特性；</w:t>
      </w:r>
    </w:p>
    <w:p w14:paraId="1D49779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（3）发包人迟延提供材料、工程设备或变更交货地点的；</w:t>
      </w:r>
    </w:p>
    <w:p w14:paraId="4033F68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（4）因发包人原因导致的暂停施工；</w:t>
      </w:r>
    </w:p>
    <w:p w14:paraId="2385226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（5）提供图纸延误；</w:t>
      </w:r>
    </w:p>
    <w:p w14:paraId="78A3AA9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（6）未按合同约定及时支付预付款、进度款；</w:t>
      </w:r>
    </w:p>
    <w:p w14:paraId="41814DA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（7）发包人造成工期延误的其他原因。</w:t>
      </w:r>
    </w:p>
    <w:p w14:paraId="1021512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49" w:name="_Toc14948"/>
      <w:r>
        <w:rPr>
          <w:rFonts w:ascii="宋体" w:hAnsi="宋体" w:eastAsia="宋体" w:cs="宋体"/>
          <w:b/>
          <w:bCs/>
          <w:snapToGrid/>
          <w:spacing w:val="0"/>
          <w:w w:val="100"/>
          <w:kern w:val="21"/>
          <w:position w:val="0"/>
          <w:sz w:val="28"/>
          <w:szCs w:val="28"/>
        </w:rPr>
        <w:t>11.4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异常恶劣的气候条件</w:t>
      </w:r>
      <w:bookmarkEnd w:id="249"/>
    </w:p>
    <w:p w14:paraId="35E4DD2B">
      <w:pPr>
        <w:keepNext w:val="0"/>
        <w:keepLines w:val="0"/>
        <w:pageBreakBefore w:val="0"/>
        <w:widowControl w:val="0"/>
        <w:kinsoku/>
        <w:wordWrap w:val="0"/>
        <w:overflowPunct/>
        <w:topLinePunct/>
        <w:autoSpaceDE w:val="0"/>
        <w:autoSpaceDN/>
        <w:bidi w:val="0"/>
        <w:adjustRightInd/>
        <w:snapToGrid/>
        <w:spacing w:line="560" w:lineRule="exact"/>
        <w:ind w:left="0" w:right="0" w:firstLine="44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由于出现专用合同条款规定的异常恶劣气候的条件导致工期延误的，承包人有权要求发包人延 长工期。</w:t>
      </w:r>
    </w:p>
    <w:p w14:paraId="062A45C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0" w:name="_Toc4979"/>
      <w:r>
        <w:rPr>
          <w:rFonts w:ascii="宋体" w:hAnsi="宋体" w:eastAsia="宋体" w:cs="宋体"/>
          <w:b/>
          <w:bCs/>
          <w:snapToGrid/>
          <w:spacing w:val="0"/>
          <w:w w:val="100"/>
          <w:kern w:val="21"/>
          <w:position w:val="0"/>
          <w:sz w:val="28"/>
          <w:szCs w:val="28"/>
        </w:rPr>
        <w:t>11.5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承包人的工期延误</w:t>
      </w:r>
      <w:bookmarkEnd w:id="250"/>
    </w:p>
    <w:p w14:paraId="627B0878">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由于承包人原因，未能按合同进度计划完成工作，或监理人认为承包人施工进度不能满足合同 工期要求的，承包人应采取措施加快进度，并承担加快进度所增加的费用。由于承包人原因造成工 期延误，承包人应支付逾期竣工违约金。逾期竣工违约金的计算方法在专用合同条款中约定。承包 人支付逾期竣工违约金，不免除承包人完成工程及修补缺陷的义务。</w:t>
      </w:r>
    </w:p>
    <w:p w14:paraId="609DF91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1" w:name="_Toc1274"/>
      <w:r>
        <w:rPr>
          <w:rFonts w:ascii="宋体" w:hAnsi="宋体" w:eastAsia="宋体" w:cs="宋体"/>
          <w:b/>
          <w:bCs/>
          <w:snapToGrid/>
          <w:spacing w:val="0"/>
          <w:w w:val="100"/>
          <w:kern w:val="21"/>
          <w:position w:val="0"/>
          <w:sz w:val="28"/>
          <w:szCs w:val="28"/>
        </w:rPr>
        <w:t>11.6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工期提前</w:t>
      </w:r>
      <w:bookmarkEnd w:id="251"/>
    </w:p>
    <w:p w14:paraId="3073FCFD">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发包人要求承包人提前竣工，或承包人提出提前竣工的建议能够给发包人带来效益的，应由监 理人与承包人共同协商采取加快工程进度的措施和修订合同进度计划。发包人应承担承包人由此增 加的费用，并向承包人支付专用合同条款约定的相应奖金。</w:t>
      </w:r>
    </w:p>
    <w:p w14:paraId="2FB89F1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52" w:name="bookmark145"/>
      <w:bookmarkEnd w:id="252"/>
      <w:bookmarkStart w:id="253" w:name="_Toc17339"/>
      <w:bookmarkStart w:id="254" w:name="_Toc20208"/>
      <w:r>
        <w:rPr>
          <w:rFonts w:ascii="宋体" w:hAnsi="宋体" w:eastAsia="宋体" w:cs="宋体"/>
          <w:b/>
          <w:bCs/>
          <w:snapToGrid/>
          <w:spacing w:val="0"/>
          <w:w w:val="100"/>
          <w:kern w:val="21"/>
          <w:position w:val="0"/>
          <w:sz w:val="31"/>
          <w:szCs w:val="31"/>
        </w:rPr>
        <w:t>12.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暂停施工</w:t>
      </w:r>
      <w:bookmarkEnd w:id="253"/>
      <w:bookmarkEnd w:id="254"/>
    </w:p>
    <w:p w14:paraId="42E86F7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5" w:name="_Toc28968"/>
      <w:r>
        <w:rPr>
          <w:rFonts w:ascii="宋体" w:hAnsi="宋体" w:eastAsia="宋体" w:cs="宋体"/>
          <w:b/>
          <w:bCs/>
          <w:snapToGrid/>
          <w:spacing w:val="0"/>
          <w:w w:val="100"/>
          <w:kern w:val="21"/>
          <w:position w:val="0"/>
          <w:sz w:val="28"/>
          <w:szCs w:val="28"/>
        </w:rPr>
        <w:t>12.1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承包人暂停施工的责任</w:t>
      </w:r>
      <w:bookmarkEnd w:id="255"/>
    </w:p>
    <w:p w14:paraId="03CEA83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因下列暂停施工增加的费用和（或） 工期延误由承包人承担：</w:t>
      </w:r>
    </w:p>
    <w:p w14:paraId="49C4974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（1）承包人违约引起的暂停施工；</w:t>
      </w:r>
    </w:p>
    <w:p w14:paraId="09A0D57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由于承包人原因为工程合理施工和安全保障所必需的暂停施工；</w:t>
      </w:r>
    </w:p>
    <w:p w14:paraId="6591EB5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（3）承包人擅自暂停施工；</w:t>
      </w:r>
    </w:p>
    <w:p w14:paraId="31E8F0C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（4）承包人其他原因引起的暂停施工；</w:t>
      </w:r>
    </w:p>
    <w:p w14:paraId="771AB40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（5）专用合同条款约定由承包人承担的其他暂停施工。</w:t>
      </w:r>
    </w:p>
    <w:p w14:paraId="05789D3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6" w:name="_Toc193"/>
      <w:r>
        <w:rPr>
          <w:rFonts w:ascii="宋体" w:hAnsi="宋体" w:eastAsia="宋体" w:cs="宋体"/>
          <w:b/>
          <w:bCs/>
          <w:snapToGrid/>
          <w:spacing w:val="0"/>
          <w:w w:val="100"/>
          <w:kern w:val="21"/>
          <w:position w:val="0"/>
          <w:sz w:val="28"/>
          <w:szCs w:val="28"/>
        </w:rPr>
        <w:t>12.2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发包人暂停施工的责任</w:t>
      </w:r>
      <w:bookmarkEnd w:id="256"/>
    </w:p>
    <w:p w14:paraId="1FA61971">
      <w:pPr>
        <w:keepNext w:val="0"/>
        <w:keepLines w:val="0"/>
        <w:pageBreakBefore w:val="0"/>
        <w:widowControl w:val="0"/>
        <w:kinsoku/>
        <w:wordWrap w:val="0"/>
        <w:overflowPunct/>
        <w:topLinePunct/>
        <w:autoSpaceDE w:val="0"/>
        <w:autoSpaceDN/>
        <w:bidi w:val="0"/>
        <w:adjustRightInd/>
        <w:snapToGrid/>
        <w:spacing w:line="560" w:lineRule="exact"/>
        <w:ind w:left="0" w:right="0" w:firstLine="44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由于发包人原因引起的暂停施工造成工期延误的，承包人有权要求发包人延长工期和（或）增 加费用，并支付合理利润。</w:t>
      </w:r>
    </w:p>
    <w:p w14:paraId="793B8E1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7" w:name="_Toc19338"/>
      <w:r>
        <w:rPr>
          <w:rFonts w:ascii="宋体" w:hAnsi="宋体" w:eastAsia="宋体" w:cs="宋体"/>
          <w:b/>
          <w:bCs/>
          <w:snapToGrid/>
          <w:spacing w:val="0"/>
          <w:w w:val="100"/>
          <w:kern w:val="21"/>
          <w:position w:val="0"/>
          <w:sz w:val="28"/>
          <w:szCs w:val="28"/>
        </w:rPr>
        <w:t>12.3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监理人暂停施工指示</w:t>
      </w:r>
      <w:bookmarkEnd w:id="257"/>
    </w:p>
    <w:p w14:paraId="7E3EC6E3">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12.3.1 监理人认为有必要时，可向承包人作出暂停施工的指示，承包人应按监理人指示暂停施 工。不论由于何种原因引起的暂停施工，暂停施工期间承包人应负责妥善保护工程并提供安全保障。</w:t>
      </w:r>
    </w:p>
    <w:p w14:paraId="189E90CB">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12.3.2 由于发包人的原因发生暂停施工的紧急情况，且监理人未及时下达暂停施工指示的，承 包人可先暂停施工，并及时向监理人提出暂停施工的书面请求。监理人应在接到书面请求后的 24 小 时内予以答复，逾期未答复的，视为同意承包人的暂停施工请求。</w:t>
      </w:r>
    </w:p>
    <w:p w14:paraId="02D42F9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8" w:name="_Toc31459"/>
      <w:r>
        <w:rPr>
          <w:rFonts w:ascii="宋体" w:hAnsi="宋体" w:eastAsia="宋体" w:cs="宋体"/>
          <w:b/>
          <w:bCs/>
          <w:snapToGrid/>
          <w:spacing w:val="0"/>
          <w:w w:val="100"/>
          <w:kern w:val="21"/>
          <w:position w:val="0"/>
          <w:sz w:val="28"/>
          <w:szCs w:val="28"/>
        </w:rPr>
        <w:t>12.4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暂停施工后的复工</w:t>
      </w:r>
      <w:bookmarkEnd w:id="258"/>
    </w:p>
    <w:p w14:paraId="5AC69CBC">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12.4.1 暂停施工后，监理人应与发包人和承包人协商，采取有效措施积极消除暂停施工的影响。 当工程具备复工条件时，监理人应立即向承包人发出复工通知。承包人收到复工通知后，应在监理 人指定的期限内复工。</w:t>
      </w:r>
    </w:p>
    <w:p w14:paraId="30EA169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12.4.2 承包人无故拖延和拒绝复工的，由此增加的费用和工期延误由承包人承担；因发包人原 因无法按时复工的，承包人有权要求发包人延长工期和（或）增加费用，并支付合理利润。</w:t>
      </w:r>
    </w:p>
    <w:p w14:paraId="2FEFA48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59" w:name="_Toc2159"/>
      <w:r>
        <w:rPr>
          <w:rFonts w:ascii="宋体" w:hAnsi="宋体" w:eastAsia="宋体" w:cs="宋体"/>
          <w:b/>
          <w:bCs/>
          <w:snapToGrid/>
          <w:spacing w:val="0"/>
          <w:w w:val="100"/>
          <w:kern w:val="21"/>
          <w:position w:val="0"/>
          <w:sz w:val="28"/>
          <w:szCs w:val="28"/>
        </w:rPr>
        <w:t>12.5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暂停施工持续</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56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天以上</w:t>
      </w:r>
      <w:bookmarkEnd w:id="259"/>
    </w:p>
    <w:p w14:paraId="6A370F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12.5.1 监理人发出暂停施工指示后 56 天内未向承包人发出复工通知， 除了该项停工属于第</w:t>
      </w:r>
    </w:p>
    <w:p w14:paraId="37966554">
      <w:pPr>
        <w:keepNext w:val="0"/>
        <w:keepLines w:val="0"/>
        <w:pageBreakBefore w:val="0"/>
        <w:widowControl w:val="0"/>
        <w:kinsoku/>
        <w:wordWrap w:val="0"/>
        <w:overflowPunct/>
        <w:topLinePunct/>
        <w:autoSpaceDE w:val="0"/>
        <w:autoSpaceDN/>
        <w:bidi w:val="0"/>
        <w:adjustRightInd/>
        <w:snapToGrid/>
        <w:spacing w:line="560" w:lineRule="exact"/>
        <w:ind w:left="0" w:right="0" w:firstLine="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12.1 款的情况外，承包人可向监理人提交书面通知，要求监理人在收到书面通知后 28 天内准许已 暂停施工的工程或其中一部分工程继续施工。如监理人逾期不予批准，则承包人可以通知监理人， 将工程受影响的部分视为按第 15.1（ 1）项的可取消工作。如暂停施工影响到整个工程，可视为发</w:t>
      </w:r>
    </w:p>
    <w:p w14:paraId="3D6C1F5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5" w:type="default"/>
          <w:pgSz w:w="11906" w:h="16838"/>
          <w:pgMar w:top="1440" w:right="1080" w:bottom="1440" w:left="1080" w:header="0" w:footer="1185" w:gutter="0"/>
          <w:pgNumType w:fmt="decimal"/>
          <w:cols w:space="720" w:num="1"/>
        </w:sectPr>
      </w:pPr>
    </w:p>
    <w:p w14:paraId="419CD17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包人违约，应按第 22.2 款的规定办理。</w:t>
      </w:r>
    </w:p>
    <w:p w14:paraId="6FD34D39">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12.5.2 由于承包人责任引起的暂停施工，如承包人在收到监理人暂停施工指示后 56 天内不认 真采取有效的复工措施，造成工期延误，可视为承包人违约，应按第 22.1 款的规定办理。</w:t>
      </w:r>
    </w:p>
    <w:p w14:paraId="1BC38AD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60" w:name="bookmark146"/>
      <w:bookmarkEnd w:id="260"/>
      <w:bookmarkStart w:id="261" w:name="_Toc31477"/>
      <w:bookmarkStart w:id="262" w:name="_Toc27894"/>
      <w:r>
        <w:rPr>
          <w:rFonts w:ascii="宋体" w:hAnsi="宋体" w:eastAsia="宋体" w:cs="宋体"/>
          <w:b/>
          <w:bCs/>
          <w:snapToGrid/>
          <w:spacing w:val="0"/>
          <w:w w:val="100"/>
          <w:kern w:val="21"/>
          <w:position w:val="0"/>
          <w:sz w:val="31"/>
          <w:szCs w:val="31"/>
        </w:rPr>
        <w:t>13.</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工程质量</w:t>
      </w:r>
      <w:bookmarkEnd w:id="261"/>
      <w:bookmarkEnd w:id="262"/>
    </w:p>
    <w:p w14:paraId="0F12944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63" w:name="_Toc14354"/>
      <w:r>
        <w:rPr>
          <w:rFonts w:ascii="宋体" w:hAnsi="宋体" w:eastAsia="宋体" w:cs="宋体"/>
          <w:b/>
          <w:bCs/>
          <w:snapToGrid/>
          <w:spacing w:val="0"/>
          <w:w w:val="100"/>
          <w:kern w:val="21"/>
          <w:position w:val="0"/>
          <w:sz w:val="28"/>
          <w:szCs w:val="28"/>
        </w:rPr>
        <w:t>13.1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工程质量要求</w:t>
      </w:r>
      <w:bookmarkEnd w:id="263"/>
    </w:p>
    <w:p w14:paraId="4D0C94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13.1.1 工程质量验收按合同约定验收标准执行。</w:t>
      </w:r>
    </w:p>
    <w:p w14:paraId="7968070F">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13.1.2 因承包人原因造成工程质量达不到合同约定验收标准的，监理人有权要求承包人返工直 至符合合同要求为止， 由此造成的费用增加和（或）工期延误由承包人承担。</w:t>
      </w:r>
    </w:p>
    <w:p w14:paraId="42F02C05">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13.1.3 因发包人原因造成工程质量达不到合同约定验收标准的，发包人应承担由于承包人返工 造成的费用增加和（或）工期延误，并支付承包人合理利润。</w:t>
      </w:r>
    </w:p>
    <w:p w14:paraId="3D29617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64" w:name="_Toc19481"/>
      <w:r>
        <w:rPr>
          <w:rFonts w:ascii="宋体" w:hAnsi="宋体" w:eastAsia="宋体" w:cs="宋体"/>
          <w:b/>
          <w:bCs/>
          <w:snapToGrid/>
          <w:spacing w:val="0"/>
          <w:w w:val="100"/>
          <w:kern w:val="21"/>
          <w:position w:val="0"/>
          <w:sz w:val="28"/>
          <w:szCs w:val="28"/>
        </w:rPr>
        <w:t>13.2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承包人的质量管理</w:t>
      </w:r>
      <w:bookmarkEnd w:id="264"/>
    </w:p>
    <w:p w14:paraId="4438CA4C">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13.2.1 承包人应在施工场地设置专门的质量检查机构，配备专职质量检查人员，建立完善的质 量检查制度。承包人应在合同约定的期限内，提交工程质量保证措施文件，包括质量检查机构的组 织和岗位责任、质检人员的组成、质量检查程序和实施细则等，报送监理人审批。</w:t>
      </w:r>
    </w:p>
    <w:p w14:paraId="6027F831">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13.2.2 承包人应加强对施工人员的质量教育和技术培训，定期考核施工人员的劳动技能，严格 执行规范和操作规程。</w:t>
      </w:r>
    </w:p>
    <w:p w14:paraId="5552656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65" w:name="_Toc20893"/>
      <w:r>
        <w:rPr>
          <w:rFonts w:ascii="宋体" w:hAnsi="宋体" w:eastAsia="宋体" w:cs="宋体"/>
          <w:b/>
          <w:bCs/>
          <w:snapToGrid/>
          <w:spacing w:val="0"/>
          <w:w w:val="100"/>
          <w:kern w:val="21"/>
          <w:position w:val="0"/>
          <w:sz w:val="28"/>
          <w:szCs w:val="28"/>
        </w:rPr>
        <w:t>13.3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承包人的质量检查</w:t>
      </w:r>
      <w:bookmarkEnd w:id="265"/>
    </w:p>
    <w:p w14:paraId="60869646">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承包人应按合同约定对材料、工程设备以及工程的所有部位及其施工工艺进行全过程的质量检 查和检验，并作详细记录，编制工程质量报表，报送监理人审查。</w:t>
      </w:r>
    </w:p>
    <w:p w14:paraId="2E610C5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66" w:name="_Toc22323"/>
      <w:r>
        <w:rPr>
          <w:rFonts w:ascii="宋体" w:hAnsi="宋体" w:eastAsia="宋体" w:cs="宋体"/>
          <w:b/>
          <w:bCs/>
          <w:snapToGrid/>
          <w:spacing w:val="0"/>
          <w:w w:val="100"/>
          <w:kern w:val="21"/>
          <w:position w:val="0"/>
          <w:sz w:val="28"/>
          <w:szCs w:val="28"/>
        </w:rPr>
        <w:t>13.4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监理人的质量检查</w:t>
      </w:r>
      <w:bookmarkEnd w:id="266"/>
    </w:p>
    <w:p w14:paraId="6CEE7489">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监理人有权对工程的所有部位及其施工工艺、材料和工程设备进行检查和检验。承包人应为监 理人的检查和检验提供方便，包括监理人到施工场地，或制造、加工地点，或合同约定的其他地方 进行察看和查阅施工原始记录。承包人还应按监理人指示，进行施工场地取样试验、工程复核测量 和设备性能检测，提供试验样品、提交试验报告和测量成果以及监理人要求进行的其他工作。监理 人的检查和检验，不免除承包人按合同约定应负的责任。</w:t>
      </w:r>
    </w:p>
    <w:p w14:paraId="44B25C8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67" w:name="_Toc13116"/>
      <w:r>
        <w:rPr>
          <w:rFonts w:ascii="宋体" w:hAnsi="宋体" w:eastAsia="宋体" w:cs="宋体"/>
          <w:b/>
          <w:bCs/>
          <w:snapToGrid/>
          <w:spacing w:val="0"/>
          <w:w w:val="100"/>
          <w:kern w:val="21"/>
          <w:position w:val="0"/>
          <w:sz w:val="28"/>
          <w:szCs w:val="28"/>
        </w:rPr>
        <w:t>13.5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工程隐蔽部位覆盖前的检查</w:t>
      </w:r>
      <w:bookmarkEnd w:id="267"/>
    </w:p>
    <w:p w14:paraId="66E4E90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68" w:name="_Toc2867"/>
      <w:r>
        <w:rPr>
          <w:rFonts w:ascii="宋体" w:hAnsi="宋体" w:eastAsia="宋体" w:cs="宋体"/>
          <w:b/>
          <w:bCs/>
          <w:snapToGrid/>
          <w:spacing w:val="0"/>
          <w:w w:val="100"/>
          <w:kern w:val="21"/>
          <w:position w:val="0"/>
          <w:sz w:val="20"/>
          <w:szCs w:val="20"/>
        </w:rPr>
        <w:t>13.5.1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通知监理人检查</w:t>
      </w:r>
      <w:bookmarkEnd w:id="268"/>
    </w:p>
    <w:p w14:paraId="773F60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经承包人自检确认的工程隐蔽部位具备覆盖条件后，承包人应通知监理人在约定的期限内检查。</w:t>
      </w:r>
    </w:p>
    <w:p w14:paraId="77CE4D2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承包人的通知应附有自检记录和必要的检查资料。监理人应按时到场检查。经监理人检查确认质量 符合隐蔽要求，并在检查记录上签字后，承包人才能进行覆盖。监理人检查确认质量不合格的，承 包人应在监理人指示的时间内修整返工后， 由监理人重新检查。</w:t>
      </w:r>
    </w:p>
    <w:p w14:paraId="17CFA27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69" w:name="_Toc26567"/>
      <w:r>
        <w:rPr>
          <w:rFonts w:ascii="宋体" w:hAnsi="宋体" w:eastAsia="宋体" w:cs="宋体"/>
          <w:b/>
          <w:bCs/>
          <w:snapToGrid/>
          <w:spacing w:val="0"/>
          <w:w w:val="100"/>
          <w:kern w:val="21"/>
          <w:position w:val="0"/>
          <w:sz w:val="20"/>
          <w:szCs w:val="20"/>
        </w:rPr>
        <w:t>13.5.2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监理人未到场检查</w:t>
      </w:r>
      <w:bookmarkEnd w:id="269"/>
    </w:p>
    <w:p w14:paraId="36F3B71B">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监理人未按第 13.5.1 项约定的时间进行检查的，除监理人另有指示外，承包人可自行完成覆盖 工作，并作相应记录报送监理人，监理人应签字确认。监理人事后对检查记录有疑问的，可按第 13.5.3 项的约定重新检查。</w:t>
      </w:r>
    </w:p>
    <w:p w14:paraId="1B46E42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70" w:name="_Toc27281"/>
      <w:r>
        <w:rPr>
          <w:rFonts w:ascii="宋体" w:hAnsi="宋体" w:eastAsia="宋体" w:cs="宋体"/>
          <w:b/>
          <w:bCs/>
          <w:snapToGrid/>
          <w:spacing w:val="0"/>
          <w:w w:val="100"/>
          <w:kern w:val="21"/>
          <w:position w:val="0"/>
          <w:sz w:val="20"/>
          <w:szCs w:val="20"/>
        </w:rPr>
        <w:t>13.5.3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监理人重新检查</w:t>
      </w:r>
      <w:bookmarkEnd w:id="270"/>
    </w:p>
    <w:p w14:paraId="56801DC5">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承包人按第 13.5.1 项或第 13.5.2 项覆盖工程隐蔽部位后，监理人对质量有疑问的，可要求承 包人对已覆盖的部位进行钻孔探测或揭开重新检验，承包人应遵照执行，并在检验后重新覆盖恢复 原状。经检验证明工程质量符合合同要求的， 由发包人承担由此增加的费用和（或）工期延误，并 支付承包人合理利润；经检验证明工程质量不符合合同要求的， 由此增加的费用和（或）工期延误 由承包人承担。</w:t>
      </w:r>
    </w:p>
    <w:p w14:paraId="2973680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71" w:name="_Toc1746"/>
      <w:r>
        <w:rPr>
          <w:rFonts w:ascii="宋体" w:hAnsi="宋体" w:eastAsia="宋体" w:cs="宋体"/>
          <w:b/>
          <w:bCs/>
          <w:snapToGrid/>
          <w:spacing w:val="0"/>
          <w:w w:val="100"/>
          <w:kern w:val="21"/>
          <w:position w:val="0"/>
          <w:sz w:val="20"/>
          <w:szCs w:val="20"/>
        </w:rPr>
        <w:t>13.5.4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承包人私自覆盖</w:t>
      </w:r>
      <w:bookmarkEnd w:id="271"/>
    </w:p>
    <w:p w14:paraId="3077DB67">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承包人未通知监理人到场检查，私自将工程隐蔽部位覆盖的，监理人有权指示承包人钻孔探测 或揭开检查， 由此增加的费用和（或）工期延误由承包人承担。</w:t>
      </w:r>
    </w:p>
    <w:p w14:paraId="478E4AD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72" w:name="_Toc14756"/>
      <w:r>
        <w:rPr>
          <w:rFonts w:ascii="宋体" w:hAnsi="宋体" w:eastAsia="宋体" w:cs="宋体"/>
          <w:b/>
          <w:bCs/>
          <w:snapToGrid/>
          <w:spacing w:val="0"/>
          <w:w w:val="100"/>
          <w:kern w:val="21"/>
          <w:position w:val="0"/>
          <w:sz w:val="28"/>
          <w:szCs w:val="28"/>
        </w:rPr>
        <w:t>13.6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清除不合格工程</w:t>
      </w:r>
      <w:bookmarkEnd w:id="272"/>
    </w:p>
    <w:p w14:paraId="47E546D7">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13.6.1 承包人使用不合格材料、工程设备，或采用不适当的施工工艺，或施工不当，造成工程 不合格的，监理人可以随时发出指示，要求承包人立即采取措施进行补救，直至达到合同要求的质 量标准， 由此增加的费用和（或）工期延误由承包人承担。</w:t>
      </w:r>
    </w:p>
    <w:p w14:paraId="3DE130C4">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13.6.2 由于发包人提供的材料或工程设备不合格造成的工程不合格，需要承包人采取措施补救 的，发包人应承担由此增加的费用和（或）工期延误，并支付承包人合理利润。</w:t>
      </w:r>
    </w:p>
    <w:p w14:paraId="2A16847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73" w:name="bookmark147"/>
      <w:bookmarkEnd w:id="273"/>
      <w:bookmarkStart w:id="274" w:name="_Toc19709"/>
      <w:bookmarkStart w:id="275" w:name="_Toc27169"/>
      <w:r>
        <w:rPr>
          <w:rFonts w:ascii="宋体" w:hAnsi="宋体" w:eastAsia="宋体" w:cs="宋体"/>
          <w:b/>
          <w:bCs/>
          <w:snapToGrid/>
          <w:spacing w:val="0"/>
          <w:w w:val="100"/>
          <w:kern w:val="21"/>
          <w:position w:val="0"/>
          <w:sz w:val="31"/>
          <w:szCs w:val="31"/>
        </w:rPr>
        <w:t>14.</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试验和检验</w:t>
      </w:r>
      <w:bookmarkEnd w:id="274"/>
      <w:bookmarkEnd w:id="275"/>
    </w:p>
    <w:p w14:paraId="6A63B54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76" w:name="_Toc7872"/>
      <w:r>
        <w:rPr>
          <w:rFonts w:ascii="宋体" w:hAnsi="宋体" w:eastAsia="宋体" w:cs="宋体"/>
          <w:b/>
          <w:bCs/>
          <w:snapToGrid/>
          <w:spacing w:val="0"/>
          <w:w w:val="100"/>
          <w:kern w:val="21"/>
          <w:position w:val="0"/>
          <w:sz w:val="28"/>
          <w:szCs w:val="28"/>
        </w:rPr>
        <w:t>14.1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材料、工程设备和工程的试验和检验</w:t>
      </w:r>
      <w:bookmarkEnd w:id="276"/>
    </w:p>
    <w:p w14:paraId="2F5E6110">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14.1.1 承包人应按合同约定进行材料、工程设备和工程的试验和检验，并为监理人对上述材料、 工程设备和工程的质量检查提供必要的试验资料和原始记录。按合同约定应由监理人与承包人共同 进行试验和检验的， 由承包人负责提供必要的试验资料和原始记录。</w:t>
      </w:r>
    </w:p>
    <w:p w14:paraId="15809537">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14.1.2 监理人未按合同约定派员参加试验和检验的，除监理人另有指示外，承包人可自行试验 和检验，并应立即将试验和检验结果报送监理人，监理人应签字确认。</w:t>
      </w:r>
    </w:p>
    <w:p w14:paraId="64D5C876">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14.1.3 监理人对承包人的试验和检验结果有疑问的，或为查清承包人试验和检验成果的可靠性 要求承包人重新试验和检验的，可按合同约定由监理人与承包人共同进行。重新试验和检验的结果 证明该项材料、工程设备或工程的质量不符合合同要求的， 由此增加的费用和（或）工期延误由承包人承担；重新试验和检验结果证明该项材料、工程设备和工程符合合同要求， 由发包人承担由此 增加的费用和（或）工期延误，并支付承包人合理利润。</w:t>
      </w:r>
    </w:p>
    <w:p w14:paraId="2AF929E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77" w:name="_Toc3024"/>
      <w:r>
        <w:rPr>
          <w:rFonts w:ascii="宋体" w:hAnsi="宋体" w:eastAsia="宋体" w:cs="宋体"/>
          <w:b/>
          <w:bCs/>
          <w:snapToGrid/>
          <w:spacing w:val="0"/>
          <w:w w:val="100"/>
          <w:kern w:val="21"/>
          <w:position w:val="0"/>
          <w:sz w:val="28"/>
          <w:szCs w:val="28"/>
        </w:rPr>
        <w:t>14.2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现场材料试验</w:t>
      </w:r>
      <w:bookmarkEnd w:id="277"/>
    </w:p>
    <w:p w14:paraId="7F086D13">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14.2.1 承包人根据合同约定或监理人指示进行的现场材料试验，应由承包人提供试验场所、试 验人员、试验设备器材以及其他必要的试验条件。</w:t>
      </w:r>
    </w:p>
    <w:p w14:paraId="37BE2F8E">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14.2.2 监理人在必要时可以使用承包人的试验场所、试验设备器材以及其他试验条件，进行以 工程质量检查为目的的复核性材料试验，承包人应予以协助。</w:t>
      </w:r>
    </w:p>
    <w:p w14:paraId="7F56730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78" w:name="_Toc19523"/>
      <w:r>
        <w:rPr>
          <w:rFonts w:ascii="宋体" w:hAnsi="宋体" w:eastAsia="宋体" w:cs="宋体"/>
          <w:b/>
          <w:bCs/>
          <w:snapToGrid/>
          <w:spacing w:val="0"/>
          <w:w w:val="100"/>
          <w:kern w:val="21"/>
          <w:position w:val="0"/>
          <w:sz w:val="28"/>
          <w:szCs w:val="28"/>
        </w:rPr>
        <w:t>14.3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现场工艺试验</w:t>
      </w:r>
      <w:bookmarkEnd w:id="278"/>
    </w:p>
    <w:p w14:paraId="359111DA">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承包人应按合同约定或监理人指示进行现场工艺试验。对大型的现场工艺试验，监理人认为必 要时，应由承包人根据监理人提出的工艺试验要求，编制工艺试验措施计划，报送监理人审批。</w:t>
      </w:r>
    </w:p>
    <w:p w14:paraId="57B77F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79" w:name="bookmark148"/>
      <w:bookmarkEnd w:id="279"/>
      <w:bookmarkStart w:id="280" w:name="_Toc15029"/>
      <w:bookmarkStart w:id="281" w:name="_Toc26186"/>
      <w:r>
        <w:rPr>
          <w:rFonts w:ascii="宋体" w:hAnsi="宋体" w:eastAsia="宋体" w:cs="宋体"/>
          <w:b/>
          <w:bCs/>
          <w:snapToGrid/>
          <w:spacing w:val="0"/>
          <w:w w:val="100"/>
          <w:kern w:val="21"/>
          <w:position w:val="0"/>
          <w:sz w:val="31"/>
          <w:szCs w:val="31"/>
        </w:rPr>
        <w:t>15.</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变更</w:t>
      </w:r>
      <w:bookmarkEnd w:id="280"/>
      <w:bookmarkEnd w:id="281"/>
    </w:p>
    <w:p w14:paraId="15169D6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82" w:name="_Toc19439"/>
      <w:r>
        <w:rPr>
          <w:rFonts w:ascii="宋体" w:hAnsi="宋体" w:eastAsia="宋体" w:cs="宋体"/>
          <w:b/>
          <w:bCs/>
          <w:snapToGrid/>
          <w:spacing w:val="0"/>
          <w:w w:val="100"/>
          <w:kern w:val="21"/>
          <w:position w:val="0"/>
          <w:sz w:val="28"/>
          <w:szCs w:val="28"/>
        </w:rPr>
        <w:t>15.1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变更的范围和内容</w:t>
      </w:r>
      <w:bookmarkEnd w:id="282"/>
    </w:p>
    <w:p w14:paraId="48B66A5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除专用合同条款另有约定外，在履行合同中发生以下情形之一，应按照本条规定进行变更。</w:t>
      </w:r>
    </w:p>
    <w:p w14:paraId="657DD59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（1）取消合同中任何一项工作，但被取消的工作不能转由发包人或其他人实施；</w:t>
      </w:r>
    </w:p>
    <w:p w14:paraId="0454AF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（2）改变合同中任何一项工作的质量或其他特性；</w:t>
      </w:r>
    </w:p>
    <w:p w14:paraId="36BBF37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（3）改变合同工程的基线、标高、位置或尺寸；</w:t>
      </w:r>
    </w:p>
    <w:p w14:paraId="0582E83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（4）改变合同中任何一项工作的施工时间或改变已批准的施工工艺或顺序；</w:t>
      </w:r>
    </w:p>
    <w:p w14:paraId="14BB89E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（5）为完成工程需要追加的额外工作。</w:t>
      </w:r>
    </w:p>
    <w:p w14:paraId="531C0B2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83" w:name="_Toc32446"/>
      <w:r>
        <w:rPr>
          <w:rFonts w:ascii="宋体" w:hAnsi="宋体" w:eastAsia="宋体" w:cs="宋体"/>
          <w:b/>
          <w:bCs/>
          <w:snapToGrid/>
          <w:spacing w:val="0"/>
          <w:w w:val="100"/>
          <w:kern w:val="21"/>
          <w:position w:val="0"/>
          <w:sz w:val="28"/>
          <w:szCs w:val="28"/>
        </w:rPr>
        <w:t>15.2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变更权</w:t>
      </w:r>
      <w:bookmarkEnd w:id="283"/>
    </w:p>
    <w:p w14:paraId="238FE143">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在履行合同过程中，经发包人同意，监理人可按第 15.3 款约定的变更程序向承包人作出变更指 示，承包人应遵照执行。没有监理人的变更指示，承包人不得擅自变更。</w:t>
      </w:r>
    </w:p>
    <w:p w14:paraId="31071F1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84" w:name="_Toc32334"/>
      <w:r>
        <w:rPr>
          <w:rFonts w:ascii="宋体" w:hAnsi="宋体" w:eastAsia="宋体" w:cs="宋体"/>
          <w:b/>
          <w:bCs/>
          <w:snapToGrid/>
          <w:spacing w:val="0"/>
          <w:w w:val="100"/>
          <w:kern w:val="21"/>
          <w:position w:val="0"/>
          <w:sz w:val="28"/>
          <w:szCs w:val="28"/>
        </w:rPr>
        <w:t>15.3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变更程序</w:t>
      </w:r>
      <w:bookmarkEnd w:id="284"/>
    </w:p>
    <w:p w14:paraId="0D8384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85" w:name="_Toc5467"/>
      <w:r>
        <w:rPr>
          <w:rFonts w:ascii="宋体" w:hAnsi="宋体" w:eastAsia="宋体" w:cs="宋体"/>
          <w:b/>
          <w:bCs/>
          <w:snapToGrid/>
          <w:spacing w:val="0"/>
          <w:w w:val="100"/>
          <w:kern w:val="21"/>
          <w:position w:val="0"/>
          <w:sz w:val="20"/>
          <w:szCs w:val="20"/>
        </w:rPr>
        <w:t>15.3.1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变更的提出</w:t>
      </w:r>
      <w:bookmarkEnd w:id="285"/>
    </w:p>
    <w:p w14:paraId="0CAFD093">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（1）在合同履行过程中，可能发生第 15.1 款约定情形的，监理人可向承包人发出变更意向书。 变更意向书应说明变更的具体内容和发包人对变更的时间要求，并附必要的图纸和相关资料。变更 意向书应要求承包人提交包括拟实施变更工作的计划、措施和竣工时间等内容的实施方案。发包人 同意承包人根据变更意向书要求提交的变更实施方案的， 由监理人按第 15.3.3 项约定发出变更指 示。</w:t>
      </w:r>
    </w:p>
    <w:p w14:paraId="36B52159">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（2）在合同履行过程中，发生第 15.1 款约定情形的，监理人应按照第 15.3.3 项约定向承包人 发出变更指示。</w:t>
      </w:r>
    </w:p>
    <w:p w14:paraId="11C541C7">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（3）承包人收到监理人按合同约定发出的图纸和文件，经检查认为其中存在第 15.1 款约定情 形的，可向监理人提出书面变更建议。变更建议应阐明要求变更的依据，并附必要的图纸和说明。 监理人收到承包人书面建议后，应与发包人共同研究，确认存在变更的，应在收到承包人书面建议 后的 14 天内作出变更指示。经研究后不同意作为变更的，应由监理人书面答复承包人。</w:t>
      </w:r>
    </w:p>
    <w:p w14:paraId="5F9379AD">
      <w:pPr>
        <w:keepNext w:val="0"/>
        <w:keepLines w:val="0"/>
        <w:pageBreakBefore w:val="0"/>
        <w:widowControl w:val="0"/>
        <w:kinsoku/>
        <w:wordWrap w:val="0"/>
        <w:overflowPunct/>
        <w:topLinePunct/>
        <w:autoSpaceDE w:val="0"/>
        <w:autoSpaceDN/>
        <w:bidi w:val="0"/>
        <w:adjustRightInd/>
        <w:snapToGrid/>
        <w:spacing w:line="560" w:lineRule="exact"/>
        <w:ind w:left="0" w:right="0" w:firstLine="41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（4）若承包人收到监理人的变更意向书后认为难以实施此项变更，应立即通知监理人，说明原 因并附详细依据。监理人与承包人和发包人协商后确定撤销、改变或不改变原变更意向书。</w:t>
      </w:r>
    </w:p>
    <w:p w14:paraId="55E8BE7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86" w:name="_Toc13804"/>
      <w:r>
        <w:rPr>
          <w:rFonts w:ascii="宋体" w:hAnsi="宋体" w:eastAsia="宋体" w:cs="宋体"/>
          <w:b/>
          <w:bCs/>
          <w:snapToGrid/>
          <w:spacing w:val="0"/>
          <w:w w:val="100"/>
          <w:kern w:val="21"/>
          <w:position w:val="0"/>
          <w:sz w:val="20"/>
          <w:szCs w:val="20"/>
        </w:rPr>
        <w:t>15.3.2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变更估价</w:t>
      </w:r>
      <w:bookmarkEnd w:id="286"/>
    </w:p>
    <w:p w14:paraId="58C1DA52">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（1）除专用合同条款对期限另有约定外，承包人应在收到变更指示或变更意向书后的 14 天内， 向监理人提交变更报价书，报价内容应根据第 15.4 款约定的估价原则，详细开列变更工作的价格组 成及其依据，并附必要的施工方法说明和有关图纸。</w:t>
      </w:r>
    </w:p>
    <w:p w14:paraId="314123E4">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（2）变更工作影响工期的，承包人应提出调整工期的具体细节。监理人认为有必要时，可要求 承包人提交要求提前或延长工期的施工进度计划及相应施工措施等详细资料。</w:t>
      </w:r>
    </w:p>
    <w:p w14:paraId="75756A2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（3）除专用合同条款对期限另有约定外，监理人收到承包人变更报价书后的 14 天内，根据第</w:t>
      </w:r>
    </w:p>
    <w:p w14:paraId="0034A4D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87" w:name="_Toc21934"/>
      <w:r>
        <w:rPr>
          <w:rFonts w:ascii="宋体" w:hAnsi="宋体" w:eastAsia="宋体" w:cs="宋体"/>
          <w:snapToGrid/>
          <w:spacing w:val="0"/>
          <w:w w:val="100"/>
          <w:kern w:val="21"/>
          <w:position w:val="0"/>
          <w:sz w:val="20"/>
          <w:szCs w:val="20"/>
        </w:rPr>
        <w:t>15.4 款约定的估价原则，按照第 3.5 款商定或确定变更价格。</w:t>
      </w:r>
      <w:bookmarkEnd w:id="287"/>
    </w:p>
    <w:p w14:paraId="1AA76FD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88" w:name="_Toc4837"/>
      <w:r>
        <w:rPr>
          <w:rFonts w:ascii="宋体" w:hAnsi="宋体" w:eastAsia="宋体" w:cs="宋体"/>
          <w:b/>
          <w:bCs/>
          <w:snapToGrid/>
          <w:spacing w:val="0"/>
          <w:w w:val="100"/>
          <w:kern w:val="21"/>
          <w:position w:val="0"/>
          <w:sz w:val="20"/>
          <w:szCs w:val="20"/>
        </w:rPr>
        <w:t>15.3.3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变更指示</w:t>
      </w:r>
      <w:bookmarkEnd w:id="288"/>
    </w:p>
    <w:p w14:paraId="71CA451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（1）变更指示只能由监理人发出。</w:t>
      </w:r>
    </w:p>
    <w:p w14:paraId="149CC691">
      <w:pPr>
        <w:keepNext w:val="0"/>
        <w:keepLines w:val="0"/>
        <w:pageBreakBefore w:val="0"/>
        <w:widowControl w:val="0"/>
        <w:kinsoku/>
        <w:wordWrap w:val="0"/>
        <w:overflowPunct/>
        <w:topLinePunct/>
        <w:autoSpaceDE w:val="0"/>
        <w:autoSpaceDN/>
        <w:bidi w:val="0"/>
        <w:adjustRightInd/>
        <w:snapToGrid/>
        <w:spacing w:line="560" w:lineRule="exact"/>
        <w:ind w:left="0" w:right="0" w:firstLine="413"/>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（2）变更指示应说明变更的目的、范围、变更内容以及变更的工程量及其进度和技术要求，并 附有关图纸和文件。承包人收到变更指示后，应按变更指示进行变更工作。</w:t>
      </w:r>
    </w:p>
    <w:p w14:paraId="71426A1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89" w:name="_Toc21133"/>
      <w:r>
        <w:rPr>
          <w:rFonts w:ascii="宋体" w:hAnsi="宋体" w:eastAsia="宋体" w:cs="宋体"/>
          <w:b/>
          <w:bCs/>
          <w:snapToGrid/>
          <w:spacing w:val="0"/>
          <w:w w:val="100"/>
          <w:kern w:val="21"/>
          <w:position w:val="0"/>
          <w:sz w:val="28"/>
          <w:szCs w:val="28"/>
        </w:rPr>
        <w:t>15.4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变更的估价原则</w:t>
      </w:r>
      <w:bookmarkEnd w:id="289"/>
    </w:p>
    <w:p w14:paraId="4DE76E7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除专用合同条款另有约定外，因变更引起的价格调整按照本款约定处理。</w:t>
      </w:r>
    </w:p>
    <w:p w14:paraId="2624292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15.4.1 已标价工程量清单中有适用于变更工作的子目的，采用该子目的单价。</w:t>
      </w:r>
    </w:p>
    <w:p w14:paraId="2CE1E762">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15.4.2 已标价工程量清单中无适用于变更工作的子目，但有类似子目的，可在合理范围内参照 类似子目的单价， 由监理人按第 3.5 款商定或确定变更工作的单价。</w:t>
      </w:r>
    </w:p>
    <w:p w14:paraId="2AB54095">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15.4.3 已标价工程量清单中无适用或类似子目的单价，可按照成本加利润的原则，由监理人按 第 3.5 款商定或确定变更工作的单价。</w:t>
      </w:r>
    </w:p>
    <w:p w14:paraId="624C7E9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90" w:name="_Toc30687"/>
      <w:r>
        <w:rPr>
          <w:rFonts w:ascii="宋体" w:hAnsi="宋体" w:eastAsia="宋体" w:cs="宋体"/>
          <w:b/>
          <w:bCs/>
          <w:snapToGrid/>
          <w:spacing w:val="0"/>
          <w:w w:val="100"/>
          <w:kern w:val="21"/>
          <w:position w:val="0"/>
          <w:sz w:val="28"/>
          <w:szCs w:val="28"/>
        </w:rPr>
        <w:t>15.5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承包人的合理化建议</w:t>
      </w:r>
      <w:bookmarkEnd w:id="290"/>
    </w:p>
    <w:p w14:paraId="4CDD81D5">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15.5.1 在履行合同过程中，承包人对发包人提供的图纸、技术要求以及其他方面提出的合理化 建议，均应以书面形式提交监理人。合理化建议书的内容应包括建议工作的详细说明、进度计划和 效益以及与其他工作的协调等，并附必要的设计文件。监理人应与发包人协商是否采纳建议。建议 被采纳并构成变更的，应按第 15.3.3 项约定向承包人发出变更指示。</w:t>
      </w:r>
    </w:p>
    <w:p w14:paraId="7D6490A5">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15.5.2 承包人提出的合理化建议降低了合同价格、缩短了工期或者提高了工程经济效益的，发 包人可按国家有关规定在专用合同条款中约定给予奖励。</w:t>
      </w:r>
    </w:p>
    <w:p w14:paraId="5DD1F3A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91" w:name="_Toc15484"/>
      <w:r>
        <w:rPr>
          <w:rFonts w:ascii="宋体" w:hAnsi="宋体" w:eastAsia="宋体" w:cs="宋体"/>
          <w:b/>
          <w:bCs/>
          <w:snapToGrid/>
          <w:spacing w:val="0"/>
          <w:w w:val="100"/>
          <w:kern w:val="21"/>
          <w:position w:val="0"/>
          <w:sz w:val="28"/>
          <w:szCs w:val="28"/>
        </w:rPr>
        <w:t>15.6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暂列金额</w:t>
      </w:r>
      <w:bookmarkEnd w:id="291"/>
    </w:p>
    <w:p w14:paraId="23A1462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暂列金额只能按照监理人的指示使用，并对合同价格进行相应调整。</w:t>
      </w:r>
    </w:p>
    <w:p w14:paraId="4EF91BB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92" w:name="_Toc27802"/>
      <w:r>
        <w:rPr>
          <w:rFonts w:ascii="宋体" w:hAnsi="宋体" w:eastAsia="宋体" w:cs="宋体"/>
          <w:b/>
          <w:bCs/>
          <w:snapToGrid/>
          <w:spacing w:val="0"/>
          <w:w w:val="100"/>
          <w:kern w:val="21"/>
          <w:position w:val="0"/>
          <w:sz w:val="28"/>
          <w:szCs w:val="28"/>
        </w:rPr>
        <w:t>15.7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计日工</w:t>
      </w:r>
      <w:bookmarkEnd w:id="292"/>
    </w:p>
    <w:p w14:paraId="3F9BBF14">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15.7.1 发包人认为有必要时，由监理人通知承包人以计日工方式实施变更的零星工作。其价款 按列入已标价工程量清单中的计日工计价子目及其单价进行计算。</w:t>
      </w:r>
    </w:p>
    <w:p w14:paraId="0D705998">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15.7.2 采用计日工计价的任何一项变更工作，应从暂列金额中支付，承包人应在该项变更的实 施过程中，每天提交以下报表和有关凭证报送监理人审批：</w:t>
      </w:r>
    </w:p>
    <w:p w14:paraId="7BA3BA6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（1）工作名称、内容和数量；</w:t>
      </w:r>
    </w:p>
    <w:p w14:paraId="79B46AC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（2）投入该工作所有人员的姓名、工种、级别和耗用工时；</w:t>
      </w:r>
    </w:p>
    <w:p w14:paraId="0A39B50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（3）投入该工作的材料类别和数量；</w:t>
      </w:r>
    </w:p>
    <w:p w14:paraId="2E54786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（4）投入该工作的施工设备型号、台数和耗用台时；</w:t>
      </w:r>
    </w:p>
    <w:p w14:paraId="3BA2669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（5）监理人要求提交的其他资料和凭证。</w:t>
      </w:r>
    </w:p>
    <w:p w14:paraId="11D4FBDE">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15.7.3 计日工由承包人汇总后，按第 17.3.2 项的约定列入进度付款申请单， 由监理人复核并 经发包人同意后列入进度付款。</w:t>
      </w:r>
    </w:p>
    <w:p w14:paraId="57ACFA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93" w:name="_Toc20302"/>
      <w:r>
        <w:rPr>
          <w:rFonts w:ascii="宋体" w:hAnsi="宋体" w:eastAsia="宋体" w:cs="宋体"/>
          <w:b/>
          <w:bCs/>
          <w:snapToGrid/>
          <w:spacing w:val="0"/>
          <w:w w:val="100"/>
          <w:kern w:val="21"/>
          <w:position w:val="0"/>
          <w:sz w:val="28"/>
          <w:szCs w:val="28"/>
        </w:rPr>
        <w:t>15.8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暂估价</w:t>
      </w:r>
      <w:bookmarkEnd w:id="293"/>
    </w:p>
    <w:p w14:paraId="3A64A46B">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15.8.1 发包人在工程量清单中给定暂估价的材料、工程设备和专业工程属于依法必须招标的范 围并达到规定的规模标准的， 由发包人和承包人以招标的方式选择供应商或分包人。发包人和承包 人的权利义务关系在专用合同条款中约定。中标金额与工程量清单中所列的暂估价的金额差以及相 应的税金等其他费用列入合同价格。</w:t>
      </w:r>
    </w:p>
    <w:p w14:paraId="315D1768">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15.8.2 发包人在工程量清单中给定暂估价的材料和工程设备不属于依法必须招标的范围或未 达到规定的规模标准的，应由承包人按第 5.1 款的约定提供。经监理人确认的材料、工程设备的价 格与工程量清单中所列的暂估价的金额差以及相应的税金等其他费用列入合同价格。</w:t>
      </w:r>
    </w:p>
    <w:p w14:paraId="28EA5DEB">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15.8.3 发包人在工程量清单中给定暂估价的专业工程不属于依法必须招标的范围或未达到规 定的规模标准的，由监理人按照第 15.4 款进行估价，但专用合同条款另有约定的除外。经估价的专 业工程与工程量清单中所列的暂估价的金额差以及相应的税金等其他费用列入合同价格。</w:t>
      </w:r>
    </w:p>
    <w:p w14:paraId="1F18E92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294" w:name="bookmark149"/>
      <w:bookmarkEnd w:id="294"/>
      <w:bookmarkStart w:id="295" w:name="_Toc30497"/>
      <w:bookmarkStart w:id="296" w:name="_Toc18235"/>
      <w:r>
        <w:rPr>
          <w:rFonts w:ascii="宋体" w:hAnsi="宋体" w:eastAsia="宋体" w:cs="宋体"/>
          <w:b/>
          <w:bCs/>
          <w:snapToGrid/>
          <w:spacing w:val="0"/>
          <w:w w:val="100"/>
          <w:kern w:val="21"/>
          <w:position w:val="0"/>
          <w:sz w:val="31"/>
          <w:szCs w:val="31"/>
        </w:rPr>
        <w:t>16.</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价格调整</w:t>
      </w:r>
      <w:bookmarkEnd w:id="295"/>
      <w:bookmarkEnd w:id="296"/>
    </w:p>
    <w:p w14:paraId="1BB8C52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297" w:name="_Toc21445"/>
      <w:r>
        <w:rPr>
          <w:rFonts w:ascii="宋体" w:hAnsi="宋体" w:eastAsia="宋体" w:cs="宋体"/>
          <w:b/>
          <w:bCs/>
          <w:snapToGrid/>
          <w:spacing w:val="0"/>
          <w:w w:val="100"/>
          <w:kern w:val="21"/>
          <w:position w:val="0"/>
          <w:sz w:val="28"/>
          <w:szCs w:val="28"/>
        </w:rPr>
        <w:t>16.1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物价波动引起的价格调整</w:t>
      </w:r>
      <w:bookmarkEnd w:id="297"/>
    </w:p>
    <w:p w14:paraId="50D9861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除专用合同条款另有约定外，因物价波动引起的价格调整按照本款约定处理。</w:t>
      </w:r>
    </w:p>
    <w:p w14:paraId="1BA4944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98" w:name="_Toc5094"/>
      <w:r>
        <w:rPr>
          <w:rFonts w:ascii="宋体" w:hAnsi="宋体" w:eastAsia="宋体" w:cs="宋体"/>
          <w:b/>
          <w:bCs/>
          <w:snapToGrid/>
          <w:spacing w:val="0"/>
          <w:w w:val="100"/>
          <w:kern w:val="21"/>
          <w:position w:val="0"/>
          <w:sz w:val="20"/>
          <w:szCs w:val="20"/>
        </w:rPr>
        <w:t>16.1.1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采用价格指数调整价格差额</w:t>
      </w:r>
      <w:bookmarkEnd w:id="298"/>
    </w:p>
    <w:p w14:paraId="3566044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"16.1.1.1"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16.1.1.1</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价格调整公式</w:t>
      </w:r>
    </w:p>
    <w:p w14:paraId="139E1F80">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因人工、材料和设备等价格波动影响合同价格时，根据投标函附录中的价格指数和权重表约定 的数据，按以下公式计算差额并调整合同价格。</w:t>
      </w:r>
    </w:p>
    <w:p w14:paraId="249673B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微软雅黑" w:hAnsi="微软雅黑" w:eastAsia="微软雅黑" w:cs="微软雅黑"/>
          <w:snapToGrid/>
          <w:spacing w:val="0"/>
          <w:w w:val="100"/>
          <w:kern w:val="21"/>
          <w:position w:val="0"/>
          <w:sz w:val="24"/>
          <w:szCs w:val="24"/>
        </w:rPr>
      </w:pPr>
      <w:r>
        <w:rPr>
          <w:rFonts w:ascii="微软雅黑" w:hAnsi="微软雅黑" w:eastAsia="微软雅黑" w:cs="微软雅黑"/>
          <w:snapToGrid/>
          <w:spacing w:val="0"/>
          <w:w w:val="100"/>
          <w:kern w:val="21"/>
          <w:position w:val="0"/>
          <w:sz w:val="24"/>
          <w:szCs w:val="24"/>
        </w:rPr>
        <w:t>Δ</w:t>
      </w:r>
      <w:r>
        <w:rPr>
          <w:rFonts w:ascii="Times New Roman" w:hAnsi="Times New Roman" w:eastAsia="Times New Roman" w:cs="Times New Roman"/>
          <w:i/>
          <w:iCs/>
          <w:snapToGrid/>
          <w:spacing w:val="0"/>
          <w:w w:val="100"/>
          <w:kern w:val="21"/>
          <w:position w:val="0"/>
          <w:sz w:val="24"/>
          <w:szCs w:val="24"/>
        </w:rPr>
        <w:t xml:space="preserve">P </w:t>
      </w:r>
      <w:r>
        <w:rPr>
          <w:rFonts w:ascii="微软雅黑" w:hAnsi="微软雅黑" w:eastAsia="微软雅黑" w:cs="微软雅黑"/>
          <w:snapToGrid/>
          <w:spacing w:val="0"/>
          <w:w w:val="100"/>
          <w:kern w:val="21"/>
          <w:position w:val="0"/>
          <w:sz w:val="24"/>
          <w:szCs w:val="24"/>
        </w:rPr>
        <w:t xml:space="preserve">= </w:t>
      </w:r>
      <w:r>
        <w:rPr>
          <w:rFonts w:ascii="Times New Roman" w:hAnsi="Times New Roman" w:eastAsia="Times New Roman" w:cs="Times New Roman"/>
          <w:i/>
          <w:iCs/>
          <w:snapToGrid/>
          <w:spacing w:val="0"/>
          <w:w w:val="100"/>
          <w:kern w:val="21"/>
          <w:position w:val="0"/>
          <w:sz w:val="24"/>
          <w:szCs w:val="24"/>
        </w:rPr>
        <w:t>P</w:t>
      </w:r>
      <w:r>
        <w:rPr>
          <w:rFonts w:ascii="Times New Roman" w:hAnsi="Times New Roman" w:eastAsia="Times New Roman" w:cs="Times New Roman"/>
          <w:snapToGrid/>
          <w:spacing w:val="0"/>
          <w:w w:val="100"/>
          <w:kern w:val="21"/>
          <w:position w:val="0"/>
          <w:sz w:val="15"/>
          <w:szCs w:val="15"/>
        </w:rPr>
        <w:t xml:space="preserve">0 </w:t>
      </w:r>
      <w:r>
        <w:rPr>
          <w:rFonts w:ascii="微软雅黑" w:hAnsi="微软雅黑" w:eastAsia="微软雅黑" w:cs="微软雅黑"/>
          <w:snapToGrid/>
          <w:spacing w:val="0"/>
          <w:w w:val="100"/>
          <w:kern w:val="21"/>
          <w:position w:val="0"/>
          <w:sz w:val="24"/>
          <w:szCs w:val="24"/>
        </w:rPr>
        <w:t>ê</w:t>
      </w:r>
      <w:r>
        <w:rPr>
          <w:snapToGrid/>
          <w:spacing w:val="0"/>
          <w:w w:val="100"/>
          <w:kern w:val="21"/>
          <w:position w:val="0"/>
        </w:rPr>
        <w:fldChar w:fldCharType="begin"/>
      </w:r>
      <w:r>
        <w:rPr>
          <w:snapToGrid/>
          <w:spacing w:val="0"/>
          <w:w w:val="100"/>
          <w:kern w:val="21"/>
          <w:position w:val="0"/>
        </w:rPr>
        <w:instrText xml:space="preserve">EQ \* jc3 \* hps24 \o\al(\s\up 11(</w:instrText>
      </w:r>
      <w:r>
        <w:rPr>
          <w:rFonts w:ascii="微软雅黑" w:hAnsi="微软雅黑" w:eastAsia="微软雅黑" w:cs="微软雅黑"/>
          <w:snapToGrid/>
          <w:spacing w:val="0"/>
          <w:w w:val="100"/>
          <w:kern w:val="21"/>
          <w:position w:val="0"/>
          <w:sz w:val="24"/>
          <w:szCs w:val="24"/>
        </w:rPr>
        <w:instrText xml:space="preserve">é</w:instrText>
      </w:r>
      <w:r>
        <w:rPr>
          <w:snapToGrid/>
          <w:spacing w:val="0"/>
          <w:w w:val="100"/>
          <w:kern w:val="21"/>
          <w:position w:val="0"/>
        </w:rPr>
        <w:instrText xml:space="preserve">),</w:instrText>
      </w:r>
      <w:r>
        <w:rPr>
          <w:rFonts w:ascii="微软雅黑" w:hAnsi="微软雅黑" w:eastAsia="微软雅黑" w:cs="微软雅黑"/>
          <w:snapToGrid/>
          <w:spacing w:val="0"/>
          <w:w w:val="100"/>
          <w:kern w:val="21"/>
          <w:position w:val="0"/>
          <w:sz w:val="24"/>
          <w:szCs w:val="24"/>
        </w:rPr>
        <w:instrText xml:space="preserve">L</w:instrText>
      </w:r>
      <w:r>
        <w:rPr>
          <w:snapToGrid/>
          <w:spacing w:val="0"/>
          <w:w w:val="100"/>
          <w:kern w:val="21"/>
          <w:position w:val="0"/>
        </w:rPr>
        <w:instrText xml:space="preserve">)</w:instrText>
      </w:r>
      <w:r>
        <w:rPr>
          <w:snapToGrid/>
          <w:spacing w:val="0"/>
          <w:w w:val="100"/>
          <w:kern w:val="21"/>
          <w:position w:val="0"/>
        </w:rPr>
        <w:fldChar w:fldCharType="end"/>
      </w:r>
      <w:r>
        <w:rPr>
          <w:rFonts w:ascii="Times New Roman" w:hAnsi="Times New Roman" w:eastAsia="Times New Roman" w:cs="Times New Roman"/>
          <w:i/>
          <w:iCs/>
          <w:snapToGrid/>
          <w:spacing w:val="0"/>
          <w:w w:val="100"/>
          <w:kern w:val="21"/>
          <w:position w:val="0"/>
          <w:sz w:val="24"/>
          <w:szCs w:val="24"/>
        </w:rPr>
        <w:t>A</w:t>
      </w:r>
      <w:r>
        <w:rPr>
          <w:rFonts w:ascii="微软雅黑" w:hAnsi="微软雅黑" w:eastAsia="微软雅黑" w:cs="微软雅黑"/>
          <w:snapToGrid/>
          <w:spacing w:val="0"/>
          <w:w w:val="100"/>
          <w:kern w:val="21"/>
          <w:position w:val="0"/>
          <w:sz w:val="24"/>
          <w:szCs w:val="24"/>
        </w:rPr>
        <w:t xml:space="preserve">+ </w:t>
      </w:r>
      <w:r>
        <w:rPr>
          <w:rFonts w:ascii="Arial" w:hAnsi="Arial" w:eastAsia="Arial" w:cs="Arial"/>
          <w:b/>
          <w:bCs/>
          <w:snapToGrid/>
          <w:spacing w:val="0"/>
          <w:w w:val="100"/>
          <w:kern w:val="21"/>
          <w:position w:val="0"/>
          <w:sz w:val="24"/>
          <w:szCs w:val="24"/>
        </w:rPr>
        <w:t>ç</w:t>
      </w:r>
      <w:r>
        <w:rPr>
          <w:rFonts w:ascii="微软雅黑" w:hAnsi="微软雅黑" w:eastAsia="微软雅黑" w:cs="微软雅黑"/>
          <w:snapToGrid/>
          <w:spacing w:val="0"/>
          <w:w w:val="100"/>
          <w:kern w:val="21"/>
          <w:position w:val="0"/>
          <w:sz w:val="24"/>
          <w:szCs w:val="24"/>
        </w:rPr>
        <w:t xml:space="preserve">è( </w:t>
      </w:r>
      <w:r>
        <w:rPr>
          <w:rFonts w:ascii="Times New Roman" w:hAnsi="Times New Roman" w:eastAsia="Times New Roman" w:cs="Times New Roman"/>
          <w:i/>
          <w:iCs/>
          <w:snapToGrid/>
          <w:spacing w:val="0"/>
          <w:w w:val="100"/>
          <w:kern w:val="21"/>
          <w:position w:val="0"/>
          <w:sz w:val="24"/>
          <w:szCs w:val="24"/>
        </w:rPr>
        <w:t>B</w:t>
      </w:r>
      <w:r>
        <w:rPr>
          <w:rFonts w:ascii="Times New Roman" w:hAnsi="Times New Roman" w:eastAsia="Times New Roman" w:cs="Times New Roman"/>
          <w:snapToGrid/>
          <w:spacing w:val="0"/>
          <w:w w:val="100"/>
          <w:kern w:val="21"/>
          <w:position w:val="0"/>
          <w:sz w:val="15"/>
          <w:szCs w:val="15"/>
        </w:rPr>
        <w:t xml:space="preserve">1  </w:t>
      </w:r>
      <w:r>
        <w:rPr>
          <w:rFonts w:ascii="微软雅黑" w:hAnsi="微软雅黑" w:eastAsia="微软雅黑" w:cs="微软雅黑"/>
          <w:snapToGrid/>
          <w:spacing w:val="0"/>
          <w:w w:val="100"/>
          <w:kern w:val="21"/>
          <w:position w:val="0"/>
          <w:sz w:val="24"/>
          <w:szCs w:val="24"/>
        </w:rPr>
        <w:t xml:space="preserve">× </w:t>
      </w:r>
      <w:r>
        <w:rPr>
          <w:snapToGrid/>
          <w:spacing w:val="0"/>
          <w:w w:val="100"/>
          <w:kern w:val="21"/>
          <w:position w:val="0"/>
          <w:sz w:val="24"/>
          <w:szCs w:val="24"/>
        </w:rPr>
        <w:drawing>
          <wp:inline distT="0" distB="0" distL="0" distR="0">
            <wp:extent cx="212090" cy="38925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212720" cy="389690"/>
                    </a:xfrm>
                    <a:prstGeom prst="rect">
                      <a:avLst/>
                    </a:prstGeom>
                  </pic:spPr>
                </pic:pic>
              </a:graphicData>
            </a:graphic>
          </wp:inline>
        </w:drawing>
      </w:r>
      <w:r>
        <w:rPr>
          <w:rFonts w:ascii="微软雅黑" w:hAnsi="微软雅黑" w:eastAsia="微软雅黑" w:cs="微软雅黑"/>
          <w:snapToGrid/>
          <w:spacing w:val="0"/>
          <w:w w:val="100"/>
          <w:kern w:val="21"/>
          <w:position w:val="0"/>
          <w:sz w:val="24"/>
          <w:szCs w:val="24"/>
        </w:rPr>
        <w:t xml:space="preserve"> + </w:t>
      </w:r>
      <w:r>
        <w:rPr>
          <w:rFonts w:ascii="Times New Roman" w:hAnsi="Times New Roman" w:eastAsia="Times New Roman" w:cs="Times New Roman"/>
          <w:i/>
          <w:iCs/>
          <w:snapToGrid/>
          <w:spacing w:val="0"/>
          <w:w w:val="100"/>
          <w:kern w:val="21"/>
          <w:position w:val="0"/>
          <w:sz w:val="24"/>
          <w:szCs w:val="24"/>
        </w:rPr>
        <w:t>B</w:t>
      </w:r>
      <w:r>
        <w:rPr>
          <w:rFonts w:ascii="Times New Roman" w:hAnsi="Times New Roman" w:eastAsia="Times New Roman" w:cs="Times New Roman"/>
          <w:snapToGrid/>
          <w:spacing w:val="0"/>
          <w:w w:val="100"/>
          <w:kern w:val="21"/>
          <w:position w:val="0"/>
          <w:sz w:val="15"/>
          <w:szCs w:val="15"/>
        </w:rPr>
        <w:t xml:space="preserve">2 </w:t>
      </w:r>
      <w:r>
        <w:rPr>
          <w:rFonts w:ascii="微软雅黑" w:hAnsi="微软雅黑" w:eastAsia="微软雅黑" w:cs="微软雅黑"/>
          <w:snapToGrid/>
          <w:spacing w:val="0"/>
          <w:w w:val="100"/>
          <w:kern w:val="21"/>
          <w:position w:val="0"/>
          <w:sz w:val="24"/>
          <w:szCs w:val="24"/>
        </w:rPr>
        <w:t xml:space="preserve">× </w:t>
      </w:r>
      <w:r>
        <w:rPr>
          <w:snapToGrid/>
          <w:spacing w:val="0"/>
          <w:w w:val="100"/>
          <w:kern w:val="21"/>
          <w:position w:val="0"/>
          <w:sz w:val="24"/>
          <w:szCs w:val="24"/>
        </w:rPr>
        <w:drawing>
          <wp:inline distT="0" distB="0" distL="0" distR="0">
            <wp:extent cx="219075" cy="38925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5"/>
                    <a:stretch>
                      <a:fillRect/>
                    </a:stretch>
                  </pic:blipFill>
                  <pic:spPr>
                    <a:xfrm>
                      <a:off x="0" y="0"/>
                      <a:ext cx="219466" cy="389690"/>
                    </a:xfrm>
                    <a:prstGeom prst="rect">
                      <a:avLst/>
                    </a:prstGeom>
                  </pic:spPr>
                </pic:pic>
              </a:graphicData>
            </a:graphic>
          </wp:inline>
        </w:drawing>
      </w:r>
      <w:r>
        <w:rPr>
          <w:rFonts w:ascii="微软雅黑" w:hAnsi="微软雅黑" w:eastAsia="微软雅黑" w:cs="微软雅黑"/>
          <w:snapToGrid/>
          <w:spacing w:val="0"/>
          <w:w w:val="100"/>
          <w:kern w:val="21"/>
          <w:position w:val="0"/>
          <w:sz w:val="24"/>
          <w:szCs w:val="24"/>
        </w:rPr>
        <w:t xml:space="preserve"> + </w:t>
      </w:r>
      <w:r>
        <w:rPr>
          <w:rFonts w:ascii="Times New Roman" w:hAnsi="Times New Roman" w:eastAsia="Times New Roman" w:cs="Times New Roman"/>
          <w:i/>
          <w:iCs/>
          <w:snapToGrid/>
          <w:spacing w:val="0"/>
          <w:w w:val="100"/>
          <w:kern w:val="21"/>
          <w:position w:val="0"/>
          <w:sz w:val="24"/>
          <w:szCs w:val="24"/>
        </w:rPr>
        <w:t>B</w:t>
      </w:r>
      <w:r>
        <w:rPr>
          <w:rFonts w:ascii="Times New Roman" w:hAnsi="Times New Roman" w:eastAsia="Times New Roman" w:cs="Times New Roman"/>
          <w:snapToGrid/>
          <w:spacing w:val="0"/>
          <w:w w:val="100"/>
          <w:kern w:val="21"/>
          <w:position w:val="0"/>
          <w:sz w:val="15"/>
          <w:szCs w:val="15"/>
        </w:rPr>
        <w:t xml:space="preserve">3  </w:t>
      </w:r>
      <w:r>
        <w:rPr>
          <w:rFonts w:ascii="微软雅黑" w:hAnsi="微软雅黑" w:eastAsia="微软雅黑" w:cs="微软雅黑"/>
          <w:snapToGrid/>
          <w:spacing w:val="0"/>
          <w:w w:val="100"/>
          <w:kern w:val="21"/>
          <w:position w:val="0"/>
          <w:sz w:val="24"/>
          <w:szCs w:val="24"/>
        </w:rPr>
        <w:t xml:space="preserve">× </w:t>
      </w:r>
      <w:r>
        <w:rPr>
          <w:snapToGrid/>
          <w:spacing w:val="0"/>
          <w:w w:val="100"/>
          <w:kern w:val="21"/>
          <w:position w:val="0"/>
          <w:sz w:val="24"/>
          <w:szCs w:val="24"/>
        </w:rPr>
        <w:drawing>
          <wp:inline distT="0" distB="0" distL="0" distR="0">
            <wp:extent cx="216535" cy="3892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6"/>
                    <a:stretch>
                      <a:fillRect/>
                    </a:stretch>
                  </pic:blipFill>
                  <pic:spPr>
                    <a:xfrm>
                      <a:off x="0" y="0"/>
                      <a:ext cx="216691" cy="389690"/>
                    </a:xfrm>
                    <a:prstGeom prst="rect">
                      <a:avLst/>
                    </a:prstGeom>
                  </pic:spPr>
                </pic:pic>
              </a:graphicData>
            </a:graphic>
          </wp:inline>
        </w:drawing>
      </w:r>
      <w:r>
        <w:rPr>
          <w:rFonts w:ascii="微软雅黑" w:hAnsi="微软雅黑" w:eastAsia="微软雅黑" w:cs="微软雅黑"/>
          <w:snapToGrid/>
          <w:spacing w:val="0"/>
          <w:w w:val="100"/>
          <w:kern w:val="21"/>
          <w:position w:val="0"/>
          <w:sz w:val="24"/>
          <w:szCs w:val="24"/>
        </w:rPr>
        <w:t xml:space="preserve"> + </w:t>
      </w:r>
      <w:r>
        <w:rPr>
          <w:rFonts w:ascii="宋体" w:hAnsi="宋体" w:eastAsia="宋体" w:cs="宋体"/>
          <w:snapToGrid/>
          <w:spacing w:val="0"/>
          <w:w w:val="100"/>
          <w:kern w:val="21"/>
          <w:position w:val="0"/>
          <w:sz w:val="24"/>
          <w:szCs w:val="24"/>
        </w:rPr>
        <w:t>…</w:t>
      </w:r>
      <w:r>
        <w:rPr>
          <w:rFonts w:ascii="微软雅黑" w:hAnsi="微软雅黑" w:eastAsia="微软雅黑" w:cs="微软雅黑"/>
          <w:snapToGrid/>
          <w:spacing w:val="0"/>
          <w:w w:val="100"/>
          <w:kern w:val="21"/>
          <w:position w:val="0"/>
          <w:sz w:val="24"/>
          <w:szCs w:val="24"/>
        </w:rPr>
        <w:t xml:space="preserve">+ </w:t>
      </w:r>
      <w:r>
        <w:rPr>
          <w:rFonts w:ascii="Times New Roman" w:hAnsi="Times New Roman" w:eastAsia="Times New Roman" w:cs="Times New Roman"/>
          <w:i/>
          <w:iCs/>
          <w:snapToGrid/>
          <w:spacing w:val="0"/>
          <w:w w:val="100"/>
          <w:kern w:val="21"/>
          <w:position w:val="0"/>
          <w:sz w:val="24"/>
          <w:szCs w:val="24"/>
        </w:rPr>
        <w:t>B</w:t>
      </w:r>
      <w:r>
        <w:rPr>
          <w:rFonts w:ascii="Times New Roman" w:hAnsi="Times New Roman" w:eastAsia="Times New Roman" w:cs="Times New Roman"/>
          <w:i/>
          <w:iCs/>
          <w:snapToGrid/>
          <w:spacing w:val="0"/>
          <w:w w:val="100"/>
          <w:kern w:val="21"/>
          <w:position w:val="0"/>
          <w:sz w:val="16"/>
          <w:szCs w:val="16"/>
        </w:rPr>
        <w:t xml:space="preserve">n </w:t>
      </w:r>
      <w:r>
        <w:rPr>
          <w:rFonts w:ascii="微软雅黑" w:hAnsi="微软雅黑" w:eastAsia="微软雅黑" w:cs="微软雅黑"/>
          <w:snapToGrid/>
          <w:spacing w:val="0"/>
          <w:w w:val="100"/>
          <w:kern w:val="21"/>
          <w:position w:val="0"/>
          <w:sz w:val="24"/>
          <w:szCs w:val="24"/>
        </w:rPr>
        <w:t xml:space="preserve">× </w:t>
      </w:r>
      <w:r>
        <w:rPr>
          <w:snapToGrid/>
          <w:spacing w:val="0"/>
          <w:w w:val="100"/>
          <w:kern w:val="21"/>
          <w:position w:val="0"/>
          <w:sz w:val="24"/>
          <w:szCs w:val="24"/>
        </w:rPr>
        <w:drawing>
          <wp:inline distT="0" distB="0" distL="0" distR="0">
            <wp:extent cx="227330" cy="3892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227404" cy="389690"/>
                    </a:xfrm>
                    <a:prstGeom prst="rect">
                      <a:avLst/>
                    </a:prstGeom>
                  </pic:spPr>
                </pic:pic>
              </a:graphicData>
            </a:graphic>
          </wp:inline>
        </w:drawing>
      </w:r>
      <w:r>
        <w:rPr>
          <w:rFonts w:ascii="微软雅黑" w:hAnsi="微软雅黑" w:eastAsia="微软雅黑" w:cs="微软雅黑"/>
          <w:snapToGrid/>
          <w:spacing w:val="0"/>
          <w:w w:val="100"/>
          <w:kern w:val="21"/>
          <w:position w:val="0"/>
          <w:sz w:val="24"/>
          <w:szCs w:val="24"/>
        </w:rPr>
        <w:t>),</w:t>
      </w:r>
      <w:r>
        <w:rPr>
          <w:rFonts w:ascii="Arial" w:hAnsi="Arial" w:eastAsia="Arial" w:cs="Arial"/>
          <w:b/>
          <w:bCs/>
          <w:snapToGrid/>
          <w:spacing w:val="0"/>
          <w:w w:val="100"/>
          <w:kern w:val="21"/>
          <w:position w:val="0"/>
          <w:sz w:val="24"/>
          <w:szCs w:val="24"/>
        </w:rPr>
        <w:t xml:space="preserve">÷ </w:t>
      </w:r>
      <w:r>
        <w:rPr>
          <w:rFonts w:ascii="微软雅黑" w:hAnsi="微软雅黑" w:eastAsia="微软雅黑" w:cs="微软雅黑"/>
          <w:snapToGrid/>
          <w:spacing w:val="0"/>
          <w:w w:val="100"/>
          <w:kern w:val="21"/>
          <w:position w:val="0"/>
          <w:sz w:val="24"/>
          <w:szCs w:val="24"/>
        </w:rPr>
        <w:t>-</w:t>
      </w:r>
      <w:r>
        <w:rPr>
          <w:rFonts w:ascii="Times New Roman" w:hAnsi="Times New Roman" w:eastAsia="Times New Roman" w:cs="Times New Roman"/>
          <w:snapToGrid/>
          <w:spacing w:val="0"/>
          <w:w w:val="100"/>
          <w:kern w:val="21"/>
          <w:position w:val="0"/>
          <w:sz w:val="24"/>
          <w:szCs w:val="24"/>
        </w:rPr>
        <w:t>1</w:t>
      </w:r>
      <w:r>
        <w:rPr>
          <w:rFonts w:ascii="微软雅黑" w:hAnsi="微软雅黑" w:eastAsia="微软雅黑" w:cs="微软雅黑"/>
          <w:snapToGrid/>
          <w:spacing w:val="0"/>
          <w:w w:val="100"/>
          <w:kern w:val="21"/>
          <w:position w:val="0"/>
          <w:sz w:val="24"/>
          <w:szCs w:val="24"/>
        </w:rPr>
        <w:t>ù」ú</w:t>
      </w:r>
    </w:p>
    <w:p w14:paraId="7480816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式中： △P -- 需调整的价格差额；</w:t>
      </w:r>
    </w:p>
    <w:p w14:paraId="1B6F215A">
      <w:pPr>
        <w:keepNext w:val="0"/>
        <w:keepLines w:val="0"/>
        <w:pageBreakBefore w:val="0"/>
        <w:widowControl w:val="0"/>
        <w:kinsoku/>
        <w:wordWrap w:val="0"/>
        <w:overflowPunct/>
        <w:topLinePunct/>
        <w:autoSpaceDE w:val="0"/>
        <w:autoSpaceDN/>
        <w:bidi w:val="0"/>
        <w:adjustRightInd/>
        <w:snapToGrid/>
        <w:spacing w:line="560" w:lineRule="exact"/>
        <w:ind w:left="0" w:right="0" w:firstLine="8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P0 -- 第 17.3.3 项、第 17.5.2 项和第 17.6.2 项约定的付款证书中承包人应得到的已完成 工程量的金额。此项金额应不包括价格调整、不计质量保证金的扣留和支付、预付款的支付和扣回。</w:t>
      </w:r>
    </w:p>
    <w:p w14:paraId="4A9A4BB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第 15 条约定的变更及其他金额已按现行价格计价的，也不计在内；</w:t>
      </w:r>
    </w:p>
    <w:p w14:paraId="531122F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A -- 定值权重(即不调部分的权重)；</w:t>
      </w:r>
    </w:p>
    <w:p w14:paraId="294E4D2C">
      <w:pPr>
        <w:keepNext w:val="0"/>
        <w:keepLines w:val="0"/>
        <w:pageBreakBefore w:val="0"/>
        <w:widowControl w:val="0"/>
        <w:kinsoku/>
        <w:wordWrap w:val="0"/>
        <w:overflowPunct/>
        <w:topLinePunct/>
        <w:autoSpaceDE w:val="0"/>
        <w:autoSpaceDN/>
        <w:bidi w:val="0"/>
        <w:adjustRightInd/>
        <w:snapToGrid/>
        <w:spacing w:line="560" w:lineRule="exact"/>
        <w:ind w:left="0" w:right="0" w:firstLine="8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B1； B2 ；B3 ·····Bn -- 各可调因子的变值权重(即可调部分的权重)为各可调因子在投 标函投标总报价中所占的比例；</w:t>
      </w:r>
    </w:p>
    <w:p w14:paraId="64A4CE1B">
      <w:pPr>
        <w:keepNext w:val="0"/>
        <w:keepLines w:val="0"/>
        <w:pageBreakBefore w:val="0"/>
        <w:widowControl w:val="0"/>
        <w:kinsoku/>
        <w:wordWrap w:val="0"/>
        <w:overflowPunct/>
        <w:topLinePunct/>
        <w:autoSpaceDE w:val="0"/>
        <w:autoSpaceDN/>
        <w:bidi w:val="0"/>
        <w:adjustRightInd/>
        <w:snapToGrid/>
        <w:spacing w:line="560" w:lineRule="exact"/>
        <w:ind w:left="0" w:right="0" w:firstLine="8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Ft1；Ft2；Ft3 ·····Ftn -- 各可调因子的现行价格指数，指第 17.3.3 项、第 17.5.2 项 和第 17.6.2 项约定的付款证书相关周期最后一天的前 42 天的各可调因子的价格指数；</w:t>
      </w:r>
    </w:p>
    <w:p w14:paraId="5A859B01">
      <w:pPr>
        <w:keepNext w:val="0"/>
        <w:keepLines w:val="0"/>
        <w:pageBreakBefore w:val="0"/>
        <w:widowControl w:val="0"/>
        <w:kinsoku/>
        <w:wordWrap w:val="0"/>
        <w:overflowPunct/>
        <w:topLinePunct/>
        <w:autoSpaceDE w:val="0"/>
        <w:autoSpaceDN/>
        <w:bidi w:val="0"/>
        <w:adjustRightInd/>
        <w:snapToGrid/>
        <w:spacing w:line="560" w:lineRule="exact"/>
        <w:ind w:left="0" w:right="0" w:firstLine="8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Fo1； Fo2；Fo3 ·····Fon -- 各可调因子的基本价格指数，指基准日期的各可调因子的价 格指数。</w:t>
      </w:r>
    </w:p>
    <w:p w14:paraId="728C8690">
      <w:pPr>
        <w:keepNext w:val="0"/>
        <w:keepLines w:val="0"/>
        <w:pageBreakBefore w:val="0"/>
        <w:widowControl w:val="0"/>
        <w:kinsoku/>
        <w:wordWrap w:val="0"/>
        <w:overflowPunct/>
        <w:topLinePunct/>
        <w:autoSpaceDE w:val="0"/>
        <w:autoSpaceDN/>
        <w:bidi w:val="0"/>
        <w:adjustRightInd/>
        <w:snapToGrid/>
        <w:spacing w:line="560" w:lineRule="exact"/>
        <w:ind w:left="0" w:right="0" w:firstLine="44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以上价格调整公式中的各可调因子、定值和变值权重， 以及基本价格指数及其来源在投标函附 录价格指数和权重表中约定。价格指数应首先采用有关部门提供的价格指数，缺乏上述价格指数时， 可采用有关部门提供的价格代替。</w:t>
      </w:r>
    </w:p>
    <w:p w14:paraId="79A7248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"16.1.1.2"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16.1.1.2</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暂时确定调整差额</w:t>
      </w:r>
    </w:p>
    <w:p w14:paraId="32434A33">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在计算调整差额时得不到现行价格指数的，可暂用上一次价格指数计算，并在以后的付款中再 按实际价格指数进行调整。</w:t>
      </w:r>
    </w:p>
    <w:p w14:paraId="169A408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"16.1.1.3"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16.1.1.3</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权重的调整</w:t>
      </w:r>
    </w:p>
    <w:p w14:paraId="39DFFAFE">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按第 15.1 款约定的变更导致原定合同中的权重不合理时，由监理人与承包人和发包人协商后进 行调整。</w:t>
      </w:r>
    </w:p>
    <w:p w14:paraId="7D453F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"16.1.1.4"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16.1.1.4</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承包人工期延误后的价格调整</w:t>
      </w:r>
    </w:p>
    <w:p w14:paraId="09BC8DB1">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由于承包人原因未在约定的工期内竣工的，则对原约定竣工日期后继续施工的工程，在使用第 </w:t>
      </w:r>
      <w:r>
        <w:rPr>
          <w:snapToGrid/>
          <w:spacing w:val="0"/>
          <w:w w:val="100"/>
          <w:kern w:val="21"/>
          <w:position w:val="0"/>
        </w:rPr>
        <w:fldChar w:fldCharType="begin"/>
      </w:r>
      <w:r>
        <w:rPr>
          <w:snapToGrid/>
          <w:spacing w:val="0"/>
          <w:w w:val="100"/>
          <w:kern w:val="21"/>
          <w:position w:val="0"/>
        </w:rPr>
        <w:instrText xml:space="preserve"> HYPERLINK "16.1.1.1"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16.1.1.1</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目价格调整公式时，应采用原约定竣工日期与实际竣工日期的两个价格指数中较低的一个作为现行价格指数。</w:t>
      </w:r>
    </w:p>
    <w:p w14:paraId="2BA0911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0"/>
          <w:szCs w:val="20"/>
        </w:rPr>
      </w:pPr>
      <w:bookmarkStart w:id="299" w:name="_Toc6715"/>
      <w:r>
        <w:rPr>
          <w:rFonts w:ascii="宋体" w:hAnsi="宋体" w:eastAsia="宋体" w:cs="宋体"/>
          <w:b/>
          <w:bCs/>
          <w:snapToGrid/>
          <w:spacing w:val="0"/>
          <w:w w:val="100"/>
          <w:kern w:val="21"/>
          <w:position w:val="0"/>
          <w:sz w:val="20"/>
          <w:szCs w:val="20"/>
        </w:rPr>
        <w:t>16.1.2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采用造价信息调整价格差额</w:t>
      </w:r>
      <w:bookmarkEnd w:id="299"/>
    </w:p>
    <w:p w14:paraId="12DD998C">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施工期内，因人工、材料、设备和机械台班价格波动影响合同价格时，人工、机械使用费按照 国家或省、自治区、直辖市建设行政管理部门、行业建设管理部门或其授权的工程造价管理机构发 布的人工成本信息、机械台班单价或机械使用费系数进行调整；需要进行价格调整的材料，其单价 和采购数应由监理人复核，监理人确认需调整的材料单价及数量，作为调整工程合同价格差额的依 据。</w:t>
      </w:r>
    </w:p>
    <w:p w14:paraId="4859E9F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28"/>
          <w:szCs w:val="28"/>
        </w:rPr>
      </w:pPr>
      <w:bookmarkStart w:id="300" w:name="_Toc2881"/>
      <w:r>
        <w:rPr>
          <w:rFonts w:ascii="宋体" w:hAnsi="宋体" w:eastAsia="宋体" w:cs="宋体"/>
          <w:b/>
          <w:bCs/>
          <w:snapToGrid/>
          <w:spacing w:val="0"/>
          <w:w w:val="100"/>
          <w:kern w:val="21"/>
          <w:position w:val="0"/>
          <w:sz w:val="28"/>
          <w:szCs w:val="28"/>
        </w:rPr>
        <w:t>16.2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法律变化引起的价格调整</w:t>
      </w:r>
      <w:bookmarkEnd w:id="300"/>
    </w:p>
    <w:p w14:paraId="24934FBC">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在基准日后，因法律变化导致承包人在合同履行中所需要的工程费用发生除第 16.1 款约定以外 的增减时，监理人应根据法律、国家或省、自治区、直辖市有关部门的规定，按第 3.5 款商定或确 定需调整的合同价款。</w:t>
      </w:r>
    </w:p>
    <w:p w14:paraId="494DF93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301" w:name="bookmark150"/>
      <w:bookmarkEnd w:id="301"/>
      <w:bookmarkStart w:id="302" w:name="_Toc19859"/>
      <w:bookmarkStart w:id="303" w:name="_Toc25482"/>
      <w:r>
        <w:rPr>
          <w:rFonts w:ascii="宋体" w:hAnsi="宋体" w:eastAsia="宋体" w:cs="宋体"/>
          <w:b/>
          <w:bCs/>
          <w:snapToGrid/>
          <w:spacing w:val="0"/>
          <w:w w:val="100"/>
          <w:kern w:val="21"/>
          <w:position w:val="0"/>
          <w:sz w:val="31"/>
          <w:szCs w:val="31"/>
        </w:rPr>
        <w:t>17.</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计量与支付</w:t>
      </w:r>
      <w:bookmarkEnd w:id="302"/>
      <w:bookmarkEnd w:id="303"/>
    </w:p>
    <w:p w14:paraId="3659C53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04" w:name="_Toc29263"/>
      <w:r>
        <w:rPr>
          <w:rFonts w:ascii="宋体" w:hAnsi="宋体" w:eastAsia="宋体" w:cs="宋体"/>
          <w:b/>
          <w:bCs/>
          <w:snapToGrid/>
          <w:spacing w:val="0"/>
          <w:w w:val="100"/>
          <w:kern w:val="21"/>
          <w:position w:val="0"/>
          <w:sz w:val="28"/>
          <w:szCs w:val="28"/>
        </w:rPr>
        <w:t>17.1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计量</w:t>
      </w:r>
      <w:bookmarkEnd w:id="304"/>
    </w:p>
    <w:p w14:paraId="4FF1B2D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05" w:name="_Toc29201"/>
      <w:r>
        <w:rPr>
          <w:rFonts w:ascii="宋体" w:hAnsi="宋体" w:eastAsia="宋体" w:cs="宋体"/>
          <w:b/>
          <w:bCs/>
          <w:snapToGrid/>
          <w:spacing w:val="0"/>
          <w:w w:val="100"/>
          <w:kern w:val="21"/>
          <w:position w:val="0"/>
          <w:sz w:val="20"/>
          <w:szCs w:val="20"/>
        </w:rPr>
        <w:t>17.1.1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计量单位</w:t>
      </w:r>
      <w:bookmarkEnd w:id="305"/>
    </w:p>
    <w:p w14:paraId="1ED2B72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计量采用国家法定的计量单位。</w:t>
      </w:r>
    </w:p>
    <w:p w14:paraId="39AFEF3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06" w:name="_Toc21964"/>
      <w:r>
        <w:rPr>
          <w:rFonts w:ascii="宋体" w:hAnsi="宋体" w:eastAsia="宋体" w:cs="宋体"/>
          <w:b/>
          <w:bCs/>
          <w:snapToGrid/>
          <w:spacing w:val="0"/>
          <w:w w:val="100"/>
          <w:kern w:val="21"/>
          <w:position w:val="0"/>
          <w:sz w:val="20"/>
          <w:szCs w:val="20"/>
        </w:rPr>
        <w:t>17.1.2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计量方法</w:t>
      </w:r>
      <w:bookmarkEnd w:id="306"/>
    </w:p>
    <w:p w14:paraId="64C0DC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工程量清单中的工程量计算规则应按有关国家标准、行业标准的规定，并在合同中约定执行。</w:t>
      </w:r>
    </w:p>
    <w:p w14:paraId="5D7DF99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07" w:name="_Toc3083"/>
      <w:r>
        <w:rPr>
          <w:rFonts w:ascii="宋体" w:hAnsi="宋体" w:eastAsia="宋体" w:cs="宋体"/>
          <w:b/>
          <w:bCs/>
          <w:snapToGrid/>
          <w:spacing w:val="0"/>
          <w:w w:val="100"/>
          <w:kern w:val="21"/>
          <w:position w:val="0"/>
          <w:sz w:val="20"/>
          <w:szCs w:val="20"/>
        </w:rPr>
        <w:t>17.1.3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计量周期</w:t>
      </w:r>
      <w:bookmarkEnd w:id="307"/>
    </w:p>
    <w:p w14:paraId="72CD3B9E">
      <w:pPr>
        <w:keepNext w:val="0"/>
        <w:keepLines w:val="0"/>
        <w:pageBreakBefore w:val="0"/>
        <w:widowControl w:val="0"/>
        <w:kinsoku/>
        <w:wordWrap w:val="0"/>
        <w:overflowPunct/>
        <w:topLinePunct/>
        <w:autoSpaceDE w:val="0"/>
        <w:autoSpaceDN/>
        <w:bidi w:val="0"/>
        <w:adjustRightInd/>
        <w:snapToGrid/>
        <w:spacing w:line="560" w:lineRule="exact"/>
        <w:ind w:left="0" w:right="0" w:firstLine="43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除专用合同条款另有约定外，单价子目已完成工程量按月计量，总价子目的计量周期按批准的 支付分解报告确定。</w:t>
      </w:r>
    </w:p>
    <w:p w14:paraId="4E763A4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08" w:name="_Toc26027"/>
      <w:r>
        <w:rPr>
          <w:rFonts w:ascii="宋体" w:hAnsi="宋体" w:eastAsia="宋体" w:cs="宋体"/>
          <w:b/>
          <w:bCs/>
          <w:snapToGrid/>
          <w:spacing w:val="0"/>
          <w:w w:val="100"/>
          <w:kern w:val="21"/>
          <w:position w:val="0"/>
          <w:sz w:val="20"/>
          <w:szCs w:val="20"/>
        </w:rPr>
        <w:t>17.1.4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单价子目的计量</w:t>
      </w:r>
      <w:bookmarkEnd w:id="308"/>
    </w:p>
    <w:p w14:paraId="4B2B78C2">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已标价工程量清单中的单价子目工程量为估算工程量。结算工程量是承包人实际完成的， 并按合同约定的计量方法进行计量的工程量。</w:t>
      </w:r>
    </w:p>
    <w:p w14:paraId="47750317">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（2）承包人对已完成的工程进行计量，向监理人提交进度付款申请单、已完成工程量报表和有 关计量资料。</w:t>
      </w:r>
    </w:p>
    <w:p w14:paraId="0E21C89E">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（3）监理人对承包人提交的工程量报表进行复核，以确定实际完成的工程量。对数量有异议的， 可要求承包人按第 8.2 款约定进行共同复核和抽样复测。承包人应协助监理人进行复核并按监理人 要求提供补充计量资料。承包人未按监理人要求参加复核，监理人复核或修正的工程量视为承包人 实际完成的工程量。</w:t>
      </w:r>
    </w:p>
    <w:p w14:paraId="213249C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（4）监理人认为有必要时，可通知承包人共同进行联合测量、计量，承包人应遵照执行。</w:t>
      </w:r>
    </w:p>
    <w:p w14:paraId="4060B9C2">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（5）承包人完成工程量清单中每个子目的工程量后，监理人应要求承包人派员共同对每个子目 的历次计量报表进行汇总， 以核实最终结算工程量。监理人可要求承包人提供补充计量资料， 以确定最后一次进度付款的准确工程量。承包人未按监理人要求派员参加的，监理人最终核实的工程量 视为承包人完成该子目的准确工程量。</w:t>
      </w:r>
    </w:p>
    <w:p w14:paraId="138EF3D6">
      <w:pPr>
        <w:keepNext w:val="0"/>
        <w:keepLines w:val="0"/>
        <w:pageBreakBefore w:val="0"/>
        <w:widowControl w:val="0"/>
        <w:kinsoku/>
        <w:wordWrap w:val="0"/>
        <w:overflowPunct/>
        <w:topLinePunct/>
        <w:autoSpaceDE w:val="0"/>
        <w:autoSpaceDN/>
        <w:bidi w:val="0"/>
        <w:adjustRightInd/>
        <w:snapToGrid/>
        <w:spacing w:line="560" w:lineRule="exact"/>
        <w:ind w:left="0" w:right="0" w:firstLine="42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（6）监理人应在收到承包人提交的工程量报表后的 7 天内进行复核，监理人未在约定时间内复 核的，承包人提交的工程量报表中的工程量视为承包人实际完成的工程量，据此计算工程价款。</w:t>
      </w:r>
    </w:p>
    <w:p w14:paraId="0D285E0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09" w:name="_Toc16800"/>
      <w:r>
        <w:rPr>
          <w:rFonts w:ascii="宋体" w:hAnsi="宋体" w:eastAsia="宋体" w:cs="宋体"/>
          <w:b/>
          <w:bCs/>
          <w:snapToGrid/>
          <w:spacing w:val="0"/>
          <w:w w:val="100"/>
          <w:kern w:val="21"/>
          <w:position w:val="0"/>
          <w:sz w:val="20"/>
          <w:szCs w:val="20"/>
        </w:rPr>
        <w:t>17.1.5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总价子目的计量</w:t>
      </w:r>
      <w:bookmarkEnd w:id="309"/>
    </w:p>
    <w:p w14:paraId="3A6E024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除专用合同条款另有约定外，总价子目的分解和计量按照下述约定进行。</w:t>
      </w:r>
    </w:p>
    <w:p w14:paraId="6738D265">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（1）总价子目的计量和支付应以总价为基础，不因第 16.1 款中的因素而进行调整。承包人实 际完成的工程量，是进行工程目标管理和控制进度支付的依据。</w:t>
      </w:r>
    </w:p>
    <w:p w14:paraId="58C8E162">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（2）承包人在合同约定的每个计量周期内，对已完成的工程进行计量，并向监理人提交进度付 款申请单、专用合同条款约定的合同总价支付分解表所表示的阶段性或分项计量的支持性资料， 以 及所达到工程形象目标或分阶段需完成的工程量和有关计量资料。</w:t>
      </w:r>
    </w:p>
    <w:p w14:paraId="3DA7F9C6">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（3）监理人对承包人提交的上述资料进行复核，以确定分阶段实际完成的工程量和工程形象目 标。对其有异议的，可要求承包人按第 8.2 款约定进行共同复核和抽样复测。</w:t>
      </w:r>
    </w:p>
    <w:p w14:paraId="1E8DAD1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（4）除按照第 15 条约定的变更外，总价子目的工程量是承包人用于结算的最终工程量。</w:t>
      </w:r>
    </w:p>
    <w:p w14:paraId="6148C51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4C067F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10" w:name="_Toc6518"/>
      <w:r>
        <w:rPr>
          <w:rFonts w:ascii="宋体" w:hAnsi="宋体" w:eastAsia="宋体" w:cs="宋体"/>
          <w:b/>
          <w:bCs/>
          <w:snapToGrid/>
          <w:spacing w:val="0"/>
          <w:w w:val="100"/>
          <w:kern w:val="21"/>
          <w:position w:val="0"/>
          <w:sz w:val="28"/>
          <w:szCs w:val="28"/>
        </w:rPr>
        <w:t>17.2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预付款</w:t>
      </w:r>
      <w:bookmarkEnd w:id="310"/>
    </w:p>
    <w:p w14:paraId="3A838CC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1" w:name="_Toc7238"/>
      <w:r>
        <w:rPr>
          <w:rFonts w:ascii="宋体" w:hAnsi="宋体" w:eastAsia="宋体" w:cs="宋体"/>
          <w:b/>
          <w:bCs/>
          <w:snapToGrid/>
          <w:spacing w:val="0"/>
          <w:w w:val="100"/>
          <w:kern w:val="21"/>
          <w:position w:val="0"/>
          <w:sz w:val="20"/>
          <w:szCs w:val="20"/>
        </w:rPr>
        <w:t>17.2.1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w:t>
      </w:r>
      <w:bookmarkEnd w:id="311"/>
    </w:p>
    <w:p w14:paraId="699DCBFC">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预付款用于承包人为合同工程施工购置材料、工程设备、施工设备、修建临时设施以及组织施 工队伍进场等。预付款的额度和预付办法在专用合同条款中约定。预付款必须专用于合同工程。</w:t>
      </w:r>
    </w:p>
    <w:p w14:paraId="37E4778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2" w:name="_Toc19600"/>
      <w:r>
        <w:rPr>
          <w:rFonts w:ascii="宋体" w:hAnsi="宋体" w:eastAsia="宋体" w:cs="宋体"/>
          <w:b/>
          <w:bCs/>
          <w:snapToGrid/>
          <w:spacing w:val="0"/>
          <w:w w:val="100"/>
          <w:kern w:val="21"/>
          <w:position w:val="0"/>
          <w:sz w:val="20"/>
          <w:szCs w:val="20"/>
        </w:rPr>
        <w:t>17.2.2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预付款保函</w:t>
      </w:r>
      <w:bookmarkEnd w:id="312"/>
    </w:p>
    <w:p w14:paraId="662E5984">
      <w:pPr>
        <w:keepNext w:val="0"/>
        <w:keepLines w:val="0"/>
        <w:pageBreakBefore w:val="0"/>
        <w:widowControl w:val="0"/>
        <w:kinsoku/>
        <w:wordWrap w:val="0"/>
        <w:overflowPunct/>
        <w:topLinePunct/>
        <w:autoSpaceDE w:val="0"/>
        <w:autoSpaceDN/>
        <w:bidi w:val="0"/>
        <w:adjustRightInd/>
        <w:snapToGrid/>
        <w:spacing w:line="560" w:lineRule="exact"/>
        <w:ind w:left="0" w:right="0" w:firstLine="43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除专用合同条款另有约定外，承包人应在收到预付款的同时向发包人提交预付款保函，预付款 保函的担保金额应与预付款金额相同。保函的担保金额可根据预付款扣回的金额相应递减。</w:t>
      </w:r>
    </w:p>
    <w:p w14:paraId="5B86367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3" w:name="_Toc19059"/>
      <w:r>
        <w:rPr>
          <w:rFonts w:ascii="宋体" w:hAnsi="宋体" w:eastAsia="宋体" w:cs="宋体"/>
          <w:b/>
          <w:bCs/>
          <w:snapToGrid/>
          <w:spacing w:val="0"/>
          <w:w w:val="100"/>
          <w:kern w:val="21"/>
          <w:position w:val="0"/>
          <w:sz w:val="20"/>
          <w:szCs w:val="20"/>
        </w:rPr>
        <w:t>17.2.3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预付款的扣回与还清</w:t>
      </w:r>
      <w:bookmarkEnd w:id="313"/>
    </w:p>
    <w:p w14:paraId="0CBC81B1">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预付款在进度付款中扣回，扣回办法在专用合同条款中约定。在颁发工程接收证书前， 由于不 可抗力或其他原因解除合同时，预付款尚未扣清的， 尚未扣清的预付款余额应作为承包人的到期应 付款。</w:t>
      </w:r>
    </w:p>
    <w:p w14:paraId="39DC9D5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14" w:name="_Toc14768"/>
      <w:r>
        <w:rPr>
          <w:rFonts w:ascii="宋体" w:hAnsi="宋体" w:eastAsia="宋体" w:cs="宋体"/>
          <w:b/>
          <w:bCs/>
          <w:snapToGrid/>
          <w:spacing w:val="0"/>
          <w:w w:val="100"/>
          <w:kern w:val="21"/>
          <w:position w:val="0"/>
          <w:sz w:val="28"/>
          <w:szCs w:val="28"/>
        </w:rPr>
        <w:t>17.3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工程进度付款</w:t>
      </w:r>
      <w:bookmarkEnd w:id="314"/>
    </w:p>
    <w:p w14:paraId="0C4CFDA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5" w:name="_Toc14093"/>
      <w:r>
        <w:rPr>
          <w:rFonts w:ascii="宋体" w:hAnsi="宋体" w:eastAsia="宋体" w:cs="宋体"/>
          <w:b/>
          <w:bCs/>
          <w:snapToGrid/>
          <w:spacing w:val="0"/>
          <w:w w:val="100"/>
          <w:kern w:val="21"/>
          <w:position w:val="0"/>
          <w:sz w:val="20"/>
          <w:szCs w:val="20"/>
        </w:rPr>
        <w:t>17.3.1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付款周期</w:t>
      </w:r>
      <w:bookmarkEnd w:id="315"/>
    </w:p>
    <w:p w14:paraId="3641B7E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付款周期同计量周期。</w:t>
      </w:r>
    </w:p>
    <w:p w14:paraId="0B1C0CE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6" w:name="_Toc25267"/>
      <w:r>
        <w:rPr>
          <w:rFonts w:ascii="宋体" w:hAnsi="宋体" w:eastAsia="宋体" w:cs="宋体"/>
          <w:b/>
          <w:bCs/>
          <w:snapToGrid/>
          <w:spacing w:val="0"/>
          <w:w w:val="100"/>
          <w:kern w:val="21"/>
          <w:position w:val="0"/>
          <w:sz w:val="20"/>
          <w:szCs w:val="20"/>
        </w:rPr>
        <w:t>17.3.2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进度付款申请单</w:t>
      </w:r>
      <w:bookmarkEnd w:id="316"/>
    </w:p>
    <w:p w14:paraId="484B83D2">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承包人应在每个付款周期末，按监理人批准的格式和专用合同条款约定的份数， 向监理人提交 进度付款申请单，并附相应的支持性证明文件。除专用合同条款另有约定外，进度付款申请单应包 括下列内容：</w:t>
      </w:r>
    </w:p>
    <w:p w14:paraId="0519D79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（1）截至本次付款周期末已实施工程的价款；</w:t>
      </w:r>
    </w:p>
    <w:p w14:paraId="6DAF19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（2）根据第 15 条应增加和扣减的变更金额；</w:t>
      </w:r>
    </w:p>
    <w:p w14:paraId="4EBF55C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（3）根据第 23 条应增加和扣减的索赔金额；</w:t>
      </w:r>
    </w:p>
    <w:p w14:paraId="19DA90D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（4）根据第 17.2 款约定应支付的预付款和扣减的返还预付款；</w:t>
      </w:r>
    </w:p>
    <w:p w14:paraId="0FBACEB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（5）根据第 17.4.1 项约定应扣减的质量保证金；</w:t>
      </w:r>
    </w:p>
    <w:p w14:paraId="53A98F3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（6）根据合同应增加和扣减的其他金额。</w:t>
      </w:r>
    </w:p>
    <w:p w14:paraId="6580C36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7" w:name="_Toc24850"/>
      <w:r>
        <w:rPr>
          <w:rFonts w:ascii="宋体" w:hAnsi="宋体" w:eastAsia="宋体" w:cs="宋体"/>
          <w:b/>
          <w:bCs/>
          <w:snapToGrid/>
          <w:spacing w:val="0"/>
          <w:w w:val="100"/>
          <w:kern w:val="21"/>
          <w:position w:val="0"/>
          <w:sz w:val="20"/>
          <w:szCs w:val="20"/>
        </w:rPr>
        <w:t>17.3.3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进度付款证书和支付时间</w:t>
      </w:r>
      <w:bookmarkEnd w:id="317"/>
    </w:p>
    <w:p w14:paraId="42EB01E8">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（1）监理人在收到承包人进度付款申请单以及相应的支持性证明文件后的 14 天内完成核查， 提出发包人到期应支付给承包人的金额以及相应的支持性材料，经发包人审查同意后， 由监理人向 承包人出具经发包人签认的进度付款证书。监理人有权扣发承包人未能按照合同要求履行任何工作 或义务的相应金额。</w:t>
      </w:r>
    </w:p>
    <w:p w14:paraId="2D836AE3">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（2）发包人应在监理人收到进度付款申请单后的 28 天内，将进度应付款支付给承包人。发包 人不按期支付的，按专用合同条款的约定支付逾期付款违约金。</w:t>
      </w:r>
    </w:p>
    <w:p w14:paraId="29DC2682">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（3）监理人出具进度付款证书，不应视为监理人已同意、批准或接受了承包人完成的该部分工 作。</w:t>
      </w:r>
    </w:p>
    <w:p w14:paraId="26AE6157">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（4）进度付款涉及政府投资资金的，按照国库集中支付等国家相关规定和专用合同条款的约定 办理。</w:t>
      </w:r>
    </w:p>
    <w:p w14:paraId="1E2DA23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18" w:name="_Toc1392"/>
      <w:r>
        <w:rPr>
          <w:rFonts w:ascii="宋体" w:hAnsi="宋体" w:eastAsia="宋体" w:cs="宋体"/>
          <w:b/>
          <w:bCs/>
          <w:snapToGrid/>
          <w:spacing w:val="0"/>
          <w:w w:val="100"/>
          <w:kern w:val="21"/>
          <w:position w:val="0"/>
          <w:sz w:val="20"/>
          <w:szCs w:val="20"/>
        </w:rPr>
        <w:t>17.3.4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工程进度付款的修正</w:t>
      </w:r>
      <w:bookmarkEnd w:id="318"/>
    </w:p>
    <w:p w14:paraId="79FD999E">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在对以往历次已签发的进度付款证书进行汇总和复核中发现错、漏或重复的，监理人有权予以 修正，承包人也有权提出修正申请。经双方复核同意的修正，应在本次进度付款中支付或扣除。</w:t>
      </w:r>
    </w:p>
    <w:p w14:paraId="01E71A5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19" w:name="_Toc3991"/>
      <w:r>
        <w:rPr>
          <w:rFonts w:ascii="宋体" w:hAnsi="宋体" w:eastAsia="宋体" w:cs="宋体"/>
          <w:b/>
          <w:bCs/>
          <w:snapToGrid/>
          <w:spacing w:val="0"/>
          <w:w w:val="100"/>
          <w:kern w:val="21"/>
          <w:position w:val="0"/>
          <w:sz w:val="28"/>
          <w:szCs w:val="28"/>
        </w:rPr>
        <w:t>17.4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质量保证金</w:t>
      </w:r>
      <w:bookmarkEnd w:id="319"/>
    </w:p>
    <w:p w14:paraId="5CB2973C">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17.4.1 监理人应从第一个付款周期开始，在发包人的进度付款中，按专用合同条款的约定扣留 质量保证金，直至扣留的质量保证金总额达到专用合同条款约定的金额或比例为止。质量保证金的 计算额度不包括预付款的支付、扣回以及价格调整的金额。</w:t>
      </w:r>
    </w:p>
    <w:p w14:paraId="1C1808B9">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17.4.2 在第 </w:t>
      </w:r>
      <w:r>
        <w:rPr>
          <w:snapToGrid/>
          <w:spacing w:val="0"/>
          <w:w w:val="100"/>
          <w:kern w:val="21"/>
          <w:position w:val="0"/>
        </w:rPr>
        <w:fldChar w:fldCharType="begin"/>
      </w:r>
      <w:r>
        <w:rPr>
          <w:snapToGrid/>
          <w:spacing w:val="0"/>
          <w:w w:val="100"/>
          <w:kern w:val="21"/>
          <w:position w:val="0"/>
        </w:rPr>
        <w:instrText xml:space="preserve"> HYPERLINK "1.1.4.5"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1.1.4.5</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目约定的缺陷责任期满时，承包人向发包人申请到期应返还承包人剩余的 质量保证金金额，发包人应在 14 天内会同承包人按照合同约定的内容核实承包人是否完成缺陷责 任。如无异议，发包人应当在核实后将剩余保证金返还承包人。</w:t>
      </w:r>
    </w:p>
    <w:p w14:paraId="6FDFF5BA">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17.4.3 在第 </w:t>
      </w:r>
      <w:r>
        <w:rPr>
          <w:snapToGrid/>
          <w:spacing w:val="0"/>
          <w:w w:val="100"/>
          <w:kern w:val="21"/>
          <w:position w:val="0"/>
        </w:rPr>
        <w:fldChar w:fldCharType="begin"/>
      </w:r>
      <w:r>
        <w:rPr>
          <w:snapToGrid/>
          <w:spacing w:val="0"/>
          <w:w w:val="100"/>
          <w:kern w:val="21"/>
          <w:position w:val="0"/>
        </w:rPr>
        <w:instrText xml:space="preserve"> HYPERLINK "1.1.4.5"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1.1.4.5</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目约定的缺陷责任期满时，承包人没有完成缺陷责任的，发包人有权扣留 与未履行责任剩余工作所需金额相应的质量保证金余额，并有权根据第 19.3 款约定要求延长缺陷责 任期，直至完成剩余工作为止。</w:t>
      </w:r>
    </w:p>
    <w:p w14:paraId="038AA6F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20" w:name="_Toc19017"/>
      <w:r>
        <w:rPr>
          <w:rFonts w:ascii="宋体" w:hAnsi="宋体" w:eastAsia="宋体" w:cs="宋体"/>
          <w:b/>
          <w:bCs/>
          <w:snapToGrid/>
          <w:spacing w:val="0"/>
          <w:w w:val="100"/>
          <w:kern w:val="21"/>
          <w:position w:val="0"/>
          <w:sz w:val="28"/>
          <w:szCs w:val="28"/>
        </w:rPr>
        <w:t>17.5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竣工结算</w:t>
      </w:r>
      <w:bookmarkEnd w:id="320"/>
    </w:p>
    <w:p w14:paraId="1F88A86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21" w:name="_Toc4591"/>
      <w:r>
        <w:rPr>
          <w:rFonts w:ascii="宋体" w:hAnsi="宋体" w:eastAsia="宋体" w:cs="宋体"/>
          <w:b/>
          <w:bCs/>
          <w:snapToGrid/>
          <w:spacing w:val="0"/>
          <w:w w:val="100"/>
          <w:kern w:val="21"/>
          <w:position w:val="0"/>
          <w:sz w:val="20"/>
          <w:szCs w:val="20"/>
        </w:rPr>
        <w:t>17.5.1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竣工付款申请单</w:t>
      </w:r>
      <w:bookmarkEnd w:id="321"/>
    </w:p>
    <w:p w14:paraId="75D034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6" w:type="default"/>
          <w:pgSz w:w="11906" w:h="16838"/>
          <w:pgMar w:top="1440" w:right="1080" w:bottom="1440" w:left="1080" w:header="0" w:footer="1185" w:gutter="0"/>
          <w:pgNumType w:fmt="decimal"/>
          <w:cols w:space="720" w:num="1"/>
        </w:sectPr>
      </w:pPr>
    </w:p>
    <w:p w14:paraId="75D9E76A">
      <w:pPr>
        <w:keepNext w:val="0"/>
        <w:keepLines w:val="0"/>
        <w:pageBreakBefore w:val="0"/>
        <w:widowControl w:val="0"/>
        <w:kinsoku/>
        <w:wordWrap w:val="0"/>
        <w:overflowPunct/>
        <w:topLinePunct/>
        <w:autoSpaceDE w:val="0"/>
        <w:autoSpaceDN/>
        <w:bidi w:val="0"/>
        <w:adjustRightInd/>
        <w:snapToGrid/>
        <w:spacing w:line="560" w:lineRule="exact"/>
        <w:ind w:left="0" w:right="0" w:firstLine="42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（1）工程接收证书颁发后，承包人应按专用合同条款约定的份数和期限向监理人提交竣工付款 申请单，并提供相关证明材料。除专用合同条款另有约定外，竣工付款申请单应包括下列内容：竣 工结算合同总价、发包人已支付承包人的工程价款、应扣留的质量保证金、应支付的竣工付款金额。</w:t>
      </w:r>
    </w:p>
    <w:p w14:paraId="25EDBBA4">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（2）监理人对竣工付款申请单有异议的，有权要求承包人进行修正和提供补充资料。经监理人 和承包人协商后， 由承包人向监理人提交修正后的竣工付款申请单。</w:t>
      </w:r>
    </w:p>
    <w:p w14:paraId="4ECC64D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22" w:name="_Toc2620"/>
      <w:r>
        <w:rPr>
          <w:rFonts w:ascii="宋体" w:hAnsi="宋体" w:eastAsia="宋体" w:cs="宋体"/>
          <w:b/>
          <w:bCs/>
          <w:snapToGrid/>
          <w:spacing w:val="0"/>
          <w:w w:val="100"/>
          <w:kern w:val="21"/>
          <w:position w:val="0"/>
          <w:sz w:val="20"/>
          <w:szCs w:val="20"/>
        </w:rPr>
        <w:t>17.5.2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竣工付款证书及支付时间</w:t>
      </w:r>
      <w:bookmarkEnd w:id="322"/>
    </w:p>
    <w:p w14:paraId="6EB8F82E">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（1）监理人在收到承包人提交的竣工付款申请单后的 14 天内完成核查，提出发包人到期应支 付给承包人的价款送发包人审核并抄送承包人。发包人应在收到后 14 天内审核完毕，由监理人向承 包人出具经发包人签认的竣工付款证书。监理人未在约定时间内核查，又未提出具体意见的，视为 承包人提交的竣工付款申请单已经监理人核查同意；发包人未在约定时间内审核又未提出具体意见 的，监理人提出发包人到期应支付给承包人的价款视为已经发包人同意。</w:t>
      </w:r>
    </w:p>
    <w:p w14:paraId="5FEB57DF">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（2）发包人应在监理人出具竣工付款证书后的 14 天内，将应支付款支付给承包人。发包人不 按期支付的，按第 17.3.3（ 2） 目的约定，将逾期付款违约金支付给承包人。</w:t>
      </w:r>
    </w:p>
    <w:p w14:paraId="783D6A03">
      <w:pPr>
        <w:keepNext w:val="0"/>
        <w:keepLines w:val="0"/>
        <w:pageBreakBefore w:val="0"/>
        <w:widowControl w:val="0"/>
        <w:kinsoku/>
        <w:wordWrap w:val="0"/>
        <w:overflowPunct/>
        <w:topLinePunct/>
        <w:autoSpaceDE w:val="0"/>
        <w:autoSpaceDN/>
        <w:bidi w:val="0"/>
        <w:adjustRightInd/>
        <w:snapToGrid/>
        <w:spacing w:line="560" w:lineRule="exact"/>
        <w:ind w:left="0" w:right="0" w:firstLine="40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（3）承包人对发包人签认的竣工付款证书有异议的，发包人可出具竣工付款申请单中承包人已 同意部分的临时付款证书。存在争议的部分，按第 24 条的约定办理。</w:t>
      </w:r>
    </w:p>
    <w:p w14:paraId="3AEC4A8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（4）竣工付款涉及政府投资资金的，按第 17.3.3（4） 目的约定办理。</w:t>
      </w:r>
    </w:p>
    <w:p w14:paraId="613D59E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23" w:name="_Toc20550"/>
      <w:r>
        <w:rPr>
          <w:rFonts w:ascii="宋体" w:hAnsi="宋体" w:eastAsia="宋体" w:cs="宋体"/>
          <w:b/>
          <w:bCs/>
          <w:snapToGrid/>
          <w:spacing w:val="0"/>
          <w:w w:val="100"/>
          <w:kern w:val="21"/>
          <w:position w:val="0"/>
          <w:sz w:val="28"/>
          <w:szCs w:val="28"/>
        </w:rPr>
        <w:t>17.6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最终结清</w:t>
      </w:r>
      <w:bookmarkEnd w:id="323"/>
    </w:p>
    <w:p w14:paraId="20B251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24" w:name="_Toc23363"/>
      <w:r>
        <w:rPr>
          <w:rFonts w:ascii="宋体" w:hAnsi="宋体" w:eastAsia="宋体" w:cs="宋体"/>
          <w:b/>
          <w:bCs/>
          <w:snapToGrid/>
          <w:spacing w:val="0"/>
          <w:w w:val="100"/>
          <w:kern w:val="21"/>
          <w:position w:val="0"/>
          <w:sz w:val="20"/>
          <w:szCs w:val="20"/>
        </w:rPr>
        <w:t>17.6.1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最终结清申请单</w:t>
      </w:r>
      <w:bookmarkEnd w:id="324"/>
    </w:p>
    <w:p w14:paraId="3D7EDC7D">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（1）缺陷责任期终止证书签发后，承包人可按专用合同条款约定的份数和期限向监理人提交最 终结清申请单，并提供相关证明材料。</w:t>
      </w:r>
    </w:p>
    <w:p w14:paraId="7104B191">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（2）发包人对最终结清申请单内容有异议的，有权要求承包人进行修正和提供补充资料，由承 包人向监理人提交修正后的最终结清申请单。</w:t>
      </w:r>
    </w:p>
    <w:p w14:paraId="29D04BD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25" w:name="_Toc9517"/>
      <w:r>
        <w:rPr>
          <w:rFonts w:ascii="宋体" w:hAnsi="宋体" w:eastAsia="宋体" w:cs="宋体"/>
          <w:b/>
          <w:bCs/>
          <w:snapToGrid/>
          <w:spacing w:val="0"/>
          <w:w w:val="100"/>
          <w:kern w:val="21"/>
          <w:position w:val="0"/>
          <w:sz w:val="20"/>
          <w:szCs w:val="20"/>
        </w:rPr>
        <w:t>17.6.2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最终结清证书和支付时间</w:t>
      </w:r>
      <w:bookmarkEnd w:id="325"/>
    </w:p>
    <w:p w14:paraId="623C7928">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（1）监理人收到承包人提交的最终结清申请单后的 14 天内，提出发包人应支付给承包人的价 款送发包人审核并抄送承包人。发包人应在收到后 14 天内审核完毕，由监理人向承包人出具经发包 人签认的最终结清证书。监理人未在约定时间内核查，又未提出具体意见的，视为承包人提交的最 终结清申请已经监理人核查同意；发包人未在约定时间内审核又未提出具体意见的，监理人提出应 支付给承包人的价款视为已经发包人同意。</w:t>
      </w:r>
    </w:p>
    <w:p w14:paraId="0DEA7F40">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（2）发包人应在监理人出具最终结清证书后的 14 天内，将应支付款支付给承包人。发包人不 按期支付的，按第 17.3.3（ 2） 目的约定，将逾期付款违约金支付给承包人。</w:t>
      </w:r>
    </w:p>
    <w:p w14:paraId="1D639A6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（3）承包人对发包人签认的最终结清证书有异议的，按第 24 条的约定办理。</w:t>
      </w:r>
    </w:p>
    <w:p w14:paraId="2AAF0D1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（4）最终结清付款涉及政府投资资金的，按第 17.3.3 (4) 目的约定办理。</w:t>
      </w:r>
    </w:p>
    <w:p w14:paraId="2729735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26" w:name="bookmark151"/>
      <w:bookmarkEnd w:id="326"/>
      <w:bookmarkStart w:id="327" w:name="_Toc16222"/>
      <w:bookmarkStart w:id="328" w:name="_Toc4556"/>
      <w:bookmarkStart w:id="329" w:name="_Toc16449"/>
      <w:r>
        <w:rPr>
          <w:rFonts w:ascii="宋体" w:hAnsi="宋体" w:eastAsia="宋体" w:cs="宋体"/>
          <w:b/>
          <w:bCs/>
          <w:snapToGrid/>
          <w:spacing w:val="0"/>
          <w:w w:val="100"/>
          <w:kern w:val="21"/>
          <w:position w:val="0"/>
          <w:sz w:val="31"/>
          <w:szCs w:val="31"/>
        </w:rPr>
        <w:t>18.</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竣工验收</w:t>
      </w:r>
      <w:bookmarkEnd w:id="327"/>
      <w:bookmarkEnd w:id="328"/>
      <w:bookmarkEnd w:id="329"/>
    </w:p>
    <w:p w14:paraId="776A4D7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0" w:name="_Toc6210"/>
      <w:r>
        <w:rPr>
          <w:rFonts w:ascii="宋体" w:hAnsi="宋体" w:eastAsia="宋体" w:cs="宋体"/>
          <w:b/>
          <w:bCs/>
          <w:snapToGrid/>
          <w:spacing w:val="0"/>
          <w:w w:val="100"/>
          <w:kern w:val="21"/>
          <w:position w:val="0"/>
          <w:sz w:val="28"/>
          <w:szCs w:val="28"/>
        </w:rPr>
        <w:t>18.1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竣工验收的含义</w:t>
      </w:r>
      <w:bookmarkEnd w:id="330"/>
    </w:p>
    <w:p w14:paraId="5FB13E2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18.1.1 竣工验收指承包人完成了全部合同工作后，发包人按合同要求进行的验收。</w:t>
      </w:r>
    </w:p>
    <w:p w14:paraId="2F5B63D8">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18.1.2 国家验收是政府有关部门根据法律、规范、规程和政策要求，针对发包人全面组织实施 的整个工程正式交付投运前的验收。</w:t>
      </w:r>
    </w:p>
    <w:p w14:paraId="229A4A48">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18.1.3 需要进行国家验收的，竣工验收是国家验收的一部分。竣工验收所采用的各项验收和评 定标准应符合国家验收标准。发包人和承包人为竣工验收提供的各项竣工验收资料应符合国家验收 的要求。</w:t>
      </w:r>
    </w:p>
    <w:p w14:paraId="78D4FF8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1" w:name="_Toc6521"/>
      <w:r>
        <w:rPr>
          <w:rFonts w:ascii="宋体" w:hAnsi="宋体" w:eastAsia="宋体" w:cs="宋体"/>
          <w:b/>
          <w:bCs/>
          <w:snapToGrid/>
          <w:spacing w:val="0"/>
          <w:w w:val="100"/>
          <w:kern w:val="21"/>
          <w:position w:val="0"/>
          <w:sz w:val="28"/>
          <w:szCs w:val="28"/>
        </w:rPr>
        <w:t>18.2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竣工验收申请报告</w:t>
      </w:r>
      <w:bookmarkEnd w:id="331"/>
    </w:p>
    <w:p w14:paraId="7A6CFF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当工程具备以下条件时，承包人即可向监理人报送竣工验收申请报告：</w:t>
      </w:r>
    </w:p>
    <w:p w14:paraId="046CAE59">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（1）除监理人同意列入缺陷责任期内完成的尾工（甩项）工程和缺陷修补工作外，合同范围内 的全部单位工程以及有关工作，包括合同要求的试验、试运行以及检验和验收均已完成，并符合合 同要求；</w:t>
      </w:r>
    </w:p>
    <w:p w14:paraId="3435C3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已按合同约定的内容和份数备齐了符合要求的竣工资料；</w:t>
      </w:r>
    </w:p>
    <w:p w14:paraId="262D173E">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（3）已按监理人的要求编制了在缺陷责任期内完成的尾工（甩项）工程和缺陷修补工作清单以 及相应施工计划；</w:t>
      </w:r>
    </w:p>
    <w:p w14:paraId="1806FA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（4）监理人要求在竣工验收前应完成的其他工作；</w:t>
      </w:r>
    </w:p>
    <w:p w14:paraId="786BB56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（5）监理人要求提交的竣工验收资料清单。</w:t>
      </w:r>
    </w:p>
    <w:p w14:paraId="0BFBA1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2" w:name="_Toc11091"/>
      <w:r>
        <w:rPr>
          <w:rFonts w:ascii="宋体" w:hAnsi="宋体" w:eastAsia="宋体" w:cs="宋体"/>
          <w:b/>
          <w:bCs/>
          <w:snapToGrid/>
          <w:spacing w:val="0"/>
          <w:w w:val="100"/>
          <w:kern w:val="21"/>
          <w:position w:val="0"/>
          <w:sz w:val="28"/>
          <w:szCs w:val="28"/>
        </w:rPr>
        <w:t>18.3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验收</w:t>
      </w:r>
      <w:bookmarkEnd w:id="332"/>
    </w:p>
    <w:p w14:paraId="103E6998">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监理人收到承包人按第 18.2 款约定提交的竣工验收申请报告后，应审查申请报告的各项内容， 并按以下不同情况进行处理。</w:t>
      </w:r>
    </w:p>
    <w:p w14:paraId="3A191593">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18.3.1 监理人审查后认为尚不具备竣工验收条件的，应在收到竣工验收申请报告后的 28 天内 通知承包人，指出在颁发接收证书前承包人还需进行的工作内容。承包人完成监理人通知的全部工 作内容后，应再次提交竣工验收申请报告，直至监理人同意为止。</w:t>
      </w:r>
    </w:p>
    <w:p w14:paraId="11344A96">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18.3.2 监理人审查后认为已具备竣工验收条件的，应在收到竣工验收申请报告后的 28 天内提 请发包人进行工程验收。</w:t>
      </w:r>
    </w:p>
    <w:p w14:paraId="796AB6F4">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18.3.3 发包人经过验收后同意接受工程的，应在监理人收到竣工验收申请报告后的 56 天内， 由监理人向承包人出具经发包人签认的工程接收证书。发包人验收后同意接收工程但提出整修和完 善要求的，限期修好，并缓发工程接收证书。整修和完善工作完成后，监理人复查达到要求的，经 发包人同意后，再向承包人出具工程接收证书。</w:t>
      </w:r>
    </w:p>
    <w:p w14:paraId="7E330DF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18.3.4 发包人验收后不同意接收工程的，监理人应按照发包人的验收意见发出指示，要求承包人对不合格工程认真返工重作或进行补救处理，并承担由此产生的费用。承包人在完成不合格工程 的返工重作或补救工作后，应重新提交竣工验收申请报告，按第 18.3.1 项、第 18.3.2 项和第 18.3.3 项的约定进行。</w:t>
      </w:r>
    </w:p>
    <w:p w14:paraId="5B5AAF29">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18.3.5 除专用合同条款另有约定外，经验收合格工程的实际竣工日期，以提交竣工验收申请报 告的日期为准，并在工程接收证书中写明。</w:t>
      </w:r>
    </w:p>
    <w:p w14:paraId="0D033207">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18.3.6 发包人在收到承包人竣工验收申请报告 56 天后未进行验收的，视为验收合格，实际竣 工日期以提交竣工验收申请报告的日期为准，但发包人由于不可抗力不能进行验收的除外。</w:t>
      </w:r>
    </w:p>
    <w:p w14:paraId="368AAC1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3" w:name="_Toc25011"/>
      <w:r>
        <w:rPr>
          <w:rFonts w:ascii="宋体" w:hAnsi="宋体" w:eastAsia="宋体" w:cs="宋体"/>
          <w:b/>
          <w:bCs/>
          <w:snapToGrid/>
          <w:spacing w:val="0"/>
          <w:w w:val="100"/>
          <w:kern w:val="21"/>
          <w:position w:val="0"/>
          <w:sz w:val="28"/>
          <w:szCs w:val="28"/>
        </w:rPr>
        <w:t>18.4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单位工程验收</w:t>
      </w:r>
      <w:bookmarkEnd w:id="333"/>
    </w:p>
    <w:p w14:paraId="7F3024EE">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18.4.1 发包人根据合同进度计划安排，在全部工程竣工前需要使用已经竣工的单位工程时，或 承包人提出经发包人同意时，可进行单位工程验收。验收的程序可参照第 18.2 款与第 18.3 款的约 定进行。验收合格后， 由监理人向承包人出具经发包人签认的单位工程验收证书。已签发单位工程 接收证书的单位工程由发包人负责照管。单位工程的验收成果和结论作为全部工程竣工验收申请报 告的附件。</w:t>
      </w:r>
    </w:p>
    <w:p w14:paraId="0FCC8FF8">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18.4.2 发包人在全部工程竣工前，使用已接收的单位工程导致承包人费用增加的，发包人应承 担由此增加的费用和（或） 工期延误，并支付承包人合理利润。</w:t>
      </w:r>
    </w:p>
    <w:p w14:paraId="50E661E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4" w:name="_Toc13688"/>
      <w:r>
        <w:rPr>
          <w:rFonts w:ascii="宋体" w:hAnsi="宋体" w:eastAsia="宋体" w:cs="宋体"/>
          <w:b/>
          <w:bCs/>
          <w:snapToGrid/>
          <w:spacing w:val="0"/>
          <w:w w:val="100"/>
          <w:kern w:val="21"/>
          <w:position w:val="0"/>
          <w:sz w:val="28"/>
          <w:szCs w:val="28"/>
        </w:rPr>
        <w:t>18.5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施工期运行</w:t>
      </w:r>
      <w:bookmarkEnd w:id="334"/>
    </w:p>
    <w:p w14:paraId="795ACE49">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18.5.1 施工期运行是指合同工程尚未全部竣工，其中某项或某几项单位工程或工程设备安装已 竣工，根据专用合同条款约定，需要投入施工期运行的，经发包人按第 18.4 款的约定验收合格，证 明能确保安全后，才能在施工期投入运行。</w:t>
      </w:r>
    </w:p>
    <w:p w14:paraId="5632FF0B">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18.5.2 在施工期运行中发现工程或工程设备损坏或存在缺陷的， 由承包人按第 19.2 款约定进 行修复。</w:t>
      </w:r>
    </w:p>
    <w:p w14:paraId="1D41755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5" w:name="_Toc25968"/>
      <w:r>
        <w:rPr>
          <w:rFonts w:ascii="宋体" w:hAnsi="宋体" w:eastAsia="宋体" w:cs="宋体"/>
          <w:b/>
          <w:bCs/>
          <w:snapToGrid/>
          <w:spacing w:val="0"/>
          <w:w w:val="100"/>
          <w:kern w:val="21"/>
          <w:position w:val="0"/>
          <w:sz w:val="28"/>
          <w:szCs w:val="28"/>
        </w:rPr>
        <w:t>18.6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试运行</w:t>
      </w:r>
      <w:bookmarkEnd w:id="335"/>
    </w:p>
    <w:p w14:paraId="739C1124">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18.6.1 除专用合同条款另有约定外，承包人应按专用合同条款约定进行工程及工程设备试运 行，负责提供试运行所需的人员、器材和必要的条件，并承担全部试运行费用。</w:t>
      </w:r>
    </w:p>
    <w:p w14:paraId="3DC55473">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18.6.2 由于承包人的原因导致试运行失败的，承包人应采取措施保证试运行合格，并承担相应 费用。由于发包人的原因导致试运行失败的，承包人应当采取措施保证试运行合格，发包人应承担 由此产生的费用，并支付承包人合理利润。</w:t>
      </w:r>
    </w:p>
    <w:p w14:paraId="479F027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6" w:name="_Toc25572"/>
      <w:r>
        <w:rPr>
          <w:rFonts w:ascii="宋体" w:hAnsi="宋体" w:eastAsia="宋体" w:cs="宋体"/>
          <w:b/>
          <w:bCs/>
          <w:snapToGrid/>
          <w:spacing w:val="0"/>
          <w:w w:val="100"/>
          <w:kern w:val="21"/>
          <w:position w:val="0"/>
          <w:sz w:val="28"/>
          <w:szCs w:val="28"/>
        </w:rPr>
        <w:t>18.7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竣工清场</w:t>
      </w:r>
      <w:bookmarkEnd w:id="336"/>
    </w:p>
    <w:p w14:paraId="7A380EE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18.7.1 除合同另有约定外，工程接收证书颁发后，承包人应按以下要求对施工场地进行清理，</w:t>
      </w:r>
    </w:p>
    <w:p w14:paraId="0B41CAA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直至监理人检验合格为止。竣工清场费用由承包人承担。</w:t>
      </w:r>
    </w:p>
    <w:p w14:paraId="747FEE9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（1）施工场地内残留的垃圾已全部清除出场；</w:t>
      </w:r>
    </w:p>
    <w:p w14:paraId="755C9D2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（2）临时工程已拆除，场地已按合同要求进行清理、平整或复原；</w:t>
      </w:r>
    </w:p>
    <w:p w14:paraId="1F975BD2">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（3）按合同约定应撤离的承包人设备和剩余的材料，包括废弃的施工设备和材料，已按计划撤 离施工场地；</w:t>
      </w:r>
    </w:p>
    <w:p w14:paraId="1B26F68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（4）工程建筑物周边及其附近道路、河道的施工堆积物， 已按监理人指示全部清理；</w:t>
      </w:r>
    </w:p>
    <w:p w14:paraId="273B71A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（5）监理人指示的其他场地清理工作已全部完成。</w:t>
      </w:r>
    </w:p>
    <w:p w14:paraId="6D23F1C1">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18.7.2 承包人未按监理人的要求恢复临时占地，或者场地清理未达到合同约定的，发包人有权 委托其他人恢复或清理，所发生的金额从拟支付给承包人的款项中扣除。</w:t>
      </w:r>
    </w:p>
    <w:p w14:paraId="7C6A854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37" w:name="_Toc19681"/>
      <w:r>
        <w:rPr>
          <w:rFonts w:ascii="宋体" w:hAnsi="宋体" w:eastAsia="宋体" w:cs="宋体"/>
          <w:b/>
          <w:bCs/>
          <w:snapToGrid/>
          <w:spacing w:val="0"/>
          <w:w w:val="100"/>
          <w:kern w:val="21"/>
          <w:position w:val="0"/>
          <w:sz w:val="28"/>
          <w:szCs w:val="28"/>
        </w:rPr>
        <w:t>18.8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施工队伍的撤离</w:t>
      </w:r>
      <w:bookmarkEnd w:id="337"/>
    </w:p>
    <w:p w14:paraId="79A1E980">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工程接收证书颁发后的 56 天内， 除了经监理人同意需在缺陷责任期内继续工作和使用的人员、 施工设备和临时工程外，其余的人员、施工设备和临时工程均应撤离施工场地或拆除。除合同另有 约定外，缺陷责任期满时，承包人的人员和施工设备应全部撤离施工场地。</w:t>
      </w:r>
    </w:p>
    <w:p w14:paraId="32E9F3A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38" w:name="bookmark152"/>
      <w:bookmarkEnd w:id="338"/>
      <w:bookmarkStart w:id="339" w:name="_Toc30353"/>
      <w:bookmarkStart w:id="340" w:name="_Toc29432"/>
      <w:bookmarkStart w:id="341" w:name="_Toc1830"/>
      <w:r>
        <w:rPr>
          <w:rFonts w:ascii="宋体" w:hAnsi="宋体" w:eastAsia="宋体" w:cs="宋体"/>
          <w:b/>
          <w:bCs/>
          <w:snapToGrid/>
          <w:spacing w:val="0"/>
          <w:w w:val="100"/>
          <w:kern w:val="21"/>
          <w:position w:val="0"/>
          <w:sz w:val="31"/>
          <w:szCs w:val="31"/>
        </w:rPr>
        <w:t>19.</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缺陷责任与保修责任</w:t>
      </w:r>
      <w:bookmarkEnd w:id="339"/>
      <w:bookmarkEnd w:id="340"/>
      <w:bookmarkEnd w:id="341"/>
    </w:p>
    <w:p w14:paraId="055B8E2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2" w:name="_Toc22142"/>
      <w:r>
        <w:rPr>
          <w:rFonts w:ascii="宋体" w:hAnsi="宋体" w:eastAsia="宋体" w:cs="宋体"/>
          <w:b/>
          <w:bCs/>
          <w:snapToGrid/>
          <w:spacing w:val="0"/>
          <w:w w:val="100"/>
          <w:kern w:val="21"/>
          <w:position w:val="0"/>
          <w:sz w:val="28"/>
          <w:szCs w:val="28"/>
        </w:rPr>
        <w:t>19.1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缺陷责任期的起算时间</w:t>
      </w:r>
      <w:bookmarkEnd w:id="342"/>
    </w:p>
    <w:p w14:paraId="4CD32D1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缺陷责任期自实际竣工日期起计算。在全部工程竣工验收前，已经发包人提前验收的单位工程， 其缺陷责任期的起算日期相应提前。</w:t>
      </w:r>
    </w:p>
    <w:p w14:paraId="00D465D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3" w:name="_Toc16108"/>
      <w:r>
        <w:rPr>
          <w:rFonts w:ascii="宋体" w:hAnsi="宋体" w:eastAsia="宋体" w:cs="宋体"/>
          <w:b/>
          <w:bCs/>
          <w:snapToGrid/>
          <w:spacing w:val="0"/>
          <w:w w:val="100"/>
          <w:kern w:val="21"/>
          <w:position w:val="0"/>
          <w:sz w:val="28"/>
          <w:szCs w:val="28"/>
        </w:rPr>
        <w:t>19.2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缺陷责任</w:t>
      </w:r>
      <w:bookmarkEnd w:id="343"/>
    </w:p>
    <w:p w14:paraId="1564B2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19.2.1 承包人应在缺陷责任期内对已交付使用的工程承担缺陷责任。</w:t>
      </w:r>
    </w:p>
    <w:p w14:paraId="6D0BEB29">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19.2.2 缺陷责任期内，发包人对已接收使用的工程负责日常维护工作。发包人在使用过程中， 发现已接收的工程存在新的缺陷或已修复的缺陷部位或部件又遭损坏的，承包人应负责修复，直至 检验合格为止。</w:t>
      </w:r>
    </w:p>
    <w:p w14:paraId="5B63206F">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19.2.3 监理人和承包人应共同查清缺陷和（或）损坏的原因。经查明属承包人原因造成的，应 由承包人承担修复和查验的费用。经查验属发包人原因造成的，发包人应承担修复和查验的费用， 并支付承包人合理利润。</w:t>
      </w:r>
    </w:p>
    <w:p w14:paraId="70F3BF87">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19.2.4 承包人不能在合理时间内修复缺陷的，发包人可自行修复或委托其他人修复，所需费用 和利润的承担，按第 19.2.3 项约定办理。</w:t>
      </w:r>
    </w:p>
    <w:p w14:paraId="5B8AFB2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4" w:name="_Toc20338"/>
      <w:r>
        <w:rPr>
          <w:rFonts w:ascii="宋体" w:hAnsi="宋体" w:eastAsia="宋体" w:cs="宋体"/>
          <w:b/>
          <w:bCs/>
          <w:snapToGrid/>
          <w:spacing w:val="0"/>
          <w:w w:val="100"/>
          <w:kern w:val="21"/>
          <w:position w:val="0"/>
          <w:sz w:val="28"/>
          <w:szCs w:val="28"/>
        </w:rPr>
        <w:t>19.3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缺陷责任期的延长</w:t>
      </w:r>
      <w:bookmarkEnd w:id="344"/>
    </w:p>
    <w:p w14:paraId="28F3107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由于承包人原因造成某项缺陷或损坏使某项工程或工程设备不能按原定目标使用而需要再次检查、检验和修复的，发包人有权要求承包人相应延长缺陷责任期，但缺陷责任期最长不超过 2 年。</w:t>
      </w:r>
    </w:p>
    <w:p w14:paraId="50CE054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5" w:name="_Toc22820"/>
      <w:r>
        <w:rPr>
          <w:rFonts w:ascii="宋体" w:hAnsi="宋体" w:eastAsia="宋体" w:cs="宋体"/>
          <w:b/>
          <w:bCs/>
          <w:snapToGrid/>
          <w:spacing w:val="0"/>
          <w:w w:val="100"/>
          <w:kern w:val="21"/>
          <w:position w:val="0"/>
          <w:sz w:val="28"/>
          <w:szCs w:val="28"/>
        </w:rPr>
        <w:t>19.4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进一步试验和试运行</w:t>
      </w:r>
      <w:bookmarkEnd w:id="345"/>
    </w:p>
    <w:p w14:paraId="4F76CA0F">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任何一项缺陷或损坏修复后，经检查证明其影响了工程或工程设备的使用性能，承包人应重新 进行合同约定的试验和试运行，试验和试运行的全部费用应由责任方承担。</w:t>
      </w:r>
    </w:p>
    <w:p w14:paraId="770F00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6" w:name="_Toc47"/>
      <w:r>
        <w:rPr>
          <w:rFonts w:ascii="宋体" w:hAnsi="宋体" w:eastAsia="宋体" w:cs="宋体"/>
          <w:b/>
          <w:bCs/>
          <w:snapToGrid/>
          <w:spacing w:val="0"/>
          <w:w w:val="100"/>
          <w:kern w:val="21"/>
          <w:position w:val="0"/>
          <w:sz w:val="28"/>
          <w:szCs w:val="28"/>
        </w:rPr>
        <w:t>19.5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承包人的进入权</w:t>
      </w:r>
      <w:bookmarkEnd w:id="346"/>
    </w:p>
    <w:p w14:paraId="51B4E41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缺陷责任期内承包人为缺陷修复工作需要，有权进入工程现场，但应遵守发包人的保安和保密 规定。</w:t>
      </w:r>
    </w:p>
    <w:p w14:paraId="056650E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7" w:name="_Toc7384"/>
      <w:r>
        <w:rPr>
          <w:rFonts w:ascii="宋体" w:hAnsi="宋体" w:eastAsia="宋体" w:cs="宋体"/>
          <w:b/>
          <w:bCs/>
          <w:snapToGrid/>
          <w:spacing w:val="0"/>
          <w:w w:val="100"/>
          <w:kern w:val="21"/>
          <w:position w:val="0"/>
          <w:sz w:val="28"/>
          <w:szCs w:val="28"/>
        </w:rPr>
        <w:t>19.6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缺陷责任期终止证书</w:t>
      </w:r>
      <w:bookmarkEnd w:id="347"/>
    </w:p>
    <w:p w14:paraId="70C0345A">
      <w:pPr>
        <w:keepNext w:val="0"/>
        <w:keepLines w:val="0"/>
        <w:pageBreakBefore w:val="0"/>
        <w:widowControl w:val="0"/>
        <w:kinsoku/>
        <w:wordWrap w:val="0"/>
        <w:overflowPunct/>
        <w:topLinePunct/>
        <w:autoSpaceDE w:val="0"/>
        <w:autoSpaceDN/>
        <w:bidi w:val="0"/>
        <w:adjustRightInd/>
        <w:snapToGrid/>
        <w:spacing w:line="560" w:lineRule="exact"/>
        <w:ind w:left="0" w:right="0" w:firstLine="39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在第 </w:t>
      </w:r>
      <w:r>
        <w:rPr>
          <w:snapToGrid/>
          <w:spacing w:val="0"/>
          <w:w w:val="100"/>
          <w:kern w:val="21"/>
          <w:position w:val="0"/>
        </w:rPr>
        <w:fldChar w:fldCharType="begin"/>
      </w:r>
      <w:r>
        <w:rPr>
          <w:snapToGrid/>
          <w:spacing w:val="0"/>
          <w:w w:val="100"/>
          <w:kern w:val="21"/>
          <w:position w:val="0"/>
        </w:rPr>
        <w:instrText xml:space="preserve"> HYPERLINK "1.1.4.5"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1.1.4.5</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目约定的缺陷责任期，包括根据第 19.3 款延长的期限终止后 14 天内， 由监理人 向承包人出具经发包人签认的缺陷责任期终止证书，并退还剩余的质量保证金。</w:t>
      </w:r>
    </w:p>
    <w:p w14:paraId="5A646CA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48" w:name="_Toc14062"/>
      <w:r>
        <w:rPr>
          <w:rFonts w:ascii="宋体" w:hAnsi="宋体" w:eastAsia="宋体" w:cs="宋体"/>
          <w:b/>
          <w:bCs/>
          <w:snapToGrid/>
          <w:spacing w:val="0"/>
          <w:w w:val="100"/>
          <w:kern w:val="21"/>
          <w:position w:val="0"/>
          <w:sz w:val="28"/>
          <w:szCs w:val="28"/>
        </w:rPr>
        <w:t>19.7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保修责任</w:t>
      </w:r>
      <w:bookmarkEnd w:id="348"/>
    </w:p>
    <w:p w14:paraId="67909C0C">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合同当事人根据有关法律规定，在专用合同条款中约定工程质量保修范围、期限和责任。保修 期自实际竣工日期起计算。在全部工程竣工验收前， 已经发包人提前验收的单位工程，其保修期的 起算日期相应提前。</w:t>
      </w:r>
    </w:p>
    <w:p w14:paraId="4B3D00E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49" w:name="bookmark153"/>
      <w:bookmarkEnd w:id="349"/>
      <w:bookmarkStart w:id="350" w:name="_Toc26666"/>
      <w:bookmarkStart w:id="351" w:name="_Toc19994"/>
      <w:bookmarkStart w:id="352" w:name="_Toc22265"/>
      <w:r>
        <w:rPr>
          <w:rFonts w:ascii="宋体" w:hAnsi="宋体" w:eastAsia="宋体" w:cs="宋体"/>
          <w:b/>
          <w:bCs/>
          <w:snapToGrid/>
          <w:spacing w:val="0"/>
          <w:w w:val="100"/>
          <w:kern w:val="21"/>
          <w:position w:val="0"/>
          <w:sz w:val="31"/>
          <w:szCs w:val="31"/>
        </w:rPr>
        <w:t>20.</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保险</w:t>
      </w:r>
      <w:bookmarkEnd w:id="350"/>
      <w:bookmarkEnd w:id="351"/>
      <w:bookmarkEnd w:id="352"/>
    </w:p>
    <w:p w14:paraId="574F11D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53" w:name="_Toc9960"/>
      <w:r>
        <w:rPr>
          <w:rFonts w:ascii="宋体" w:hAnsi="宋体" w:eastAsia="宋体" w:cs="宋体"/>
          <w:b/>
          <w:bCs/>
          <w:snapToGrid/>
          <w:spacing w:val="0"/>
          <w:w w:val="100"/>
          <w:kern w:val="21"/>
          <w:position w:val="0"/>
          <w:sz w:val="28"/>
          <w:szCs w:val="28"/>
        </w:rPr>
        <w:t>20.1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工程保险</w:t>
      </w:r>
      <w:bookmarkEnd w:id="353"/>
    </w:p>
    <w:p w14:paraId="42970640">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除专用合同条款另有约定外，承包人应以发包人和承包人的共同名义向双方同意的保险人投保 建筑工程一切险、安装工程一切险。其具体的投保内容、保险金额、保险费率、保险期限等有关内 容在专用合同条款中约定。</w:t>
      </w:r>
    </w:p>
    <w:p w14:paraId="433B2A2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54" w:name="_Toc16522"/>
      <w:r>
        <w:rPr>
          <w:rFonts w:ascii="宋体" w:hAnsi="宋体" w:eastAsia="宋体" w:cs="宋体"/>
          <w:b/>
          <w:bCs/>
          <w:snapToGrid/>
          <w:spacing w:val="0"/>
          <w:w w:val="100"/>
          <w:kern w:val="21"/>
          <w:position w:val="0"/>
          <w:sz w:val="28"/>
          <w:szCs w:val="28"/>
        </w:rPr>
        <w:t>20.2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人员工伤事故的保险</w:t>
      </w:r>
      <w:bookmarkEnd w:id="354"/>
    </w:p>
    <w:p w14:paraId="05E1C4F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55" w:name="_Toc19073"/>
      <w:r>
        <w:rPr>
          <w:rFonts w:ascii="宋体" w:hAnsi="宋体" w:eastAsia="宋体" w:cs="宋体"/>
          <w:b/>
          <w:bCs/>
          <w:snapToGrid/>
          <w:spacing w:val="0"/>
          <w:w w:val="100"/>
          <w:kern w:val="21"/>
          <w:position w:val="0"/>
          <w:sz w:val="20"/>
          <w:szCs w:val="20"/>
        </w:rPr>
        <w:t>20.2.1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承包人员工伤事故的保险</w:t>
      </w:r>
      <w:bookmarkEnd w:id="355"/>
    </w:p>
    <w:p w14:paraId="474807C6">
      <w:pPr>
        <w:keepNext w:val="0"/>
        <w:keepLines w:val="0"/>
        <w:pageBreakBefore w:val="0"/>
        <w:widowControl w:val="0"/>
        <w:kinsoku/>
        <w:wordWrap w:val="0"/>
        <w:overflowPunct/>
        <w:topLinePunct/>
        <w:autoSpaceDE w:val="0"/>
        <w:autoSpaceDN/>
        <w:bidi w:val="0"/>
        <w:adjustRightInd/>
        <w:snapToGrid/>
        <w:spacing w:line="560" w:lineRule="exact"/>
        <w:ind w:left="0" w:right="0" w:firstLine="41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承包人应依照有关法律规定参加工伤保险，为其履行合同所雇佣的全部人员，缴纳工伤保险费， 并要求其分包人也进行此项保险。</w:t>
      </w:r>
    </w:p>
    <w:p w14:paraId="1BBE89C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56" w:name="_Toc24243"/>
      <w:r>
        <w:rPr>
          <w:rFonts w:ascii="宋体" w:hAnsi="宋体" w:eastAsia="宋体" w:cs="宋体"/>
          <w:b/>
          <w:bCs/>
          <w:snapToGrid/>
          <w:spacing w:val="0"/>
          <w:w w:val="100"/>
          <w:kern w:val="21"/>
          <w:position w:val="0"/>
          <w:sz w:val="20"/>
          <w:szCs w:val="20"/>
        </w:rPr>
        <w:t>20.2.2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发包人员工伤事故的保险</w:t>
      </w:r>
      <w:bookmarkEnd w:id="356"/>
    </w:p>
    <w:p w14:paraId="0F95B8C3">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发包人应依照有关法律规定参加工伤保险，为其现场机构雇佣的全部人员，缴纳工伤保险费， 并要求其监理人也进行此项保险。</w:t>
      </w:r>
    </w:p>
    <w:p w14:paraId="4ACD14D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57" w:name="_Toc10186"/>
      <w:r>
        <w:rPr>
          <w:rFonts w:ascii="宋体" w:hAnsi="宋体" w:eastAsia="宋体" w:cs="宋体"/>
          <w:b/>
          <w:bCs/>
          <w:snapToGrid/>
          <w:spacing w:val="0"/>
          <w:w w:val="100"/>
          <w:kern w:val="21"/>
          <w:position w:val="0"/>
          <w:sz w:val="28"/>
          <w:szCs w:val="28"/>
        </w:rPr>
        <w:t>20.3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人身意外伤害险</w:t>
      </w:r>
      <w:bookmarkEnd w:id="357"/>
    </w:p>
    <w:p w14:paraId="36522EF4">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20.3.1 发包人应在整个施工期间为其现场机构雇用的全部人员，投保人身意外伤害险，缴纳保 险费，并要求其监理人也进行此项保险。</w:t>
      </w:r>
    </w:p>
    <w:p w14:paraId="71B32580">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20.3.2 承包人应在整个施工期间为其现场机构雇用的全部人员，投保人身意外伤害险，缴纳保 险费，并要求其分包人也进行此项保险。</w:t>
      </w:r>
    </w:p>
    <w:p w14:paraId="689BAED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58" w:name="_Toc10157"/>
      <w:r>
        <w:rPr>
          <w:rFonts w:ascii="宋体" w:hAnsi="宋体" w:eastAsia="宋体" w:cs="宋体"/>
          <w:b/>
          <w:bCs/>
          <w:snapToGrid/>
          <w:spacing w:val="0"/>
          <w:w w:val="100"/>
          <w:kern w:val="21"/>
          <w:position w:val="0"/>
          <w:sz w:val="28"/>
          <w:szCs w:val="28"/>
        </w:rPr>
        <w:t>20.4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第三者责任险</w:t>
      </w:r>
      <w:bookmarkEnd w:id="358"/>
    </w:p>
    <w:p w14:paraId="384EEE41">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20.4.1 第三者责任系指在保险期内，对因工程意外事故造成的、依法应由被保险人负责的工地 上及毗邻地区的第三者人身伤亡、疾病或财产损失（本工程除外），以及被保险人因此而支付的诉讼 费用和事先经保险人书面同意支付的其他费用等赔偿责任。</w:t>
      </w:r>
    </w:p>
    <w:p w14:paraId="66680803">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20.4.2 在缺陷责任期终止证书颁发前，承包人应以承包人和发包人的共同名义，投保第 20.4.1 项约定的第三者责任险，其保险费率、保险金额等有关内容在专用合同条款中约定。</w:t>
      </w:r>
    </w:p>
    <w:p w14:paraId="5E19A36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59" w:name="_Toc4604"/>
      <w:r>
        <w:rPr>
          <w:rFonts w:ascii="宋体" w:hAnsi="宋体" w:eastAsia="宋体" w:cs="宋体"/>
          <w:b/>
          <w:bCs/>
          <w:snapToGrid/>
          <w:spacing w:val="0"/>
          <w:w w:val="100"/>
          <w:kern w:val="21"/>
          <w:position w:val="0"/>
          <w:sz w:val="28"/>
          <w:szCs w:val="28"/>
        </w:rPr>
        <w:t>20.5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其他保险</w:t>
      </w:r>
      <w:bookmarkEnd w:id="359"/>
    </w:p>
    <w:p w14:paraId="46E6D97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除专用合同条款另有约定外，承包人应为其施工设备、进场的材料和工程设备等办理保险。</w:t>
      </w:r>
    </w:p>
    <w:p w14:paraId="4E8FE6E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60" w:name="_Toc25304"/>
      <w:r>
        <w:rPr>
          <w:rFonts w:ascii="宋体" w:hAnsi="宋体" w:eastAsia="宋体" w:cs="宋体"/>
          <w:b/>
          <w:bCs/>
          <w:snapToGrid/>
          <w:spacing w:val="0"/>
          <w:w w:val="100"/>
          <w:kern w:val="21"/>
          <w:position w:val="0"/>
          <w:sz w:val="28"/>
          <w:szCs w:val="28"/>
        </w:rPr>
        <w:t>20.6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对各项保险的一般要求</w:t>
      </w:r>
      <w:bookmarkEnd w:id="360"/>
    </w:p>
    <w:p w14:paraId="6EB4832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1" w:name="_Toc6105"/>
      <w:r>
        <w:rPr>
          <w:rFonts w:ascii="宋体" w:hAnsi="宋体" w:eastAsia="宋体" w:cs="宋体"/>
          <w:b/>
          <w:bCs/>
          <w:snapToGrid/>
          <w:spacing w:val="0"/>
          <w:w w:val="100"/>
          <w:kern w:val="21"/>
          <w:position w:val="0"/>
          <w:sz w:val="20"/>
          <w:szCs w:val="20"/>
        </w:rPr>
        <w:t>20.6.1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保险凭证</w:t>
      </w:r>
      <w:bookmarkEnd w:id="361"/>
    </w:p>
    <w:p w14:paraId="0FA6AAC0">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承包人应在专用合同条款约定的期限内向发包人提交各项保险生效的证据和保险单副本，保险 单必须与专用合同条款约定的条件保持一致。</w:t>
      </w:r>
    </w:p>
    <w:p w14:paraId="2570229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2" w:name="_Toc15686"/>
      <w:r>
        <w:rPr>
          <w:rFonts w:ascii="宋体" w:hAnsi="宋体" w:eastAsia="宋体" w:cs="宋体"/>
          <w:b/>
          <w:bCs/>
          <w:snapToGrid/>
          <w:spacing w:val="0"/>
          <w:w w:val="100"/>
          <w:kern w:val="21"/>
          <w:position w:val="0"/>
          <w:sz w:val="20"/>
          <w:szCs w:val="20"/>
        </w:rPr>
        <w:t>20.6.2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保险合同条款的变动</w:t>
      </w:r>
      <w:bookmarkEnd w:id="362"/>
    </w:p>
    <w:p w14:paraId="03FFE43D">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承包人需要变动保险合同条款时，应事先征得发包人同意，并通知监理人。保险人作出变动的， 承包人应在收到保险人通知后立即通知发包人和监理人。</w:t>
      </w:r>
    </w:p>
    <w:p w14:paraId="66710A5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3" w:name="_Toc3613"/>
      <w:r>
        <w:rPr>
          <w:rFonts w:ascii="宋体" w:hAnsi="宋体" w:eastAsia="宋体" w:cs="宋体"/>
          <w:b/>
          <w:bCs/>
          <w:snapToGrid/>
          <w:spacing w:val="0"/>
          <w:w w:val="100"/>
          <w:kern w:val="21"/>
          <w:position w:val="0"/>
          <w:sz w:val="20"/>
          <w:szCs w:val="20"/>
        </w:rPr>
        <w:t>20.6.3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持续保险</w:t>
      </w:r>
      <w:bookmarkEnd w:id="363"/>
    </w:p>
    <w:p w14:paraId="492703C0">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承包人应与保险人保持联系，使保险人能够随时了解工程实施中的变动，并确保按保险合同条 款要求持续保险。</w:t>
      </w:r>
    </w:p>
    <w:p w14:paraId="0505D97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4" w:name="_Toc27889"/>
      <w:r>
        <w:rPr>
          <w:rFonts w:ascii="宋体" w:hAnsi="宋体" w:eastAsia="宋体" w:cs="宋体"/>
          <w:b/>
          <w:bCs/>
          <w:snapToGrid/>
          <w:spacing w:val="0"/>
          <w:w w:val="100"/>
          <w:kern w:val="21"/>
          <w:position w:val="0"/>
          <w:sz w:val="20"/>
          <w:szCs w:val="20"/>
        </w:rPr>
        <w:t>20.6.4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保险金不足的补偿</w:t>
      </w:r>
      <w:bookmarkEnd w:id="364"/>
    </w:p>
    <w:p w14:paraId="38B6BA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保险金不足以补偿损失的，应由承包人和（或）发包人按合同约定负责补偿。</w:t>
      </w:r>
    </w:p>
    <w:p w14:paraId="2EC91DD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5" w:name="_Toc24158"/>
      <w:r>
        <w:rPr>
          <w:rFonts w:ascii="宋体" w:hAnsi="宋体" w:eastAsia="宋体" w:cs="宋体"/>
          <w:b/>
          <w:bCs/>
          <w:snapToGrid/>
          <w:spacing w:val="0"/>
          <w:w w:val="100"/>
          <w:kern w:val="21"/>
          <w:position w:val="0"/>
          <w:sz w:val="20"/>
          <w:szCs w:val="20"/>
        </w:rPr>
        <w:t>20.6.5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未按约定投保的补救</w:t>
      </w:r>
      <w:bookmarkEnd w:id="365"/>
    </w:p>
    <w:p w14:paraId="23A0BC13">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（1）由于负有投保义务的一方当事人未按合同约定办理保险，或未能使保险持续有效的，另一 方当事人可代为办理，所需费用由对方当事人承担。</w:t>
      </w:r>
    </w:p>
    <w:p w14:paraId="1CE97770">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（2）由于负有投保义务的一方当事人未按合同约定办理某项保险，导致受益人未能得到保险人 的赔偿，原应从该项保险得到的保险金应由负有投保义务的一方当事人支付。</w:t>
      </w:r>
    </w:p>
    <w:p w14:paraId="26AA3B2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66" w:name="_Toc6796"/>
      <w:r>
        <w:rPr>
          <w:rFonts w:ascii="宋体" w:hAnsi="宋体" w:eastAsia="宋体" w:cs="宋体"/>
          <w:b/>
          <w:bCs/>
          <w:snapToGrid/>
          <w:spacing w:val="0"/>
          <w:w w:val="100"/>
          <w:kern w:val="21"/>
          <w:position w:val="0"/>
          <w:sz w:val="20"/>
          <w:szCs w:val="20"/>
        </w:rPr>
        <w:t>20.6.6</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报告义务</w:t>
      </w:r>
      <w:bookmarkEnd w:id="366"/>
    </w:p>
    <w:p w14:paraId="0D0ECD3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当保险事故发生时，投保人应按照保险单规定的条件和期限及时向保险人报告。</w:t>
      </w:r>
    </w:p>
    <w:p w14:paraId="560E0A1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67" w:name="bookmark154"/>
      <w:bookmarkEnd w:id="367"/>
      <w:bookmarkStart w:id="368" w:name="_Toc17936"/>
      <w:bookmarkStart w:id="369" w:name="_Toc13833"/>
      <w:bookmarkStart w:id="370" w:name="_Toc6226"/>
      <w:r>
        <w:rPr>
          <w:rFonts w:ascii="宋体" w:hAnsi="宋体" w:eastAsia="宋体" w:cs="宋体"/>
          <w:b/>
          <w:bCs/>
          <w:snapToGrid/>
          <w:spacing w:val="0"/>
          <w:w w:val="100"/>
          <w:kern w:val="21"/>
          <w:position w:val="0"/>
          <w:sz w:val="31"/>
          <w:szCs w:val="31"/>
        </w:rPr>
        <w:t>21.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不可抗力</w:t>
      </w:r>
      <w:bookmarkEnd w:id="368"/>
      <w:bookmarkEnd w:id="369"/>
      <w:bookmarkEnd w:id="370"/>
    </w:p>
    <w:p w14:paraId="0C70DFE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71" w:name="_Toc12040"/>
      <w:r>
        <w:rPr>
          <w:rFonts w:ascii="宋体" w:hAnsi="宋体" w:eastAsia="宋体" w:cs="宋体"/>
          <w:b/>
          <w:bCs/>
          <w:snapToGrid/>
          <w:spacing w:val="0"/>
          <w:w w:val="100"/>
          <w:kern w:val="21"/>
          <w:position w:val="0"/>
          <w:sz w:val="28"/>
          <w:szCs w:val="28"/>
        </w:rPr>
        <w:t>21.1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不可抗力的确认</w:t>
      </w:r>
      <w:bookmarkEnd w:id="371"/>
    </w:p>
    <w:p w14:paraId="4BBD390D">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21.1.1 不可抗力是指承包人和发包人在订立合同时不可预见，在工程施工过程中不可避免发生 并不能克服的自然灾害和社会性突发事件，如地震、海啸、瘟疫、水灾、骚乱、暴动、战争和专用 合同条款约定的其他情形。</w:t>
      </w:r>
    </w:p>
    <w:p w14:paraId="108975F0">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21.1.2 不可抗力发生后，发包人和承包人应及时认真统计所造成的损失，收集不可抗力造成损 失的证据。合同双方对是否属于不可抗力或其损失的意见不一致的， 由监理人按第 3.5 款商定或确 定。发生争议时，按第 24 条的约定办理。</w:t>
      </w:r>
    </w:p>
    <w:p w14:paraId="5B5A54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72" w:name="_Toc20106"/>
      <w:r>
        <w:rPr>
          <w:rFonts w:ascii="宋体" w:hAnsi="宋体" w:eastAsia="宋体" w:cs="宋体"/>
          <w:b/>
          <w:bCs/>
          <w:snapToGrid/>
          <w:spacing w:val="0"/>
          <w:w w:val="100"/>
          <w:kern w:val="21"/>
          <w:position w:val="0"/>
          <w:sz w:val="28"/>
          <w:szCs w:val="28"/>
        </w:rPr>
        <w:t>21.2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不可抗力的通知</w:t>
      </w:r>
      <w:bookmarkEnd w:id="372"/>
    </w:p>
    <w:p w14:paraId="0AA28389">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21.2.1 合同一方当事人遇到不可抗力事件，使其履行合同义务受到阻碍时，应立即通知合同另 一方当事人和监理人，书面说明不可抗力和受阻碍的详细情况，并提供必要的证明。</w:t>
      </w:r>
    </w:p>
    <w:p w14:paraId="78C67566">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21.2.2 如不可抗力持续发生，合同一方当事人应及时向合同另一方当事人和监理人提交中间报 告，说明不可抗力和履行合同受阻的情况，并于不可抗力事件结束后 28 天内提交最终报告及有关资 料。</w:t>
      </w:r>
    </w:p>
    <w:p w14:paraId="136906A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73" w:name="_Toc18938"/>
      <w:r>
        <w:rPr>
          <w:rFonts w:ascii="宋体" w:hAnsi="宋体" w:eastAsia="宋体" w:cs="宋体"/>
          <w:b/>
          <w:bCs/>
          <w:snapToGrid/>
          <w:spacing w:val="0"/>
          <w:w w:val="100"/>
          <w:kern w:val="21"/>
          <w:position w:val="0"/>
          <w:sz w:val="28"/>
          <w:szCs w:val="28"/>
        </w:rPr>
        <w:t>21.3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不可抗力后果及其处理</w:t>
      </w:r>
      <w:bookmarkEnd w:id="373"/>
    </w:p>
    <w:p w14:paraId="10881F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74" w:name="_Toc20021"/>
      <w:r>
        <w:rPr>
          <w:rFonts w:ascii="宋体" w:hAnsi="宋体" w:eastAsia="宋体" w:cs="宋体"/>
          <w:b/>
          <w:bCs/>
          <w:snapToGrid/>
          <w:spacing w:val="0"/>
          <w:w w:val="100"/>
          <w:kern w:val="21"/>
          <w:position w:val="0"/>
          <w:sz w:val="20"/>
          <w:szCs w:val="20"/>
        </w:rPr>
        <w:t>21.3.1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不可抗力造成损害的责任</w:t>
      </w:r>
      <w:bookmarkEnd w:id="374"/>
    </w:p>
    <w:p w14:paraId="5D40C4B0">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除专用合同条款另有约定外，不可抗力导致的人员伤亡、财产损失、费用增加和（或）工期延 误等后果， 由合同双方按以下原则承担：</w:t>
      </w:r>
    </w:p>
    <w:p w14:paraId="2B4C212B">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（1）永久工程，包括已运至施工场地的材料和工程设备的损害，以及因工程损害造成的第三者 人员伤亡和财产损失由发包人承担；</w:t>
      </w:r>
    </w:p>
    <w:p w14:paraId="4546DAD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（2）承包人设备的损坏由承包人承担；</w:t>
      </w:r>
    </w:p>
    <w:p w14:paraId="112F3B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（3）发包人和承包人各自承担其人员伤亡和其他财产损失及其相关费用；</w:t>
      </w:r>
    </w:p>
    <w:p w14:paraId="49D7C18E">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（4）承包人的停工损失由承包人承担，但停工期间应监理人要求照管工程和清理、修复工程的 金额由发包人承担；</w:t>
      </w:r>
    </w:p>
    <w:p w14:paraId="68104CB0">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（5）不能按期竣工的，应合理延长工期，承包人不需支付逾期竣工违约金。发包人要求赶工的， 承包人应采取赶工措施，赶工费用由发包人承担。</w:t>
      </w:r>
    </w:p>
    <w:p w14:paraId="5CEB731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75" w:name="_Toc4237"/>
      <w:r>
        <w:rPr>
          <w:rFonts w:ascii="宋体" w:hAnsi="宋体" w:eastAsia="宋体" w:cs="宋体"/>
          <w:b/>
          <w:bCs/>
          <w:snapToGrid/>
          <w:spacing w:val="0"/>
          <w:w w:val="100"/>
          <w:kern w:val="21"/>
          <w:position w:val="0"/>
          <w:sz w:val="20"/>
          <w:szCs w:val="20"/>
        </w:rPr>
        <w:t>21.3.2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延迟履行期间发生的不可抗力</w:t>
      </w:r>
      <w:bookmarkEnd w:id="375"/>
    </w:p>
    <w:p w14:paraId="4A6D081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合同一方当事人延迟履行，在延迟履行期间发生不可抗力的，不免除其责任。</w:t>
      </w:r>
    </w:p>
    <w:p w14:paraId="41C3818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76" w:name="_Toc1115"/>
      <w:r>
        <w:rPr>
          <w:rFonts w:ascii="宋体" w:hAnsi="宋体" w:eastAsia="宋体" w:cs="宋体"/>
          <w:b/>
          <w:bCs/>
          <w:snapToGrid/>
          <w:spacing w:val="0"/>
          <w:w w:val="100"/>
          <w:kern w:val="21"/>
          <w:position w:val="0"/>
          <w:sz w:val="20"/>
          <w:szCs w:val="20"/>
        </w:rPr>
        <w:t>21.3.3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避免和减少不可抗力损失</w:t>
      </w:r>
      <w:bookmarkEnd w:id="376"/>
    </w:p>
    <w:p w14:paraId="6A2F8952">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不可抗力发生后，发包人和承包人均应采取措施尽量避免和减少损失的扩大，任何一方没有采 取有效措施导致损失扩大的，应对扩大的损失承担责任。</w:t>
      </w:r>
    </w:p>
    <w:p w14:paraId="504DA41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77" w:name="_Toc16546"/>
      <w:r>
        <w:rPr>
          <w:rFonts w:ascii="宋体" w:hAnsi="宋体" w:eastAsia="宋体" w:cs="宋体"/>
          <w:b/>
          <w:bCs/>
          <w:snapToGrid/>
          <w:spacing w:val="0"/>
          <w:w w:val="100"/>
          <w:kern w:val="21"/>
          <w:position w:val="0"/>
          <w:sz w:val="20"/>
          <w:szCs w:val="20"/>
        </w:rPr>
        <w:t>21.3.4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因不可抗力解除合同</w:t>
      </w:r>
      <w:bookmarkEnd w:id="377"/>
    </w:p>
    <w:p w14:paraId="0A8743AF">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合同一方当事人因不可抗力不能履行合同的，应当及时通知对方解除合同。合同解除后，承包 人应按照第 22.2.5 项约定撤离施工场地。已经订货的材料、设备由订货方负责退货或解除订货合同， 不能退还的货款和因退货、解除订货合同发生的费用， 由发包人承担，因未及时退货造成的损失由 责任方承担。合同解除后的付款，参照第 22.2.4 项约定， 由监理人按第 3.5 款商定或确定。</w:t>
      </w:r>
    </w:p>
    <w:p w14:paraId="5A0D738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78" w:name="bookmark155"/>
      <w:bookmarkEnd w:id="378"/>
      <w:bookmarkStart w:id="379" w:name="_Toc21162"/>
      <w:bookmarkStart w:id="380" w:name="_Toc11904"/>
      <w:bookmarkStart w:id="381" w:name="_Toc11300"/>
      <w:r>
        <w:rPr>
          <w:rFonts w:ascii="宋体" w:hAnsi="宋体" w:eastAsia="宋体" w:cs="宋体"/>
          <w:b/>
          <w:bCs/>
          <w:snapToGrid/>
          <w:spacing w:val="0"/>
          <w:w w:val="100"/>
          <w:kern w:val="21"/>
          <w:position w:val="0"/>
          <w:sz w:val="31"/>
          <w:szCs w:val="31"/>
        </w:rPr>
        <w:t>22.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违约</w:t>
      </w:r>
      <w:bookmarkEnd w:id="379"/>
      <w:bookmarkEnd w:id="380"/>
      <w:bookmarkEnd w:id="381"/>
    </w:p>
    <w:p w14:paraId="33ECF9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82" w:name="_Toc4682"/>
      <w:r>
        <w:rPr>
          <w:rFonts w:ascii="宋体" w:hAnsi="宋体" w:eastAsia="宋体" w:cs="宋体"/>
          <w:b/>
          <w:bCs/>
          <w:snapToGrid/>
          <w:spacing w:val="0"/>
          <w:w w:val="100"/>
          <w:kern w:val="21"/>
          <w:position w:val="0"/>
          <w:sz w:val="28"/>
          <w:szCs w:val="28"/>
        </w:rPr>
        <w:t>22.1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承包人违约</w:t>
      </w:r>
      <w:bookmarkEnd w:id="382"/>
    </w:p>
    <w:p w14:paraId="0513EE4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3" w:name="_Toc2244"/>
      <w:r>
        <w:rPr>
          <w:rFonts w:ascii="宋体" w:hAnsi="宋体" w:eastAsia="宋体" w:cs="宋体"/>
          <w:b/>
          <w:bCs/>
          <w:snapToGrid/>
          <w:spacing w:val="0"/>
          <w:w w:val="100"/>
          <w:kern w:val="21"/>
          <w:position w:val="0"/>
          <w:sz w:val="20"/>
          <w:szCs w:val="20"/>
        </w:rPr>
        <w:t>22.1.1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承包人违约的情形</w:t>
      </w:r>
      <w:bookmarkEnd w:id="383"/>
    </w:p>
    <w:p w14:paraId="2B9274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在履行合同过程中发生的下列情况属承包人违约：</w:t>
      </w:r>
    </w:p>
    <w:p w14:paraId="10BDE0CF">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（1）承包人违反第 1.8 款或第 4.3 款的约定，私自将合同的全部或部分权利转让给其他人，或 私自将合同的全部或部分义务转移给其他人；</w:t>
      </w:r>
    </w:p>
    <w:p w14:paraId="0D7FD742">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（2）承包人违反第 5.3 款或第 6.4 款的约定，未经监理人批准，私自将已按合同约定进入施工 场地的施工设备、临时设施或材料撤离施工场地；</w:t>
      </w:r>
    </w:p>
    <w:p w14:paraId="19C12A14">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（3）承包人违反第 5.4 款的约定使用了不合格材料或工程设备，工程质量达不到标准要求，又 拒绝清除不合格工程；</w:t>
      </w:r>
    </w:p>
    <w:p w14:paraId="163C2A5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（4）承包人未能按合同进度计划及时完成合同约定的工作， 已造成或预期造成工期延误；</w:t>
      </w:r>
    </w:p>
    <w:p w14:paraId="2687D7CC">
      <w:pPr>
        <w:keepNext w:val="0"/>
        <w:keepLines w:val="0"/>
        <w:pageBreakBefore w:val="0"/>
        <w:widowControl w:val="0"/>
        <w:kinsoku/>
        <w:wordWrap w:val="0"/>
        <w:overflowPunct/>
        <w:topLinePunct/>
        <w:autoSpaceDE w:val="0"/>
        <w:autoSpaceDN/>
        <w:bidi w:val="0"/>
        <w:adjustRightInd/>
        <w:snapToGrid/>
        <w:spacing w:line="560" w:lineRule="exact"/>
        <w:ind w:left="0" w:right="0" w:firstLine="4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（5）承包人在缺陷责任期内，未能对工程接收证书所列的缺陷清单的内容或缺陷责任期内发生 的缺陷进行修复，而又拒绝按监理人指示再进行修补；</w:t>
      </w:r>
    </w:p>
    <w:p w14:paraId="56DE9DB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（6）承包人无法继续履行或明确表示不履行或实质上已停止履行合同；</w:t>
      </w:r>
    </w:p>
    <w:p w14:paraId="1696D32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（7）承包人不按合同约定履行义务的其他情况。</w:t>
      </w:r>
    </w:p>
    <w:p w14:paraId="66472A8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4" w:name="_Toc452"/>
      <w:r>
        <w:rPr>
          <w:rFonts w:ascii="宋体" w:hAnsi="宋体" w:eastAsia="宋体" w:cs="宋体"/>
          <w:b/>
          <w:bCs/>
          <w:snapToGrid/>
          <w:spacing w:val="0"/>
          <w:w w:val="100"/>
          <w:kern w:val="21"/>
          <w:position w:val="0"/>
          <w:sz w:val="20"/>
          <w:szCs w:val="20"/>
        </w:rPr>
        <w:t>22.1.2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对承包人违约的处理</w:t>
      </w:r>
      <w:bookmarkEnd w:id="384"/>
    </w:p>
    <w:p w14:paraId="4F3607D6">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（1）承包人发生第 22.1.1（ 6） 目约定的违约情况时，发包人可通知承包人立即解除合同，并 按有关法律处理。</w:t>
      </w:r>
    </w:p>
    <w:p w14:paraId="10B5F74C">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（2）承包人发生除第 22.1.1（ 6） 目约定以外的其他违约情况时，监理人可向承包人发出整改 通知，要求其在指定的期限内改正。承包人应承担其违约所引起的费用增加和（或）工期延误。</w:t>
      </w:r>
    </w:p>
    <w:p w14:paraId="6CBE0A42">
      <w:pPr>
        <w:keepNext w:val="0"/>
        <w:keepLines w:val="0"/>
        <w:pageBreakBefore w:val="0"/>
        <w:widowControl w:val="0"/>
        <w:kinsoku/>
        <w:wordWrap w:val="0"/>
        <w:overflowPunct/>
        <w:topLinePunct/>
        <w:autoSpaceDE w:val="0"/>
        <w:autoSpaceDN/>
        <w:bidi w:val="0"/>
        <w:adjustRightInd/>
        <w:snapToGrid/>
        <w:spacing w:line="560" w:lineRule="exact"/>
        <w:ind w:left="0" w:right="0" w:firstLine="42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（3）经检查证明承包人已采取了有效措施纠正违约行为，具备复工条件的，可由监理人签发复 工通知复工。</w:t>
      </w:r>
    </w:p>
    <w:p w14:paraId="3AE0A36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5" w:name="_Toc15343"/>
      <w:r>
        <w:rPr>
          <w:rFonts w:ascii="宋体" w:hAnsi="宋体" w:eastAsia="宋体" w:cs="宋体"/>
          <w:b/>
          <w:bCs/>
          <w:snapToGrid/>
          <w:spacing w:val="0"/>
          <w:w w:val="100"/>
          <w:kern w:val="21"/>
          <w:position w:val="0"/>
          <w:sz w:val="20"/>
          <w:szCs w:val="20"/>
        </w:rPr>
        <w:t>22.1.3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承包人违约解除合同</w:t>
      </w:r>
      <w:bookmarkEnd w:id="385"/>
    </w:p>
    <w:p w14:paraId="04AACDD7">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监理人发出整改通知 28 天后，承包人仍不纠正违约行为的，发包人可向承包人发出解除合同通 知。合同解除后，发包人可派员进驻施工场地，另行组织人员或委托其他承包人施工。发包人因继 续完成该工程的需要，有权扣留使用承包人在现场的材料、设备和临时设施。但发包人的这一行动不免除承包人应承担的违约责任，也不影响发包人根据合同约定享有的索赔权利。</w:t>
      </w:r>
    </w:p>
    <w:p w14:paraId="479DAA8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6" w:name="_Toc11930"/>
      <w:r>
        <w:rPr>
          <w:rFonts w:ascii="宋体" w:hAnsi="宋体" w:eastAsia="宋体" w:cs="宋体"/>
          <w:b/>
          <w:bCs/>
          <w:snapToGrid/>
          <w:spacing w:val="0"/>
          <w:w w:val="100"/>
          <w:kern w:val="21"/>
          <w:position w:val="0"/>
          <w:sz w:val="20"/>
          <w:szCs w:val="20"/>
        </w:rPr>
        <w:t>22.1.4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合同解除后的估价、付款和结清</w:t>
      </w:r>
      <w:bookmarkEnd w:id="386"/>
    </w:p>
    <w:p w14:paraId="6572005D">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（1）合同解除后，监理人按第 3.5 款商定或确定承包人实际完成工作的价值，以及承包人已提 供的材料、施工设备、工程设备和临时工程等的价值。</w:t>
      </w:r>
    </w:p>
    <w:p w14:paraId="5950C6DF">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（2）合同解除后，发包人应暂停对承包人的一切付款，查清各项付款和已扣款金额，包括承包 人应支付的违约金。</w:t>
      </w:r>
    </w:p>
    <w:p w14:paraId="26EC6411">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（3）合同解除后，发包人应按第 23.4 款的约定向承包人索赔由于解除合同给发包人造成的损 失。</w:t>
      </w:r>
    </w:p>
    <w:p w14:paraId="3B7DA3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（4）合同双方确认上述往来款项后，出具最终结清付款证书，结清全部合同款项。</w:t>
      </w:r>
    </w:p>
    <w:p w14:paraId="485409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（5）发包人和承包人未能就解除合同后的结清达成一致而形成争议的，按第 24 条的约定办理。</w:t>
      </w:r>
    </w:p>
    <w:p w14:paraId="7E7165B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7" w:name="_Toc264"/>
      <w:r>
        <w:rPr>
          <w:rFonts w:ascii="宋体" w:hAnsi="宋体" w:eastAsia="宋体" w:cs="宋体"/>
          <w:b/>
          <w:bCs/>
          <w:snapToGrid/>
          <w:spacing w:val="0"/>
          <w:w w:val="100"/>
          <w:kern w:val="21"/>
          <w:position w:val="0"/>
          <w:sz w:val="20"/>
          <w:szCs w:val="20"/>
        </w:rPr>
        <w:t>22.1.5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协议利益的转让</w:t>
      </w:r>
      <w:bookmarkEnd w:id="387"/>
    </w:p>
    <w:p w14:paraId="3260C81E">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因承包人违约解除合同的，发包人有权要求承包人将其为实施合同而签订的材料和设备的订货 协议或任何服务协议利益转让给发包人，并在解除合同后的 14 天内，依法办理转让手续。</w:t>
      </w:r>
    </w:p>
    <w:p w14:paraId="2377EB0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88" w:name="_Toc8351"/>
      <w:r>
        <w:rPr>
          <w:rFonts w:ascii="宋体" w:hAnsi="宋体" w:eastAsia="宋体" w:cs="宋体"/>
          <w:b/>
          <w:bCs/>
          <w:snapToGrid/>
          <w:spacing w:val="0"/>
          <w:w w:val="100"/>
          <w:kern w:val="21"/>
          <w:position w:val="0"/>
          <w:sz w:val="20"/>
          <w:szCs w:val="20"/>
        </w:rPr>
        <w:t>22.1.6</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紧急情况下无能力或不愿进行抢救</w:t>
      </w:r>
      <w:bookmarkEnd w:id="388"/>
    </w:p>
    <w:p w14:paraId="6F74CD93">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在工程实施期间或缺陷责任期内发生危及工程安全的事件，监理人通知承包人进行抢救，承包 人声明无能力或不愿立即执行的，发包人有权雇佣其他人员进行抢救。此类抢救按合同约定属于承 包人义务的， 由此发生的金额和（或）工期延误由承包人承担。</w:t>
      </w:r>
    </w:p>
    <w:p w14:paraId="35CF380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89" w:name="_Toc31399"/>
      <w:r>
        <w:rPr>
          <w:rFonts w:ascii="宋体" w:hAnsi="宋体" w:eastAsia="宋体" w:cs="宋体"/>
          <w:b/>
          <w:bCs/>
          <w:snapToGrid/>
          <w:spacing w:val="0"/>
          <w:w w:val="100"/>
          <w:kern w:val="21"/>
          <w:position w:val="0"/>
          <w:sz w:val="28"/>
          <w:szCs w:val="28"/>
        </w:rPr>
        <w:t>22.2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发包人违约</w:t>
      </w:r>
      <w:bookmarkEnd w:id="389"/>
    </w:p>
    <w:p w14:paraId="753558C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90" w:name="_Toc2518"/>
      <w:r>
        <w:rPr>
          <w:rFonts w:ascii="宋体" w:hAnsi="宋体" w:eastAsia="宋体" w:cs="宋体"/>
          <w:b/>
          <w:bCs/>
          <w:snapToGrid/>
          <w:spacing w:val="0"/>
          <w:w w:val="100"/>
          <w:kern w:val="21"/>
          <w:position w:val="0"/>
          <w:sz w:val="20"/>
          <w:szCs w:val="20"/>
        </w:rPr>
        <w:t>22.2.1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发包人违约的情形</w:t>
      </w:r>
      <w:bookmarkEnd w:id="390"/>
    </w:p>
    <w:p w14:paraId="5EB10E4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在履行合同过程中发生的下列情形，属发包人违约：</w:t>
      </w:r>
    </w:p>
    <w:p w14:paraId="7FCD5B15">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（1）发包人未能按合同约定支付预付款或合同价款，或拖延、拒绝批准付款申请和支付凭证， 导致付款延误的；</w:t>
      </w:r>
    </w:p>
    <w:p w14:paraId="333DA5F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（2）发包人原因造成停工的；</w:t>
      </w:r>
    </w:p>
    <w:p w14:paraId="3419AEA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（3）监理人无正当理由没有在约定期限内发出复工指示，导致承包人无法复工的；</w:t>
      </w:r>
    </w:p>
    <w:p w14:paraId="47C860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（4）发包人无法继续履行或明确表示不履行或实质上已停止履行合同的；</w:t>
      </w:r>
    </w:p>
    <w:p w14:paraId="1E54C47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（5）发包人不履行合同约定其他义务的。</w:t>
      </w:r>
    </w:p>
    <w:p w14:paraId="3909368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91" w:name="_Toc28007"/>
      <w:r>
        <w:rPr>
          <w:rFonts w:ascii="宋体" w:hAnsi="宋体" w:eastAsia="宋体" w:cs="宋体"/>
          <w:b/>
          <w:bCs/>
          <w:snapToGrid/>
          <w:spacing w:val="0"/>
          <w:w w:val="100"/>
          <w:kern w:val="21"/>
          <w:position w:val="0"/>
          <w:sz w:val="20"/>
          <w:szCs w:val="20"/>
        </w:rPr>
        <w:t>22.2.2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承包人有权暂停施工</w:t>
      </w:r>
      <w:bookmarkEnd w:id="391"/>
    </w:p>
    <w:p w14:paraId="05C58611">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发包人发生除第 22.2.1（4） 目以外的违约情况时，承包人可向发包人发出通知，要求发包人 采取有效措施纠正违约行为。发包人收到承包人通知后的 28 天内仍不履行合同义务，承包人有权暂 停施工，并通知监理人，发包人应承担由此增加的费用和（或）工期延误，并支付承包人合理利润。</w:t>
      </w:r>
    </w:p>
    <w:p w14:paraId="46B6ACA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92" w:name="_Toc5255"/>
      <w:r>
        <w:rPr>
          <w:rFonts w:ascii="宋体" w:hAnsi="宋体" w:eastAsia="宋体" w:cs="宋体"/>
          <w:b/>
          <w:bCs/>
          <w:snapToGrid/>
          <w:spacing w:val="0"/>
          <w:w w:val="100"/>
          <w:kern w:val="21"/>
          <w:position w:val="0"/>
          <w:sz w:val="20"/>
          <w:szCs w:val="20"/>
        </w:rPr>
        <w:t>22.2.3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发包人违约解除合同</w:t>
      </w:r>
      <w:bookmarkEnd w:id="392"/>
    </w:p>
    <w:p w14:paraId="5C03F38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（1）发生第 22.2.1（4） 目的违约情况时，承包人可书面通知发包人解除合同。</w:t>
      </w:r>
    </w:p>
    <w:p w14:paraId="25C5800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（2）承包人按 22.2.2 项暂停施工 28 天后，发包人仍不纠正违约行为的，承包人可向发包人发</w:t>
      </w:r>
    </w:p>
    <w:p w14:paraId="77BBAE0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7" w:type="default"/>
          <w:pgSz w:w="11906" w:h="16838"/>
          <w:pgMar w:top="1440" w:right="1080" w:bottom="1440" w:left="1080" w:header="0" w:footer="1185" w:gutter="0"/>
          <w:pgNumType w:fmt="decimal"/>
          <w:cols w:space="720" w:num="1"/>
        </w:sectPr>
      </w:pPr>
    </w:p>
    <w:p w14:paraId="1B70990F">
      <w:pPr>
        <w:keepNext w:val="0"/>
        <w:keepLines w:val="0"/>
        <w:pageBreakBefore w:val="0"/>
        <w:widowControl w:val="0"/>
        <w:kinsoku/>
        <w:wordWrap w:val="0"/>
        <w:overflowPunct/>
        <w:topLinePunct/>
        <w:autoSpaceDE w:val="0"/>
        <w:autoSpaceDN/>
        <w:bidi w:val="0"/>
        <w:adjustRightInd/>
        <w:snapToGrid/>
        <w:spacing w:line="560" w:lineRule="exact"/>
        <w:ind w:left="0" w:right="0" w:firstLine="1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出解除合同通知。但承包人的这一行动不免除发包人承担的违约责任，也不影响承包人根据合同约 定享有的索赔权利。</w:t>
      </w:r>
    </w:p>
    <w:p w14:paraId="675B261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93" w:name="_Toc1809"/>
      <w:r>
        <w:rPr>
          <w:rFonts w:ascii="宋体" w:hAnsi="宋体" w:eastAsia="宋体" w:cs="宋体"/>
          <w:b/>
          <w:bCs/>
          <w:snapToGrid/>
          <w:spacing w:val="0"/>
          <w:w w:val="100"/>
          <w:kern w:val="21"/>
          <w:position w:val="0"/>
          <w:sz w:val="20"/>
          <w:szCs w:val="20"/>
        </w:rPr>
        <w:t>22.2.4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解除合同后的付款</w:t>
      </w:r>
      <w:bookmarkEnd w:id="393"/>
    </w:p>
    <w:p w14:paraId="5518EC0D">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因发包人违约解除合同的，发包人应在解除合同后 28 天内向承包人支付下列金额，承包人应在 此期限内及时向发包人提交要求支付下列金额的有关资料和凭证：</w:t>
      </w:r>
    </w:p>
    <w:p w14:paraId="681DD4F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（1）合同解除日以前所完成工作的价款；</w:t>
      </w:r>
    </w:p>
    <w:p w14:paraId="11BAD834">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（2）承包人为该工程施工订购并已付款的材料、工程设备和其他物品的金额。发包人付还后， 该材料、工程设备和其他物品归发包人所有；</w:t>
      </w:r>
    </w:p>
    <w:p w14:paraId="6A1F568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（3）承包人为完成工程所发生的，而发包人未支付的金额；</w:t>
      </w:r>
    </w:p>
    <w:p w14:paraId="319205D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（4）承包人撤离施工场地以及遣散承包人人员的金额；</w:t>
      </w:r>
    </w:p>
    <w:p w14:paraId="2C07AD1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 由于解除合同应赔偿的承包人损失；</w:t>
      </w:r>
    </w:p>
    <w:p w14:paraId="070F871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（6）按合同约定在合同解除日前应支付给承包人的其他金额。</w:t>
      </w:r>
    </w:p>
    <w:p w14:paraId="66ACDD17">
      <w:pPr>
        <w:keepNext w:val="0"/>
        <w:keepLines w:val="0"/>
        <w:pageBreakBefore w:val="0"/>
        <w:widowControl w:val="0"/>
        <w:kinsoku/>
        <w:wordWrap w:val="0"/>
        <w:overflowPunct/>
        <w:topLinePunct/>
        <w:autoSpaceDE w:val="0"/>
        <w:autoSpaceDN/>
        <w:bidi w:val="0"/>
        <w:adjustRightInd/>
        <w:snapToGrid/>
        <w:spacing w:line="560" w:lineRule="exact"/>
        <w:ind w:left="0" w:right="0" w:firstLine="42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发包人应按本项约定支付上述金额并退还质量保证金和履约担保，但有权要求承包人支付应偿 还给发包人的各项金额。</w:t>
      </w:r>
    </w:p>
    <w:p w14:paraId="44BFE7B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394" w:name="_Toc15100"/>
      <w:r>
        <w:rPr>
          <w:rFonts w:ascii="宋体" w:hAnsi="宋体" w:eastAsia="宋体" w:cs="宋体"/>
          <w:b/>
          <w:bCs/>
          <w:snapToGrid/>
          <w:spacing w:val="0"/>
          <w:w w:val="100"/>
          <w:kern w:val="21"/>
          <w:position w:val="0"/>
          <w:sz w:val="20"/>
          <w:szCs w:val="20"/>
        </w:rPr>
        <w:t>22.2.5</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解除合同后的承包人撤离</w:t>
      </w:r>
      <w:bookmarkEnd w:id="394"/>
    </w:p>
    <w:p w14:paraId="4BE884B0">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因发包人违约而解除合同后，承包人应妥善做好已竣工工程和已购材料、设备的保护和移交工 作，按发包人要求将承包人设备和人员撤出施工场地。承包人撤出施工场地应遵守第 18.7.1 项的约 定，发包人应为承包人撤出提供必要条件。</w:t>
      </w:r>
    </w:p>
    <w:p w14:paraId="3F6DC3D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395" w:name="_Toc4920"/>
      <w:r>
        <w:rPr>
          <w:rFonts w:ascii="宋体" w:hAnsi="宋体" w:eastAsia="宋体" w:cs="宋体"/>
          <w:b/>
          <w:bCs/>
          <w:snapToGrid/>
          <w:spacing w:val="0"/>
          <w:w w:val="100"/>
          <w:kern w:val="21"/>
          <w:position w:val="0"/>
          <w:sz w:val="28"/>
          <w:szCs w:val="28"/>
        </w:rPr>
        <w:t>22.3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第三人造成的违约</w:t>
      </w:r>
      <w:bookmarkEnd w:id="395"/>
    </w:p>
    <w:p w14:paraId="75302B69">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在履行合同过程中，一方当事人因第三人的原因造成违约的，应当向对方当事人承担违约责任。 一方当事人和第三人之间的纠纷，依照法律规定或者按照约定解决。</w:t>
      </w:r>
    </w:p>
    <w:p w14:paraId="0285F17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396" w:name="bookmark156"/>
      <w:bookmarkEnd w:id="396"/>
      <w:bookmarkStart w:id="397" w:name="_Toc7945"/>
      <w:bookmarkStart w:id="398" w:name="_Toc505"/>
      <w:bookmarkStart w:id="399" w:name="_Toc13926"/>
      <w:r>
        <w:rPr>
          <w:rFonts w:ascii="宋体" w:hAnsi="宋体" w:eastAsia="宋体" w:cs="宋体"/>
          <w:b/>
          <w:bCs/>
          <w:snapToGrid/>
          <w:spacing w:val="0"/>
          <w:w w:val="100"/>
          <w:kern w:val="21"/>
          <w:position w:val="0"/>
          <w:sz w:val="31"/>
          <w:szCs w:val="31"/>
        </w:rPr>
        <w:t>23.</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索赔</w:t>
      </w:r>
      <w:bookmarkEnd w:id="397"/>
      <w:bookmarkEnd w:id="398"/>
      <w:bookmarkEnd w:id="399"/>
    </w:p>
    <w:p w14:paraId="35EA89F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0" w:name="_Toc5381"/>
      <w:r>
        <w:rPr>
          <w:rFonts w:ascii="宋体" w:hAnsi="宋体" w:eastAsia="宋体" w:cs="宋体"/>
          <w:b/>
          <w:bCs/>
          <w:snapToGrid/>
          <w:spacing w:val="0"/>
          <w:w w:val="100"/>
          <w:kern w:val="21"/>
          <w:position w:val="0"/>
          <w:sz w:val="28"/>
          <w:szCs w:val="28"/>
        </w:rPr>
        <w:t>23.1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承包人索赔的提出</w:t>
      </w:r>
      <w:bookmarkEnd w:id="400"/>
    </w:p>
    <w:p w14:paraId="27E7D0C7">
      <w:pPr>
        <w:keepNext w:val="0"/>
        <w:keepLines w:val="0"/>
        <w:pageBreakBefore w:val="0"/>
        <w:widowControl w:val="0"/>
        <w:kinsoku/>
        <w:wordWrap w:val="0"/>
        <w:overflowPunct/>
        <w:topLinePunct/>
        <w:autoSpaceDE w:val="0"/>
        <w:autoSpaceDN/>
        <w:bidi w:val="0"/>
        <w:adjustRightInd/>
        <w:snapToGrid/>
        <w:spacing w:line="560" w:lineRule="exact"/>
        <w:ind w:left="0" w:right="0" w:firstLine="40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根据合同约定，承包人认为有权得到追加付款和（或）延长工期的，应按以下程序向发包人提 出索赔：</w:t>
      </w:r>
    </w:p>
    <w:p w14:paraId="6FB47179">
      <w:pPr>
        <w:keepNext w:val="0"/>
        <w:keepLines w:val="0"/>
        <w:pageBreakBefore w:val="0"/>
        <w:widowControl w:val="0"/>
        <w:kinsoku/>
        <w:wordWrap w:val="0"/>
        <w:overflowPunct/>
        <w:topLinePunct/>
        <w:autoSpaceDE w:val="0"/>
        <w:autoSpaceDN/>
        <w:bidi w:val="0"/>
        <w:adjustRightInd/>
        <w:snapToGrid/>
        <w:spacing w:line="560" w:lineRule="exact"/>
        <w:ind w:left="0" w:right="0" w:firstLine="42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（1）承包人应在知道或应当知道索赔事件发生后 28 天内， 向监理人递交索赔意向通知书，并 说明发生索赔事件的事由。承包人未在前述 28 天内发出索赔意向通知书的，丧失要求追加付款和 （或）延长工期的权利；</w:t>
      </w:r>
    </w:p>
    <w:p w14:paraId="55109A5D">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（2）承包人应在发出索赔意向通知书后 28 天内， 向监理人正式递交索赔通知书。索赔通知书 应详细说明索赔理由以及要求追加的付款金额和（或） 延长的工期，并附必要的记录和证明材料；</w:t>
      </w:r>
    </w:p>
    <w:p w14:paraId="50BAB3B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（3）索赔事件具有连续影响的，承包人应按合理时间间隔继续递交延续索赔通知，说明连续影 响的实际情况和记录，列出累计的追加付款金额和（或）工期延长天数；</w:t>
      </w:r>
    </w:p>
    <w:p w14:paraId="4E4C9994">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（4）在索赔事件影响结束后的 28 天内，承包人应向监理人递交最终索赔通知书，说明最终要 求索赔的追加付款金额和延长的工期，并附必要的记录和证明材料。</w:t>
      </w:r>
    </w:p>
    <w:p w14:paraId="361F40C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1" w:name="_Toc11494"/>
      <w:r>
        <w:rPr>
          <w:rFonts w:ascii="宋体" w:hAnsi="宋体" w:eastAsia="宋体" w:cs="宋体"/>
          <w:b/>
          <w:bCs/>
          <w:snapToGrid/>
          <w:spacing w:val="0"/>
          <w:w w:val="100"/>
          <w:kern w:val="21"/>
          <w:position w:val="0"/>
          <w:sz w:val="28"/>
          <w:szCs w:val="28"/>
        </w:rPr>
        <w:t>23.2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承包人索赔处理程序</w:t>
      </w:r>
      <w:bookmarkEnd w:id="401"/>
    </w:p>
    <w:p w14:paraId="262A4FAA">
      <w:pPr>
        <w:keepNext w:val="0"/>
        <w:keepLines w:val="0"/>
        <w:pageBreakBefore w:val="0"/>
        <w:widowControl w:val="0"/>
        <w:kinsoku/>
        <w:wordWrap w:val="0"/>
        <w:overflowPunct/>
        <w:topLinePunct/>
        <w:autoSpaceDE w:val="0"/>
        <w:autoSpaceDN/>
        <w:bidi w:val="0"/>
        <w:adjustRightInd/>
        <w:snapToGrid/>
        <w:spacing w:line="560" w:lineRule="exact"/>
        <w:ind w:left="0" w:right="0" w:firstLine="42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（1）监理人收到承包人提交的索赔通知书后，应及时审查索赔通知书的内容、查验承包人的记 录和证明材料，必要时监理人可要求承包人提交全部原始记录副本。</w:t>
      </w:r>
    </w:p>
    <w:p w14:paraId="6D3B623D">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（2）监理人应按第 3.5 款商定或确定追加的付款和（或）延长的工期，并在收到上述索赔通知 书或有关索赔的进一步证明材料后的 42 天内，将索赔处理结果答复承包人。</w:t>
      </w:r>
    </w:p>
    <w:p w14:paraId="534CC745">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（3）承包人接受索赔处理结果的，发包人应在作出索赔处理结果答复后 28 天内完成赔付。承 包人不接受索赔处理结果的，按第 24 条的约定办理。</w:t>
      </w:r>
    </w:p>
    <w:p w14:paraId="4DF76EF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2" w:name="_Toc25962"/>
      <w:r>
        <w:rPr>
          <w:rFonts w:ascii="宋体" w:hAnsi="宋体" w:eastAsia="宋体" w:cs="宋体"/>
          <w:b/>
          <w:bCs/>
          <w:snapToGrid/>
          <w:spacing w:val="0"/>
          <w:w w:val="100"/>
          <w:kern w:val="21"/>
          <w:position w:val="0"/>
          <w:sz w:val="28"/>
          <w:szCs w:val="28"/>
        </w:rPr>
        <w:t>23.3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承包人提出索赔的期限</w:t>
      </w:r>
      <w:bookmarkEnd w:id="402"/>
    </w:p>
    <w:p w14:paraId="17BD1E22">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23.3.1 承包人按第 17.5 款的约定接受了竣工付款证书后，应被认为已无权再提出在合同工程 接收证书颁发前所发生的任何索赔。</w:t>
      </w:r>
    </w:p>
    <w:p w14:paraId="5874183E">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23.3.2 承包人按第 17.6 款的约定提交的最终结清申请单中，只限于提出工程接收证书颁发后 发生的索赔。提出索赔的期限自接受最终结清证书时终止。</w:t>
      </w:r>
    </w:p>
    <w:p w14:paraId="0018C98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3" w:name="_Toc8664"/>
      <w:r>
        <w:rPr>
          <w:rFonts w:ascii="宋体" w:hAnsi="宋体" w:eastAsia="宋体" w:cs="宋体"/>
          <w:b/>
          <w:bCs/>
          <w:snapToGrid/>
          <w:spacing w:val="0"/>
          <w:w w:val="100"/>
          <w:kern w:val="21"/>
          <w:position w:val="0"/>
          <w:sz w:val="28"/>
          <w:szCs w:val="28"/>
        </w:rPr>
        <w:t>23.4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发包人的索赔</w:t>
      </w:r>
      <w:bookmarkEnd w:id="403"/>
    </w:p>
    <w:p w14:paraId="64FB0E74">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23.4.1 发生索赔事件后，监理人应及时书面通知承包人，详细说明发包人有权得到的索赔金额 和（或）延长缺陷责任期的细节和依据。发包人提出索赔的期限和要求与第 23.3 款的约定相同，延 长缺陷责任期的通知应在缺陷责任期届满前发出。</w:t>
      </w:r>
    </w:p>
    <w:p w14:paraId="7D683BA0">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23.4.2 监理人按第 3.5 款商定或确定发包人从承包人处得到赔付的金额和（或）缺陷责任期的 延长期。承包人应付给发包人的金额可从拟支付给承包人的合同价款中扣除，或由承包人以其他方 式支付给发包人。</w:t>
      </w:r>
    </w:p>
    <w:p w14:paraId="4F39BE8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04" w:name="bookmark157"/>
      <w:bookmarkEnd w:id="404"/>
      <w:bookmarkStart w:id="405" w:name="_Toc1173"/>
      <w:bookmarkStart w:id="406" w:name="_Toc18252"/>
      <w:bookmarkStart w:id="407" w:name="_Toc9245"/>
      <w:r>
        <w:rPr>
          <w:rFonts w:ascii="宋体" w:hAnsi="宋体" w:eastAsia="宋体" w:cs="宋体"/>
          <w:b/>
          <w:bCs/>
          <w:snapToGrid/>
          <w:spacing w:val="0"/>
          <w:w w:val="100"/>
          <w:kern w:val="21"/>
          <w:position w:val="0"/>
          <w:sz w:val="31"/>
          <w:szCs w:val="31"/>
        </w:rPr>
        <w:t>24.</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争议的解决</w:t>
      </w:r>
      <w:bookmarkEnd w:id="405"/>
      <w:bookmarkEnd w:id="406"/>
      <w:bookmarkEnd w:id="407"/>
    </w:p>
    <w:p w14:paraId="606EFD1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8" w:name="_Toc24742"/>
      <w:r>
        <w:rPr>
          <w:rFonts w:ascii="宋体" w:hAnsi="宋体" w:eastAsia="宋体" w:cs="宋体"/>
          <w:b/>
          <w:bCs/>
          <w:snapToGrid/>
          <w:spacing w:val="0"/>
          <w:w w:val="100"/>
          <w:kern w:val="21"/>
          <w:position w:val="0"/>
          <w:sz w:val="28"/>
          <w:szCs w:val="28"/>
        </w:rPr>
        <w:t>24.1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争议的解决方式</w:t>
      </w:r>
      <w:bookmarkEnd w:id="408"/>
    </w:p>
    <w:p w14:paraId="1B887073">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发包人和承包人在履行合同中发生争议的，可以友好协商解决或者提请争议评审组评审。合同 当事人友好协商解决不成、不愿提请争议评审或者不接受争议评审组意见的，可在专用合同条款中 约定下列一种方式解决。</w:t>
      </w:r>
    </w:p>
    <w:p w14:paraId="054455E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（1）向约定的仲裁委员会申请仲裁；</w:t>
      </w:r>
    </w:p>
    <w:p w14:paraId="089C274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（2）向有管辖权的人民法院提起诉讼。</w:t>
      </w:r>
    </w:p>
    <w:p w14:paraId="658AAC2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09" w:name="_Toc27046"/>
      <w:r>
        <w:rPr>
          <w:rFonts w:ascii="宋体" w:hAnsi="宋体" w:eastAsia="宋体" w:cs="宋体"/>
          <w:b/>
          <w:bCs/>
          <w:snapToGrid/>
          <w:spacing w:val="0"/>
          <w:w w:val="100"/>
          <w:kern w:val="21"/>
          <w:position w:val="0"/>
          <w:sz w:val="28"/>
          <w:szCs w:val="28"/>
        </w:rPr>
        <w:t>24.2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友好解决</w:t>
      </w:r>
      <w:bookmarkEnd w:id="409"/>
    </w:p>
    <w:p w14:paraId="5BAEFC2E">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在提请争议评审、仲裁或者诉讼前， 以及在争议评审、仲裁或诉讼过程中，发包人和承包人均 可共同努力友好协商解决争议。</w:t>
      </w:r>
    </w:p>
    <w:p w14:paraId="4DA532D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10" w:name="_Toc14579"/>
      <w:r>
        <w:rPr>
          <w:rFonts w:ascii="宋体" w:hAnsi="宋体" w:eastAsia="宋体" w:cs="宋体"/>
          <w:b/>
          <w:bCs/>
          <w:snapToGrid/>
          <w:spacing w:val="0"/>
          <w:w w:val="100"/>
          <w:kern w:val="21"/>
          <w:position w:val="0"/>
          <w:sz w:val="28"/>
          <w:szCs w:val="28"/>
        </w:rPr>
        <w:t>24.3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争议评审</w:t>
      </w:r>
      <w:bookmarkEnd w:id="410"/>
    </w:p>
    <w:p w14:paraId="2F99315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24.3.1 采用争议评审的，发包人和承包人应在开工日后的 28 天内或在争议发生后，协商成立</w:t>
      </w:r>
    </w:p>
    <w:p w14:paraId="009789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争议评审组。争议评审组由有合同管理和工程实践经验的专家组成。</w:t>
      </w:r>
    </w:p>
    <w:p w14:paraId="53203502">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24.3.2 合同双方的争议，应首先由申请人向争议评审组提交一份详细的评审申请报告，并附必 要的文件、图纸和证明材料， 申请人还应将上述报告的副本同时提交给被申请人和监理人。</w:t>
      </w:r>
    </w:p>
    <w:p w14:paraId="6C132DB2">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24.3.3 被申请人在收到申请人评审申请报告副本后的 28 天内， 向争议评审组提交一份答辩报 告，并附证明材料。被申请人应将答辩报告的副本同时提交给申请人和监理人。</w:t>
      </w:r>
    </w:p>
    <w:p w14:paraId="2CC09F6C">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24.3.4 除专用合同条款另有约定外，争议评审组在收到合同双方报告后的 14 天内，邀请双方 代表和有关人员举行调查会， 向双方调查争议细节；必要时争议评审组可要求双方进一步提供补充 材料。</w:t>
      </w:r>
    </w:p>
    <w:p w14:paraId="5EC66DAB">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24.3.5 除专用合同条款另有约定外，在调查会结束后的 14 天内，争议评审组应在不受任何干 扰的情况下进行独立、公正的评审，作出书面评审意见，并说明理由。在争议评审期间，争议双方 暂按总监理工程师的确定执行。</w:t>
      </w:r>
    </w:p>
    <w:p w14:paraId="6CCDCF4B">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24.3.6 发包人和承包人接受评审意见的，由监理人根据评审意见拟定执行协议，经争议双方签 字后作为合同的补充文件，并遵照执行。</w:t>
      </w:r>
    </w:p>
    <w:p w14:paraId="3F6FD5C0">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24.3.7 发包人或承包人不接受评审意见，并要求提交仲裁或提起诉讼的，应在收到评审意见后 的 14 天内将仲裁或起诉意向书面通知另一方，并抄送监理人，但在仲裁或诉讼结束前应暂按总监理 工程师的确定执行。</w:t>
      </w:r>
    </w:p>
    <w:p w14:paraId="3870BFF1">
      <w:pPr>
        <w:rPr>
          <w:rFonts w:ascii="宋体" w:hAnsi="宋体" w:eastAsia="宋体" w:cs="宋体"/>
          <w:b/>
          <w:bCs/>
          <w:snapToGrid/>
          <w:spacing w:val="0"/>
          <w:w w:val="100"/>
          <w:kern w:val="21"/>
          <w:position w:val="0"/>
          <w:sz w:val="31"/>
          <w:szCs w:val="31"/>
        </w:rPr>
      </w:pPr>
      <w:bookmarkStart w:id="411" w:name="bookmark158"/>
      <w:bookmarkEnd w:id="411"/>
      <w:r>
        <w:rPr>
          <w:rFonts w:ascii="宋体" w:hAnsi="宋体" w:eastAsia="宋体" w:cs="宋体"/>
          <w:b/>
          <w:bCs/>
          <w:snapToGrid/>
          <w:spacing w:val="0"/>
          <w:w w:val="100"/>
          <w:kern w:val="21"/>
          <w:position w:val="0"/>
          <w:sz w:val="31"/>
          <w:szCs w:val="31"/>
        </w:rPr>
        <w:br w:type="page"/>
      </w:r>
    </w:p>
    <w:p w14:paraId="16AAB6A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412" w:name="_Toc4052"/>
      <w:bookmarkStart w:id="413" w:name="_Toc22739"/>
      <w:bookmarkStart w:id="414" w:name="_Toc9082"/>
      <w:r>
        <w:rPr>
          <w:rFonts w:ascii="宋体" w:hAnsi="宋体" w:eastAsia="宋体" w:cs="宋体"/>
          <w:b/>
          <w:bCs/>
          <w:snapToGrid/>
          <w:spacing w:val="0"/>
          <w:w w:val="100"/>
          <w:kern w:val="21"/>
          <w:position w:val="0"/>
          <w:sz w:val="31"/>
          <w:szCs w:val="31"/>
        </w:rPr>
        <w:t>第二节</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专用合同条款</w:t>
      </w:r>
      <w:bookmarkEnd w:id="412"/>
      <w:bookmarkEnd w:id="413"/>
      <w:bookmarkEnd w:id="414"/>
    </w:p>
    <w:p w14:paraId="51DB509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15" w:name="bookmark159"/>
      <w:bookmarkEnd w:id="415"/>
      <w:bookmarkStart w:id="416" w:name="_Toc20994"/>
      <w:bookmarkStart w:id="417" w:name="_Toc29128"/>
      <w:bookmarkStart w:id="418" w:name="_Toc3687"/>
      <w:r>
        <w:rPr>
          <w:rFonts w:ascii="宋体" w:hAnsi="宋体" w:eastAsia="宋体" w:cs="宋体"/>
          <w:b/>
          <w:bCs/>
          <w:snapToGrid/>
          <w:spacing w:val="0"/>
          <w:w w:val="100"/>
          <w:kern w:val="21"/>
          <w:position w:val="0"/>
          <w:sz w:val="31"/>
          <w:szCs w:val="31"/>
        </w:rPr>
        <w:t>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一般约定</w:t>
      </w:r>
      <w:bookmarkEnd w:id="416"/>
      <w:bookmarkEnd w:id="417"/>
      <w:bookmarkEnd w:id="418"/>
    </w:p>
    <w:p w14:paraId="4E6482A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19" w:name="_Toc14679"/>
      <w:r>
        <w:rPr>
          <w:rFonts w:ascii="宋体" w:hAnsi="宋体" w:eastAsia="宋体" w:cs="宋体"/>
          <w:b/>
          <w:bCs/>
          <w:snapToGrid/>
          <w:spacing w:val="0"/>
          <w:w w:val="100"/>
          <w:kern w:val="21"/>
          <w:position w:val="0"/>
          <w:sz w:val="28"/>
          <w:szCs w:val="28"/>
        </w:rPr>
        <w:t>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词语定义</w:t>
      </w:r>
      <w:bookmarkEnd w:id="419"/>
    </w:p>
    <w:p w14:paraId="1297B1F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20" w:name="_Toc30420"/>
      <w:r>
        <w:rPr>
          <w:rFonts w:ascii="宋体" w:hAnsi="宋体" w:eastAsia="宋体" w:cs="宋体"/>
          <w:b/>
          <w:bCs/>
          <w:snapToGrid/>
          <w:spacing w:val="0"/>
          <w:w w:val="100"/>
          <w:kern w:val="21"/>
          <w:position w:val="0"/>
          <w:sz w:val="20"/>
          <w:szCs w:val="20"/>
        </w:rPr>
        <w:t>1.1.2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合同当事人和人员</w:t>
      </w:r>
      <w:bookmarkEnd w:id="420"/>
    </w:p>
    <w:p w14:paraId="6DE5C01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"1.1.2.2"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1.1.2.2</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发包人： </w:t>
      </w:r>
      <w:r>
        <w:rPr>
          <w:rFonts w:ascii="宋体" w:hAnsi="宋体" w:eastAsia="宋体" w:cs="宋体"/>
          <w:snapToGrid/>
          <w:spacing w:val="0"/>
          <w:w w:val="100"/>
          <w:kern w:val="21"/>
          <w:position w:val="0"/>
          <w:sz w:val="20"/>
          <w:szCs w:val="20"/>
          <w:u w:val="single" w:color="auto"/>
        </w:rPr>
        <w:t xml:space="preserve">             （填入发包人的名称）          </w:t>
      </w:r>
      <w:r>
        <w:rPr>
          <w:rFonts w:ascii="宋体" w:hAnsi="宋体" w:eastAsia="宋体" w:cs="宋体"/>
          <w:snapToGrid/>
          <w:spacing w:val="0"/>
          <w:w w:val="100"/>
          <w:kern w:val="21"/>
          <w:position w:val="0"/>
          <w:sz w:val="20"/>
          <w:szCs w:val="20"/>
        </w:rPr>
        <w:t>。</w:t>
      </w:r>
    </w:p>
    <w:p w14:paraId="5D46B0D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"1.1.2.3"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1.1.2.3</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承包人： </w:t>
      </w:r>
      <w:r>
        <w:rPr>
          <w:rFonts w:ascii="宋体" w:hAnsi="宋体" w:eastAsia="宋体" w:cs="宋体"/>
          <w:snapToGrid/>
          <w:spacing w:val="0"/>
          <w:w w:val="100"/>
          <w:kern w:val="21"/>
          <w:position w:val="0"/>
          <w:sz w:val="20"/>
          <w:szCs w:val="20"/>
          <w:u w:val="single" w:color="auto"/>
        </w:rPr>
        <w:t xml:space="preserve">             （签约后填入承包人的名称）    </w:t>
      </w:r>
      <w:r>
        <w:rPr>
          <w:rFonts w:ascii="宋体" w:hAnsi="宋体" w:eastAsia="宋体" w:cs="宋体"/>
          <w:snapToGrid/>
          <w:spacing w:val="0"/>
          <w:w w:val="100"/>
          <w:kern w:val="21"/>
          <w:position w:val="0"/>
          <w:sz w:val="20"/>
          <w:szCs w:val="20"/>
        </w:rPr>
        <w:t>。</w:t>
      </w:r>
    </w:p>
    <w:p w14:paraId="6327A70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"1.1.2.5"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1.1.2.5</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分包人： </w:t>
      </w:r>
      <w:r>
        <w:rPr>
          <w:rFonts w:ascii="宋体" w:hAnsi="宋体" w:eastAsia="宋体" w:cs="宋体"/>
          <w:snapToGrid/>
          <w:spacing w:val="0"/>
          <w:w w:val="100"/>
          <w:kern w:val="21"/>
          <w:position w:val="0"/>
          <w:sz w:val="20"/>
          <w:szCs w:val="20"/>
          <w:u w:val="single" w:color="auto"/>
        </w:rPr>
        <w:t xml:space="preserve">             （签约后填入分包人的名称）    </w:t>
      </w:r>
      <w:r>
        <w:rPr>
          <w:rFonts w:ascii="宋体" w:hAnsi="宋体" w:eastAsia="宋体" w:cs="宋体"/>
          <w:snapToGrid/>
          <w:spacing w:val="0"/>
          <w:w w:val="100"/>
          <w:kern w:val="21"/>
          <w:position w:val="0"/>
          <w:sz w:val="20"/>
          <w:szCs w:val="20"/>
        </w:rPr>
        <w:t>。</w:t>
      </w:r>
    </w:p>
    <w:p w14:paraId="720CD1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"1.1.2.6"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1.1.2.6</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监理人： </w:t>
      </w:r>
      <w:r>
        <w:rPr>
          <w:rFonts w:ascii="宋体" w:hAnsi="宋体" w:eastAsia="宋体" w:cs="宋体"/>
          <w:snapToGrid/>
          <w:spacing w:val="0"/>
          <w:w w:val="100"/>
          <w:kern w:val="21"/>
          <w:position w:val="0"/>
          <w:sz w:val="20"/>
          <w:szCs w:val="20"/>
          <w:u w:val="single" w:color="auto"/>
        </w:rPr>
        <w:t xml:space="preserve">             （填入监理人名称）            </w:t>
      </w:r>
      <w:r>
        <w:rPr>
          <w:rFonts w:ascii="宋体" w:hAnsi="宋体" w:eastAsia="宋体" w:cs="宋体"/>
          <w:snapToGrid/>
          <w:spacing w:val="0"/>
          <w:w w:val="100"/>
          <w:kern w:val="21"/>
          <w:position w:val="0"/>
          <w:sz w:val="20"/>
          <w:szCs w:val="20"/>
        </w:rPr>
        <w:t>。</w:t>
      </w:r>
    </w:p>
    <w:p w14:paraId="4EF9CE9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21" w:name="_Toc11405"/>
      <w:r>
        <w:rPr>
          <w:rFonts w:ascii="宋体" w:hAnsi="宋体" w:eastAsia="宋体" w:cs="宋体"/>
          <w:b/>
          <w:bCs/>
          <w:snapToGrid/>
          <w:spacing w:val="0"/>
          <w:w w:val="100"/>
          <w:kern w:val="21"/>
          <w:position w:val="0"/>
          <w:sz w:val="20"/>
          <w:szCs w:val="20"/>
        </w:rPr>
        <w:t>1.1.4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日期</w:t>
      </w:r>
      <w:bookmarkEnd w:id="421"/>
    </w:p>
    <w:p w14:paraId="4644981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fldChar w:fldCharType="begin"/>
      </w:r>
      <w:r>
        <w:rPr>
          <w:snapToGrid/>
          <w:spacing w:val="0"/>
          <w:w w:val="100"/>
          <w:kern w:val="21"/>
          <w:position w:val="0"/>
        </w:rPr>
        <w:instrText xml:space="preserve"> HYPERLINK "1.1.4.5"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1.1.4.5</w:t>
      </w:r>
      <w:r>
        <w:rPr>
          <w:rFonts w:ascii="宋体" w:hAnsi="宋体" w:eastAsia="宋体" w:cs="宋体"/>
          <w:snapToGrid/>
          <w:spacing w:val="0"/>
          <w:w w:val="100"/>
          <w:kern w:val="21"/>
          <w:position w:val="0"/>
          <w:sz w:val="20"/>
          <w:szCs w:val="20"/>
        </w:rPr>
        <w:fldChar w:fldCharType="end"/>
      </w:r>
      <w:r>
        <w:rPr>
          <w:rFonts w:ascii="宋体" w:hAnsi="宋体" w:eastAsia="宋体" w:cs="宋体"/>
          <w:snapToGrid/>
          <w:spacing w:val="0"/>
          <w:w w:val="100"/>
          <w:kern w:val="21"/>
          <w:position w:val="0"/>
          <w:sz w:val="20"/>
          <w:szCs w:val="20"/>
        </w:rPr>
        <w:t xml:space="preserve">  缺陷责任期： </w:t>
      </w:r>
      <w:r>
        <w:rPr>
          <w:rFonts w:ascii="宋体" w:hAnsi="宋体" w:eastAsia="宋体" w:cs="宋体"/>
          <w:snapToGrid/>
          <w:spacing w:val="0"/>
          <w:w w:val="100"/>
          <w:kern w:val="21"/>
          <w:position w:val="0"/>
          <w:sz w:val="20"/>
          <w:szCs w:val="20"/>
          <w:u w:val="single" w:color="auto"/>
        </w:rPr>
        <w:t xml:space="preserve"> 缺陷责任期为</w:t>
      </w:r>
      <w:r>
        <w:rPr>
          <w:rFonts w:hint="eastAsia" w:ascii="宋体" w:hAnsi="宋体" w:eastAsia="宋体" w:cs="宋体"/>
          <w:snapToGrid/>
          <w:spacing w:val="0"/>
          <w:w w:val="100"/>
          <w:kern w:val="21"/>
          <w:position w:val="0"/>
          <w:sz w:val="20"/>
          <w:szCs w:val="20"/>
          <w:u w:val="single" w:color="auto"/>
          <w:lang w:val="en-US" w:eastAsia="zh-CN"/>
        </w:rPr>
        <w:t>24</w:t>
      </w:r>
      <w:r>
        <w:rPr>
          <w:rFonts w:ascii="宋体" w:hAnsi="宋体" w:eastAsia="宋体" w:cs="宋体"/>
          <w:snapToGrid/>
          <w:spacing w:val="0"/>
          <w:w w:val="100"/>
          <w:kern w:val="21"/>
          <w:position w:val="0"/>
          <w:sz w:val="20"/>
          <w:szCs w:val="20"/>
          <w:u w:val="single" w:color="auto"/>
        </w:rPr>
        <w:t xml:space="preserve">个月，自工程通过竣工验收之日起计算  </w:t>
      </w:r>
      <w:r>
        <w:rPr>
          <w:rFonts w:ascii="宋体" w:hAnsi="宋体" w:eastAsia="宋体" w:cs="宋体"/>
          <w:snapToGrid/>
          <w:spacing w:val="0"/>
          <w:w w:val="100"/>
          <w:kern w:val="21"/>
          <w:position w:val="0"/>
          <w:sz w:val="20"/>
          <w:szCs w:val="20"/>
        </w:rPr>
        <w:t>。</w:t>
      </w:r>
    </w:p>
    <w:p w14:paraId="221F567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22" w:name="_Toc198"/>
      <w:r>
        <w:rPr>
          <w:rFonts w:ascii="宋体" w:hAnsi="宋体" w:eastAsia="宋体" w:cs="宋体"/>
          <w:b/>
          <w:bCs/>
          <w:snapToGrid/>
          <w:spacing w:val="0"/>
          <w:w w:val="100"/>
          <w:kern w:val="21"/>
          <w:position w:val="0"/>
          <w:sz w:val="28"/>
          <w:szCs w:val="28"/>
        </w:rPr>
        <w:t>1.3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适用法律</w:t>
      </w:r>
      <w:bookmarkEnd w:id="422"/>
    </w:p>
    <w:p w14:paraId="0D3BF64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本合同适用的其他规范性文件：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0513D5E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23" w:name="_Toc9252"/>
      <w:r>
        <w:rPr>
          <w:rFonts w:ascii="宋体" w:hAnsi="宋体" w:eastAsia="宋体" w:cs="宋体"/>
          <w:b/>
          <w:bCs/>
          <w:snapToGrid/>
          <w:spacing w:val="0"/>
          <w:w w:val="100"/>
          <w:kern w:val="21"/>
          <w:position w:val="0"/>
          <w:sz w:val="28"/>
          <w:szCs w:val="28"/>
        </w:rPr>
        <w:t>1.4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合同文件的优先顺序</w:t>
      </w:r>
      <w:bookmarkEnd w:id="423"/>
    </w:p>
    <w:p w14:paraId="27F3887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本合同文件组成及优先顺序为：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1BE2F20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24" w:name="_Toc6493"/>
      <w:r>
        <w:rPr>
          <w:rFonts w:ascii="宋体" w:hAnsi="宋体" w:eastAsia="宋体" w:cs="宋体"/>
          <w:b/>
          <w:bCs/>
          <w:snapToGrid/>
          <w:spacing w:val="0"/>
          <w:w w:val="100"/>
          <w:kern w:val="21"/>
          <w:position w:val="0"/>
          <w:sz w:val="28"/>
          <w:szCs w:val="28"/>
        </w:rPr>
        <w:t>1.6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图纸和承包人文件</w:t>
      </w:r>
      <w:bookmarkEnd w:id="424"/>
    </w:p>
    <w:p w14:paraId="5B91DD88">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1.6.2 承包人负责提供的文件包括：</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，提供数量：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，提供期 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。监理人批复文件的期限：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044E89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1.6.3 修改后图纸签发的期限：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7F8243A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25" w:name="_Toc7524"/>
      <w:r>
        <w:rPr>
          <w:rFonts w:ascii="宋体" w:hAnsi="宋体" w:eastAsia="宋体" w:cs="宋体"/>
          <w:b/>
          <w:bCs/>
          <w:snapToGrid/>
          <w:spacing w:val="0"/>
          <w:w w:val="100"/>
          <w:kern w:val="21"/>
          <w:position w:val="0"/>
          <w:sz w:val="28"/>
          <w:szCs w:val="28"/>
        </w:rPr>
        <w:t>1.7</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联络</w:t>
      </w:r>
      <w:bookmarkEnd w:id="425"/>
    </w:p>
    <w:p w14:paraId="423BCD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1.7.2  来往函件均应在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天内送达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（填写文件送达地点）。</w:t>
      </w:r>
    </w:p>
    <w:p w14:paraId="2037748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26" w:name="bookmark160"/>
      <w:bookmarkEnd w:id="426"/>
      <w:bookmarkStart w:id="427" w:name="_Toc19125"/>
      <w:bookmarkStart w:id="428" w:name="_Toc8489"/>
      <w:bookmarkStart w:id="429" w:name="_Toc30530"/>
      <w:r>
        <w:rPr>
          <w:rFonts w:ascii="宋体" w:hAnsi="宋体" w:eastAsia="宋体" w:cs="宋体"/>
          <w:b/>
          <w:bCs/>
          <w:snapToGrid/>
          <w:spacing w:val="0"/>
          <w:w w:val="100"/>
          <w:kern w:val="21"/>
          <w:position w:val="0"/>
          <w:sz w:val="31"/>
          <w:szCs w:val="31"/>
        </w:rPr>
        <w:t>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发包人义务</w:t>
      </w:r>
      <w:bookmarkEnd w:id="427"/>
      <w:bookmarkEnd w:id="428"/>
      <w:bookmarkEnd w:id="429"/>
    </w:p>
    <w:p w14:paraId="318783A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30" w:name="_Toc30077"/>
      <w:r>
        <w:rPr>
          <w:rFonts w:ascii="宋体" w:hAnsi="宋体" w:eastAsia="宋体" w:cs="宋体"/>
          <w:b/>
          <w:bCs/>
          <w:snapToGrid/>
          <w:spacing w:val="0"/>
          <w:w w:val="100"/>
          <w:kern w:val="21"/>
          <w:position w:val="0"/>
          <w:sz w:val="28"/>
          <w:szCs w:val="28"/>
        </w:rPr>
        <w:t>2.3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提供施工场地</w:t>
      </w:r>
      <w:bookmarkEnd w:id="430"/>
    </w:p>
    <w:p w14:paraId="3F25F7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本款细化为：</w:t>
      </w:r>
    </w:p>
    <w:p w14:paraId="5123D6B4">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2.3.1 发包人应在合同双方签订合同协议书后的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天内，将本合同工程的施工场地范围图 提交给承包人。发包人提供的施工场地范围图应标明场地范围内永久占地与临时占地的范围和界 限， 以及指明提供给承包人用于施工场地布置的范围和界限及其有关资料。</w:t>
      </w:r>
    </w:p>
    <w:p w14:paraId="2A12D9C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2.3.2 发包人提供的施工用地范围为：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6F83908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2.3.3 承包人自行踏勘的施工场地范围为：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b/>
          <w:bCs/>
          <w:snapToGrid/>
          <w:spacing w:val="0"/>
          <w:w w:val="100"/>
          <w:kern w:val="21"/>
          <w:position w:val="0"/>
          <w:sz w:val="20"/>
          <w:szCs w:val="20"/>
        </w:rPr>
        <w:t>。</w:t>
      </w:r>
    </w:p>
    <w:p w14:paraId="4F0063E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31" w:name="_Toc27658"/>
      <w:r>
        <w:rPr>
          <w:rFonts w:ascii="宋体" w:hAnsi="宋体" w:eastAsia="宋体" w:cs="宋体"/>
          <w:b/>
          <w:bCs/>
          <w:snapToGrid/>
          <w:spacing w:val="0"/>
          <w:w w:val="100"/>
          <w:kern w:val="21"/>
          <w:position w:val="0"/>
          <w:sz w:val="28"/>
          <w:szCs w:val="28"/>
        </w:rPr>
        <w:t>2.8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其它义务</w:t>
      </w:r>
      <w:bookmarkEnd w:id="431"/>
    </w:p>
    <w:p w14:paraId="0E5203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发包人应履行的其他义务：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0F2AF7A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32" w:name="bookmark161"/>
      <w:bookmarkEnd w:id="432"/>
      <w:bookmarkStart w:id="433" w:name="_Toc18101"/>
      <w:bookmarkStart w:id="434" w:name="_Toc4335"/>
      <w:bookmarkStart w:id="435" w:name="_Toc13941"/>
      <w:r>
        <w:rPr>
          <w:rFonts w:ascii="宋体" w:hAnsi="宋体" w:eastAsia="宋体" w:cs="宋体"/>
          <w:b/>
          <w:bCs/>
          <w:snapToGrid/>
          <w:spacing w:val="0"/>
          <w:w w:val="100"/>
          <w:kern w:val="21"/>
          <w:position w:val="0"/>
          <w:sz w:val="31"/>
          <w:szCs w:val="31"/>
        </w:rPr>
        <w:t>3.</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监理人</w:t>
      </w:r>
      <w:bookmarkEnd w:id="433"/>
      <w:bookmarkEnd w:id="434"/>
      <w:bookmarkEnd w:id="435"/>
    </w:p>
    <w:p w14:paraId="1256F6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36" w:name="_Toc29425"/>
      <w:r>
        <w:rPr>
          <w:rFonts w:ascii="宋体" w:hAnsi="宋体" w:eastAsia="宋体" w:cs="宋体"/>
          <w:b/>
          <w:bCs/>
          <w:snapToGrid/>
          <w:spacing w:val="0"/>
          <w:w w:val="100"/>
          <w:kern w:val="21"/>
          <w:position w:val="0"/>
          <w:sz w:val="28"/>
          <w:szCs w:val="28"/>
        </w:rPr>
        <w:t>3.1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监理人的职责和权力</w:t>
      </w:r>
      <w:bookmarkEnd w:id="436"/>
    </w:p>
    <w:p w14:paraId="4DCB43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3.1.1 监理人须经发包人事先批准的权力范围行使权力，发包人批准的权力范围：</w:t>
      </w:r>
    </w:p>
    <w:p w14:paraId="316E477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（说明：填写监理人须经发包人批准才能行使的权力，以下示例供参考）</w:t>
      </w:r>
    </w:p>
    <w:p w14:paraId="2C725E3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（1）按第 4.3 款约定，批准工程的分包；</w:t>
      </w:r>
    </w:p>
    <w:p w14:paraId="476242C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（2）按第 11.3 款约定，确定延长竣工期限；</w:t>
      </w:r>
    </w:p>
    <w:p w14:paraId="28F3CEB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（3）按第 15.6 款约定，批准暂列金额的使用；</w:t>
      </w:r>
    </w:p>
    <w:p w14:paraId="7C23638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 ……</w:t>
      </w:r>
    </w:p>
    <w:p w14:paraId="03279B8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37" w:name="bookmark162"/>
      <w:bookmarkEnd w:id="437"/>
      <w:bookmarkStart w:id="438" w:name="_Toc7167"/>
      <w:bookmarkStart w:id="439" w:name="_Toc14452"/>
      <w:bookmarkStart w:id="440" w:name="_Toc5071"/>
      <w:r>
        <w:rPr>
          <w:rFonts w:ascii="宋体" w:hAnsi="宋体" w:eastAsia="宋体" w:cs="宋体"/>
          <w:b/>
          <w:bCs/>
          <w:snapToGrid/>
          <w:spacing w:val="0"/>
          <w:w w:val="100"/>
          <w:kern w:val="21"/>
          <w:position w:val="0"/>
          <w:sz w:val="31"/>
          <w:szCs w:val="31"/>
        </w:rPr>
        <w:t>4.</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承包人</w:t>
      </w:r>
      <w:bookmarkEnd w:id="438"/>
      <w:bookmarkEnd w:id="439"/>
      <w:bookmarkEnd w:id="440"/>
    </w:p>
    <w:p w14:paraId="05325F7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41" w:name="_Toc19574"/>
      <w:r>
        <w:rPr>
          <w:rFonts w:ascii="宋体" w:hAnsi="宋体" w:eastAsia="宋体" w:cs="宋体"/>
          <w:b/>
          <w:bCs/>
          <w:snapToGrid/>
          <w:spacing w:val="0"/>
          <w:w w:val="100"/>
          <w:kern w:val="21"/>
          <w:position w:val="0"/>
          <w:sz w:val="28"/>
          <w:szCs w:val="28"/>
        </w:rPr>
        <w:t>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承包人的一般义务</w:t>
      </w:r>
      <w:bookmarkEnd w:id="441"/>
    </w:p>
    <w:p w14:paraId="6AAEDE1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本项细化为：</w:t>
      </w:r>
    </w:p>
    <w:p w14:paraId="3E4CEFA6">
      <w:pPr>
        <w:keepNext w:val="0"/>
        <w:keepLines w:val="0"/>
        <w:pageBreakBefore w:val="0"/>
        <w:widowControl w:val="0"/>
        <w:kinsoku/>
        <w:wordWrap w:val="0"/>
        <w:overflowPunct/>
        <w:topLinePunct/>
        <w:autoSpaceDE w:val="0"/>
        <w:autoSpaceDN/>
        <w:bidi w:val="0"/>
        <w:adjustRightInd/>
        <w:snapToGrid/>
        <w:spacing w:line="560" w:lineRule="exact"/>
        <w:ind w:left="0" w:right="0" w:firstLine="45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承包人应加强工程建设资金管理，做到专款专用；实行项目资金专户管理和（或）独立 核算制度、财务管理人员（财务主管和出纳）须是本单位人员，项目资金的使用由项目经理负责 签字、审批。</w:t>
      </w:r>
    </w:p>
    <w:p w14:paraId="09CE0E4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（2）关于农民工工资的约定</w:t>
      </w:r>
    </w:p>
    <w:p w14:paraId="731A5C47">
      <w:pPr>
        <w:keepNext w:val="0"/>
        <w:keepLines w:val="0"/>
        <w:pageBreakBefore w:val="0"/>
        <w:widowControl w:val="0"/>
        <w:kinsoku/>
        <w:wordWrap w:val="0"/>
        <w:overflowPunct/>
        <w:topLinePunct/>
        <w:autoSpaceDE w:val="0"/>
        <w:autoSpaceDN/>
        <w:bidi w:val="0"/>
        <w:adjustRightInd/>
        <w:snapToGrid/>
        <w:spacing w:line="560" w:lineRule="exact"/>
        <w:ind w:left="0" w:right="0" w:firstLine="43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1）承包人在合同签订后、工程开工前，到工程所在地银行开设农民工工资专用账户并按规定 办理农民工工资保证金；</w:t>
      </w:r>
    </w:p>
    <w:p w14:paraId="4AAF2795">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2）承包人对自身招用的和分包企业招用的农民工管理负总责，必须按照国家法律法规相关规 定，及时与所招用的农民工签订劳动合同；</w:t>
      </w:r>
    </w:p>
    <w:p w14:paraId="540D6167">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3）承包人及其分包企业实行农民工劳动用工实名制管理，与招用的农民工书面约定或者通过 依法制定的规章制度规定工资支付标准、支付时间、支付方式等内容；</w:t>
      </w:r>
    </w:p>
    <w:p w14:paraId="70FACFA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4）承包人应在项目部按照规定配备劳资专管员，负责现场用工管理和工资发放等工作；</w:t>
      </w:r>
    </w:p>
    <w:p w14:paraId="79DF399F">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5）在合同规定的按月工资发放日前，承包人对当期应发放农民工工资金额进行核定，如农民 工工资专用账户余额低于应发工资总额，应及时补足账户资金，保障工资发放日前专用账户资金 能足额支付农民工工资；</w:t>
      </w:r>
    </w:p>
    <w:p w14:paraId="22090BB0">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6）承包人及其分包企业在施工现场醒目位置设立维权信息公示牌，维权信息公示牌要注明所 实施工程所在地人力资源社会保障部门和水行政主管部门监督投诉举报电话，注明发包人、承包人、分包企业及其主要负责人， 明示农民工工资按月支付日期等；</w:t>
      </w:r>
    </w:p>
    <w:p w14:paraId="4B63FD58">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7）工程经县级初验后，承包人应在施工现场对该项目农民工工资发放情况进行公示，公示期 不少于 7 日，公示需注明人力资源社会保障部门和农业农村部门监督投诉举报电话等。</w:t>
      </w:r>
    </w:p>
    <w:p w14:paraId="3102C2D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（3）档案管理</w:t>
      </w:r>
    </w:p>
    <w:p w14:paraId="43259687">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承包人应建立符合要求且规范的项目文件管理和档案管理制度，负责项目文件收集、整理和 归档工作。</w:t>
      </w:r>
    </w:p>
    <w:p w14:paraId="03FD89F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p>
    <w:p w14:paraId="31CE237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42" w:name="_Toc8828"/>
      <w:r>
        <w:rPr>
          <w:rFonts w:ascii="宋体" w:hAnsi="宋体" w:eastAsia="宋体" w:cs="宋体"/>
          <w:b/>
          <w:bCs/>
          <w:snapToGrid/>
          <w:spacing w:val="0"/>
          <w:w w:val="100"/>
          <w:kern w:val="21"/>
          <w:position w:val="0"/>
          <w:sz w:val="28"/>
          <w:szCs w:val="28"/>
        </w:rPr>
        <w:t>4.3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分包</w:t>
      </w:r>
      <w:bookmarkEnd w:id="442"/>
    </w:p>
    <w:p w14:paraId="5568DA7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43" w:name="_Toc27447"/>
      <w:r>
        <w:rPr>
          <w:rFonts w:ascii="宋体" w:hAnsi="宋体" w:eastAsia="宋体" w:cs="宋体"/>
          <w:snapToGrid/>
          <w:spacing w:val="0"/>
          <w:w w:val="100"/>
          <w:kern w:val="21"/>
          <w:position w:val="0"/>
          <w:sz w:val="20"/>
          <w:szCs w:val="20"/>
        </w:rPr>
        <w:t>4.3.2  允许承包人分包的工程项目、工作内容与分包金额限额为：</w:t>
      </w:r>
      <w:bookmarkEnd w:id="443"/>
    </w:p>
    <w:p w14:paraId="23E4831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1）工程项目：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72B393D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2）工作内容：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3A6A21D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3）分包金额限额：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89A986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44" w:name="_Toc28111"/>
      <w:r>
        <w:rPr>
          <w:rFonts w:ascii="宋体" w:hAnsi="宋体" w:eastAsia="宋体" w:cs="宋体"/>
          <w:b/>
          <w:bCs/>
          <w:snapToGrid/>
          <w:spacing w:val="0"/>
          <w:w w:val="100"/>
          <w:kern w:val="21"/>
          <w:position w:val="0"/>
          <w:sz w:val="28"/>
          <w:szCs w:val="28"/>
        </w:rPr>
        <w:t>4.6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承包人人员的管理</w:t>
      </w:r>
      <w:bookmarkEnd w:id="444"/>
    </w:p>
    <w:p w14:paraId="791E596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本款补充第 4.6.5 项～第 4.6.8 项：</w:t>
      </w:r>
    </w:p>
    <w:p w14:paraId="09DC652B">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4.6.5 投标文件承诺的项目部主要管理人员在主体工程施工期间原则上不得更换。如发生下列 情形之一的，应当办理书面手续后方能变更人员：</w:t>
      </w:r>
    </w:p>
    <w:p w14:paraId="00ED469A">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（1）因管理人员重大疾病、死亡、调离所在单位、辞职、犯罪、移民等特殊原因确需变更，提 供相关证明材料，且经发包方同意更换的；</w:t>
      </w:r>
    </w:p>
    <w:p w14:paraId="3D2BD02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（2）因不可抗力等特殊情况必须更换的。</w:t>
      </w:r>
    </w:p>
    <w:p w14:paraId="22C6DBB1">
      <w:pPr>
        <w:keepNext w:val="0"/>
        <w:keepLines w:val="0"/>
        <w:pageBreakBefore w:val="0"/>
        <w:widowControl w:val="0"/>
        <w:kinsoku/>
        <w:wordWrap w:val="0"/>
        <w:overflowPunct/>
        <w:topLinePunct/>
        <w:autoSpaceDE w:val="0"/>
        <w:autoSpaceDN/>
        <w:bidi w:val="0"/>
        <w:adjustRightInd/>
        <w:snapToGrid/>
        <w:spacing w:line="560" w:lineRule="exact"/>
        <w:ind w:left="0" w:right="0" w:firstLine="41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除上述情况外，项目部更换项目经理或技术负责人的每次支付违约金</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万元，更换其余人员 的每人次支付违约金</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万元。</w:t>
      </w:r>
    </w:p>
    <w:p w14:paraId="21388109">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4.6.6 本项目主体工程施工期间，项目部应按要求提供主要管理人员有关证件供发包人和有关 部门监督、检查。</w:t>
      </w:r>
    </w:p>
    <w:p w14:paraId="1B5D38F3">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4.6.7 工程现场使用劳务人员的，承包人应与劳务人员签订相应的劳动合同，若通过劳务公司 用工的，承包人应与劳务公司签订劳务分包合同（并核验劳务公司与所用劳务人员的劳动合同）。</w:t>
      </w:r>
    </w:p>
    <w:p w14:paraId="7315180F">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4.6.8 派驻的现场人员名单公示，并实行考勤管理。确定本工程考勤人员范围，应考勤人员驻 工地期间每天参加考勤。承包人项目经理、技术负责人每月驻工地天数不得少于</w:t>
      </w:r>
      <w:r>
        <w:rPr>
          <w:rFonts w:ascii="宋体" w:hAnsi="宋体" w:eastAsia="宋体" w:cs="宋体"/>
          <w:snapToGrid/>
          <w:spacing w:val="0"/>
          <w:w w:val="100"/>
          <w:kern w:val="21"/>
          <w:position w:val="0"/>
          <w:sz w:val="20"/>
          <w:szCs w:val="20"/>
          <w:u w:val="single" w:color="auto"/>
        </w:rPr>
        <w:t xml:space="preserve"> 22 </w:t>
      </w:r>
      <w:r>
        <w:rPr>
          <w:rFonts w:ascii="宋体" w:hAnsi="宋体" w:eastAsia="宋体" w:cs="宋体"/>
          <w:snapToGrid/>
          <w:spacing w:val="0"/>
          <w:w w:val="100"/>
          <w:kern w:val="21"/>
          <w:position w:val="0"/>
          <w:sz w:val="20"/>
          <w:szCs w:val="20"/>
        </w:rPr>
        <w:t>天，且根据国 家法律法规规定以及</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等重点时段和关键环节必须在工地，否则每缺勤一天向发包人支 付违约金</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元；其他主要人员每月驻工地天数不得少于 </w:t>
      </w:r>
      <w:r>
        <w:rPr>
          <w:rFonts w:ascii="宋体" w:hAnsi="宋体" w:eastAsia="宋体" w:cs="宋体"/>
          <w:snapToGrid/>
          <w:spacing w:val="0"/>
          <w:w w:val="100"/>
          <w:kern w:val="21"/>
          <w:position w:val="0"/>
          <w:sz w:val="20"/>
          <w:szCs w:val="20"/>
          <w:u w:val="single" w:color="auto"/>
        </w:rPr>
        <w:t xml:space="preserve"> 22 </w:t>
      </w:r>
      <w:r>
        <w:rPr>
          <w:rFonts w:ascii="宋体" w:hAnsi="宋体" w:eastAsia="宋体" w:cs="宋体"/>
          <w:snapToGrid/>
          <w:spacing w:val="0"/>
          <w:w w:val="100"/>
          <w:kern w:val="21"/>
          <w:position w:val="0"/>
          <w:sz w:val="20"/>
          <w:szCs w:val="20"/>
        </w:rPr>
        <w:t>天，否则每缺勤一天向发包人支付 违约金</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元。发包人将对承包人项目经理和技术负责人、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等主要人员进行考勤。</w:t>
      </w:r>
    </w:p>
    <w:p w14:paraId="3157384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45" w:name="_Toc22561"/>
      <w:r>
        <w:rPr>
          <w:rFonts w:ascii="宋体" w:hAnsi="宋体" w:eastAsia="宋体" w:cs="宋体"/>
          <w:b/>
          <w:bCs/>
          <w:snapToGrid/>
          <w:spacing w:val="0"/>
          <w:w w:val="100"/>
          <w:kern w:val="21"/>
          <w:position w:val="0"/>
          <w:sz w:val="28"/>
          <w:szCs w:val="28"/>
        </w:rPr>
        <w:t>4.11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不利物质条件</w:t>
      </w:r>
      <w:bookmarkEnd w:id="445"/>
    </w:p>
    <w:p w14:paraId="4B2932F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4.11.1 不利物质条件的范围：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4586A7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46" w:name="bookmark163"/>
      <w:bookmarkEnd w:id="446"/>
      <w:bookmarkStart w:id="447" w:name="_Toc5862"/>
      <w:bookmarkStart w:id="448" w:name="_Toc18548"/>
      <w:bookmarkStart w:id="449" w:name="_Toc27021"/>
      <w:r>
        <w:rPr>
          <w:rFonts w:ascii="宋体" w:hAnsi="宋体" w:eastAsia="宋体" w:cs="宋体"/>
          <w:b/>
          <w:bCs/>
          <w:snapToGrid/>
          <w:spacing w:val="0"/>
          <w:w w:val="100"/>
          <w:kern w:val="21"/>
          <w:position w:val="0"/>
          <w:sz w:val="31"/>
          <w:szCs w:val="31"/>
        </w:rPr>
        <w:t>6.</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施工设备和临时设施</w:t>
      </w:r>
      <w:bookmarkEnd w:id="447"/>
      <w:bookmarkEnd w:id="448"/>
      <w:bookmarkEnd w:id="449"/>
    </w:p>
    <w:p w14:paraId="4BF3E6C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50" w:name="_Toc4113"/>
      <w:r>
        <w:rPr>
          <w:rFonts w:ascii="宋体" w:hAnsi="宋体" w:eastAsia="宋体" w:cs="宋体"/>
          <w:b/>
          <w:bCs/>
          <w:snapToGrid/>
          <w:spacing w:val="0"/>
          <w:w w:val="100"/>
          <w:kern w:val="21"/>
          <w:position w:val="0"/>
          <w:sz w:val="28"/>
          <w:szCs w:val="28"/>
        </w:rPr>
        <w:t>6.1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承包人提供的施工设备和临时设施</w:t>
      </w:r>
      <w:bookmarkEnd w:id="450"/>
    </w:p>
    <w:p w14:paraId="6B0DDF6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本款补充第 6.1.3 项：</w:t>
      </w:r>
    </w:p>
    <w:p w14:paraId="5300F89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51" w:name="_Toc26715"/>
      <w:r>
        <w:rPr>
          <w:rFonts w:ascii="宋体" w:hAnsi="宋体" w:eastAsia="宋体" w:cs="宋体"/>
          <w:snapToGrid/>
          <w:spacing w:val="0"/>
          <w:w w:val="100"/>
          <w:kern w:val="21"/>
          <w:position w:val="0"/>
          <w:sz w:val="20"/>
          <w:szCs w:val="20"/>
        </w:rPr>
        <w:t>6.1.3 承包人采用设备租赁的，应遵守以下规定：</w:t>
      </w:r>
      <w:bookmarkEnd w:id="451"/>
    </w:p>
    <w:p w14:paraId="4CFB867F">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设备租赁双方应当签订租赁合同，主要内容应包括：设备种类型号，租赁方式、租赁期限、 租赁价格、租赁工作量及结算方式，租赁双方责任及义务，违约及纠纷处理方式等。</w:t>
      </w:r>
    </w:p>
    <w:p w14:paraId="51135D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承包人应严格把好设备出租方资格关，不得向没有相关资质的出租方租赁设备。</w:t>
      </w:r>
    </w:p>
    <w:p w14:paraId="5E75842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 设备租赁价格应与同期市场价格相符。</w:t>
      </w:r>
    </w:p>
    <w:p w14:paraId="4092963F">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 设备出租方提供操作人员的，操作人员不能代替承包人项目管理人员对工程施工技术和质 量的管理。</w:t>
      </w:r>
    </w:p>
    <w:p w14:paraId="6C68B35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52" w:name="_Toc10096"/>
      <w:r>
        <w:rPr>
          <w:rFonts w:ascii="宋体" w:hAnsi="宋体" w:eastAsia="宋体" w:cs="宋体"/>
          <w:b/>
          <w:bCs/>
          <w:snapToGrid/>
          <w:spacing w:val="0"/>
          <w:w w:val="100"/>
          <w:kern w:val="21"/>
          <w:position w:val="0"/>
          <w:sz w:val="28"/>
          <w:szCs w:val="28"/>
        </w:rPr>
        <w:t>6.2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发包人提供的施工设备和临时设施</w:t>
      </w:r>
      <w:bookmarkEnd w:id="452"/>
    </w:p>
    <w:p w14:paraId="4174543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发包人提供的施工设备或临时设施：</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1952F85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53" w:name="bookmark164"/>
      <w:bookmarkEnd w:id="453"/>
      <w:bookmarkStart w:id="454" w:name="_Toc14379"/>
      <w:bookmarkStart w:id="455" w:name="_Toc20486"/>
      <w:bookmarkStart w:id="456" w:name="_Toc29004"/>
      <w:r>
        <w:rPr>
          <w:rFonts w:ascii="宋体" w:hAnsi="宋体" w:eastAsia="宋体" w:cs="宋体"/>
          <w:b/>
          <w:bCs/>
          <w:snapToGrid/>
          <w:spacing w:val="0"/>
          <w:w w:val="100"/>
          <w:kern w:val="21"/>
          <w:position w:val="0"/>
          <w:sz w:val="31"/>
          <w:szCs w:val="31"/>
        </w:rPr>
        <w:t>7.</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交通运输</w:t>
      </w:r>
      <w:bookmarkEnd w:id="454"/>
      <w:bookmarkEnd w:id="455"/>
      <w:bookmarkEnd w:id="456"/>
    </w:p>
    <w:p w14:paraId="417AFE1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57" w:name="_Toc11190"/>
      <w:r>
        <w:rPr>
          <w:rFonts w:ascii="宋体" w:hAnsi="宋体" w:eastAsia="宋体" w:cs="宋体"/>
          <w:b/>
          <w:bCs/>
          <w:snapToGrid/>
          <w:spacing w:val="0"/>
          <w:w w:val="100"/>
          <w:kern w:val="21"/>
          <w:position w:val="0"/>
          <w:sz w:val="28"/>
          <w:szCs w:val="28"/>
        </w:rPr>
        <w:t>7.1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道路通行权和场外设施</w:t>
      </w:r>
      <w:bookmarkEnd w:id="457"/>
    </w:p>
    <w:p w14:paraId="63BAA3B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道路通行权和场外设施的约定：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4AA169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58" w:name="bookmark165"/>
      <w:bookmarkEnd w:id="458"/>
      <w:bookmarkStart w:id="459" w:name="_Toc11185"/>
      <w:bookmarkStart w:id="460" w:name="_Toc17283"/>
      <w:bookmarkStart w:id="461" w:name="_Toc4752"/>
      <w:r>
        <w:rPr>
          <w:rFonts w:ascii="宋体" w:hAnsi="宋体" w:eastAsia="宋体" w:cs="宋体"/>
          <w:b/>
          <w:bCs/>
          <w:snapToGrid/>
          <w:spacing w:val="0"/>
          <w:w w:val="100"/>
          <w:kern w:val="21"/>
          <w:position w:val="0"/>
          <w:sz w:val="31"/>
          <w:szCs w:val="31"/>
        </w:rPr>
        <w:t>8.</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测量放线</w:t>
      </w:r>
      <w:bookmarkEnd w:id="459"/>
      <w:bookmarkEnd w:id="460"/>
      <w:bookmarkEnd w:id="461"/>
    </w:p>
    <w:p w14:paraId="04AEA1B9">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62" w:name="_Toc14837"/>
      <w:r>
        <w:rPr>
          <w:rFonts w:ascii="宋体" w:hAnsi="宋体" w:eastAsia="宋体" w:cs="宋体"/>
          <w:b/>
          <w:bCs/>
          <w:snapToGrid/>
          <w:spacing w:val="0"/>
          <w:w w:val="100"/>
          <w:kern w:val="21"/>
          <w:position w:val="0"/>
          <w:sz w:val="28"/>
          <w:szCs w:val="28"/>
        </w:rPr>
        <w:t>8.1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施工控制网</w:t>
      </w:r>
      <w:bookmarkEnd w:id="462"/>
    </w:p>
    <w:p w14:paraId="16FB9CDF">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8.1.1 发包人应在本合同协议书签订后的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天内，通过监理人向承包人提供测量基准点、 基准线和水准点及其相关资料。承包人应在收到上述资料后的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天内，将实测的施工控制网资 料提交监理人审批。监理人应在收到报批件后的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天内批复承包人。</w:t>
      </w:r>
    </w:p>
    <w:p w14:paraId="01D8768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63" w:name="bookmark166"/>
      <w:bookmarkEnd w:id="463"/>
      <w:bookmarkStart w:id="464" w:name="_Toc8641"/>
      <w:bookmarkStart w:id="465" w:name="_Toc10257"/>
      <w:bookmarkStart w:id="466" w:name="_Toc1615"/>
      <w:r>
        <w:rPr>
          <w:rFonts w:ascii="宋体" w:hAnsi="宋体" w:eastAsia="宋体" w:cs="宋体"/>
          <w:b/>
          <w:bCs/>
          <w:snapToGrid/>
          <w:spacing w:val="0"/>
          <w:w w:val="100"/>
          <w:kern w:val="21"/>
          <w:position w:val="0"/>
          <w:sz w:val="31"/>
          <w:szCs w:val="31"/>
        </w:rPr>
        <w:t>9.</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施工安全、治安保卫和环境保护</w:t>
      </w:r>
      <w:bookmarkEnd w:id="464"/>
      <w:bookmarkEnd w:id="465"/>
      <w:bookmarkEnd w:id="466"/>
    </w:p>
    <w:p w14:paraId="7B4791C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67" w:name="_Toc15074"/>
      <w:r>
        <w:rPr>
          <w:rFonts w:ascii="宋体" w:hAnsi="宋体" w:eastAsia="宋体" w:cs="宋体"/>
          <w:b/>
          <w:bCs/>
          <w:snapToGrid/>
          <w:spacing w:val="0"/>
          <w:w w:val="100"/>
          <w:kern w:val="21"/>
          <w:position w:val="0"/>
          <w:sz w:val="28"/>
          <w:szCs w:val="28"/>
        </w:rPr>
        <w:t>9.1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发包人的施工安全责任</w:t>
      </w:r>
      <w:bookmarkEnd w:id="467"/>
    </w:p>
    <w:p w14:paraId="3084DCC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本款补充第 9.1.4 项、第 9.1.5 项：</w:t>
      </w:r>
    </w:p>
    <w:p w14:paraId="5BB5CD62">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9.1.4 发包人负责向承包人提供施工现场及施工可能影响的毗邻区域内供水、排水、供电、供 气、供热、通信、广播电视等地下管线资料，气象和水文观测资料，拟建工程可能影响的相邻建筑物地下工程的有关资料，并保证有关资料的真实、准确、完整， 满足有关技术规程的要求。</w:t>
      </w:r>
    </w:p>
    <w:p w14:paraId="4798530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9.1.5 发包人负责在拆除工程施工 15 天前向有关部门或机构报送相关备案资料。</w:t>
      </w:r>
    </w:p>
    <w:p w14:paraId="737ED05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68" w:name="_Toc10272"/>
      <w:r>
        <w:rPr>
          <w:rFonts w:ascii="宋体" w:hAnsi="宋体" w:eastAsia="宋体" w:cs="宋体"/>
          <w:b/>
          <w:bCs/>
          <w:snapToGrid/>
          <w:spacing w:val="0"/>
          <w:w w:val="100"/>
          <w:kern w:val="21"/>
          <w:position w:val="0"/>
          <w:sz w:val="28"/>
          <w:szCs w:val="28"/>
        </w:rPr>
        <w:t>9.5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事故处理</w:t>
      </w:r>
      <w:bookmarkEnd w:id="468"/>
    </w:p>
    <w:p w14:paraId="57A3AE2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本款细化为：</w:t>
      </w:r>
    </w:p>
    <w:p w14:paraId="0279FF24">
      <w:pPr>
        <w:keepNext w:val="0"/>
        <w:keepLines w:val="0"/>
        <w:pageBreakBefore w:val="0"/>
        <w:widowControl w:val="0"/>
        <w:kinsoku/>
        <w:wordWrap w:val="0"/>
        <w:overflowPunct/>
        <w:topLinePunct/>
        <w:autoSpaceDE w:val="0"/>
        <w:autoSpaceDN/>
        <w:bidi w:val="0"/>
        <w:adjustRightInd/>
        <w:snapToGrid/>
        <w:spacing w:line="560" w:lineRule="exact"/>
        <w:ind w:left="0" w:right="0" w:firstLine="413"/>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9.5.1 </w:t>
      </w:r>
      <w:r>
        <w:rPr>
          <w:rFonts w:ascii="宋体" w:hAnsi="宋体" w:eastAsia="宋体" w:cs="宋体"/>
          <w:snapToGrid/>
          <w:spacing w:val="0"/>
          <w:w w:val="100"/>
          <w:kern w:val="21"/>
          <w:position w:val="0"/>
          <w:sz w:val="20"/>
          <w:szCs w:val="20"/>
        </w:rPr>
        <w:t>发包人负责组织参建单位制定本工程的质量与安全事故应急预案，建立质量与安全事故应 急处置指挥部。</w:t>
      </w:r>
    </w:p>
    <w:p w14:paraId="2F3C7BCF">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9.5.2 </w:t>
      </w:r>
      <w:r>
        <w:rPr>
          <w:rFonts w:ascii="宋体" w:hAnsi="宋体" w:eastAsia="宋体" w:cs="宋体"/>
          <w:snapToGrid/>
          <w:spacing w:val="0"/>
          <w:w w:val="100"/>
          <w:kern w:val="21"/>
          <w:position w:val="0"/>
          <w:sz w:val="20"/>
          <w:szCs w:val="20"/>
        </w:rPr>
        <w:t>承包人应对施工现场易发生重大事故的部位、环节进行监控，配备救援器材、设备，并定 期组织演练。</w:t>
      </w:r>
    </w:p>
    <w:p w14:paraId="2D442E2C">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9.5.3 </w:t>
      </w:r>
      <w:r>
        <w:rPr>
          <w:rFonts w:ascii="宋体" w:hAnsi="宋体" w:eastAsia="宋体" w:cs="宋体"/>
          <w:snapToGrid/>
          <w:spacing w:val="0"/>
          <w:w w:val="100"/>
          <w:kern w:val="21"/>
          <w:position w:val="0"/>
          <w:sz w:val="20"/>
          <w:szCs w:val="20"/>
        </w:rPr>
        <w:t>工程开工前，承包人应根据本工程的特点制定施工现场施工质量与安全事故应急预案，并 报发包人备案。</w:t>
      </w:r>
    </w:p>
    <w:p w14:paraId="47D1AA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9.5.4 </w:t>
      </w:r>
      <w:r>
        <w:rPr>
          <w:rFonts w:ascii="宋体" w:hAnsi="宋体" w:eastAsia="宋体" w:cs="宋体"/>
          <w:snapToGrid/>
          <w:spacing w:val="0"/>
          <w:w w:val="100"/>
          <w:kern w:val="21"/>
          <w:position w:val="0"/>
          <w:sz w:val="20"/>
          <w:szCs w:val="20"/>
        </w:rPr>
        <w:t>施工过程中发生事故时，发包人、承包人应立即启动应急预案。</w:t>
      </w:r>
    </w:p>
    <w:p w14:paraId="47642A6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9.5.5 </w:t>
      </w:r>
      <w:r>
        <w:rPr>
          <w:rFonts w:ascii="宋体" w:hAnsi="宋体" w:eastAsia="宋体" w:cs="宋体"/>
          <w:snapToGrid/>
          <w:spacing w:val="0"/>
          <w:w w:val="100"/>
          <w:kern w:val="21"/>
          <w:position w:val="0"/>
          <w:sz w:val="20"/>
          <w:szCs w:val="20"/>
        </w:rPr>
        <w:t>事故调查处理由发包人按相关规定履行手续，承包人应配合。</w:t>
      </w:r>
    </w:p>
    <w:p w14:paraId="7D0993C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69" w:name="bookmark167"/>
      <w:bookmarkEnd w:id="469"/>
      <w:bookmarkStart w:id="470" w:name="_Toc25940"/>
      <w:bookmarkStart w:id="471" w:name="_Toc21908"/>
      <w:bookmarkStart w:id="472" w:name="_Toc30705"/>
      <w:r>
        <w:rPr>
          <w:rFonts w:ascii="宋体" w:hAnsi="宋体" w:eastAsia="宋体" w:cs="宋体"/>
          <w:b/>
          <w:bCs/>
          <w:snapToGrid/>
          <w:spacing w:val="0"/>
          <w:w w:val="100"/>
          <w:kern w:val="21"/>
          <w:position w:val="0"/>
          <w:sz w:val="31"/>
          <w:szCs w:val="31"/>
        </w:rPr>
        <w:t>10.</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进度计划</w:t>
      </w:r>
      <w:bookmarkEnd w:id="470"/>
      <w:bookmarkEnd w:id="471"/>
      <w:bookmarkEnd w:id="472"/>
    </w:p>
    <w:p w14:paraId="032C288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73" w:name="_Toc15758"/>
      <w:r>
        <w:rPr>
          <w:rFonts w:ascii="宋体" w:hAnsi="宋体" w:eastAsia="宋体" w:cs="宋体"/>
          <w:b/>
          <w:bCs/>
          <w:snapToGrid/>
          <w:spacing w:val="0"/>
          <w:w w:val="100"/>
          <w:kern w:val="21"/>
          <w:position w:val="0"/>
          <w:sz w:val="28"/>
          <w:szCs w:val="28"/>
        </w:rPr>
        <w:t>10.1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合同进度计划</w:t>
      </w:r>
      <w:bookmarkEnd w:id="473"/>
    </w:p>
    <w:p w14:paraId="0DF3D98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承包人编制施工进度计划和施工方案说明的内容和期限要求：</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469DCF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监理人对施工进度计划进行批复或提出修改意见的期限：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D50B32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74" w:name="_Toc6780"/>
      <w:r>
        <w:rPr>
          <w:rFonts w:ascii="宋体" w:hAnsi="宋体" w:eastAsia="宋体" w:cs="宋体"/>
          <w:b/>
          <w:bCs/>
          <w:snapToGrid/>
          <w:spacing w:val="0"/>
          <w:w w:val="100"/>
          <w:kern w:val="21"/>
          <w:position w:val="0"/>
          <w:sz w:val="28"/>
          <w:szCs w:val="28"/>
        </w:rPr>
        <w:t>10.2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合同进度计划的修订</w:t>
      </w:r>
      <w:bookmarkEnd w:id="474"/>
    </w:p>
    <w:p w14:paraId="7F7CB75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承包人提交施工进度计划修订的期限要求：</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6FC31A6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监理人对承包人提交的修订施工进度计划进行批复的期限：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A7EAC3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75" w:name="bookmark168"/>
      <w:bookmarkEnd w:id="475"/>
      <w:bookmarkStart w:id="476" w:name="_Toc13607"/>
      <w:bookmarkStart w:id="477" w:name="_Toc21395"/>
      <w:bookmarkStart w:id="478" w:name="_Toc4188"/>
      <w:r>
        <w:rPr>
          <w:rFonts w:ascii="宋体" w:hAnsi="宋体" w:eastAsia="宋体" w:cs="宋体"/>
          <w:b/>
          <w:bCs/>
          <w:snapToGrid/>
          <w:spacing w:val="0"/>
          <w:w w:val="100"/>
          <w:kern w:val="21"/>
          <w:position w:val="0"/>
          <w:sz w:val="31"/>
          <w:szCs w:val="31"/>
        </w:rPr>
        <w:t>11.开工和竣工</w:t>
      </w:r>
      <w:bookmarkEnd w:id="476"/>
      <w:bookmarkEnd w:id="477"/>
      <w:bookmarkEnd w:id="478"/>
    </w:p>
    <w:p w14:paraId="6E7BA34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本款补充第 11.1.3 项、第 11.1.4 项：</w:t>
      </w:r>
    </w:p>
    <w:p w14:paraId="2D92177A">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11.1.3 若发包人未能按合同约定向承包人提供开工的必要条件，承包人有权要求延长工期。监 理人应在收到承包人的书面要求后，按第 3.5 款的约定，与合同双方商定或确定增加的费用和延长 的工期。</w:t>
      </w:r>
    </w:p>
    <w:p w14:paraId="5AA58850">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11.1.4 承包人在接到开工通知后 14 天内未按进度计划要求及时进场组织施工，监理人可通知 承包人在接到通知后 7 天内提交一份说明其进场延误的书面报告，报送监理人。书面报告应说明不 能及时进场的原因和补救措施， 由此增加的费用和工期延误责任由承包人承担。</w:t>
      </w:r>
    </w:p>
    <w:p w14:paraId="0A80C1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79" w:name="_Toc27927"/>
      <w:r>
        <w:rPr>
          <w:rFonts w:ascii="宋体" w:hAnsi="宋体" w:eastAsia="宋体" w:cs="宋体"/>
          <w:b/>
          <w:bCs/>
          <w:snapToGrid/>
          <w:spacing w:val="0"/>
          <w:w w:val="100"/>
          <w:kern w:val="21"/>
          <w:position w:val="0"/>
          <w:sz w:val="28"/>
          <w:szCs w:val="28"/>
        </w:rPr>
        <w:t>11.4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异常恶劣的气候条件</w:t>
      </w:r>
      <w:bookmarkEnd w:id="479"/>
    </w:p>
    <w:p w14:paraId="75E302D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80" w:name="_Toc29920"/>
      <w:r>
        <w:rPr>
          <w:rFonts w:ascii="宋体" w:hAnsi="宋体" w:eastAsia="宋体" w:cs="宋体"/>
          <w:snapToGrid/>
          <w:spacing w:val="0"/>
          <w:w w:val="100"/>
          <w:kern w:val="21"/>
          <w:position w:val="0"/>
          <w:sz w:val="20"/>
          <w:szCs w:val="20"/>
        </w:rPr>
        <w:t>11.4 本合同工程界定异常恶劣气候条件的范围（以工程所在地气象部门发布的数据为准）为：</w:t>
      </w:r>
      <w:bookmarkEnd w:id="480"/>
    </w:p>
    <w:p w14:paraId="68FD881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 日降雨量大于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㎜的雨日超过</w:t>
      </w:r>
      <w:r>
        <w:rPr>
          <w:rFonts w:ascii="宋体" w:hAnsi="宋体" w:eastAsia="宋体" w:cs="宋体"/>
          <w:snapToGrid/>
          <w:spacing w:val="0"/>
          <w:w w:val="100"/>
          <w:kern w:val="21"/>
          <w:position w:val="0"/>
          <w:sz w:val="20"/>
          <w:szCs w:val="20"/>
          <w:u w:val="single" w:color="auto"/>
        </w:rPr>
        <w:t xml:space="preserve"> 3 </w:t>
      </w:r>
      <w:r>
        <w:rPr>
          <w:rFonts w:ascii="宋体" w:hAnsi="宋体" w:eastAsia="宋体" w:cs="宋体"/>
          <w:snapToGrid/>
          <w:spacing w:val="0"/>
          <w:w w:val="100"/>
          <w:kern w:val="21"/>
          <w:position w:val="0"/>
          <w:sz w:val="20"/>
          <w:szCs w:val="20"/>
        </w:rPr>
        <w:t>天； `</w:t>
      </w:r>
    </w:p>
    <w:p w14:paraId="004EF5E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（2）风速大于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m/s 的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级以上台风灾害；</w:t>
      </w:r>
    </w:p>
    <w:p w14:paraId="7D4C2C5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（3） 日气温超过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℃的高温大于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w:t>
      </w:r>
    </w:p>
    <w:p w14:paraId="2FB8508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（4） 日气温低于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℃的严寒大于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w:t>
      </w:r>
    </w:p>
    <w:p w14:paraId="7E0A2E9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（5）造成工程损坏的冰雹和大雪灾害：双方协商确定；</w:t>
      </w:r>
    </w:p>
    <w:p w14:paraId="228F05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（6）其他异常恶劣气候灾害。</w:t>
      </w:r>
    </w:p>
    <w:p w14:paraId="4B466C5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81" w:name="_Toc14455"/>
      <w:r>
        <w:rPr>
          <w:rFonts w:ascii="宋体" w:hAnsi="宋体" w:eastAsia="宋体" w:cs="宋体"/>
          <w:b/>
          <w:bCs/>
          <w:snapToGrid/>
          <w:spacing w:val="0"/>
          <w:w w:val="100"/>
          <w:kern w:val="21"/>
          <w:position w:val="0"/>
          <w:sz w:val="28"/>
          <w:szCs w:val="28"/>
        </w:rPr>
        <w:t>11.5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承包人工期延误</w:t>
      </w:r>
      <w:bookmarkEnd w:id="481"/>
    </w:p>
    <w:p w14:paraId="479517B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（1）因承包方原因，造成工期延误的，承包人应按下表约定的金额支付违约金：</w:t>
      </w:r>
    </w:p>
    <w:p w14:paraId="5FAA5A3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关键节点工期及逾期竣工违约金表</w:t>
      </w:r>
    </w:p>
    <w:tbl>
      <w:tblPr>
        <w:tblStyle w:val="26"/>
        <w:tblW w:w="902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1744"/>
        <w:gridCol w:w="2529"/>
        <w:gridCol w:w="3530"/>
      </w:tblGrid>
      <w:tr w14:paraId="0E839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223" w:type="dxa"/>
            <w:tcBorders>
              <w:top w:val="single" w:color="000000" w:sz="6" w:space="0"/>
              <w:left w:val="single" w:color="000000" w:sz="6" w:space="0"/>
            </w:tcBorders>
            <w:vAlign w:val="center"/>
          </w:tcPr>
          <w:p w14:paraId="0D69BEB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1744" w:type="dxa"/>
            <w:tcBorders>
              <w:top w:val="single" w:color="000000" w:sz="6" w:space="0"/>
            </w:tcBorders>
            <w:vAlign w:val="center"/>
          </w:tcPr>
          <w:p w14:paraId="5A2C866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项目及其说明</w:t>
            </w:r>
          </w:p>
        </w:tc>
        <w:tc>
          <w:tcPr>
            <w:tcW w:w="2529" w:type="dxa"/>
            <w:tcBorders>
              <w:top w:val="single" w:color="000000" w:sz="6" w:space="0"/>
            </w:tcBorders>
            <w:vAlign w:val="center"/>
          </w:tcPr>
          <w:p w14:paraId="305DF85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竣工日期</w:t>
            </w:r>
          </w:p>
        </w:tc>
        <w:tc>
          <w:tcPr>
            <w:tcW w:w="3530" w:type="dxa"/>
            <w:tcBorders>
              <w:top w:val="single" w:color="000000" w:sz="6" w:space="0"/>
              <w:right w:val="single" w:color="000000" w:sz="6" w:space="0"/>
            </w:tcBorders>
            <w:vAlign w:val="center"/>
          </w:tcPr>
          <w:p w14:paraId="41AE798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逾期竣工违约金（元/天）</w:t>
            </w:r>
          </w:p>
        </w:tc>
      </w:tr>
      <w:tr w14:paraId="746E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3" w:type="dxa"/>
            <w:tcBorders>
              <w:left w:val="single" w:color="000000" w:sz="6" w:space="0"/>
            </w:tcBorders>
            <w:vAlign w:val="center"/>
          </w:tcPr>
          <w:p w14:paraId="1468737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w:t>
            </w:r>
          </w:p>
        </w:tc>
        <w:tc>
          <w:tcPr>
            <w:tcW w:w="1744" w:type="dxa"/>
            <w:vAlign w:val="center"/>
          </w:tcPr>
          <w:p w14:paraId="2985FFD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开工</w:t>
            </w:r>
          </w:p>
        </w:tc>
        <w:tc>
          <w:tcPr>
            <w:tcW w:w="2529" w:type="dxa"/>
            <w:vAlign w:val="center"/>
          </w:tcPr>
          <w:p w14:paraId="31A5C6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3530" w:type="dxa"/>
            <w:tcBorders>
              <w:right w:val="single" w:color="000000" w:sz="6" w:space="0"/>
            </w:tcBorders>
            <w:vAlign w:val="center"/>
          </w:tcPr>
          <w:p w14:paraId="249654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FA7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223" w:type="dxa"/>
            <w:tcBorders>
              <w:left w:val="single" w:color="000000" w:sz="6" w:space="0"/>
            </w:tcBorders>
            <w:vAlign w:val="center"/>
          </w:tcPr>
          <w:p w14:paraId="60BAE96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44" w:type="dxa"/>
            <w:vAlign w:val="center"/>
          </w:tcPr>
          <w:p w14:paraId="076650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29" w:type="dxa"/>
            <w:vAlign w:val="center"/>
          </w:tcPr>
          <w:p w14:paraId="127B95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3530" w:type="dxa"/>
            <w:tcBorders>
              <w:right w:val="single" w:color="000000" w:sz="6" w:space="0"/>
            </w:tcBorders>
            <w:vAlign w:val="center"/>
          </w:tcPr>
          <w:p w14:paraId="6F6CD0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F10A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3" w:type="dxa"/>
            <w:tcBorders>
              <w:left w:val="single" w:color="000000" w:sz="6" w:space="0"/>
            </w:tcBorders>
            <w:vAlign w:val="center"/>
          </w:tcPr>
          <w:p w14:paraId="204218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44" w:type="dxa"/>
            <w:vAlign w:val="center"/>
          </w:tcPr>
          <w:p w14:paraId="001F8FE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2529" w:type="dxa"/>
            <w:vAlign w:val="center"/>
          </w:tcPr>
          <w:p w14:paraId="69BC13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3530" w:type="dxa"/>
            <w:tcBorders>
              <w:right w:val="single" w:color="000000" w:sz="6" w:space="0"/>
            </w:tcBorders>
            <w:vAlign w:val="center"/>
          </w:tcPr>
          <w:p w14:paraId="12F0DC2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B86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23" w:type="dxa"/>
            <w:tcBorders>
              <w:left w:val="single" w:color="000000" w:sz="6" w:space="0"/>
              <w:bottom w:val="single" w:color="000000" w:sz="6" w:space="0"/>
            </w:tcBorders>
            <w:vAlign w:val="center"/>
          </w:tcPr>
          <w:p w14:paraId="51125A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44" w:type="dxa"/>
            <w:tcBorders>
              <w:bottom w:val="single" w:color="000000" w:sz="6" w:space="0"/>
            </w:tcBorders>
            <w:vAlign w:val="center"/>
          </w:tcPr>
          <w:p w14:paraId="39BF67E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竣工</w:t>
            </w:r>
          </w:p>
        </w:tc>
        <w:tc>
          <w:tcPr>
            <w:tcW w:w="2529" w:type="dxa"/>
            <w:tcBorders>
              <w:bottom w:val="single" w:color="000000" w:sz="6" w:space="0"/>
            </w:tcBorders>
            <w:vAlign w:val="center"/>
          </w:tcPr>
          <w:p w14:paraId="1B04C2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3530" w:type="dxa"/>
            <w:tcBorders>
              <w:bottom w:val="single" w:color="000000" w:sz="6" w:space="0"/>
              <w:right w:val="single" w:color="000000" w:sz="6" w:space="0"/>
            </w:tcBorders>
            <w:vAlign w:val="center"/>
          </w:tcPr>
          <w:p w14:paraId="12FC52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1B7089A9">
      <w:pPr>
        <w:keepNext w:val="0"/>
        <w:keepLines w:val="0"/>
        <w:pageBreakBefore w:val="0"/>
        <w:widowControl w:val="0"/>
        <w:kinsoku/>
        <w:wordWrap w:val="0"/>
        <w:overflowPunct/>
        <w:topLinePunct/>
        <w:autoSpaceDE w:val="0"/>
        <w:autoSpaceDN/>
        <w:bidi w:val="0"/>
        <w:adjustRightInd/>
        <w:snapToGrid/>
        <w:spacing w:line="560" w:lineRule="exact"/>
        <w:ind w:left="0" w:right="0" w:hanging="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（3）表中各项逾期竣工违约金将单独予以确定，但其最终的累计总金额不应超过签约合同价的 10％。</w:t>
      </w:r>
    </w:p>
    <w:p w14:paraId="7E3BD00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82" w:name="_Toc5394"/>
      <w:r>
        <w:rPr>
          <w:rFonts w:ascii="宋体" w:hAnsi="宋体" w:eastAsia="宋体" w:cs="宋体"/>
          <w:b/>
          <w:bCs/>
          <w:snapToGrid/>
          <w:spacing w:val="0"/>
          <w:w w:val="100"/>
          <w:kern w:val="21"/>
          <w:position w:val="0"/>
          <w:sz w:val="28"/>
          <w:szCs w:val="28"/>
        </w:rPr>
        <w:t>11.6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工期提前</w:t>
      </w:r>
      <w:bookmarkEnd w:id="482"/>
    </w:p>
    <w:p w14:paraId="117058D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提前竣工的奖励：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4E3C5BA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83" w:name="bookmark169"/>
      <w:bookmarkEnd w:id="483"/>
      <w:bookmarkStart w:id="484" w:name="_Toc1930"/>
      <w:bookmarkStart w:id="485" w:name="_Toc14573"/>
      <w:bookmarkStart w:id="486" w:name="_Toc8339"/>
      <w:r>
        <w:rPr>
          <w:rFonts w:ascii="宋体" w:hAnsi="宋体" w:eastAsia="宋体" w:cs="宋体"/>
          <w:b/>
          <w:bCs/>
          <w:snapToGrid/>
          <w:spacing w:val="0"/>
          <w:w w:val="100"/>
          <w:kern w:val="21"/>
          <w:position w:val="0"/>
          <w:sz w:val="31"/>
          <w:szCs w:val="31"/>
        </w:rPr>
        <w:t>12.暂停施工</w:t>
      </w:r>
      <w:bookmarkEnd w:id="484"/>
      <w:bookmarkEnd w:id="485"/>
      <w:bookmarkEnd w:id="486"/>
    </w:p>
    <w:p w14:paraId="0EE6088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87" w:name="_Toc5062"/>
      <w:r>
        <w:rPr>
          <w:rFonts w:ascii="宋体" w:hAnsi="宋体" w:eastAsia="宋体" w:cs="宋体"/>
          <w:b/>
          <w:bCs/>
          <w:snapToGrid/>
          <w:spacing w:val="0"/>
          <w:w w:val="100"/>
          <w:kern w:val="21"/>
          <w:position w:val="0"/>
          <w:sz w:val="28"/>
          <w:szCs w:val="28"/>
        </w:rPr>
        <w:t>12.1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承包人暂停施工的责任</w:t>
      </w:r>
      <w:bookmarkEnd w:id="487"/>
    </w:p>
    <w:p w14:paraId="66E06C0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（5）承包人承担暂停施工责任的其他情形：</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20D7B10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88" w:name="bookmark170"/>
      <w:bookmarkEnd w:id="488"/>
      <w:bookmarkStart w:id="489" w:name="_Toc19446"/>
      <w:bookmarkStart w:id="490" w:name="_Toc31855"/>
      <w:bookmarkStart w:id="491" w:name="_Toc186"/>
      <w:r>
        <w:rPr>
          <w:rFonts w:ascii="宋体" w:hAnsi="宋体" w:eastAsia="宋体" w:cs="宋体"/>
          <w:b/>
          <w:bCs/>
          <w:snapToGrid/>
          <w:spacing w:val="0"/>
          <w:w w:val="100"/>
          <w:kern w:val="21"/>
          <w:position w:val="0"/>
          <w:sz w:val="31"/>
          <w:szCs w:val="31"/>
        </w:rPr>
        <w:t>15.变更</w:t>
      </w:r>
      <w:bookmarkEnd w:id="489"/>
      <w:bookmarkEnd w:id="490"/>
      <w:bookmarkEnd w:id="491"/>
    </w:p>
    <w:p w14:paraId="2631993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92" w:name="_Toc13631"/>
      <w:r>
        <w:rPr>
          <w:rFonts w:ascii="宋体" w:hAnsi="宋体" w:eastAsia="宋体" w:cs="宋体"/>
          <w:b/>
          <w:bCs/>
          <w:snapToGrid/>
          <w:spacing w:val="0"/>
          <w:w w:val="100"/>
          <w:kern w:val="21"/>
          <w:position w:val="0"/>
          <w:sz w:val="28"/>
          <w:szCs w:val="28"/>
        </w:rPr>
        <w:t>15.1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变更的范围和内容</w:t>
      </w:r>
      <w:bookmarkEnd w:id="492"/>
    </w:p>
    <w:p w14:paraId="7579F78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w:t>
      </w:r>
    </w:p>
    <w:p w14:paraId="167FF671">
      <w:pPr>
        <w:keepNext w:val="0"/>
        <w:keepLines w:val="0"/>
        <w:pageBreakBefore w:val="0"/>
        <w:widowControl w:val="0"/>
        <w:kinsoku/>
        <w:wordWrap w:val="0"/>
        <w:overflowPunct/>
        <w:topLinePunct/>
        <w:autoSpaceDE w:val="0"/>
        <w:autoSpaceDN/>
        <w:bidi w:val="0"/>
        <w:adjustRightInd/>
        <w:snapToGrid/>
        <w:spacing w:line="560" w:lineRule="exact"/>
        <w:ind w:left="0" w:right="0" w:firstLine="43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除少数因水文、地质等因素造成勘察不到位确需调整外，一般不进行工程变更，确需变更的要 遵循科学、合理、经济的原则。</w:t>
      </w:r>
    </w:p>
    <w:p w14:paraId="71EA306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93" w:name="_Toc11851"/>
      <w:r>
        <w:rPr>
          <w:rFonts w:ascii="宋体" w:hAnsi="宋体" w:eastAsia="宋体" w:cs="宋体"/>
          <w:b/>
          <w:bCs/>
          <w:snapToGrid/>
          <w:spacing w:val="0"/>
          <w:w w:val="100"/>
          <w:kern w:val="21"/>
          <w:position w:val="0"/>
          <w:sz w:val="28"/>
          <w:szCs w:val="28"/>
        </w:rPr>
        <w:t>15.3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变更程序</w:t>
      </w:r>
      <w:bookmarkEnd w:id="493"/>
    </w:p>
    <w:p w14:paraId="6560B9C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494" w:name="_Toc9501"/>
      <w:r>
        <w:rPr>
          <w:rFonts w:ascii="宋体" w:hAnsi="宋体" w:eastAsia="宋体" w:cs="宋体"/>
          <w:b/>
          <w:bCs/>
          <w:snapToGrid/>
          <w:spacing w:val="0"/>
          <w:w w:val="100"/>
          <w:kern w:val="21"/>
          <w:position w:val="0"/>
          <w:sz w:val="20"/>
          <w:szCs w:val="20"/>
        </w:rPr>
        <w:t>15.3.3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变更指示</w:t>
      </w:r>
      <w:bookmarkEnd w:id="494"/>
    </w:p>
    <w:p w14:paraId="00E592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本项补充第（ 3） 目：</w:t>
      </w:r>
    </w:p>
    <w:p w14:paraId="24F04B19">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（3）对于因设计变更引起的合同变更，发包人应按照有关规定履行设计变更审批手续后方能进 行合同变更。重大设计变更文件， 由项目法人按原报审程序报原初步设计审批部门审批；一般设计 变更文件由项目法人组织审查确认后实施，并报项目主管部门核备，必要时报项目主管部门审批。 未履行设计变更手续的，合同变更无效，相应责任由擅自变更人承担。</w:t>
      </w:r>
    </w:p>
    <w:p w14:paraId="4E3C4A7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95" w:name="_Toc22707"/>
      <w:r>
        <w:rPr>
          <w:rFonts w:ascii="宋体" w:hAnsi="宋体" w:eastAsia="宋体" w:cs="宋体"/>
          <w:b/>
          <w:bCs/>
          <w:snapToGrid/>
          <w:spacing w:val="0"/>
          <w:w w:val="100"/>
          <w:kern w:val="21"/>
          <w:position w:val="0"/>
          <w:sz w:val="28"/>
          <w:szCs w:val="28"/>
        </w:rPr>
        <w:t>15.4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变更的估价原则</w:t>
      </w:r>
      <w:bookmarkEnd w:id="495"/>
    </w:p>
    <w:p w14:paraId="1E48BE6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第 15.4.3 项细化为：</w:t>
      </w:r>
    </w:p>
    <w:p w14:paraId="50150DF8">
      <w:pPr>
        <w:keepNext w:val="0"/>
        <w:keepLines w:val="0"/>
        <w:pageBreakBefore w:val="0"/>
        <w:widowControl w:val="0"/>
        <w:kinsoku/>
        <w:wordWrap w:val="0"/>
        <w:overflowPunct/>
        <w:topLinePunct/>
        <w:autoSpaceDE w:val="0"/>
        <w:autoSpaceDN/>
        <w:bidi w:val="0"/>
        <w:adjustRightInd/>
        <w:snapToGrid/>
        <w:spacing w:line="560" w:lineRule="exact"/>
        <w:ind w:left="0" w:right="0" w:firstLine="441"/>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snapToGrid/>
          <w:spacing w:val="0"/>
          <w:w w:val="100"/>
          <w:kern w:val="21"/>
          <w:position w:val="0"/>
          <w:sz w:val="20"/>
          <w:szCs w:val="20"/>
        </w:rPr>
        <w:t>已标价工程量清单中无适用或类似子目的单价，应按投标单价费用构成和相应费率进行组价；  人工、材料、机械台时用量按照</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定额确定，上述定额不包含的，可参考  其他行业相关定额确定；人工、材料、设备和机械台时价格采用投标价格，投标价格中不包含的，  依据造价信息确定。涉及价格调整的，按照合同条款第 16 条进行调整</w:t>
      </w:r>
      <w:r>
        <w:rPr>
          <w:rFonts w:ascii="宋体" w:hAnsi="宋体" w:eastAsia="宋体" w:cs="宋体"/>
          <w:b/>
          <w:bCs/>
          <w:i/>
          <w:iCs/>
          <w:snapToGrid/>
          <w:spacing w:val="0"/>
          <w:w w:val="100"/>
          <w:kern w:val="21"/>
          <w:position w:val="0"/>
          <w:sz w:val="21"/>
          <w:szCs w:val="21"/>
        </w:rPr>
        <w:t>（说明：如已约定了价格调整）。</w:t>
      </w:r>
    </w:p>
    <w:p w14:paraId="3FAC48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96" w:name="_Toc31743"/>
      <w:r>
        <w:rPr>
          <w:rFonts w:ascii="宋体" w:hAnsi="宋体" w:eastAsia="宋体" w:cs="宋体"/>
          <w:b/>
          <w:bCs/>
          <w:snapToGrid/>
          <w:spacing w:val="0"/>
          <w:w w:val="100"/>
          <w:kern w:val="21"/>
          <w:position w:val="0"/>
          <w:sz w:val="28"/>
          <w:szCs w:val="28"/>
        </w:rPr>
        <w:t>15.5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承包人的合理化建议</w:t>
      </w:r>
      <w:bookmarkEnd w:id="496"/>
    </w:p>
    <w:p w14:paraId="0B6B405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15.5.2 对承包人提出合理化建议的奖励：</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8AAE0A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497" w:name="_Toc1381"/>
      <w:r>
        <w:rPr>
          <w:rFonts w:ascii="宋体" w:hAnsi="宋体" w:eastAsia="宋体" w:cs="宋体"/>
          <w:b/>
          <w:bCs/>
          <w:snapToGrid/>
          <w:spacing w:val="0"/>
          <w:w w:val="100"/>
          <w:kern w:val="21"/>
          <w:position w:val="0"/>
          <w:sz w:val="28"/>
          <w:szCs w:val="28"/>
        </w:rPr>
        <w:t>15.8</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暂估价</w:t>
      </w:r>
      <w:bookmarkEnd w:id="497"/>
    </w:p>
    <w:p w14:paraId="1151F660">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15.8.1（1）发包人和承包人组织招标的暂估价项目：</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；发包人组织招标 的暂估价项目：</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1F83626F">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发包人和承包人以招标方式选择暂估价项目供应商或分包人时， 双方的权利义务关 系：</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6C74D2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498" w:name="bookmark171"/>
      <w:bookmarkEnd w:id="498"/>
      <w:bookmarkStart w:id="499" w:name="_Toc14609"/>
      <w:bookmarkStart w:id="500" w:name="_Toc18181"/>
      <w:bookmarkStart w:id="501" w:name="_Toc3000"/>
      <w:r>
        <w:rPr>
          <w:rFonts w:ascii="宋体" w:hAnsi="宋体" w:eastAsia="宋体" w:cs="宋体"/>
          <w:b/>
          <w:bCs/>
          <w:snapToGrid/>
          <w:spacing w:val="0"/>
          <w:w w:val="100"/>
          <w:kern w:val="21"/>
          <w:position w:val="0"/>
          <w:sz w:val="31"/>
          <w:szCs w:val="31"/>
        </w:rPr>
        <w:t>16.价格调整</w:t>
      </w:r>
      <w:bookmarkEnd w:id="499"/>
      <w:bookmarkEnd w:id="500"/>
      <w:bookmarkEnd w:id="501"/>
    </w:p>
    <w:p w14:paraId="652BC9D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02" w:name="_Toc417"/>
      <w:r>
        <w:rPr>
          <w:rFonts w:ascii="宋体" w:hAnsi="宋体" w:eastAsia="宋体" w:cs="宋体"/>
          <w:b/>
          <w:bCs/>
          <w:snapToGrid/>
          <w:spacing w:val="0"/>
          <w:w w:val="100"/>
          <w:kern w:val="21"/>
          <w:position w:val="0"/>
          <w:sz w:val="28"/>
          <w:szCs w:val="28"/>
        </w:rPr>
        <w:t>16.1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物价波动引起的价格调整</w:t>
      </w:r>
      <w:bookmarkEnd w:id="502"/>
    </w:p>
    <w:p w14:paraId="4413C4B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物价波动引起的价格调整方式：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C11192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本条补充第 16.3 款：</w:t>
      </w:r>
    </w:p>
    <w:p w14:paraId="34FF310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03" w:name="_Toc18569"/>
      <w:r>
        <w:rPr>
          <w:rFonts w:ascii="宋体" w:hAnsi="宋体" w:eastAsia="宋体" w:cs="宋体"/>
          <w:b/>
          <w:bCs/>
          <w:snapToGrid/>
          <w:spacing w:val="0"/>
          <w:w w:val="100"/>
          <w:kern w:val="21"/>
          <w:position w:val="0"/>
          <w:sz w:val="28"/>
          <w:szCs w:val="28"/>
        </w:rPr>
        <w:t>16.3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政策性调整引起的价格调整</w:t>
      </w:r>
      <w:bookmarkEnd w:id="503"/>
    </w:p>
    <w:p w14:paraId="0B656762">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16.3.1 在合同实施期间，有关价格若遇国家政策性调整，其价格将根据国家政策性变化情况， 采用以下调整方式：</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716A7BC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8" w:type="default"/>
          <w:pgSz w:w="11906" w:h="16838"/>
          <w:pgMar w:top="1440" w:right="1080" w:bottom="1440" w:left="1080" w:header="0" w:footer="1185" w:gutter="0"/>
          <w:pgNumType w:fmt="decimal"/>
          <w:cols w:space="720" w:num="1"/>
        </w:sectPr>
      </w:pPr>
    </w:p>
    <w:p w14:paraId="75A29ED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04" w:name="bookmark172"/>
      <w:bookmarkEnd w:id="504"/>
      <w:bookmarkStart w:id="505" w:name="_Toc28681"/>
      <w:bookmarkStart w:id="506" w:name="_Toc23583"/>
      <w:bookmarkStart w:id="507" w:name="_Toc1416"/>
      <w:r>
        <w:rPr>
          <w:rFonts w:ascii="宋体" w:hAnsi="宋体" w:eastAsia="宋体" w:cs="宋体"/>
          <w:b/>
          <w:bCs/>
          <w:snapToGrid/>
          <w:spacing w:val="0"/>
          <w:w w:val="100"/>
          <w:kern w:val="21"/>
          <w:position w:val="0"/>
          <w:sz w:val="31"/>
          <w:szCs w:val="31"/>
        </w:rPr>
        <w:t>17.计量与支付</w:t>
      </w:r>
      <w:bookmarkEnd w:id="505"/>
      <w:bookmarkEnd w:id="506"/>
      <w:bookmarkEnd w:id="507"/>
    </w:p>
    <w:p w14:paraId="5AD0422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08" w:name="_Toc9105"/>
      <w:r>
        <w:rPr>
          <w:rFonts w:ascii="宋体" w:hAnsi="宋体" w:eastAsia="宋体" w:cs="宋体"/>
          <w:b/>
          <w:bCs/>
          <w:snapToGrid/>
          <w:spacing w:val="0"/>
          <w:w w:val="100"/>
          <w:kern w:val="21"/>
          <w:position w:val="0"/>
          <w:sz w:val="28"/>
          <w:szCs w:val="28"/>
        </w:rPr>
        <w:t>17.2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预付款</w:t>
      </w:r>
      <w:bookmarkEnd w:id="508"/>
    </w:p>
    <w:p w14:paraId="38D8C10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09" w:name="_Toc28368"/>
      <w:r>
        <w:rPr>
          <w:rFonts w:ascii="宋体" w:hAnsi="宋体" w:eastAsia="宋体" w:cs="宋体"/>
          <w:b/>
          <w:bCs/>
          <w:snapToGrid/>
          <w:spacing w:val="0"/>
          <w:w w:val="100"/>
          <w:kern w:val="21"/>
          <w:position w:val="0"/>
          <w:sz w:val="20"/>
          <w:szCs w:val="20"/>
        </w:rPr>
        <w:t>17.2.1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w:t>
      </w:r>
      <w:bookmarkEnd w:id="509"/>
    </w:p>
    <w:p w14:paraId="378C5C7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预付款支付比例或金额：</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41D36D6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预付款支付期限：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A3F4B1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10" w:name="_Toc28605"/>
      <w:r>
        <w:rPr>
          <w:rFonts w:ascii="宋体" w:hAnsi="宋体" w:eastAsia="宋体" w:cs="宋体"/>
          <w:b/>
          <w:bCs/>
          <w:snapToGrid/>
          <w:spacing w:val="0"/>
          <w:w w:val="100"/>
          <w:kern w:val="21"/>
          <w:position w:val="0"/>
          <w:sz w:val="20"/>
          <w:szCs w:val="20"/>
        </w:rPr>
        <w:t>17.2.2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预付款保函</w:t>
      </w:r>
      <w:bookmarkEnd w:id="510"/>
    </w:p>
    <w:p w14:paraId="60892387">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预付款的担保约定为：</w:t>
      </w:r>
      <w:r>
        <w:rPr>
          <w:rFonts w:ascii="宋体" w:hAnsi="宋体" w:eastAsia="宋体" w:cs="宋体"/>
          <w:snapToGrid/>
          <w:spacing w:val="0"/>
          <w:w w:val="100"/>
          <w:kern w:val="21"/>
          <w:position w:val="0"/>
          <w:sz w:val="20"/>
          <w:szCs w:val="20"/>
          <w:u w:val="single" w:color="auto"/>
        </w:rPr>
        <w:t>承包人无须向发包人提交预付款保函。发包人向承包人支付的预付款，</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应按照本合同第 17.2.1 项规定使用，承包人提交的履约保证金对预付款的正常使用承担保证责</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任</w:t>
      </w:r>
      <w:r>
        <w:rPr>
          <w:rFonts w:ascii="宋体" w:hAnsi="宋体" w:eastAsia="宋体" w:cs="宋体"/>
          <w:snapToGrid/>
          <w:spacing w:val="0"/>
          <w:w w:val="100"/>
          <w:kern w:val="21"/>
          <w:position w:val="0"/>
          <w:sz w:val="20"/>
          <w:szCs w:val="20"/>
        </w:rPr>
        <w:t>。</w:t>
      </w:r>
    </w:p>
    <w:p w14:paraId="49C0300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11" w:name="_Toc18536"/>
      <w:r>
        <w:rPr>
          <w:rFonts w:ascii="宋体" w:hAnsi="宋体" w:eastAsia="宋体" w:cs="宋体"/>
          <w:b/>
          <w:bCs/>
          <w:snapToGrid/>
          <w:spacing w:val="0"/>
          <w:w w:val="100"/>
          <w:kern w:val="21"/>
          <w:position w:val="0"/>
          <w:sz w:val="20"/>
          <w:szCs w:val="20"/>
        </w:rPr>
        <w:t>17.2.3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预付款的扣回与还清</w:t>
      </w:r>
      <w:bookmarkEnd w:id="511"/>
    </w:p>
    <w:p w14:paraId="6A96119D">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预付款在进度付款证书的累计金额未达到签约合同价的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%之前不予扣回，在达到签约合同  价</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%之后，开始按工程进度以固定比例（即每完成签约合同价的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%，扣回开工预付款的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 分期从各月的进度付款证书中扣回，全部金额在进度付款证书的累计金额达到签约合同价的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  时扣完。（ </w:t>
      </w:r>
      <w:r>
        <w:rPr>
          <w:rFonts w:ascii="宋体" w:hAnsi="宋体" w:eastAsia="宋体" w:cs="宋体"/>
          <w:b/>
          <w:bCs/>
          <w:i/>
          <w:iCs/>
          <w:snapToGrid/>
          <w:spacing w:val="0"/>
          <w:w w:val="100"/>
          <w:kern w:val="21"/>
          <w:position w:val="0"/>
          <w:sz w:val="21"/>
          <w:szCs w:val="21"/>
        </w:rPr>
        <w:t>说明：本项内容为示范性写法，招标人可以根据招标项目的具体特点和实际需求合理</w:t>
      </w:r>
      <w:r>
        <w:rPr>
          <w:rFonts w:ascii="宋体" w:hAnsi="宋体" w:eastAsia="宋体" w:cs="宋体"/>
          <w:snapToGrid/>
          <w:spacing w:val="0"/>
          <w:w w:val="100"/>
          <w:kern w:val="21"/>
          <w:position w:val="0"/>
          <w:sz w:val="21"/>
          <w:szCs w:val="21"/>
        </w:rPr>
        <w:t xml:space="preserve">  </w:t>
      </w:r>
      <w:r>
        <w:rPr>
          <w:rFonts w:ascii="宋体" w:hAnsi="宋体" w:eastAsia="宋体" w:cs="宋体"/>
          <w:b/>
          <w:bCs/>
          <w:i/>
          <w:iCs/>
          <w:snapToGrid/>
          <w:spacing w:val="0"/>
          <w:w w:val="100"/>
          <w:kern w:val="21"/>
          <w:position w:val="0"/>
          <w:sz w:val="21"/>
          <w:szCs w:val="21"/>
        </w:rPr>
        <w:t>确定。</w:t>
      </w:r>
      <w:r>
        <w:rPr>
          <w:rFonts w:ascii="宋体" w:hAnsi="宋体" w:eastAsia="宋体" w:cs="宋体"/>
          <w:snapToGrid/>
          <w:spacing w:val="0"/>
          <w:w w:val="100"/>
          <w:kern w:val="21"/>
          <w:position w:val="0"/>
          <w:sz w:val="20"/>
          <w:szCs w:val="20"/>
        </w:rPr>
        <w:t>）</w:t>
      </w:r>
    </w:p>
    <w:p w14:paraId="1B7D7CA1">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12" w:name="_Toc25027"/>
      <w:r>
        <w:rPr>
          <w:rFonts w:ascii="宋体" w:hAnsi="宋体" w:eastAsia="宋体" w:cs="宋体"/>
          <w:b/>
          <w:bCs/>
          <w:snapToGrid/>
          <w:spacing w:val="0"/>
          <w:w w:val="100"/>
          <w:kern w:val="21"/>
          <w:position w:val="0"/>
          <w:sz w:val="28"/>
          <w:szCs w:val="28"/>
        </w:rPr>
        <w:t>17.3</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工程进度付款</w:t>
      </w:r>
      <w:bookmarkEnd w:id="512"/>
    </w:p>
    <w:p w14:paraId="39938BA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17.3.1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付款周期</w:t>
      </w:r>
    </w:p>
    <w:p w14:paraId="33D48BE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付款按工程进度进行</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b/>
          <w:bCs/>
          <w:i/>
          <w:iCs/>
          <w:snapToGrid/>
          <w:spacing w:val="0"/>
          <w:w w:val="100"/>
          <w:kern w:val="21"/>
          <w:position w:val="0"/>
          <w:sz w:val="21"/>
          <w:szCs w:val="21"/>
          <w:u w:val="single" w:color="auto"/>
        </w:rPr>
        <w:t>说明：各地可结合自身情况在政策允许范围内细化</w:t>
      </w:r>
      <w:r>
        <w:rPr>
          <w:rFonts w:ascii="宋体" w:hAnsi="宋体" w:eastAsia="宋体" w:cs="宋体"/>
          <w:snapToGrid/>
          <w:spacing w:val="0"/>
          <w:w w:val="100"/>
          <w:kern w:val="21"/>
          <w:position w:val="0"/>
          <w:sz w:val="20"/>
          <w:szCs w:val="20"/>
          <w:u w:val="single" w:color="auto"/>
        </w:rPr>
        <w:t>）</w:t>
      </w:r>
      <w:r>
        <w:rPr>
          <w:rFonts w:ascii="宋体" w:hAnsi="宋体" w:eastAsia="宋体" w:cs="宋体"/>
          <w:snapToGrid/>
          <w:spacing w:val="0"/>
          <w:w w:val="100"/>
          <w:kern w:val="21"/>
          <w:position w:val="0"/>
          <w:sz w:val="20"/>
          <w:szCs w:val="20"/>
        </w:rPr>
        <w:t>。</w:t>
      </w:r>
    </w:p>
    <w:p w14:paraId="7D5A6C5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17.3.2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进度付款申请单</w:t>
      </w:r>
    </w:p>
    <w:p w14:paraId="74AE3AC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进度付款申请单的份数：</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w:t>
      </w:r>
    </w:p>
    <w:p w14:paraId="369AD84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17.3.3</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进度付款证书和支付时间</w:t>
      </w:r>
    </w:p>
    <w:p w14:paraId="3715AA2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（2）逾期付款违约金：</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0FD7DC5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本款补充第 17.3.5 项、第 17.3.6 项：</w:t>
      </w:r>
    </w:p>
    <w:p w14:paraId="09622C4F">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17.3.5 承包人应保存工程计量和支付的记录，并在发包人要求时允许发包人指派的人员进行 审计。</w:t>
      </w:r>
    </w:p>
    <w:p w14:paraId="3820525E">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17.3.6 农民工工资专户资金拨付。发包人应按照相关规定要求，在工程开工前向农民工工资 专户足额存入核定的工资性工程预付款，开工后按月向专户补足下月工资性工程进度款，确保专 户余额动态保持不低于预付款金额，到工程款支付节点扣除已支付工资预付款，并结清全部农民 工工资。</w:t>
      </w:r>
    </w:p>
    <w:p w14:paraId="78BC87A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13" w:name="_Toc19089"/>
      <w:r>
        <w:rPr>
          <w:rFonts w:ascii="宋体" w:hAnsi="宋体" w:eastAsia="宋体" w:cs="宋体"/>
          <w:b/>
          <w:bCs/>
          <w:snapToGrid/>
          <w:spacing w:val="0"/>
          <w:w w:val="100"/>
          <w:kern w:val="21"/>
          <w:position w:val="0"/>
          <w:sz w:val="28"/>
          <w:szCs w:val="28"/>
        </w:rPr>
        <w:t>17.4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质量保证金</w:t>
      </w:r>
      <w:bookmarkEnd w:id="513"/>
    </w:p>
    <w:p w14:paraId="7E7F223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17.4.1 每个付款周期扣留的质量保证金为工程进度付款的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%，扣留的质量保证金总额为结算总额的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%。在工程项目竣工前，承包人已按招标文件和合同条款第 4.2 款要求提供履 约担保的，发包人不得同时预留工程质量保证金。</w:t>
      </w:r>
    </w:p>
    <w:p w14:paraId="38F5509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质量保证金采用以下第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种方式：</w:t>
      </w:r>
    </w:p>
    <w:p w14:paraId="34BA5A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（1）质量保证金保函，保证金额为：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012BA75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%的工程款；</w:t>
      </w:r>
    </w:p>
    <w:p w14:paraId="1CE114F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（3）其他方式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F48158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质量保证金采用现金、支票形式提交的，发包人计付利息的计算方式：</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1529A0C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14" w:name="_Toc21688"/>
      <w:r>
        <w:rPr>
          <w:rFonts w:ascii="宋体" w:hAnsi="宋体" w:eastAsia="宋体" w:cs="宋体"/>
          <w:b/>
          <w:bCs/>
          <w:snapToGrid/>
          <w:spacing w:val="0"/>
          <w:w w:val="100"/>
          <w:kern w:val="21"/>
          <w:position w:val="0"/>
          <w:sz w:val="28"/>
          <w:szCs w:val="28"/>
        </w:rPr>
        <w:t>17.5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竣工结算</w:t>
      </w:r>
      <w:bookmarkEnd w:id="514"/>
    </w:p>
    <w:p w14:paraId="62B069D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15" w:name="_Toc32509"/>
      <w:r>
        <w:rPr>
          <w:rFonts w:ascii="宋体" w:hAnsi="宋体" w:eastAsia="宋体" w:cs="宋体"/>
          <w:b/>
          <w:bCs/>
          <w:snapToGrid/>
          <w:spacing w:val="0"/>
          <w:w w:val="100"/>
          <w:kern w:val="21"/>
          <w:position w:val="0"/>
          <w:sz w:val="20"/>
          <w:szCs w:val="20"/>
        </w:rPr>
        <w:t>17.5.1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竣工付款申请单</w:t>
      </w:r>
      <w:bookmarkEnd w:id="515"/>
    </w:p>
    <w:p w14:paraId="51F05A6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（1）承包人应提交竣工付款申请单一式</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份；提交期限为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168BA4B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16" w:name="_Toc8887"/>
      <w:r>
        <w:rPr>
          <w:rFonts w:ascii="宋体" w:hAnsi="宋体" w:eastAsia="宋体" w:cs="宋体"/>
          <w:b/>
          <w:bCs/>
          <w:snapToGrid/>
          <w:spacing w:val="0"/>
          <w:w w:val="100"/>
          <w:kern w:val="21"/>
          <w:position w:val="0"/>
          <w:sz w:val="28"/>
          <w:szCs w:val="28"/>
        </w:rPr>
        <w:t>17.6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最终结清</w:t>
      </w:r>
      <w:bookmarkEnd w:id="516"/>
    </w:p>
    <w:p w14:paraId="5FA5CCD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17" w:name="_Toc6620"/>
      <w:r>
        <w:rPr>
          <w:rFonts w:ascii="宋体" w:hAnsi="宋体" w:eastAsia="宋体" w:cs="宋体"/>
          <w:b/>
          <w:bCs/>
          <w:snapToGrid/>
          <w:spacing w:val="0"/>
          <w:w w:val="100"/>
          <w:kern w:val="21"/>
          <w:position w:val="0"/>
          <w:sz w:val="20"/>
          <w:szCs w:val="20"/>
        </w:rPr>
        <w:t>17.6</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最终结清申请单</w:t>
      </w:r>
      <w:bookmarkEnd w:id="517"/>
    </w:p>
    <w:p w14:paraId="17EC6EF8">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（1）承包人应提交最终结清申请单一式</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份；提交期限为</w:t>
      </w:r>
      <w:r>
        <w:rPr>
          <w:rFonts w:ascii="宋体" w:hAnsi="宋体" w:eastAsia="宋体" w:cs="宋体"/>
          <w:snapToGrid/>
          <w:spacing w:val="0"/>
          <w:w w:val="100"/>
          <w:kern w:val="21"/>
          <w:position w:val="0"/>
          <w:sz w:val="20"/>
          <w:szCs w:val="20"/>
          <w:u w:val="single" w:color="auto"/>
        </w:rPr>
        <w:t>缺陷责任期终止证书签发后 28</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天内</w:t>
      </w:r>
      <w:r>
        <w:rPr>
          <w:rFonts w:ascii="宋体" w:hAnsi="宋体" w:eastAsia="宋体" w:cs="宋体"/>
          <w:snapToGrid/>
          <w:spacing w:val="0"/>
          <w:w w:val="100"/>
          <w:kern w:val="21"/>
          <w:position w:val="0"/>
          <w:sz w:val="20"/>
          <w:szCs w:val="20"/>
        </w:rPr>
        <w:t>。</w:t>
      </w:r>
    </w:p>
    <w:p w14:paraId="7746B7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18" w:name="bookmark173"/>
      <w:bookmarkEnd w:id="518"/>
      <w:bookmarkStart w:id="519" w:name="_Toc23582"/>
      <w:bookmarkStart w:id="520" w:name="_Toc3348"/>
      <w:bookmarkStart w:id="521" w:name="_Toc28581"/>
      <w:r>
        <w:rPr>
          <w:rFonts w:ascii="宋体" w:hAnsi="宋体" w:eastAsia="宋体" w:cs="宋体"/>
          <w:b/>
          <w:bCs/>
          <w:snapToGrid/>
          <w:spacing w:val="0"/>
          <w:w w:val="100"/>
          <w:kern w:val="21"/>
          <w:position w:val="0"/>
          <w:sz w:val="31"/>
          <w:szCs w:val="31"/>
        </w:rPr>
        <w:t>18.竣工验收</w:t>
      </w:r>
      <w:bookmarkEnd w:id="519"/>
      <w:bookmarkEnd w:id="520"/>
      <w:bookmarkEnd w:id="521"/>
    </w:p>
    <w:p w14:paraId="59C815A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本条补充以下内容：</w:t>
      </w:r>
    </w:p>
    <w:p w14:paraId="458EBCF8">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本工程竣工验收执行</w:t>
      </w:r>
      <w:r>
        <w:rPr>
          <w:rFonts w:ascii="宋体" w:hAnsi="宋体" w:eastAsia="宋体" w:cs="宋体"/>
          <w:snapToGrid/>
          <w:spacing w:val="0"/>
          <w:w w:val="100"/>
          <w:kern w:val="21"/>
          <w:position w:val="0"/>
          <w:sz w:val="20"/>
          <w:szCs w:val="20"/>
          <w:u w:val="single" w:color="auto"/>
        </w:rPr>
        <w:t>《农业建设项目验收技术规程》（</w:t>
      </w:r>
      <w:r>
        <w:rPr>
          <w:rFonts w:ascii="Times New Roman" w:hAnsi="Times New Roman" w:eastAsia="Times New Roman" w:cs="Times New Roman"/>
          <w:snapToGrid/>
          <w:spacing w:val="0"/>
          <w:w w:val="100"/>
          <w:kern w:val="21"/>
          <w:position w:val="0"/>
          <w:sz w:val="20"/>
          <w:szCs w:val="20"/>
          <w:u w:val="single" w:color="auto"/>
        </w:rPr>
        <w:t>NY/T 1717-2009</w:t>
      </w:r>
      <w:r>
        <w:rPr>
          <w:rFonts w:ascii="宋体" w:hAnsi="宋体" w:eastAsia="宋体" w:cs="宋体"/>
          <w:snapToGrid/>
          <w:spacing w:val="0"/>
          <w:w w:val="100"/>
          <w:kern w:val="21"/>
          <w:position w:val="0"/>
          <w:sz w:val="20"/>
          <w:szCs w:val="20"/>
          <w:u w:val="single" w:color="auto"/>
        </w:rPr>
        <w:t>）、《安徽省农业农村厅关</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于印发安徽省高标准农田建设项目竣工验收工作规定的通知》……</w:t>
      </w:r>
      <w:r>
        <w:rPr>
          <w:rFonts w:ascii="宋体" w:hAnsi="宋体" w:eastAsia="宋体" w:cs="宋体"/>
          <w:snapToGrid/>
          <w:spacing w:val="0"/>
          <w:w w:val="100"/>
          <w:kern w:val="21"/>
          <w:position w:val="0"/>
          <w:sz w:val="20"/>
          <w:szCs w:val="20"/>
        </w:rPr>
        <w:t>等农业农村部门有关规定。（</w:t>
      </w:r>
      <w:r>
        <w:rPr>
          <w:rFonts w:ascii="宋体" w:hAnsi="宋体" w:eastAsia="宋体" w:cs="宋体"/>
          <w:b/>
          <w:bCs/>
          <w:i/>
          <w:iCs/>
          <w:snapToGrid/>
          <w:spacing w:val="0"/>
          <w:w w:val="100"/>
          <w:kern w:val="21"/>
          <w:position w:val="0"/>
          <w:sz w:val="21"/>
          <w:szCs w:val="21"/>
        </w:rPr>
        <w:t>说明：</w:t>
      </w:r>
      <w:r>
        <w:rPr>
          <w:rFonts w:ascii="宋体" w:hAnsi="宋体" w:eastAsia="宋体" w:cs="宋体"/>
          <w:snapToGrid/>
          <w:spacing w:val="0"/>
          <w:w w:val="100"/>
          <w:kern w:val="21"/>
          <w:position w:val="0"/>
          <w:sz w:val="21"/>
          <w:szCs w:val="21"/>
        </w:rPr>
        <w:t xml:space="preserve"> </w:t>
      </w:r>
      <w:r>
        <w:rPr>
          <w:rFonts w:ascii="宋体" w:hAnsi="宋体" w:eastAsia="宋体" w:cs="宋体"/>
          <w:b/>
          <w:bCs/>
          <w:i/>
          <w:iCs/>
          <w:snapToGrid/>
          <w:spacing w:val="0"/>
          <w:w w:val="100"/>
          <w:kern w:val="21"/>
          <w:position w:val="0"/>
          <w:sz w:val="21"/>
          <w:szCs w:val="21"/>
        </w:rPr>
        <w:t>横线上的内容为示范性写法，招标人可以根据招标项目的具体特点和实际需要自行填写。</w:t>
      </w:r>
      <w:r>
        <w:rPr>
          <w:rFonts w:ascii="宋体" w:hAnsi="宋体" w:eastAsia="宋体" w:cs="宋体"/>
          <w:snapToGrid/>
          <w:spacing w:val="0"/>
          <w:w w:val="100"/>
          <w:kern w:val="21"/>
          <w:position w:val="0"/>
          <w:sz w:val="20"/>
          <w:szCs w:val="20"/>
        </w:rPr>
        <w:t>）</w:t>
      </w:r>
    </w:p>
    <w:p w14:paraId="6D02A77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22" w:name="bookmark174"/>
      <w:bookmarkEnd w:id="522"/>
      <w:bookmarkStart w:id="523" w:name="_Toc31979"/>
      <w:bookmarkStart w:id="524" w:name="_Toc22034"/>
      <w:bookmarkStart w:id="525" w:name="_Toc3868"/>
      <w:r>
        <w:rPr>
          <w:rFonts w:ascii="宋体" w:hAnsi="宋体" w:eastAsia="宋体" w:cs="宋体"/>
          <w:b/>
          <w:bCs/>
          <w:snapToGrid/>
          <w:spacing w:val="0"/>
          <w:w w:val="100"/>
          <w:kern w:val="21"/>
          <w:position w:val="0"/>
          <w:sz w:val="31"/>
          <w:szCs w:val="31"/>
        </w:rPr>
        <w:t>19.</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缺陷责任与保修责任</w:t>
      </w:r>
      <w:bookmarkEnd w:id="523"/>
      <w:bookmarkEnd w:id="524"/>
      <w:bookmarkEnd w:id="525"/>
    </w:p>
    <w:p w14:paraId="1BD961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26" w:name="_Toc24350"/>
      <w:r>
        <w:rPr>
          <w:rFonts w:ascii="宋体" w:hAnsi="宋体" w:eastAsia="宋体" w:cs="宋体"/>
          <w:b/>
          <w:bCs/>
          <w:snapToGrid/>
          <w:spacing w:val="0"/>
          <w:w w:val="100"/>
          <w:kern w:val="21"/>
          <w:position w:val="0"/>
          <w:sz w:val="28"/>
          <w:szCs w:val="28"/>
        </w:rPr>
        <w:t>19.1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缺陷责任期的起算时间</w:t>
      </w:r>
      <w:bookmarkEnd w:id="526"/>
    </w:p>
    <w:p w14:paraId="546E1A9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本工程缺陷责任期计算如下：</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3133DE37">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27" w:name="bookmark175"/>
      <w:bookmarkEnd w:id="527"/>
      <w:bookmarkStart w:id="528" w:name="_Toc20949"/>
      <w:bookmarkStart w:id="529" w:name="_Toc29678"/>
      <w:bookmarkStart w:id="530" w:name="_Toc10675"/>
      <w:r>
        <w:rPr>
          <w:rFonts w:ascii="宋体" w:hAnsi="宋体" w:eastAsia="宋体" w:cs="宋体"/>
          <w:b/>
          <w:bCs/>
          <w:snapToGrid/>
          <w:spacing w:val="0"/>
          <w:w w:val="100"/>
          <w:kern w:val="21"/>
          <w:position w:val="0"/>
          <w:sz w:val="31"/>
          <w:szCs w:val="31"/>
        </w:rPr>
        <w:t>20.</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保险</w:t>
      </w:r>
      <w:bookmarkEnd w:id="528"/>
      <w:bookmarkEnd w:id="529"/>
      <w:bookmarkEnd w:id="530"/>
    </w:p>
    <w:p w14:paraId="2D8F1C5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31" w:name="_Toc14037"/>
      <w:r>
        <w:rPr>
          <w:rFonts w:ascii="宋体" w:hAnsi="宋体" w:eastAsia="宋体" w:cs="宋体"/>
          <w:b/>
          <w:bCs/>
          <w:snapToGrid/>
          <w:spacing w:val="0"/>
          <w:w w:val="100"/>
          <w:kern w:val="21"/>
          <w:position w:val="0"/>
          <w:sz w:val="28"/>
          <w:szCs w:val="28"/>
        </w:rPr>
        <w:t>20.1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工程保险</w:t>
      </w:r>
      <w:bookmarkEnd w:id="531"/>
    </w:p>
    <w:p w14:paraId="7D64246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建筑工程一切险和（或）安装工程一切险投保人：</w:t>
      </w:r>
      <w:r>
        <w:rPr>
          <w:rFonts w:ascii="宋体" w:hAnsi="宋体" w:eastAsia="宋体" w:cs="宋体"/>
          <w:snapToGrid/>
          <w:spacing w:val="0"/>
          <w:w w:val="100"/>
          <w:kern w:val="21"/>
          <w:position w:val="0"/>
          <w:sz w:val="20"/>
          <w:szCs w:val="20"/>
          <w:u w:val="single" w:color="auto"/>
        </w:rPr>
        <w:t>执行通用条款</w:t>
      </w:r>
      <w:r>
        <w:rPr>
          <w:rFonts w:ascii="宋体" w:hAnsi="宋体" w:eastAsia="宋体" w:cs="宋体"/>
          <w:snapToGrid/>
          <w:spacing w:val="0"/>
          <w:w w:val="100"/>
          <w:kern w:val="21"/>
          <w:position w:val="0"/>
          <w:sz w:val="20"/>
          <w:szCs w:val="20"/>
        </w:rPr>
        <w:t>；</w:t>
      </w:r>
    </w:p>
    <w:p w14:paraId="513E371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投保内容：</w:t>
      </w:r>
      <w:r>
        <w:rPr>
          <w:rFonts w:ascii="宋体" w:hAnsi="宋体" w:eastAsia="宋体" w:cs="宋体"/>
          <w:snapToGrid/>
          <w:spacing w:val="0"/>
          <w:w w:val="100"/>
          <w:kern w:val="21"/>
          <w:position w:val="0"/>
          <w:sz w:val="20"/>
          <w:szCs w:val="20"/>
          <w:u w:val="single" w:color="auto"/>
        </w:rPr>
        <w:t xml:space="preserve">       本项目         </w:t>
      </w:r>
      <w:r>
        <w:rPr>
          <w:rFonts w:ascii="宋体" w:hAnsi="宋体" w:eastAsia="宋体" w:cs="宋体"/>
          <w:snapToGrid/>
          <w:spacing w:val="0"/>
          <w:w w:val="100"/>
          <w:kern w:val="21"/>
          <w:position w:val="0"/>
          <w:sz w:val="20"/>
          <w:szCs w:val="20"/>
        </w:rPr>
        <w:t>；</w:t>
      </w:r>
    </w:p>
    <w:p w14:paraId="42EA19D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保险金额、保险费率和保险期限：</w:t>
      </w:r>
      <w:r>
        <w:rPr>
          <w:rFonts w:ascii="宋体" w:hAnsi="宋体" w:eastAsia="宋体" w:cs="宋体"/>
          <w:snapToGrid/>
          <w:spacing w:val="0"/>
          <w:w w:val="100"/>
          <w:kern w:val="21"/>
          <w:position w:val="0"/>
          <w:sz w:val="20"/>
          <w:szCs w:val="20"/>
          <w:u w:val="single" w:color="auto"/>
        </w:rPr>
        <w:t>依据保险凭证；由承包人以发包人和承包人共同名义投保，</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保险费包含在签约合同价中</w:t>
      </w:r>
      <w:r>
        <w:rPr>
          <w:rFonts w:ascii="宋体" w:hAnsi="宋体" w:eastAsia="宋体" w:cs="宋体"/>
          <w:snapToGrid/>
          <w:spacing w:val="0"/>
          <w:w w:val="100"/>
          <w:kern w:val="21"/>
          <w:position w:val="0"/>
          <w:sz w:val="20"/>
          <w:szCs w:val="20"/>
        </w:rPr>
        <w:t>。</w:t>
      </w:r>
    </w:p>
    <w:p w14:paraId="24FC9FA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承包人须按照有关规定及时投保，否则，发包人有权在合同价款中扣除保险费。</w:t>
      </w:r>
    </w:p>
    <w:p w14:paraId="315E345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32" w:name="_Toc30343"/>
      <w:r>
        <w:rPr>
          <w:rFonts w:ascii="宋体" w:hAnsi="宋体" w:eastAsia="宋体" w:cs="宋体"/>
          <w:b/>
          <w:bCs/>
          <w:snapToGrid/>
          <w:spacing w:val="0"/>
          <w:w w:val="100"/>
          <w:kern w:val="21"/>
          <w:position w:val="0"/>
          <w:sz w:val="28"/>
          <w:szCs w:val="28"/>
        </w:rPr>
        <w:t>20.4</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第三者责任险</w:t>
      </w:r>
      <w:bookmarkEnd w:id="532"/>
    </w:p>
    <w:p w14:paraId="6925BA76">
      <w:pPr>
        <w:keepNext w:val="0"/>
        <w:keepLines w:val="0"/>
        <w:pageBreakBefore w:val="0"/>
        <w:widowControl w:val="0"/>
        <w:kinsoku/>
        <w:wordWrap w:val="0"/>
        <w:overflowPunct/>
        <w:topLinePunct/>
        <w:autoSpaceDE w:val="0"/>
        <w:autoSpaceDN/>
        <w:bidi w:val="0"/>
        <w:adjustRightInd/>
        <w:snapToGrid/>
        <w:spacing w:line="560" w:lineRule="exact"/>
        <w:ind w:left="0" w:right="0" w:firstLine="41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20.4.2 第三者责任险保险费率：</w:t>
      </w:r>
      <w:r>
        <w:rPr>
          <w:rFonts w:ascii="宋体" w:hAnsi="宋体" w:eastAsia="宋体" w:cs="宋体"/>
          <w:snapToGrid/>
          <w:spacing w:val="0"/>
          <w:w w:val="100"/>
          <w:kern w:val="21"/>
          <w:position w:val="0"/>
          <w:sz w:val="20"/>
          <w:szCs w:val="20"/>
          <w:u w:val="single" w:color="auto"/>
        </w:rPr>
        <w:t>依据保险凭证，由承包人以发包人和承包人共同名义投保，保</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费包含在签约合同价中</w:t>
      </w:r>
      <w:r>
        <w:rPr>
          <w:rFonts w:ascii="宋体" w:hAnsi="宋体" w:eastAsia="宋体" w:cs="宋体"/>
          <w:snapToGrid/>
          <w:spacing w:val="0"/>
          <w:w w:val="100"/>
          <w:kern w:val="21"/>
          <w:position w:val="0"/>
          <w:sz w:val="20"/>
          <w:szCs w:val="20"/>
        </w:rPr>
        <w:t>；</w:t>
      </w:r>
    </w:p>
    <w:p w14:paraId="678B9E9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第三者责任险保险金额：</w:t>
      </w:r>
      <w:r>
        <w:rPr>
          <w:rFonts w:ascii="宋体" w:hAnsi="宋体" w:eastAsia="宋体" w:cs="宋体"/>
          <w:snapToGrid/>
          <w:spacing w:val="0"/>
          <w:w w:val="100"/>
          <w:kern w:val="21"/>
          <w:position w:val="0"/>
          <w:sz w:val="20"/>
          <w:szCs w:val="20"/>
          <w:u w:val="single" w:color="auto"/>
        </w:rPr>
        <w:t xml:space="preserve">   依据保险凭证 </w:t>
      </w:r>
      <w:r>
        <w:rPr>
          <w:rFonts w:ascii="宋体" w:hAnsi="宋体" w:eastAsia="宋体" w:cs="宋体"/>
          <w:snapToGrid/>
          <w:spacing w:val="0"/>
          <w:w w:val="100"/>
          <w:kern w:val="21"/>
          <w:position w:val="0"/>
          <w:sz w:val="20"/>
          <w:szCs w:val="20"/>
        </w:rPr>
        <w:t>。</w:t>
      </w:r>
    </w:p>
    <w:p w14:paraId="0C34AB8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33" w:name="_Toc14574"/>
      <w:r>
        <w:rPr>
          <w:rFonts w:ascii="宋体" w:hAnsi="宋体" w:eastAsia="宋体" w:cs="宋体"/>
          <w:b/>
          <w:bCs/>
          <w:snapToGrid/>
          <w:spacing w:val="0"/>
          <w:w w:val="100"/>
          <w:kern w:val="21"/>
          <w:position w:val="0"/>
          <w:sz w:val="28"/>
          <w:szCs w:val="28"/>
        </w:rPr>
        <w:t>20.5</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其他保险</w:t>
      </w:r>
      <w:bookmarkEnd w:id="533"/>
    </w:p>
    <w:p w14:paraId="4830D91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本款约定为：</w:t>
      </w:r>
    </w:p>
    <w:p w14:paraId="32910142">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承包人应为其施工设备等办理保险，其投保金额应足以现场重置。办理本款保险的一切费用 均由承包人承担，并包括在投标报价中，发包人不单独支付。</w:t>
      </w:r>
    </w:p>
    <w:p w14:paraId="6CD988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需要投保的其他内容：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051BAE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保险金额、保险费率和保险期限：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6EE5066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34" w:name="_Toc23862"/>
      <w:r>
        <w:rPr>
          <w:rFonts w:ascii="宋体" w:hAnsi="宋体" w:eastAsia="宋体" w:cs="宋体"/>
          <w:b/>
          <w:bCs/>
          <w:snapToGrid/>
          <w:spacing w:val="0"/>
          <w:w w:val="100"/>
          <w:kern w:val="21"/>
          <w:position w:val="0"/>
          <w:sz w:val="28"/>
          <w:szCs w:val="28"/>
        </w:rPr>
        <w:t>20.6</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对各项保险的一般要求</w:t>
      </w:r>
      <w:bookmarkEnd w:id="534"/>
    </w:p>
    <w:p w14:paraId="0310AC7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35" w:name="_Toc7699"/>
      <w:r>
        <w:rPr>
          <w:rFonts w:ascii="宋体" w:hAnsi="宋体" w:eastAsia="宋体" w:cs="宋体"/>
          <w:b/>
          <w:bCs/>
          <w:snapToGrid/>
          <w:spacing w:val="0"/>
          <w:w w:val="100"/>
          <w:kern w:val="21"/>
          <w:position w:val="0"/>
          <w:sz w:val="20"/>
          <w:szCs w:val="20"/>
        </w:rPr>
        <w:t>20.6.1</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保险凭证</w:t>
      </w:r>
      <w:bookmarkEnd w:id="535"/>
    </w:p>
    <w:p w14:paraId="6D757E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承包人最迟应向发包人提交各项保险生效的证据和保险单副本的期限：开工后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天内。</w:t>
      </w:r>
    </w:p>
    <w:p w14:paraId="0DEFEE2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保险条件：</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5030729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36" w:name="_Toc16847"/>
      <w:r>
        <w:rPr>
          <w:rFonts w:ascii="宋体" w:hAnsi="宋体" w:eastAsia="宋体" w:cs="宋体"/>
          <w:b/>
          <w:bCs/>
          <w:snapToGrid/>
          <w:spacing w:val="0"/>
          <w:w w:val="100"/>
          <w:kern w:val="21"/>
          <w:position w:val="0"/>
          <w:sz w:val="20"/>
          <w:szCs w:val="20"/>
        </w:rPr>
        <w:t>20.6.4</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保险金不足的补偿</w:t>
      </w:r>
      <w:bookmarkEnd w:id="536"/>
    </w:p>
    <w:p w14:paraId="2792A39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承包人负责补偿的范围与金额：</w:t>
      </w:r>
      <w:r>
        <w:rPr>
          <w:rFonts w:ascii="宋体" w:hAnsi="宋体" w:eastAsia="宋体" w:cs="宋体"/>
          <w:snapToGrid/>
          <w:spacing w:val="0"/>
          <w:w w:val="100"/>
          <w:kern w:val="21"/>
          <w:position w:val="0"/>
          <w:sz w:val="20"/>
          <w:szCs w:val="20"/>
          <w:u w:val="single" w:color="auto"/>
        </w:rPr>
        <w:t>全部由承包人负责补偿</w:t>
      </w:r>
      <w:r>
        <w:rPr>
          <w:rFonts w:ascii="宋体" w:hAnsi="宋体" w:eastAsia="宋体" w:cs="宋体"/>
          <w:snapToGrid/>
          <w:spacing w:val="0"/>
          <w:w w:val="100"/>
          <w:kern w:val="21"/>
          <w:position w:val="0"/>
          <w:sz w:val="20"/>
          <w:szCs w:val="20"/>
        </w:rPr>
        <w:t>；</w:t>
      </w:r>
    </w:p>
    <w:p w14:paraId="3525129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发包人负责补偿的范围与金额： </w:t>
      </w:r>
      <w:r>
        <w:rPr>
          <w:rFonts w:ascii="宋体" w:hAnsi="宋体" w:eastAsia="宋体" w:cs="宋体"/>
          <w:snapToGrid/>
          <w:spacing w:val="0"/>
          <w:w w:val="100"/>
          <w:kern w:val="21"/>
          <w:position w:val="0"/>
          <w:sz w:val="20"/>
          <w:szCs w:val="20"/>
          <w:u w:val="single" w:color="auto"/>
        </w:rPr>
        <w:t xml:space="preserve">     /        </w:t>
      </w:r>
      <w:r>
        <w:rPr>
          <w:rFonts w:ascii="宋体" w:hAnsi="宋体" w:eastAsia="宋体" w:cs="宋体"/>
          <w:snapToGrid/>
          <w:spacing w:val="0"/>
          <w:w w:val="100"/>
          <w:kern w:val="21"/>
          <w:position w:val="0"/>
          <w:sz w:val="20"/>
          <w:szCs w:val="20"/>
        </w:rPr>
        <w:t>。</w:t>
      </w:r>
    </w:p>
    <w:p w14:paraId="28F5F71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37" w:name="bookmark176"/>
      <w:bookmarkEnd w:id="537"/>
      <w:bookmarkStart w:id="538" w:name="_Toc5464"/>
      <w:bookmarkStart w:id="539" w:name="_Toc14019"/>
      <w:bookmarkStart w:id="540" w:name="_Toc24868"/>
      <w:r>
        <w:rPr>
          <w:rFonts w:ascii="宋体" w:hAnsi="宋体" w:eastAsia="宋体" w:cs="宋体"/>
          <w:b/>
          <w:bCs/>
          <w:snapToGrid/>
          <w:spacing w:val="0"/>
          <w:w w:val="100"/>
          <w:kern w:val="21"/>
          <w:position w:val="0"/>
          <w:sz w:val="31"/>
          <w:szCs w:val="31"/>
        </w:rPr>
        <w:t>21.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不可抗力</w:t>
      </w:r>
      <w:bookmarkEnd w:id="538"/>
      <w:bookmarkEnd w:id="539"/>
      <w:bookmarkEnd w:id="540"/>
    </w:p>
    <w:p w14:paraId="638CF405">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41" w:name="_Toc18802"/>
      <w:r>
        <w:rPr>
          <w:rFonts w:ascii="宋体" w:hAnsi="宋体" w:eastAsia="宋体" w:cs="宋体"/>
          <w:b/>
          <w:bCs/>
          <w:snapToGrid/>
          <w:spacing w:val="0"/>
          <w:w w:val="100"/>
          <w:kern w:val="21"/>
          <w:position w:val="0"/>
          <w:sz w:val="28"/>
          <w:szCs w:val="28"/>
        </w:rPr>
        <w:t>21.1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不可抗力的确认</w:t>
      </w:r>
      <w:bookmarkEnd w:id="541"/>
    </w:p>
    <w:p w14:paraId="7E0413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21.1.1 不可抗力的其他情形：</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43F3FCB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42" w:name="bookmark177"/>
      <w:bookmarkEnd w:id="542"/>
      <w:bookmarkStart w:id="543" w:name="_Toc8241"/>
      <w:bookmarkStart w:id="544" w:name="_Toc10597"/>
      <w:bookmarkStart w:id="545" w:name="_Toc28"/>
      <w:r>
        <w:rPr>
          <w:rFonts w:ascii="宋体" w:hAnsi="宋体" w:eastAsia="宋体" w:cs="宋体"/>
          <w:b/>
          <w:bCs/>
          <w:snapToGrid/>
          <w:spacing w:val="0"/>
          <w:w w:val="100"/>
          <w:kern w:val="21"/>
          <w:position w:val="0"/>
          <w:sz w:val="31"/>
          <w:szCs w:val="31"/>
        </w:rPr>
        <w:t>22.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违约</w:t>
      </w:r>
      <w:bookmarkEnd w:id="543"/>
      <w:bookmarkEnd w:id="544"/>
      <w:bookmarkEnd w:id="545"/>
    </w:p>
    <w:p w14:paraId="62C5A02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46" w:name="_Toc1339"/>
      <w:r>
        <w:rPr>
          <w:rFonts w:ascii="宋体" w:hAnsi="宋体" w:eastAsia="宋体" w:cs="宋体"/>
          <w:b/>
          <w:bCs/>
          <w:snapToGrid/>
          <w:spacing w:val="0"/>
          <w:w w:val="100"/>
          <w:kern w:val="21"/>
          <w:position w:val="0"/>
          <w:sz w:val="28"/>
          <w:szCs w:val="28"/>
        </w:rPr>
        <w:t>22.1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承包人违约</w:t>
      </w:r>
      <w:bookmarkEnd w:id="546"/>
    </w:p>
    <w:p w14:paraId="0F54950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22.1.2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对承包人违约的处理</w:t>
      </w:r>
    </w:p>
    <w:p w14:paraId="51E4D7D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本项细化为：</w:t>
      </w:r>
    </w:p>
    <w:p w14:paraId="0B94A33F">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22.1.2 当承包人发生第 22.1.1 项约定的违约情况时，发包人有权向承包人课以违约金，具体 约定如下：</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3CA359A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47" w:name="_Toc4859"/>
      <w:r>
        <w:rPr>
          <w:rFonts w:ascii="宋体" w:hAnsi="宋体" w:eastAsia="宋体" w:cs="宋体"/>
          <w:b/>
          <w:bCs/>
          <w:snapToGrid/>
          <w:spacing w:val="0"/>
          <w:w w:val="100"/>
          <w:kern w:val="21"/>
          <w:position w:val="0"/>
          <w:sz w:val="28"/>
          <w:szCs w:val="28"/>
        </w:rPr>
        <w:t>22.2</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发包人违约</w:t>
      </w:r>
      <w:bookmarkEnd w:id="547"/>
    </w:p>
    <w:p w14:paraId="3DA0A4B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2"/>
        <w:rPr>
          <w:rFonts w:ascii="宋体" w:hAnsi="宋体" w:eastAsia="宋体" w:cs="宋体"/>
          <w:snapToGrid/>
          <w:spacing w:val="0"/>
          <w:w w:val="100"/>
          <w:kern w:val="21"/>
          <w:position w:val="0"/>
          <w:sz w:val="20"/>
          <w:szCs w:val="20"/>
        </w:rPr>
      </w:pPr>
      <w:bookmarkStart w:id="548" w:name="_Toc2326"/>
      <w:r>
        <w:rPr>
          <w:rFonts w:ascii="宋体" w:hAnsi="宋体" w:eastAsia="宋体" w:cs="宋体"/>
          <w:b/>
          <w:bCs/>
          <w:snapToGrid/>
          <w:spacing w:val="0"/>
          <w:w w:val="100"/>
          <w:kern w:val="21"/>
          <w:position w:val="0"/>
          <w:sz w:val="20"/>
          <w:szCs w:val="20"/>
        </w:rPr>
        <w:t>22.2.2</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承包人有权暂停施工</w:t>
      </w:r>
      <w:bookmarkEnd w:id="548"/>
    </w:p>
    <w:p w14:paraId="57C37BF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本项补充以下内容：</w:t>
      </w:r>
    </w:p>
    <w:p w14:paraId="06CDBFFC">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当 发 包 人 发 生 第 22.2.1 项 约 定 的 违 约 情 况 时 ， 发 包 人 应 向 承 包 人 支 付 的 违 约 金 如 下：</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14C9D31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49" w:name="bookmark178"/>
      <w:bookmarkEnd w:id="549"/>
      <w:bookmarkStart w:id="550" w:name="_Toc1767"/>
      <w:bookmarkStart w:id="551" w:name="_Toc19733"/>
      <w:bookmarkStart w:id="552" w:name="_Toc32083"/>
      <w:r>
        <w:rPr>
          <w:rFonts w:ascii="宋体" w:hAnsi="宋体" w:eastAsia="宋体" w:cs="宋体"/>
          <w:b/>
          <w:bCs/>
          <w:snapToGrid/>
          <w:spacing w:val="0"/>
          <w:w w:val="100"/>
          <w:kern w:val="21"/>
          <w:position w:val="0"/>
          <w:sz w:val="31"/>
          <w:szCs w:val="31"/>
        </w:rPr>
        <w:t>24.</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争议的解决</w:t>
      </w:r>
      <w:bookmarkEnd w:id="550"/>
      <w:bookmarkEnd w:id="551"/>
      <w:bookmarkEnd w:id="552"/>
    </w:p>
    <w:p w14:paraId="2105698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553" w:name="_Toc29307"/>
      <w:r>
        <w:rPr>
          <w:rFonts w:ascii="宋体" w:hAnsi="宋体" w:eastAsia="宋体" w:cs="宋体"/>
          <w:b/>
          <w:bCs/>
          <w:snapToGrid/>
          <w:spacing w:val="0"/>
          <w:w w:val="100"/>
          <w:kern w:val="21"/>
          <w:position w:val="0"/>
          <w:sz w:val="28"/>
          <w:szCs w:val="28"/>
        </w:rPr>
        <w:t>24.1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争议的解决方式</w:t>
      </w:r>
      <w:bookmarkEnd w:id="553"/>
    </w:p>
    <w:p w14:paraId="2ED8994B">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合同当事人友好协商解决不成、不愿提请争议评审或不接受争议评审组意见的，约定的合同争 议解决方式：选择下列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方式解决：</w:t>
      </w:r>
    </w:p>
    <w:p w14:paraId="6F47FFA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（1）向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仲裁委员会申请仲裁；</w:t>
      </w:r>
    </w:p>
    <w:p w14:paraId="5B114D2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（2）向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人民法院提起诉讼。</w:t>
      </w:r>
    </w:p>
    <w:p w14:paraId="329A62CA">
      <w:pPr>
        <w:rPr>
          <w:rFonts w:ascii="宋体" w:hAnsi="宋体" w:eastAsia="宋体" w:cs="宋体"/>
          <w:b/>
          <w:bCs/>
          <w:snapToGrid/>
          <w:spacing w:val="0"/>
          <w:w w:val="100"/>
          <w:kern w:val="21"/>
          <w:position w:val="0"/>
          <w:sz w:val="31"/>
          <w:szCs w:val="31"/>
        </w:rPr>
      </w:pPr>
      <w:bookmarkStart w:id="554" w:name="bookmark179"/>
      <w:bookmarkEnd w:id="554"/>
      <w:r>
        <w:rPr>
          <w:rFonts w:ascii="宋体" w:hAnsi="宋体" w:eastAsia="宋体" w:cs="宋体"/>
          <w:b/>
          <w:bCs/>
          <w:snapToGrid/>
          <w:spacing w:val="0"/>
          <w:w w:val="100"/>
          <w:kern w:val="21"/>
          <w:position w:val="0"/>
          <w:sz w:val="31"/>
          <w:szCs w:val="31"/>
        </w:rPr>
        <w:br w:type="page"/>
      </w:r>
    </w:p>
    <w:p w14:paraId="56ED5AF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555" w:name="_Toc12375"/>
      <w:bookmarkStart w:id="556" w:name="_Toc21531"/>
      <w:bookmarkStart w:id="557" w:name="_Toc29913"/>
      <w:r>
        <w:rPr>
          <w:rFonts w:ascii="宋体" w:hAnsi="宋体" w:eastAsia="宋体" w:cs="宋体"/>
          <w:b/>
          <w:bCs/>
          <w:snapToGrid/>
          <w:spacing w:val="0"/>
          <w:w w:val="100"/>
          <w:kern w:val="21"/>
          <w:position w:val="0"/>
          <w:sz w:val="31"/>
          <w:szCs w:val="31"/>
        </w:rPr>
        <w:t>第三节</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合同附件格式</w:t>
      </w:r>
      <w:bookmarkEnd w:id="555"/>
      <w:bookmarkEnd w:id="556"/>
      <w:bookmarkEnd w:id="557"/>
    </w:p>
    <w:p w14:paraId="64D84A0A">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58" w:name="_Toc4089"/>
      <w:bookmarkStart w:id="559" w:name="_Toc9709"/>
      <w:bookmarkStart w:id="560" w:name="_Toc29302"/>
      <w:r>
        <w:rPr>
          <w:rFonts w:ascii="宋体" w:hAnsi="宋体" w:eastAsia="宋体" w:cs="宋体"/>
          <w:b/>
          <w:bCs/>
          <w:snapToGrid/>
          <w:spacing w:val="0"/>
          <w:w w:val="100"/>
          <w:kern w:val="21"/>
          <w:position w:val="0"/>
          <w:sz w:val="28"/>
          <w:szCs w:val="28"/>
        </w:rPr>
        <w:t>附件一：合同协议书</w:t>
      </w:r>
      <w:bookmarkEnd w:id="558"/>
      <w:bookmarkEnd w:id="559"/>
      <w:bookmarkEnd w:id="560"/>
    </w:p>
    <w:p w14:paraId="69BFC5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合同协议书</w:t>
      </w:r>
    </w:p>
    <w:p w14:paraId="2ED2BFC9">
      <w:pPr>
        <w:keepNext w:val="0"/>
        <w:keepLines w:val="0"/>
        <w:pageBreakBefore w:val="0"/>
        <w:widowControl w:val="0"/>
        <w:tabs>
          <w:tab w:val="left" w:pos="1093"/>
        </w:tabs>
        <w:kinsoku/>
        <w:wordWrap w:val="0"/>
        <w:overflowPunct/>
        <w:topLinePunct/>
        <w:autoSpaceDE w:val="0"/>
        <w:autoSpaceDN/>
        <w:bidi w:val="0"/>
        <w:adjustRightInd/>
        <w:snapToGrid/>
        <w:spacing w:line="560" w:lineRule="exact"/>
        <w:ind w:left="0" w:right="0" w:firstLine="34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（发包人名称， 以下简称“发包人 ”）为实施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（项目名称）， 已接受</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（承包人名称， 以下简称“承包人 ”）对该项目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标段施工的投标。发包人和承 包人共同达成如下协议。</w:t>
      </w:r>
    </w:p>
    <w:p w14:paraId="0D50E8A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本协议书与下列文件一起构成合同文件：</w:t>
      </w:r>
    </w:p>
    <w:p w14:paraId="03F2554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（1）中标通知书；</w:t>
      </w:r>
    </w:p>
    <w:p w14:paraId="1276106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（2）投标函及投标函附录；</w:t>
      </w:r>
    </w:p>
    <w:p w14:paraId="508CFB2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（3）专用合同条款；</w:t>
      </w:r>
    </w:p>
    <w:p w14:paraId="60C160C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（4）通用合同条款；</w:t>
      </w:r>
    </w:p>
    <w:p w14:paraId="089C5B2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（5）技术标准和要求；</w:t>
      </w:r>
    </w:p>
    <w:p w14:paraId="03AE4C7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（6）图纸；</w:t>
      </w:r>
    </w:p>
    <w:p w14:paraId="6D4AA4C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 已标价工程量清单；</w:t>
      </w:r>
    </w:p>
    <w:p w14:paraId="67939E5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（8）其他合同文件。</w:t>
      </w:r>
    </w:p>
    <w:p w14:paraId="54EE4F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上述文件互相补充和解释，如有不明确或不一致之处， 以合同约定次序在先者为准。</w:t>
      </w:r>
    </w:p>
    <w:p w14:paraId="63DDD1A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 签约合同价：人民币（大写）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606C4F8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4. 承包人项目经理：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6FDD2CB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5. 工程质量符合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标准，安全目标：</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，环保目标：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A9FA4B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 承包人承诺按合同约定承担工程的实施、完成及缺陷修复。</w:t>
      </w:r>
    </w:p>
    <w:p w14:paraId="262010E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 发包人承诺按合同约定的条件、时间和方式向承包人支付合同价款。</w:t>
      </w:r>
    </w:p>
    <w:p w14:paraId="1A93F73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 承包人应按照监理人指示开工，工期为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日历天。</w:t>
      </w:r>
    </w:p>
    <w:p w14:paraId="2C4B3DE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9. 本协议书一式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份，合同双方各执一份。</w:t>
      </w:r>
    </w:p>
    <w:p w14:paraId="0D3E397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10. 合同未尽事宜，双方另行签订补充协议。补充协议是合同的组成部分。</w:t>
      </w:r>
    </w:p>
    <w:p w14:paraId="7B10E86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发包人：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（盖单位章）     承包人：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7BD586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    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5B2AF771">
      <w:pPr>
        <w:keepNext w:val="0"/>
        <w:keepLines w:val="0"/>
        <w:pageBreakBefore w:val="0"/>
        <w:widowControl w:val="0"/>
        <w:tabs>
          <w:tab w:val="left" w:pos="945"/>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6D6363FF">
      <w:pPr>
        <w:rPr>
          <w:rFonts w:ascii="宋体" w:hAnsi="宋体" w:eastAsia="宋体" w:cs="宋体"/>
          <w:b/>
          <w:bCs/>
          <w:snapToGrid/>
          <w:spacing w:val="0"/>
          <w:w w:val="100"/>
          <w:kern w:val="21"/>
          <w:position w:val="0"/>
          <w:sz w:val="28"/>
          <w:szCs w:val="28"/>
        </w:rPr>
      </w:pPr>
      <w:r>
        <w:rPr>
          <w:rFonts w:ascii="宋体" w:hAnsi="宋体" w:eastAsia="宋体" w:cs="宋体"/>
          <w:b/>
          <w:bCs/>
          <w:snapToGrid/>
          <w:spacing w:val="0"/>
          <w:w w:val="100"/>
          <w:kern w:val="21"/>
          <w:position w:val="0"/>
          <w:sz w:val="28"/>
          <w:szCs w:val="28"/>
        </w:rPr>
        <w:br w:type="page"/>
      </w:r>
    </w:p>
    <w:p w14:paraId="37073E1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61" w:name="_Toc3057"/>
      <w:bookmarkStart w:id="562" w:name="_Toc8208"/>
      <w:bookmarkStart w:id="563" w:name="_Toc25822"/>
      <w:r>
        <w:rPr>
          <w:rFonts w:ascii="宋体" w:hAnsi="宋体" w:eastAsia="宋体" w:cs="宋体"/>
          <w:b/>
          <w:bCs/>
          <w:snapToGrid/>
          <w:spacing w:val="0"/>
          <w:w w:val="100"/>
          <w:kern w:val="21"/>
          <w:position w:val="0"/>
          <w:sz w:val="28"/>
          <w:szCs w:val="28"/>
        </w:rPr>
        <w:t>附件二：廉政协议书</w:t>
      </w:r>
      <w:bookmarkEnd w:id="561"/>
      <w:bookmarkEnd w:id="562"/>
      <w:bookmarkEnd w:id="563"/>
    </w:p>
    <w:p w14:paraId="66F5FC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564" w:name="bookmark180"/>
      <w:bookmarkEnd w:id="564"/>
      <w:r>
        <w:rPr>
          <w:rFonts w:ascii="宋体" w:hAnsi="宋体" w:eastAsia="宋体" w:cs="宋体"/>
          <w:b/>
          <w:bCs/>
          <w:snapToGrid/>
          <w:spacing w:val="0"/>
          <w:w w:val="100"/>
          <w:kern w:val="21"/>
          <w:position w:val="0"/>
          <w:sz w:val="31"/>
          <w:szCs w:val="31"/>
        </w:rPr>
        <w:t>廉政协议书</w:t>
      </w:r>
    </w:p>
    <w:p w14:paraId="2802952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施工合同名称 ：</w:t>
      </w:r>
      <w:r>
        <w:rPr>
          <w:rFonts w:ascii="宋体" w:hAnsi="宋体" w:eastAsia="宋体" w:cs="宋体"/>
          <w:snapToGrid/>
          <w:spacing w:val="0"/>
          <w:w w:val="100"/>
          <w:kern w:val="21"/>
          <w:position w:val="0"/>
          <w:sz w:val="20"/>
          <w:szCs w:val="20"/>
          <w:u w:val="single" w:color="auto"/>
        </w:rPr>
        <w:t xml:space="preserve">                                                        </w:t>
      </w:r>
    </w:p>
    <w:p w14:paraId="09E33BE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施工合同编号 ：</w:t>
      </w:r>
      <w:r>
        <w:rPr>
          <w:rFonts w:ascii="宋体" w:hAnsi="宋体" w:eastAsia="宋体" w:cs="宋体"/>
          <w:snapToGrid/>
          <w:spacing w:val="0"/>
          <w:w w:val="100"/>
          <w:kern w:val="21"/>
          <w:position w:val="0"/>
          <w:sz w:val="20"/>
          <w:szCs w:val="20"/>
          <w:u w:val="single" w:color="auto"/>
        </w:rPr>
        <w:t xml:space="preserve">                                                        </w:t>
      </w:r>
    </w:p>
    <w:p w14:paraId="303A793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发包人（甲方）： </w:t>
      </w:r>
      <w:r>
        <w:rPr>
          <w:rFonts w:ascii="宋体" w:hAnsi="宋体" w:eastAsia="宋体" w:cs="宋体"/>
          <w:snapToGrid/>
          <w:spacing w:val="0"/>
          <w:w w:val="100"/>
          <w:kern w:val="21"/>
          <w:position w:val="0"/>
          <w:sz w:val="20"/>
          <w:szCs w:val="20"/>
          <w:u w:val="single" w:color="auto"/>
        </w:rPr>
        <w:t xml:space="preserve">                                                        </w:t>
      </w:r>
    </w:p>
    <w:p w14:paraId="16D8FE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承包人（乙方）： </w:t>
      </w:r>
      <w:r>
        <w:rPr>
          <w:rFonts w:ascii="宋体" w:hAnsi="宋体" w:eastAsia="宋体" w:cs="宋体"/>
          <w:snapToGrid/>
          <w:spacing w:val="0"/>
          <w:w w:val="100"/>
          <w:kern w:val="21"/>
          <w:position w:val="0"/>
          <w:sz w:val="20"/>
          <w:szCs w:val="20"/>
          <w:u w:val="single" w:color="auto"/>
        </w:rPr>
        <w:t xml:space="preserve">                                                        </w:t>
      </w:r>
    </w:p>
    <w:p w14:paraId="70F451D1">
      <w:pPr>
        <w:keepNext w:val="0"/>
        <w:keepLines w:val="0"/>
        <w:pageBreakBefore w:val="0"/>
        <w:widowControl w:val="0"/>
        <w:kinsoku/>
        <w:wordWrap w:val="0"/>
        <w:overflowPunct/>
        <w:topLinePunct/>
        <w:autoSpaceDE w:val="0"/>
        <w:autoSpaceDN/>
        <w:bidi w:val="0"/>
        <w:adjustRightInd/>
        <w:snapToGrid/>
        <w:spacing w:line="560" w:lineRule="exact"/>
        <w:ind w:left="0" w:right="0" w:firstLine="44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为加强安徽省农业工程建设中的廉政建设，规范农业工程建设项目中承发包双方的各项活动， 防止各种非法谋取不正当利益的行为，保护国家、集体和当事人的合法权益，根据国家有关法律法 规和廉政建设的要求，特签订本廉政协议。</w:t>
      </w:r>
    </w:p>
    <w:p w14:paraId="5D0E40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第一条   </w:t>
      </w:r>
      <w:r>
        <w:rPr>
          <w:rFonts w:ascii="宋体" w:hAnsi="宋体" w:eastAsia="宋体" w:cs="宋体"/>
          <w:snapToGrid/>
          <w:spacing w:val="0"/>
          <w:w w:val="100"/>
          <w:kern w:val="21"/>
          <w:position w:val="0"/>
          <w:sz w:val="20"/>
          <w:szCs w:val="20"/>
        </w:rPr>
        <w:t>甲、乙双方的责任</w:t>
      </w:r>
    </w:p>
    <w:p w14:paraId="1D362B0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（一）严格遵守国家、省关于农业工程建设有关法律法规、部门规章以及廉政建设的各项规定。</w:t>
      </w:r>
    </w:p>
    <w:p w14:paraId="5B49F91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（二）严格执行工程项目承发包合同文件，认真履行合同规定的权利和义务。</w:t>
      </w:r>
    </w:p>
    <w:p w14:paraId="3BDC55BF">
      <w:pPr>
        <w:keepNext w:val="0"/>
        <w:keepLines w:val="0"/>
        <w:pageBreakBefore w:val="0"/>
        <w:widowControl w:val="0"/>
        <w:kinsoku/>
        <w:wordWrap w:val="0"/>
        <w:overflowPunct/>
        <w:topLinePunct/>
        <w:autoSpaceDE w:val="0"/>
        <w:autoSpaceDN/>
        <w:bidi w:val="0"/>
        <w:adjustRightInd/>
        <w:snapToGrid/>
        <w:spacing w:line="560" w:lineRule="exact"/>
        <w:ind w:left="0" w:right="0" w:firstLine="38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（三）业务活动必须坚持公开、公平、公正、诚信、透明的原则（除法律认定的商业秘密和合 同文件另有规定除外），不得为获取不正当利益而损害国家、集体和对方利益，不得违反高标准农田 建设管理、勘察、设计、监理、施工的规定和规范。</w:t>
      </w:r>
    </w:p>
    <w:p w14:paraId="69DA218B">
      <w:pPr>
        <w:keepNext w:val="0"/>
        <w:keepLines w:val="0"/>
        <w:pageBreakBefore w:val="0"/>
        <w:widowControl w:val="0"/>
        <w:kinsoku/>
        <w:wordWrap w:val="0"/>
        <w:overflowPunct/>
        <w:topLinePunct/>
        <w:autoSpaceDE w:val="0"/>
        <w:autoSpaceDN/>
        <w:bidi w:val="0"/>
        <w:adjustRightInd/>
        <w:snapToGrid/>
        <w:spacing w:line="560" w:lineRule="exact"/>
        <w:ind w:left="0" w:right="0" w:firstLine="38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（四）发现对方在业务活动中有违规、违纪、违法行为，有责任及时提醒对方，情节严重的， 应向其上级主管部门或纪检、监察、司法等机关举报。</w:t>
      </w:r>
    </w:p>
    <w:p w14:paraId="3EAFE16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第二条   </w:t>
      </w:r>
      <w:r>
        <w:rPr>
          <w:rFonts w:ascii="宋体" w:hAnsi="宋体" w:eastAsia="宋体" w:cs="宋体"/>
          <w:snapToGrid/>
          <w:spacing w:val="0"/>
          <w:w w:val="100"/>
          <w:kern w:val="21"/>
          <w:position w:val="0"/>
          <w:sz w:val="20"/>
          <w:szCs w:val="20"/>
        </w:rPr>
        <w:t>甲方的责任</w:t>
      </w:r>
    </w:p>
    <w:p w14:paraId="24096BC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甲方的领导和工作人员，在工程建设的事前、事中、事后应遵守以下规定：</w:t>
      </w:r>
    </w:p>
    <w:p w14:paraId="212AF555">
      <w:pPr>
        <w:keepNext w:val="0"/>
        <w:keepLines w:val="0"/>
        <w:pageBreakBefore w:val="0"/>
        <w:widowControl w:val="0"/>
        <w:kinsoku/>
        <w:wordWrap w:val="0"/>
        <w:overflowPunct/>
        <w:topLinePunct/>
        <w:autoSpaceDE w:val="0"/>
        <w:autoSpaceDN/>
        <w:bidi w:val="0"/>
        <w:adjustRightInd/>
        <w:snapToGrid/>
        <w:spacing w:line="560" w:lineRule="exact"/>
        <w:ind w:left="0" w:right="0" w:firstLine="38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（一）不准向乙方和相关单位索要或接受回扣、礼金、有价证券、贵重物品和好处费、感谢费 等。</w:t>
      </w:r>
    </w:p>
    <w:p w14:paraId="77A99EC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（二）不准在乙方和相关单位报销任何应由甲方或应由个人支付的费用。</w:t>
      </w:r>
    </w:p>
    <w:p w14:paraId="536341A3">
      <w:pPr>
        <w:keepNext w:val="0"/>
        <w:keepLines w:val="0"/>
        <w:pageBreakBefore w:val="0"/>
        <w:widowControl w:val="0"/>
        <w:kinsoku/>
        <w:wordWrap w:val="0"/>
        <w:overflowPunct/>
        <w:topLinePunct/>
        <w:autoSpaceDE w:val="0"/>
        <w:autoSpaceDN/>
        <w:bidi w:val="0"/>
        <w:adjustRightInd/>
        <w:snapToGrid/>
        <w:spacing w:line="560" w:lineRule="exact"/>
        <w:ind w:left="0" w:right="0" w:firstLine="38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（三）不准要求、暗示或接受乙方和相关单位为个人装修住房、婚丧嫁娶、配偶子女的工作安 排以及出国（境）、旅游等提供方便。不准工作人员的配偶、子女从事与甲方工程交易行为有关的材 料设备供应、工程分包、劳务等经济活动。</w:t>
      </w:r>
    </w:p>
    <w:p w14:paraId="6E3AAD4D">
      <w:pPr>
        <w:keepNext w:val="0"/>
        <w:keepLines w:val="0"/>
        <w:pageBreakBefore w:val="0"/>
        <w:widowControl w:val="0"/>
        <w:kinsoku/>
        <w:wordWrap w:val="0"/>
        <w:overflowPunct/>
        <w:topLinePunct/>
        <w:autoSpaceDE w:val="0"/>
        <w:autoSpaceDN/>
        <w:bidi w:val="0"/>
        <w:adjustRightInd/>
        <w:snapToGrid/>
        <w:spacing w:line="560" w:lineRule="exact"/>
        <w:ind w:left="0" w:right="0" w:firstLine="38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（四）不准参加有可能影响公正执行公务的乙方和相关单位宴请和营业性健身、娱乐等活动。 不准接受乙方提供的通信工具和高档办公用品等。</w:t>
      </w:r>
    </w:p>
    <w:p w14:paraId="63CFCC67">
      <w:pPr>
        <w:keepNext w:val="0"/>
        <w:keepLines w:val="0"/>
        <w:pageBreakBefore w:val="0"/>
        <w:widowControl w:val="0"/>
        <w:kinsoku/>
        <w:wordWrap w:val="0"/>
        <w:overflowPunct/>
        <w:topLinePunct/>
        <w:autoSpaceDE w:val="0"/>
        <w:autoSpaceDN/>
        <w:bidi w:val="0"/>
        <w:adjustRightInd/>
        <w:snapToGrid/>
        <w:spacing w:line="560" w:lineRule="exact"/>
        <w:ind w:left="0" w:right="0" w:firstLine="38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（五）不准向乙方介绍与工程建设项目有关的设备、材料采购、劳务等经济活动，不得强行向 乙方和相关单位推荐分包单位，不准以任何理由要求乙方购买工程建设项目施工合同规定以外的材 料、设备等。</w:t>
      </w:r>
    </w:p>
    <w:p w14:paraId="408A41D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第三条  </w:t>
      </w:r>
      <w:r>
        <w:rPr>
          <w:rFonts w:ascii="宋体" w:hAnsi="宋体" w:eastAsia="宋体" w:cs="宋体"/>
          <w:snapToGrid/>
          <w:spacing w:val="0"/>
          <w:w w:val="100"/>
          <w:kern w:val="21"/>
          <w:position w:val="0"/>
          <w:sz w:val="20"/>
          <w:szCs w:val="20"/>
        </w:rPr>
        <w:t>乙方的责任</w:t>
      </w:r>
    </w:p>
    <w:p w14:paraId="421C94A9">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应与甲方保持正常的业务交往，按照有关法律法规和合同规定开展业务工作，严格执行工 程建设的有关政策，并遵守如下规定：</w:t>
      </w:r>
    </w:p>
    <w:p w14:paraId="33853D09">
      <w:pPr>
        <w:keepNext w:val="0"/>
        <w:keepLines w:val="0"/>
        <w:pageBreakBefore w:val="0"/>
        <w:widowControl w:val="0"/>
        <w:kinsoku/>
        <w:wordWrap w:val="0"/>
        <w:overflowPunct/>
        <w:topLinePunct/>
        <w:autoSpaceDE w:val="0"/>
        <w:autoSpaceDN/>
        <w:bidi w:val="0"/>
        <w:adjustRightInd/>
        <w:snapToGrid/>
        <w:spacing w:line="560" w:lineRule="exact"/>
        <w:ind w:left="0" w:right="0" w:firstLine="37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（一）不准以任何理由向甲方、相关单位及其工作人员赠送礼金、有价证券、贵重物品和回扣、 好处费、感谢费等。</w:t>
      </w:r>
    </w:p>
    <w:p w14:paraId="3594CDC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（二）不准以任何理由为甲方和相关单位报销应由对方或应由个人支付的费用。</w:t>
      </w:r>
    </w:p>
    <w:p w14:paraId="1904F3E5">
      <w:pPr>
        <w:keepNext w:val="0"/>
        <w:keepLines w:val="0"/>
        <w:pageBreakBefore w:val="0"/>
        <w:widowControl w:val="0"/>
        <w:kinsoku/>
        <w:wordWrap w:val="0"/>
        <w:overflowPunct/>
        <w:topLinePunct/>
        <w:autoSpaceDE w:val="0"/>
        <w:autoSpaceDN/>
        <w:bidi w:val="0"/>
        <w:adjustRightInd/>
        <w:snapToGrid/>
        <w:spacing w:line="560" w:lineRule="exact"/>
        <w:ind w:left="0" w:right="0" w:firstLine="37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（三）不准为甲方、相关单位或个人装修住房、婚丧嫁娶、配偶子女的工作安排以及出国（境）、 旅游等提供方便。</w:t>
      </w:r>
    </w:p>
    <w:p w14:paraId="42F7C3D7">
      <w:pPr>
        <w:keepNext w:val="0"/>
        <w:keepLines w:val="0"/>
        <w:pageBreakBefore w:val="0"/>
        <w:widowControl w:val="0"/>
        <w:kinsoku/>
        <w:wordWrap w:val="0"/>
        <w:overflowPunct/>
        <w:topLinePunct/>
        <w:autoSpaceDE w:val="0"/>
        <w:autoSpaceDN/>
        <w:bidi w:val="0"/>
        <w:adjustRightInd/>
        <w:snapToGrid/>
        <w:spacing w:line="560" w:lineRule="exact"/>
        <w:ind w:left="0" w:right="0" w:firstLine="37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（四）不准以任何理由为甲方、相关单位或个人组织有可能影响公正执行公务的宴请和营业性 健身、娱乐等活动。不准为甲方单位和个人购置或提供通信工具和高档办公用品等。</w:t>
      </w:r>
    </w:p>
    <w:p w14:paraId="5377113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第四条  </w:t>
      </w:r>
      <w:r>
        <w:rPr>
          <w:rFonts w:ascii="宋体" w:hAnsi="宋体" w:eastAsia="宋体" w:cs="宋体"/>
          <w:snapToGrid/>
          <w:spacing w:val="0"/>
          <w:w w:val="100"/>
          <w:kern w:val="21"/>
          <w:position w:val="0"/>
          <w:sz w:val="20"/>
          <w:szCs w:val="20"/>
        </w:rPr>
        <w:t>违约责任</w:t>
      </w:r>
    </w:p>
    <w:p w14:paraId="4166C3FB">
      <w:pPr>
        <w:keepNext w:val="0"/>
        <w:keepLines w:val="0"/>
        <w:pageBreakBefore w:val="0"/>
        <w:widowControl w:val="0"/>
        <w:kinsoku/>
        <w:wordWrap w:val="0"/>
        <w:overflowPunct/>
        <w:topLinePunct/>
        <w:autoSpaceDE w:val="0"/>
        <w:autoSpaceDN/>
        <w:bidi w:val="0"/>
        <w:adjustRightInd/>
        <w:snapToGrid/>
        <w:spacing w:line="560" w:lineRule="exact"/>
        <w:ind w:left="0" w:right="0" w:firstLine="44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甲、乙双方工作人员如有违反本协议有关规定，按照管理权限，依据有关法律法规和规定 对责任人和责任单位负责人给予党纪、政纪处分。涉嫌犯罪的，移交司法机关追究刑事责任。</w:t>
      </w:r>
    </w:p>
    <w:p w14:paraId="275D4C9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第五条   </w:t>
      </w:r>
      <w:r>
        <w:rPr>
          <w:rFonts w:ascii="宋体" w:hAnsi="宋体" w:eastAsia="宋体" w:cs="宋体"/>
          <w:snapToGrid/>
          <w:spacing w:val="0"/>
          <w:w w:val="100"/>
          <w:kern w:val="21"/>
          <w:position w:val="0"/>
          <w:sz w:val="20"/>
          <w:szCs w:val="20"/>
        </w:rPr>
        <w:t>本协议书的有效期自双方签署之日起至相应承发包合同终了之日止。</w:t>
      </w:r>
    </w:p>
    <w:p w14:paraId="6B4ECA48">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黑体" w:hAnsi="黑体" w:eastAsia="黑体" w:cs="黑体"/>
          <w:snapToGrid/>
          <w:spacing w:val="0"/>
          <w:w w:val="100"/>
          <w:kern w:val="21"/>
          <w:position w:val="0"/>
          <w:sz w:val="20"/>
          <w:szCs w:val="20"/>
        </w:rPr>
        <w:t xml:space="preserve">第六条   </w:t>
      </w:r>
      <w:r>
        <w:rPr>
          <w:rFonts w:ascii="宋体" w:hAnsi="宋体" w:eastAsia="宋体" w:cs="宋体"/>
          <w:snapToGrid/>
          <w:spacing w:val="0"/>
          <w:w w:val="100"/>
          <w:kern w:val="21"/>
          <w:position w:val="0"/>
          <w:sz w:val="20"/>
          <w:szCs w:val="20"/>
        </w:rPr>
        <w:t xml:space="preserve">本责任书一式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份，甲乙双方各执一份，并分送甲乙双方主管单位纪检监察部门各 一份。</w:t>
      </w:r>
    </w:p>
    <w:p w14:paraId="3474FCD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4439E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甲 方（盖章）：                              乙 方（盖章）：</w:t>
      </w:r>
    </w:p>
    <w:p w14:paraId="2FDC16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                                法定代表人：</w:t>
      </w:r>
    </w:p>
    <w:p w14:paraId="1EC5D3F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（或委托代理人）                             （或委托代理人）</w:t>
      </w:r>
    </w:p>
    <w:p w14:paraId="52DC5E63">
      <w:pPr>
        <w:keepNext w:val="0"/>
        <w:keepLines w:val="0"/>
        <w:pageBreakBefore w:val="0"/>
        <w:widowControl w:val="0"/>
        <w:tabs>
          <w:tab w:val="left" w:pos="1295"/>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155A0C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19" w:type="default"/>
          <w:pgSz w:w="11906" w:h="16838"/>
          <w:pgMar w:top="1440" w:right="1080" w:bottom="1440" w:left="1080" w:header="0" w:footer="1185" w:gutter="0"/>
          <w:pgNumType w:fmt="decimal"/>
          <w:cols w:space="720" w:num="1"/>
        </w:sectPr>
      </w:pPr>
    </w:p>
    <w:p w14:paraId="654C2E8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65" w:name="_Toc30890"/>
      <w:bookmarkStart w:id="566" w:name="_Toc354"/>
      <w:bookmarkStart w:id="567" w:name="_Toc21613"/>
      <w:r>
        <w:rPr>
          <w:rFonts w:ascii="宋体" w:hAnsi="宋体" w:eastAsia="宋体" w:cs="宋体"/>
          <w:b/>
          <w:bCs/>
          <w:snapToGrid/>
          <w:spacing w:val="0"/>
          <w:w w:val="100"/>
          <w:kern w:val="21"/>
          <w:position w:val="0"/>
          <w:sz w:val="28"/>
          <w:szCs w:val="28"/>
        </w:rPr>
        <w:t>附件三：安全生产责任书</w:t>
      </w:r>
      <w:bookmarkEnd w:id="565"/>
      <w:bookmarkEnd w:id="566"/>
      <w:bookmarkEnd w:id="567"/>
    </w:p>
    <w:p w14:paraId="540441D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安全生产责任书</w:t>
      </w:r>
    </w:p>
    <w:p w14:paraId="2903FCD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snapToGrid/>
          <w:spacing w:val="0"/>
          <w:w w:val="100"/>
          <w:kern w:val="21"/>
          <w:position w:val="0"/>
        </w:rPr>
        <w:pict>
          <v:shape id="_x0000_s1041" o:spid="_x0000_s1041" o:spt="202" type="#_x0000_t202" style="position:absolute;left:0pt;margin-left:-1pt;margin-top:22.65pt;height:100.1pt;width:72.5pt;z-index:251660288;mso-width-relative:page;mso-height-relative:page;" filled="f" stroked="f" coordsize="21600,21600">
            <v:path/>
            <v:fill on="f" focussize="0,0"/>
            <v:stroke on="f"/>
            <v:imagedata o:title=""/>
            <o:lock v:ext="edit" aspectratio="f"/>
            <v:textbox inset="0mm,0mm,0mm,0mm">
              <w:txbxContent>
                <w:p w14:paraId="1D05D454">
                  <w:pPr>
                    <w:spacing w:before="19" w:line="480" w:lineRule="auto"/>
                    <w:jc w:val="right"/>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施工合同名称：</w:t>
                  </w:r>
                </w:p>
                <w:p w14:paraId="71C4C345">
                  <w:pPr>
                    <w:spacing w:before="19" w:line="480" w:lineRule="auto"/>
                    <w:jc w:val="right"/>
                    <w:rPr>
                      <w:rFonts w:ascii="宋体" w:hAnsi="宋体" w:eastAsia="宋体" w:cs="宋体"/>
                      <w:sz w:val="20"/>
                      <w:szCs w:val="20"/>
                    </w:rPr>
                  </w:pPr>
                  <w:r>
                    <w:rPr>
                      <w:rFonts w:ascii="宋体" w:hAnsi="宋体" w:eastAsia="宋体" w:cs="宋体"/>
                      <w:spacing w:val="1"/>
                      <w:sz w:val="20"/>
                      <w:szCs w:val="20"/>
                    </w:rPr>
                    <w:t>施工合同编号：</w:t>
                  </w:r>
                  <w:r>
                    <w:rPr>
                      <w:rFonts w:ascii="宋体" w:hAnsi="宋体" w:eastAsia="宋体" w:cs="宋体"/>
                      <w:spacing w:val="-6"/>
                      <w:sz w:val="20"/>
                      <w:szCs w:val="20"/>
                    </w:rPr>
                    <w:t>发</w:t>
                  </w:r>
                  <w:r>
                    <w:rPr>
                      <w:rFonts w:ascii="宋体" w:hAnsi="宋体" w:eastAsia="宋体" w:cs="宋体"/>
                      <w:spacing w:val="8"/>
                      <w:sz w:val="20"/>
                      <w:szCs w:val="20"/>
                    </w:rPr>
                    <w:t xml:space="preserve">   </w:t>
                  </w:r>
                  <w:r>
                    <w:rPr>
                      <w:rFonts w:ascii="宋体" w:hAnsi="宋体" w:eastAsia="宋体" w:cs="宋体"/>
                      <w:spacing w:val="-6"/>
                      <w:sz w:val="20"/>
                      <w:szCs w:val="20"/>
                    </w:rPr>
                    <w:t>包</w:t>
                  </w:r>
                  <w:r>
                    <w:rPr>
                      <w:rFonts w:ascii="宋体" w:hAnsi="宋体" w:eastAsia="宋体" w:cs="宋体"/>
                      <w:spacing w:val="8"/>
                      <w:sz w:val="20"/>
                      <w:szCs w:val="20"/>
                    </w:rPr>
                    <w:t xml:space="preserve">   </w:t>
                  </w:r>
                  <w:r>
                    <w:rPr>
                      <w:rFonts w:ascii="宋体" w:hAnsi="宋体" w:eastAsia="宋体" w:cs="宋体"/>
                      <w:spacing w:val="-6"/>
                      <w:sz w:val="20"/>
                      <w:szCs w:val="20"/>
                    </w:rPr>
                    <w:t>人：承</w:t>
                  </w:r>
                  <w:r>
                    <w:rPr>
                      <w:rFonts w:ascii="宋体" w:hAnsi="宋体" w:eastAsia="宋体" w:cs="宋体"/>
                      <w:spacing w:val="9"/>
                      <w:sz w:val="20"/>
                      <w:szCs w:val="20"/>
                    </w:rPr>
                    <w:t xml:space="preserve">   </w:t>
                  </w:r>
                  <w:r>
                    <w:rPr>
                      <w:rFonts w:ascii="宋体" w:hAnsi="宋体" w:eastAsia="宋体" w:cs="宋体"/>
                      <w:spacing w:val="-6"/>
                      <w:sz w:val="20"/>
                      <w:szCs w:val="20"/>
                    </w:rPr>
                    <w:t>包</w:t>
                  </w:r>
                  <w:r>
                    <w:rPr>
                      <w:rFonts w:ascii="宋体" w:hAnsi="宋体" w:eastAsia="宋体" w:cs="宋体"/>
                      <w:spacing w:val="8"/>
                      <w:sz w:val="20"/>
                      <w:szCs w:val="20"/>
                    </w:rPr>
                    <w:t xml:space="preserve">   </w:t>
                  </w:r>
                  <w:r>
                    <w:rPr>
                      <w:rFonts w:ascii="宋体" w:hAnsi="宋体" w:eastAsia="宋体" w:cs="宋体"/>
                      <w:spacing w:val="-6"/>
                      <w:sz w:val="20"/>
                      <w:szCs w:val="20"/>
                    </w:rPr>
                    <w:t>人：</w:t>
                  </w:r>
                </w:p>
              </w:txbxContent>
            </v:textbox>
          </v:shape>
        </w:pict>
      </w:r>
    </w:p>
    <w:tbl>
      <w:tblPr>
        <w:tblStyle w:val="26"/>
        <w:tblW w:w="5575" w:type="dxa"/>
        <w:tblInd w:w="156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575"/>
      </w:tblGrid>
      <w:tr w14:paraId="3A2E7C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5575" w:type="dxa"/>
            <w:tcBorders>
              <w:top w:val="single" w:color="000000" w:sz="2" w:space="0"/>
              <w:bottom w:val="single" w:color="000000" w:sz="2" w:space="0"/>
            </w:tcBorders>
            <w:vAlign w:val="top"/>
          </w:tcPr>
          <w:p w14:paraId="1D1C158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tc>
      </w:tr>
      <w:tr w14:paraId="37DDFF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5575" w:type="dxa"/>
            <w:tcBorders>
              <w:top w:val="single" w:color="000000" w:sz="2" w:space="0"/>
              <w:bottom w:val="single" w:color="000000" w:sz="2" w:space="0"/>
            </w:tcBorders>
            <w:vAlign w:val="top"/>
          </w:tcPr>
          <w:p w14:paraId="335B5FB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tc>
      </w:tr>
      <w:tr w14:paraId="579588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5575" w:type="dxa"/>
            <w:tcBorders>
              <w:top w:val="single" w:color="000000" w:sz="2" w:space="0"/>
              <w:bottom w:val="single" w:color="000000" w:sz="2" w:space="0"/>
            </w:tcBorders>
            <w:vAlign w:val="top"/>
          </w:tcPr>
          <w:p w14:paraId="5FE7FE3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tc>
      </w:tr>
    </w:tbl>
    <w:p w14:paraId="295B97FD">
      <w:pPr>
        <w:keepNext w:val="0"/>
        <w:keepLines w:val="0"/>
        <w:pageBreakBefore w:val="0"/>
        <w:widowControl w:val="0"/>
        <w:kinsoku/>
        <w:wordWrap w:val="0"/>
        <w:overflowPunct/>
        <w:topLinePunct/>
        <w:autoSpaceDE w:val="0"/>
        <w:autoSpaceDN/>
        <w:bidi w:val="0"/>
        <w:adjustRightInd/>
        <w:snapToGrid/>
        <w:spacing w:line="560" w:lineRule="exact"/>
        <w:ind w:left="0" w:right="0" w:firstLine="44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为进一步落实施工过程的安全生产主体责任，加强项目安全生产管理工作，有效保障从业人员 人身安全和职业健康，根据《中华人民共和国安全生产法》、国务院《建设工程安全生产管理条例》 和《安徽省建设工程安全生产管理办法》等法律法规规章，制订本安全生产责任书。</w:t>
      </w:r>
    </w:p>
    <w:p w14:paraId="03D71F2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一、目标与要求</w:t>
      </w:r>
    </w:p>
    <w:p w14:paraId="1B72BF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1.强化承包人的安全生产主体责任，确保本项目安全生产工作规范有序开展。</w:t>
      </w:r>
    </w:p>
    <w:p w14:paraId="56AA4F6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2.严格兑现投标文件中有关安全生产方面的承诺。</w:t>
      </w:r>
    </w:p>
    <w:p w14:paraId="66DAC7A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3.事故控制目标：不发生死亡事故及重伤事故。</w:t>
      </w:r>
    </w:p>
    <w:p w14:paraId="76D63F1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二、施工单位安全生产责任</w:t>
      </w:r>
    </w:p>
    <w:p w14:paraId="44F6302B">
      <w:pPr>
        <w:keepNext w:val="0"/>
        <w:keepLines w:val="0"/>
        <w:pageBreakBefore w:val="0"/>
        <w:widowControl w:val="0"/>
        <w:kinsoku/>
        <w:wordWrap w:val="0"/>
        <w:overflowPunct/>
        <w:topLinePunct/>
        <w:autoSpaceDE w:val="0"/>
        <w:autoSpaceDN/>
        <w:bidi w:val="0"/>
        <w:adjustRightInd/>
        <w:snapToGrid/>
        <w:spacing w:line="560" w:lineRule="exact"/>
        <w:ind w:left="0" w:right="0" w:firstLine="46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1.认真贯彻落实“安全第一，预防为主，综合治理 ”的方针，严格遵守安全生产法律法规、规 程规范，开展安全生产标准化工地建设。</w:t>
      </w:r>
    </w:p>
    <w:p w14:paraId="6B5D9979">
      <w:pPr>
        <w:keepNext w:val="0"/>
        <w:keepLines w:val="0"/>
        <w:pageBreakBefore w:val="0"/>
        <w:widowControl w:val="0"/>
        <w:kinsoku/>
        <w:wordWrap w:val="0"/>
        <w:overflowPunct/>
        <w:topLinePunct/>
        <w:autoSpaceDE w:val="0"/>
        <w:autoSpaceDN/>
        <w:bidi w:val="0"/>
        <w:adjustRightInd/>
        <w:snapToGrid/>
        <w:spacing w:line="560" w:lineRule="exact"/>
        <w:ind w:left="0" w:right="0" w:firstLine="40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2.健全安全生产责任体系。施工企业法定代表人是本单位的安全生产第一责任人，项目经理（项 目负责人）对本项目的施工安全生产全面负责，明确落实各部门、各环节、各岗位的安全生产责任。</w:t>
      </w:r>
    </w:p>
    <w:p w14:paraId="1023CD23">
      <w:pPr>
        <w:keepNext w:val="0"/>
        <w:keepLines w:val="0"/>
        <w:pageBreakBefore w:val="0"/>
        <w:widowControl w:val="0"/>
        <w:kinsoku/>
        <w:wordWrap w:val="0"/>
        <w:overflowPunct/>
        <w:topLinePunct/>
        <w:autoSpaceDE w:val="0"/>
        <w:autoSpaceDN/>
        <w:bidi w:val="0"/>
        <w:adjustRightInd/>
        <w:snapToGrid/>
        <w:spacing w:line="560" w:lineRule="exact"/>
        <w:ind w:left="0" w:right="0" w:firstLine="44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3.健全安全生产管理体系。设立现场安全生产管理机构，按规定配备专职安全生产管理人员， 保证专职安全生产管理人员有职有权。</w:t>
      </w:r>
    </w:p>
    <w:p w14:paraId="0A2C9126">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4.健全安全生产规章制度。结合本项目特点，建立并完善安全生产责任制、教育培训、日常检 查、隐患排查治理、事故报告等规章制度。</w:t>
      </w:r>
    </w:p>
    <w:p w14:paraId="6F9E18B3">
      <w:pPr>
        <w:keepNext w:val="0"/>
        <w:keepLines w:val="0"/>
        <w:pageBreakBefore w:val="0"/>
        <w:widowControl w:val="0"/>
        <w:kinsoku/>
        <w:wordWrap w:val="0"/>
        <w:overflowPunct/>
        <w:topLinePunct/>
        <w:autoSpaceDE w:val="0"/>
        <w:autoSpaceDN/>
        <w:bidi w:val="0"/>
        <w:adjustRightInd/>
        <w:snapToGrid/>
        <w:spacing w:line="560" w:lineRule="exact"/>
        <w:ind w:left="0" w:right="0" w:firstLine="42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5.提升从业人员安全生产知识技能。认真开展“三级安全生产教育 ”；保证特种作业人员持证上 岗；各作业场所悬挂安全生产操作规程；施工前必须进行安全技术交底。</w:t>
      </w:r>
    </w:p>
    <w:p w14:paraId="4DBEF99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6.保证安全生产投入。不得挪用安全生产措施费，施工安全生产投入应满足实际需要。</w:t>
      </w:r>
    </w:p>
    <w:p w14:paraId="6E2A73E2">
      <w:pPr>
        <w:keepNext w:val="0"/>
        <w:keepLines w:val="0"/>
        <w:pageBreakBefore w:val="0"/>
        <w:widowControl w:val="0"/>
        <w:kinsoku/>
        <w:wordWrap w:val="0"/>
        <w:overflowPunct/>
        <w:topLinePunct/>
        <w:autoSpaceDE w:val="0"/>
        <w:autoSpaceDN/>
        <w:bidi w:val="0"/>
        <w:adjustRightInd/>
        <w:snapToGrid/>
        <w:spacing w:line="560" w:lineRule="exact"/>
        <w:ind w:left="0" w:right="0" w:firstLine="45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7.建立风险管控和隐患排查治理双重预防工作机制。构建安全风险管控“六项机制 ”，经常开展 安全隐患排查治理，认真落实项目主管及安全生产监督等机构的检查意见并按时反馈整改结果。生 产安全事故隐患排查整治方案要做到责任到人、明确时限、规范程序，保证及时消除事故隐患。</w:t>
      </w:r>
    </w:p>
    <w:p w14:paraId="27880174">
      <w:pPr>
        <w:keepNext w:val="0"/>
        <w:keepLines w:val="0"/>
        <w:pageBreakBefore w:val="0"/>
        <w:widowControl w:val="0"/>
        <w:kinsoku/>
        <w:wordWrap w:val="0"/>
        <w:overflowPunct/>
        <w:topLinePunct/>
        <w:autoSpaceDE w:val="0"/>
        <w:autoSpaceDN/>
        <w:bidi w:val="0"/>
        <w:adjustRightInd/>
        <w:snapToGrid/>
        <w:spacing w:line="560" w:lineRule="exact"/>
        <w:ind w:left="0" w:right="0" w:firstLine="44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8.制定各类有关安全生产方案或预案。辨识危险源和危险性较大的单项工程，对达到一定规模 的危险性较大工程制定专项施工方案，超过一定规模的危险性较大工程组织论证；有度汛要求的工 程，制定相应的度汛方案；编制应急救援预案，并保持与地方应急部门联系畅通。</w:t>
      </w:r>
    </w:p>
    <w:p w14:paraId="6F7A4C9F">
      <w:pPr>
        <w:keepNext w:val="0"/>
        <w:keepLines w:val="0"/>
        <w:pageBreakBefore w:val="0"/>
        <w:widowControl w:val="0"/>
        <w:kinsoku/>
        <w:wordWrap w:val="0"/>
        <w:overflowPunct/>
        <w:topLinePunct/>
        <w:autoSpaceDE w:val="0"/>
        <w:autoSpaceDN/>
        <w:bidi w:val="0"/>
        <w:adjustRightInd/>
        <w:snapToGrid/>
        <w:spacing w:line="560" w:lineRule="exact"/>
        <w:ind w:left="0" w:right="0" w:firstLine="44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9.严格执行《安徽省生产安全事故报告和调查处理办法》。事故发生后，应及时向地方应急部门 和本项目发包人、主管部门报告，采取有效措施抢救人员和财产，保护事故现场，配合事故调查， 妥善处理事故善后工作；严格落实 “ 四不放过 ”处理原则。</w:t>
      </w:r>
    </w:p>
    <w:p w14:paraId="7F58C59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三、本责任书一式三份，发包人与承包人各存一份，报送农业农村部门一份。</w:t>
      </w:r>
    </w:p>
    <w:p w14:paraId="2C60690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四、本责任书自签订施工合同起执行，至合同工程完工验收结束止。</w:t>
      </w:r>
    </w:p>
    <w:p w14:paraId="6F86373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320A81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发包人（盖章）：                     承包人（盖章）：</w:t>
      </w:r>
    </w:p>
    <w:p w14:paraId="05488CB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6B0619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                         法定代表人：</w:t>
      </w:r>
    </w:p>
    <w:p w14:paraId="0EA0084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（或委托代理人）                     （或委托代理人）</w:t>
      </w:r>
    </w:p>
    <w:p w14:paraId="0E47684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A67B10C">
      <w:pPr>
        <w:keepNext w:val="0"/>
        <w:keepLines w:val="0"/>
        <w:pageBreakBefore w:val="0"/>
        <w:widowControl w:val="0"/>
        <w:tabs>
          <w:tab w:val="left" w:pos="1250"/>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1E5E798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0" w:type="default"/>
          <w:pgSz w:w="11906" w:h="16838"/>
          <w:pgMar w:top="1440" w:right="1080" w:bottom="1440" w:left="1080" w:header="0" w:footer="1185" w:gutter="0"/>
          <w:pgNumType w:fmt="decimal"/>
          <w:cols w:space="720" w:num="1"/>
        </w:sectPr>
      </w:pPr>
    </w:p>
    <w:p w14:paraId="4BC9EF5B">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68" w:name="bookmark181"/>
      <w:bookmarkEnd w:id="568"/>
      <w:bookmarkStart w:id="569" w:name="_Toc14915"/>
      <w:bookmarkStart w:id="570" w:name="_Toc13956"/>
      <w:bookmarkStart w:id="571" w:name="_Toc30349"/>
      <w:r>
        <w:rPr>
          <w:rFonts w:ascii="宋体" w:hAnsi="宋体" w:eastAsia="宋体" w:cs="宋体"/>
          <w:b/>
          <w:bCs/>
          <w:snapToGrid/>
          <w:spacing w:val="0"/>
          <w:w w:val="100"/>
          <w:kern w:val="21"/>
          <w:position w:val="0"/>
          <w:sz w:val="28"/>
          <w:szCs w:val="28"/>
        </w:rPr>
        <w:t>附件四：工程质量终身责任承诺书</w:t>
      </w:r>
      <w:bookmarkEnd w:id="569"/>
      <w:bookmarkEnd w:id="570"/>
      <w:bookmarkEnd w:id="571"/>
    </w:p>
    <w:p w14:paraId="48F5B0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工程质量终身责任承诺书</w:t>
      </w:r>
    </w:p>
    <w:p w14:paraId="268B0359">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本人承诺在本工程建设过程中认真履行下列相应职责，并对施工原因造成的质量问题承担相应 终身质量责任。</w:t>
      </w:r>
    </w:p>
    <w:p w14:paraId="45C44E07">
      <w:pPr>
        <w:keepNext w:val="0"/>
        <w:keepLines w:val="0"/>
        <w:pageBreakBefore w:val="0"/>
        <w:widowControl w:val="0"/>
        <w:kinsoku/>
        <w:wordWrap w:val="0"/>
        <w:overflowPunct/>
        <w:topLinePunct/>
        <w:autoSpaceDE w:val="0"/>
        <w:autoSpaceDN/>
        <w:bidi w:val="0"/>
        <w:adjustRightInd/>
        <w:snapToGrid/>
        <w:spacing w:line="560" w:lineRule="exact"/>
        <w:ind w:left="0" w:right="0" w:firstLine="46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1.不转包或违法分包所承揽的施工业务，严格按照经审查合格的工程设计图纸、文件和施工技 术标准及规程规范进行施工，不擅自修改设计文件，不偷工减料。</w:t>
      </w:r>
    </w:p>
    <w:p w14:paraId="142F2076">
      <w:pPr>
        <w:keepNext w:val="0"/>
        <w:keepLines w:val="0"/>
        <w:pageBreakBefore w:val="0"/>
        <w:widowControl w:val="0"/>
        <w:kinsoku/>
        <w:wordWrap w:val="0"/>
        <w:overflowPunct/>
        <w:topLinePunct/>
        <w:autoSpaceDE w:val="0"/>
        <w:autoSpaceDN/>
        <w:bidi w:val="0"/>
        <w:adjustRightInd/>
        <w:snapToGrid/>
        <w:spacing w:line="560" w:lineRule="exact"/>
        <w:ind w:left="0" w:right="0" w:firstLine="44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2.组织建立健全质量管理体系，组织成立符合规定并满足施工需要的项 目管理机构，配备符合 规定和合同要求的管理人员，并确保所有人员到岗履职。</w:t>
      </w:r>
    </w:p>
    <w:p w14:paraId="22FD87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3.组织质量管理人员学习规程规范、设计文件提出的工艺、工法和技术要求，熟悉相关施工流</w:t>
      </w:r>
    </w:p>
    <w:p w14:paraId="23C9B2C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程和技术，提高质量管理水平。</w:t>
      </w:r>
    </w:p>
    <w:p w14:paraId="63F4EEE5">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4.按照工程设计要求、技术标准和合同约定，对原材料、中间产品、 工程设备等进行检验，未 经检验或者检验不合格的，绝不在工程建设中使用；不使用国家明令淘汰、禁止使用的材料设备、 工艺。</w:t>
      </w:r>
    </w:p>
    <w:p w14:paraId="3AA4A214">
      <w:pPr>
        <w:keepNext w:val="0"/>
        <w:keepLines w:val="0"/>
        <w:pageBreakBefore w:val="0"/>
        <w:widowControl w:val="0"/>
        <w:kinsoku/>
        <w:wordWrap w:val="0"/>
        <w:overflowPunct/>
        <w:topLinePunct/>
        <w:autoSpaceDE w:val="0"/>
        <w:autoSpaceDN/>
        <w:bidi w:val="0"/>
        <w:adjustRightInd/>
        <w:snapToGrid/>
        <w:spacing w:line="560" w:lineRule="exact"/>
        <w:ind w:left="0" w:right="0" w:firstLine="44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5.在施工中按照设计和规范要求对原材料、中间产品和部分实体质量进行检测；送检试样不弄 虚作假，不篡改或者伪造检测报告，不明示或暗示检测机构出具虚假检测报告。</w:t>
      </w:r>
    </w:p>
    <w:p w14:paraId="1874E69D">
      <w:pPr>
        <w:keepNext w:val="0"/>
        <w:keepLines w:val="0"/>
        <w:pageBreakBefore w:val="0"/>
        <w:widowControl w:val="0"/>
        <w:kinsoku/>
        <w:wordWrap w:val="0"/>
        <w:overflowPunct/>
        <w:topLinePunct/>
        <w:autoSpaceDE w:val="0"/>
        <w:autoSpaceDN/>
        <w:bidi w:val="0"/>
        <w:adjustRightInd/>
        <w:snapToGrid/>
        <w:spacing w:line="560" w:lineRule="exact"/>
        <w:ind w:left="0" w:right="0" w:firstLine="44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6.组织现场质量管理人员严格按照“ 三检制 ” 要求，真实、准确地做好每一道工序的质量检 验和质量自评工作，及时填写工序和单元工程质量评定资料，并报监理单位复核。</w:t>
      </w:r>
    </w:p>
    <w:p w14:paraId="1AAC7F2C">
      <w:pPr>
        <w:keepNext w:val="0"/>
        <w:keepLines w:val="0"/>
        <w:pageBreakBefore w:val="0"/>
        <w:widowControl w:val="0"/>
        <w:kinsoku/>
        <w:wordWrap w:val="0"/>
        <w:overflowPunct/>
        <w:topLinePunct/>
        <w:autoSpaceDE w:val="0"/>
        <w:autoSpaceDN/>
        <w:bidi w:val="0"/>
        <w:adjustRightInd/>
        <w:snapToGrid/>
        <w:spacing w:line="560" w:lineRule="exact"/>
        <w:ind w:left="0" w:right="0" w:firstLine="45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 组织人员做好重要隐蔽（关键部位）单元工程的自评工作，并负责收集测量成果、检测试验 报告、影像资料等基础资料，派人参加联合验收小组并在质量等级签证表上签字；参加法人验收， 对工程质量等级提出自评意见并签字；主持编制施工管理工作报告并签字，参加竣工验收。</w:t>
      </w:r>
    </w:p>
    <w:p w14:paraId="3D9F105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 对已验收合格并交付使用的工程按规定承担保修责任，并对造成的损失承担赔偿责任。</w:t>
      </w:r>
    </w:p>
    <w:p w14:paraId="2C8916C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 确保工程施工资料收集真实、准确、完整，签章手续齐全，及时整理移交并归档。</w:t>
      </w:r>
    </w:p>
    <w:p w14:paraId="5ED832A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10. 履行其他法律法规和规程规范中规定的职责。</w:t>
      </w:r>
    </w:p>
    <w:p w14:paraId="59AF0989">
      <w:pPr>
        <w:keepNext w:val="0"/>
        <w:keepLines w:val="0"/>
        <w:pageBreakBefore w:val="0"/>
        <w:widowControl w:val="0"/>
        <w:kinsoku/>
        <w:wordWrap w:val="0"/>
        <w:overflowPunct/>
        <w:topLinePunct/>
        <w:autoSpaceDE w:val="0"/>
        <w:autoSpaceDN/>
        <w:bidi w:val="0"/>
        <w:adjustRightInd/>
        <w:snapToGrid/>
        <w:spacing w:line="560" w:lineRule="exact"/>
        <w:ind w:left="0" w:right="0" w:firstLine="44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本承诺书一式四份，一份在竣工验收时提交竣工验收主持单位，与竣工验收鉴定书等资料一起 作为永久档案保存；一份由项目法人作为工程建设永久档案进行归档保存；一份由承诺人自行保存。 一份由承诺人自行保存。</w:t>
      </w:r>
    </w:p>
    <w:p w14:paraId="13410FA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承 诺 人 签 字 ：</w:t>
      </w:r>
    </w:p>
    <w:p w14:paraId="54DAB97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身 份 证 号 ：</w:t>
      </w:r>
    </w:p>
    <w:p w14:paraId="539069C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注册执业资格 ：</w:t>
      </w:r>
    </w:p>
    <w:p w14:paraId="31CF9E0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注册执业证号 ：</w:t>
      </w:r>
    </w:p>
    <w:p w14:paraId="1426877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职 称 及 专 业 ：</w:t>
      </w:r>
    </w:p>
    <w:p w14:paraId="5053D3C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签 字  日 期 ：       年     月    日</w:t>
      </w:r>
    </w:p>
    <w:p w14:paraId="7C1914E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1" w:type="default"/>
          <w:pgSz w:w="11906" w:h="16838"/>
          <w:pgMar w:top="1440" w:right="1080" w:bottom="1440" w:left="1080" w:header="0" w:footer="1185" w:gutter="0"/>
          <w:pgNumType w:fmt="decimal"/>
          <w:cols w:space="720" w:num="1"/>
        </w:sectPr>
      </w:pPr>
    </w:p>
    <w:p w14:paraId="4ACE7BE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72" w:name="_Toc16109"/>
      <w:bookmarkStart w:id="573" w:name="_Toc4270"/>
      <w:bookmarkStart w:id="574" w:name="_Toc29442"/>
      <w:r>
        <w:rPr>
          <w:rFonts w:ascii="宋体" w:hAnsi="宋体" w:eastAsia="宋体" w:cs="宋体"/>
          <w:b/>
          <w:bCs/>
          <w:snapToGrid/>
          <w:spacing w:val="0"/>
          <w:w w:val="100"/>
          <w:kern w:val="21"/>
          <w:position w:val="0"/>
          <w:sz w:val="28"/>
          <w:szCs w:val="28"/>
        </w:rPr>
        <w:t>附件五：履约保证金</w:t>
      </w:r>
      <w:bookmarkEnd w:id="572"/>
      <w:bookmarkEnd w:id="573"/>
      <w:bookmarkEnd w:id="574"/>
    </w:p>
    <w:p w14:paraId="159D490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履约保函示范文本</w:t>
      </w:r>
    </w:p>
    <w:p w14:paraId="547AD9F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编号：</w:t>
      </w:r>
    </w:p>
    <w:p w14:paraId="1D92B29E">
      <w:pPr>
        <w:keepNext w:val="0"/>
        <w:keepLines w:val="0"/>
        <w:pageBreakBefore w:val="0"/>
        <w:widowControl w:val="0"/>
        <w:tabs>
          <w:tab w:val="left" w:pos="1468"/>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受益人名称）：</w:t>
      </w:r>
    </w:p>
    <w:p w14:paraId="70D7A06D">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鉴于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（以下简称“受益人 ”）与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 申请人 ”）于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就</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（标段编号）的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（标段名称）有关事项协商一致共同签订</w:t>
      </w:r>
      <w:r>
        <w:rPr>
          <w:rFonts w:ascii="宋体" w:hAnsi="宋体" w:eastAsia="宋体" w:cs="宋体"/>
          <w:snapToGrid/>
          <w:spacing w:val="0"/>
          <w:w w:val="100"/>
          <w:kern w:val="21"/>
          <w:position w:val="0"/>
          <w:sz w:val="20"/>
          <w:szCs w:val="20"/>
          <w:u w:val="single" w:color="auto"/>
        </w:rPr>
        <w:t>《         》</w:t>
      </w:r>
      <w:r>
        <w:rPr>
          <w:rFonts w:ascii="宋体" w:hAnsi="宋体" w:eastAsia="宋体" w:cs="宋体"/>
          <w:snapToGrid/>
          <w:spacing w:val="0"/>
          <w:w w:val="100"/>
          <w:kern w:val="21"/>
          <w:position w:val="0"/>
          <w:sz w:val="20"/>
          <w:szCs w:val="20"/>
        </w:rPr>
        <w:t>（以下 简称“基础合同 ”），开立人根据基础合同了解到申请人为基础合同项下之承包人，受益人为基础合 同项下之发包人，基于申请人的请求，开立人同意就申请人履行与受益人签订的基础合同项下的义 务，向受益人提供不可撤销、不可转让的见索即付独立保函（以下简称“本保函 ”）。</w:t>
      </w:r>
    </w:p>
    <w:p w14:paraId="7E2742D8">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一、本保函担保范围：承包人未按照基础合同的约定履行义务，应当向受益人承担的违约责任 和赔偿因此造成的损失、利息、律师费、诉讼费用等实现债权的费用。</w:t>
      </w:r>
    </w:p>
    <w:p w14:paraId="47BCA46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二、本保函担保金额最高不超过人民币（大写）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24F9465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三、本保函有效期自开立之日起至基础合同约定的缺陷责任期满之日止。</w:t>
      </w:r>
    </w:p>
    <w:p w14:paraId="14F8EB01">
      <w:pPr>
        <w:keepNext w:val="0"/>
        <w:keepLines w:val="0"/>
        <w:pageBreakBefore w:val="0"/>
        <w:widowControl w:val="0"/>
        <w:kinsoku/>
        <w:wordWrap w:val="0"/>
        <w:overflowPunct/>
        <w:topLinePunct/>
        <w:autoSpaceDE w:val="0"/>
        <w:autoSpaceDN/>
        <w:bidi w:val="0"/>
        <w:adjustRightInd/>
        <w:snapToGrid/>
        <w:spacing w:line="560" w:lineRule="exact"/>
        <w:ind w:left="0" w:right="0" w:firstLine="49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四、开立人承诺，在收到受益人发来的书面付款通知后的七日内无条件支付，前述书面付款通 知即为付款要求之单据，且应满足以下要求：</w:t>
      </w:r>
    </w:p>
    <w:p w14:paraId="5837F23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（1）付款通知到达的日期在本保函的有效期内；</w:t>
      </w:r>
    </w:p>
    <w:p w14:paraId="1A72707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（2）载明要求支付的金额；</w:t>
      </w:r>
    </w:p>
    <w:p w14:paraId="4DA5BF3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（3）载明申请人违反合同义务的条款和内容；</w:t>
      </w:r>
    </w:p>
    <w:p w14:paraId="0C4290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（4）声明不存在合同文件约定或我国法律规定免除申请人或开立人支付责任的情形；</w:t>
      </w:r>
    </w:p>
    <w:p w14:paraId="4070094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（5）付款通知应在本保函有效期内到达的地址是：</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09ED4FA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受益人发出的书面付款通知应由其法定代表人（负责人）或授权代理人签字并加盖公章。</w:t>
      </w:r>
    </w:p>
    <w:p w14:paraId="252D88AD">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五、本保函项下的权利不得转让，不得设定担保。受益人未经我方书面同意转 让本保函或其项 下任何权利，对我方不发生法律效力。</w:t>
      </w:r>
    </w:p>
    <w:p w14:paraId="4512832F">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六、与本保函有关的基础合同不成立、不生效、无效、被撤销、被解除，不影响本保函的独立 有效。</w:t>
      </w:r>
    </w:p>
    <w:p w14:paraId="6C2B001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七、本保函项下的义务和责任均在保函有效期到期后自动消灭。</w:t>
      </w:r>
    </w:p>
    <w:p w14:paraId="19ECF4F8">
      <w:pPr>
        <w:keepNext w:val="0"/>
        <w:keepLines w:val="0"/>
        <w:pageBreakBefore w:val="0"/>
        <w:widowControl w:val="0"/>
        <w:kinsoku/>
        <w:wordWrap w:val="0"/>
        <w:overflowPunct/>
        <w:topLinePunct/>
        <w:autoSpaceDE w:val="0"/>
        <w:autoSpaceDN/>
        <w:bidi w:val="0"/>
        <w:adjustRightInd/>
        <w:snapToGrid/>
        <w:spacing w:line="560" w:lineRule="exact"/>
        <w:ind w:left="0" w:right="0" w:firstLine="40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八、本保函适用的法律为中华人民共和国法律，因本保函产生的纠纷案件， 由受益人所在地人 民法院管辖。</w:t>
      </w:r>
    </w:p>
    <w:p w14:paraId="2AF8D46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九、本保函自我方法定代表人或授权代表签字并加盖公章之日起生效。</w:t>
      </w:r>
    </w:p>
    <w:p w14:paraId="645264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607594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 立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公章）</w:t>
      </w:r>
    </w:p>
    <w:p w14:paraId="35D0A8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法定代表人（或授权代表）：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03CEC10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ascii="宋体" w:hAnsi="宋体" w:eastAsia="宋体" w:cs="宋体"/>
          <w:snapToGrid/>
          <w:spacing w:val="0"/>
          <w:w w:val="100"/>
          <w:kern w:val="21"/>
          <w:position w:val="0"/>
          <w:sz w:val="20"/>
          <w:szCs w:val="20"/>
          <w:u w:val="single" w:color="auto"/>
        </w:rPr>
        <w:t xml:space="preserve">                                         </w:t>
      </w:r>
    </w:p>
    <w:p w14:paraId="3EE62DD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邮政编码：</w:t>
      </w:r>
      <w:r>
        <w:rPr>
          <w:rFonts w:ascii="宋体" w:hAnsi="宋体" w:eastAsia="宋体" w:cs="宋体"/>
          <w:snapToGrid/>
          <w:spacing w:val="0"/>
          <w:w w:val="100"/>
          <w:kern w:val="21"/>
          <w:position w:val="0"/>
          <w:sz w:val="20"/>
          <w:szCs w:val="20"/>
          <w:u w:val="single" w:color="auto"/>
        </w:rPr>
        <w:t xml:space="preserve">                  </w:t>
      </w:r>
    </w:p>
    <w:p w14:paraId="7E377E0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ascii="宋体" w:hAnsi="宋体" w:eastAsia="宋体" w:cs="宋体"/>
          <w:snapToGrid/>
          <w:spacing w:val="0"/>
          <w:w w:val="100"/>
          <w:kern w:val="21"/>
          <w:position w:val="0"/>
          <w:sz w:val="20"/>
          <w:szCs w:val="20"/>
          <w:u w:val="single" w:color="auto"/>
        </w:rPr>
        <w:t xml:space="preserve">                  </w:t>
      </w:r>
    </w:p>
    <w:p w14:paraId="56BAC79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传    真：</w:t>
      </w:r>
      <w:r>
        <w:rPr>
          <w:rFonts w:ascii="宋体" w:hAnsi="宋体" w:eastAsia="宋体" w:cs="宋体"/>
          <w:snapToGrid/>
          <w:spacing w:val="0"/>
          <w:w w:val="100"/>
          <w:kern w:val="21"/>
          <w:position w:val="0"/>
          <w:sz w:val="20"/>
          <w:szCs w:val="20"/>
          <w:u w:val="single" w:color="auto"/>
        </w:rPr>
        <w:t xml:space="preserve">                  </w:t>
      </w:r>
    </w:p>
    <w:p w14:paraId="485D865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开立时间：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04B9306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2" w:type="default"/>
          <w:pgSz w:w="11906" w:h="16838"/>
          <w:pgMar w:top="1440" w:right="1080" w:bottom="1440" w:left="1080" w:header="0" w:footer="1185" w:gutter="0"/>
          <w:pgNumType w:fmt="decimal"/>
          <w:cols w:space="720" w:num="1"/>
        </w:sectPr>
      </w:pPr>
    </w:p>
    <w:p w14:paraId="15C6E0C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75" w:name="_Toc30215"/>
      <w:bookmarkStart w:id="576" w:name="_Toc924"/>
      <w:bookmarkStart w:id="577" w:name="_Toc13609"/>
      <w:r>
        <w:rPr>
          <w:rFonts w:ascii="宋体" w:hAnsi="宋体" w:eastAsia="宋体" w:cs="宋体"/>
          <w:b/>
          <w:bCs/>
          <w:snapToGrid/>
          <w:spacing w:val="0"/>
          <w:w w:val="100"/>
          <w:kern w:val="21"/>
          <w:position w:val="0"/>
          <w:sz w:val="28"/>
          <w:szCs w:val="28"/>
        </w:rPr>
        <w:t>附件六：预付款担保</w:t>
      </w:r>
      <w:bookmarkEnd w:id="575"/>
      <w:bookmarkEnd w:id="576"/>
      <w:bookmarkEnd w:id="577"/>
    </w:p>
    <w:p w14:paraId="5E70112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BD189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预付款保函示范文本</w:t>
      </w:r>
    </w:p>
    <w:p w14:paraId="7CEBA9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编号：</w:t>
      </w:r>
    </w:p>
    <w:p w14:paraId="7F7AEB56">
      <w:pPr>
        <w:keepNext w:val="0"/>
        <w:keepLines w:val="0"/>
        <w:pageBreakBefore w:val="0"/>
        <w:widowControl w:val="0"/>
        <w:tabs>
          <w:tab w:val="left" w:pos="1468"/>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受益人名称）：</w:t>
      </w:r>
    </w:p>
    <w:p w14:paraId="005BAA07">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鉴于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（以下简称“受益人 ”）与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 申请人 ”）于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就</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（标段编号）的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（标段名称）有关事项协商一致共同签订</w:t>
      </w:r>
      <w:r>
        <w:rPr>
          <w:rFonts w:ascii="宋体" w:hAnsi="宋体" w:eastAsia="宋体" w:cs="宋体"/>
          <w:snapToGrid/>
          <w:spacing w:val="0"/>
          <w:w w:val="100"/>
          <w:kern w:val="21"/>
          <w:position w:val="0"/>
          <w:sz w:val="20"/>
          <w:szCs w:val="20"/>
          <w:u w:val="single" w:color="auto"/>
        </w:rPr>
        <w:t>《         》</w:t>
      </w:r>
      <w:r>
        <w:rPr>
          <w:rFonts w:ascii="宋体" w:hAnsi="宋体" w:eastAsia="宋体" w:cs="宋体"/>
          <w:snapToGrid/>
          <w:spacing w:val="0"/>
          <w:w w:val="100"/>
          <w:kern w:val="21"/>
          <w:position w:val="0"/>
          <w:sz w:val="20"/>
          <w:szCs w:val="20"/>
        </w:rPr>
        <w:t>（以下 简称“基础合同 ”），开立人根据主合同了解到申请人为主合同项下之承包人，受益人为主合同项下 之发包人，基于申请人的请求，开立人同意就申请人按照合同约定正确和合理地为合同目的使用预 付款， 向受益人提供不可撤销、不可转让的见索即付独立保函（以下简称“本保函 ”）。</w:t>
      </w:r>
    </w:p>
    <w:p w14:paraId="589D92AA">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一、本保函担保范围： 申请人未按照合同约定正确和合理地为合同目的使用预付款，应当向受 益人承担的违约责任和赔偿因此造成的损失、利息、律师费、诉讼费用等实现债权的费用。</w:t>
      </w:r>
    </w:p>
    <w:p w14:paraId="3FC1729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二、本保函担保金额最高不超过人民币（大写）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6B9A833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三、本保函有效期自开立之日起至发包人全额扣回预付款之日止。</w:t>
      </w:r>
    </w:p>
    <w:p w14:paraId="7F88CEBE">
      <w:pPr>
        <w:keepNext w:val="0"/>
        <w:keepLines w:val="0"/>
        <w:pageBreakBefore w:val="0"/>
        <w:widowControl w:val="0"/>
        <w:kinsoku/>
        <w:wordWrap w:val="0"/>
        <w:overflowPunct/>
        <w:topLinePunct/>
        <w:autoSpaceDE w:val="0"/>
        <w:autoSpaceDN/>
        <w:bidi w:val="0"/>
        <w:adjustRightInd/>
        <w:snapToGrid/>
        <w:spacing w:line="560" w:lineRule="exact"/>
        <w:ind w:left="0" w:right="0" w:firstLine="49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四、开立人承诺，在收到受益人发来的书面付款通知后的七日内无条件支付，前述书面付款通 知即为付款要求之单据，且应满足以下要求：</w:t>
      </w:r>
    </w:p>
    <w:p w14:paraId="6E8987B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（1）付款通知到达的日期在本保函的有效期内；</w:t>
      </w:r>
    </w:p>
    <w:p w14:paraId="721EBC3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（2）载明要求支付的金额；</w:t>
      </w:r>
    </w:p>
    <w:p w14:paraId="37D27D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（3）载明申请人违反合同义务的条款和内容；</w:t>
      </w:r>
    </w:p>
    <w:p w14:paraId="0446AE9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（4）声明不存在合同文件约定或我国法律规定免除申请人或开立人支付责任的情形；</w:t>
      </w:r>
    </w:p>
    <w:p w14:paraId="5D9CFC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（5）付款通知应在本保函有效期内到达的地址是：</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46DAAE5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受益人发出的书面付款通知应由其法定代表人（负责人）或授权代理人签字并加盖公章。</w:t>
      </w:r>
    </w:p>
    <w:p w14:paraId="03E9FDD1">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五、本保函项下的权利不得转让，不得设定担保。受益人未经开立人书面同意转让本保函或其 项下任何权利，对开立人不发生法律效力。</w:t>
      </w:r>
    </w:p>
    <w:p w14:paraId="51966F2B">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六、本保函项下的基础交易不成立、不生效、无效、被撤销、被解除，不影响本保函的独立有 效。</w:t>
      </w:r>
    </w:p>
    <w:p w14:paraId="470E074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七、本保函项下的义务和责任均在保函有效期到期后自动消灭。</w:t>
      </w:r>
    </w:p>
    <w:p w14:paraId="03A70FB4">
      <w:pPr>
        <w:keepNext w:val="0"/>
        <w:keepLines w:val="0"/>
        <w:pageBreakBefore w:val="0"/>
        <w:widowControl w:val="0"/>
        <w:kinsoku/>
        <w:wordWrap w:val="0"/>
        <w:overflowPunct/>
        <w:topLinePunct/>
        <w:autoSpaceDE w:val="0"/>
        <w:autoSpaceDN/>
        <w:bidi w:val="0"/>
        <w:adjustRightInd/>
        <w:snapToGrid/>
        <w:spacing w:line="560" w:lineRule="exact"/>
        <w:ind w:left="0" w:right="0" w:firstLine="40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八、本保函适用的法律为中华人民共和国法律，因本保函产生的纠纷案件， 由受益人所在地人 民法院管辖。</w:t>
      </w:r>
    </w:p>
    <w:p w14:paraId="1229EB7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九、本保函自我方法定代表人或授权代表签字并加盖公章之日起生效。</w:t>
      </w:r>
    </w:p>
    <w:p w14:paraId="6BA31AA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38C196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 立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公章）</w:t>
      </w:r>
    </w:p>
    <w:p w14:paraId="571FD30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法定代表人（或授权代表）：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755360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ascii="宋体" w:hAnsi="宋体" w:eastAsia="宋体" w:cs="宋体"/>
          <w:snapToGrid/>
          <w:spacing w:val="0"/>
          <w:w w:val="100"/>
          <w:kern w:val="21"/>
          <w:position w:val="0"/>
          <w:sz w:val="20"/>
          <w:szCs w:val="20"/>
          <w:u w:val="single" w:color="auto"/>
        </w:rPr>
        <w:t xml:space="preserve">                                         </w:t>
      </w:r>
    </w:p>
    <w:p w14:paraId="077AE60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邮政编码：</w:t>
      </w:r>
      <w:r>
        <w:rPr>
          <w:rFonts w:ascii="宋体" w:hAnsi="宋体" w:eastAsia="宋体" w:cs="宋体"/>
          <w:snapToGrid/>
          <w:spacing w:val="0"/>
          <w:w w:val="100"/>
          <w:kern w:val="21"/>
          <w:position w:val="0"/>
          <w:sz w:val="20"/>
          <w:szCs w:val="20"/>
          <w:u w:val="single" w:color="auto"/>
        </w:rPr>
        <w:t xml:space="preserve">                  </w:t>
      </w:r>
    </w:p>
    <w:p w14:paraId="7EF1ADB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ascii="宋体" w:hAnsi="宋体" w:eastAsia="宋体" w:cs="宋体"/>
          <w:snapToGrid/>
          <w:spacing w:val="0"/>
          <w:w w:val="100"/>
          <w:kern w:val="21"/>
          <w:position w:val="0"/>
          <w:sz w:val="20"/>
          <w:szCs w:val="20"/>
          <w:u w:val="single" w:color="auto"/>
        </w:rPr>
        <w:t xml:space="preserve">                  </w:t>
      </w:r>
    </w:p>
    <w:p w14:paraId="2EDEEBC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传    真：</w:t>
      </w:r>
      <w:r>
        <w:rPr>
          <w:rFonts w:ascii="宋体" w:hAnsi="宋体" w:eastAsia="宋体" w:cs="宋体"/>
          <w:snapToGrid/>
          <w:spacing w:val="0"/>
          <w:w w:val="100"/>
          <w:kern w:val="21"/>
          <w:position w:val="0"/>
          <w:sz w:val="20"/>
          <w:szCs w:val="20"/>
          <w:u w:val="single" w:color="auto"/>
        </w:rPr>
        <w:t xml:space="preserve">                  </w:t>
      </w:r>
    </w:p>
    <w:p w14:paraId="50BFD47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开立时间：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32CF4F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3" w:type="default"/>
          <w:pgSz w:w="11906" w:h="16838"/>
          <w:pgMar w:top="1440" w:right="1080" w:bottom="1440" w:left="1080" w:header="0" w:footer="1185" w:gutter="0"/>
          <w:pgNumType w:fmt="decimal"/>
          <w:cols w:space="720" w:num="1"/>
        </w:sectPr>
      </w:pPr>
    </w:p>
    <w:p w14:paraId="3FD19AE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28"/>
          <w:szCs w:val="28"/>
        </w:rPr>
      </w:pPr>
      <w:bookmarkStart w:id="578" w:name="_Toc24179"/>
      <w:bookmarkStart w:id="579" w:name="_Toc7913"/>
      <w:bookmarkStart w:id="580" w:name="_Toc25615"/>
      <w:r>
        <w:rPr>
          <w:rFonts w:ascii="宋体" w:hAnsi="宋体" w:eastAsia="宋体" w:cs="宋体"/>
          <w:b/>
          <w:bCs/>
          <w:snapToGrid/>
          <w:spacing w:val="0"/>
          <w:w w:val="100"/>
          <w:kern w:val="21"/>
          <w:position w:val="0"/>
          <w:sz w:val="28"/>
          <w:szCs w:val="28"/>
        </w:rPr>
        <w:t>附件七：支付担保</w:t>
      </w:r>
      <w:bookmarkEnd w:id="578"/>
      <w:bookmarkEnd w:id="579"/>
      <w:bookmarkEnd w:id="580"/>
    </w:p>
    <w:p w14:paraId="5E70A7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支付保函示范文本</w:t>
      </w:r>
    </w:p>
    <w:p w14:paraId="5BA87D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编号：</w:t>
      </w:r>
    </w:p>
    <w:p w14:paraId="44C18DF2">
      <w:pPr>
        <w:keepNext w:val="0"/>
        <w:keepLines w:val="0"/>
        <w:pageBreakBefore w:val="0"/>
        <w:widowControl w:val="0"/>
        <w:tabs>
          <w:tab w:val="left" w:pos="1468"/>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受益人名称）：</w:t>
      </w:r>
    </w:p>
    <w:p w14:paraId="7FCD9AC1">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鉴于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（以下简称“受益人 ”）与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（以下简称“ 申请人 ”）于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 就</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（标段编号）的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（标段名称）有关事项协商一致共同签订</w:t>
      </w:r>
      <w:r>
        <w:rPr>
          <w:rFonts w:ascii="宋体" w:hAnsi="宋体" w:eastAsia="宋体" w:cs="宋体"/>
          <w:snapToGrid/>
          <w:spacing w:val="0"/>
          <w:w w:val="100"/>
          <w:kern w:val="21"/>
          <w:position w:val="0"/>
          <w:sz w:val="20"/>
          <w:szCs w:val="20"/>
          <w:u w:val="single" w:color="auto"/>
        </w:rPr>
        <w:t>《         》</w:t>
      </w:r>
      <w:r>
        <w:rPr>
          <w:rFonts w:ascii="宋体" w:hAnsi="宋体" w:eastAsia="宋体" w:cs="宋体"/>
          <w:snapToGrid/>
          <w:spacing w:val="0"/>
          <w:w w:val="100"/>
          <w:kern w:val="21"/>
          <w:position w:val="0"/>
          <w:sz w:val="20"/>
          <w:szCs w:val="20"/>
        </w:rPr>
        <w:t>（以下 简称基础合同 ”），开立人根据基础合同了解到申请人为基础合同项下之发包人，受益人为基础合同 项下之承包人，基于申请人的请求，开立人同意就申请人履行与受益人签订的基础合同项下的工程 款（指基础合同约定的除工程质量保修金以外的工程款）付款义务，向受益人提供不可撤销、不可 转让的见索即付独立保函（以下简称“本保函 ”）。</w:t>
      </w:r>
    </w:p>
    <w:p w14:paraId="72213995">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一、本保函担保范围： 申请人未履行基础合同约定的工程款支付义务，应当向受益人承担的违 约责任和赔偿因此造成的损失、利息、律师费、诉讼费用等实现债权的费用。</w:t>
      </w:r>
    </w:p>
    <w:p w14:paraId="6ADE8B8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二、本保函担保金额最高不超过人民币（大写）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303C1374">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三、本保函有效期自开立之日起至基础合同约定的除工程质量保修金以外的全部工程结算款项 支付之日后</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日止。</w:t>
      </w:r>
    </w:p>
    <w:p w14:paraId="7E03659F">
      <w:pPr>
        <w:keepNext w:val="0"/>
        <w:keepLines w:val="0"/>
        <w:pageBreakBefore w:val="0"/>
        <w:widowControl w:val="0"/>
        <w:kinsoku/>
        <w:wordWrap w:val="0"/>
        <w:overflowPunct/>
        <w:topLinePunct/>
        <w:autoSpaceDE w:val="0"/>
        <w:autoSpaceDN/>
        <w:bidi w:val="0"/>
        <w:adjustRightInd/>
        <w:snapToGrid/>
        <w:spacing w:line="560" w:lineRule="exact"/>
        <w:ind w:left="0" w:right="0" w:firstLine="49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四、开立人承诺，在收到受益人发来的书面付款通知后的七日内无条件支付，前述书面付款通 知即为付款要求之单据，且应满足以下要求：</w:t>
      </w:r>
    </w:p>
    <w:p w14:paraId="14A8691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（1）付款通知到达的日期在本保函的有效期内；</w:t>
      </w:r>
    </w:p>
    <w:p w14:paraId="666905D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（2）载明要求支付的金额；</w:t>
      </w:r>
    </w:p>
    <w:p w14:paraId="251FCB6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（3）载明申请人违反合同义务的条款和内容；</w:t>
      </w:r>
    </w:p>
    <w:p w14:paraId="69BB478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（4）声明不存在合同文件约定或我国法律规定免除申请人或开立人支付责任的情形；</w:t>
      </w:r>
    </w:p>
    <w:p w14:paraId="6B72F9E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（5）付款通知应在本保函有效期内到达的地址是：</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p>
    <w:p w14:paraId="260DE03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受益人发出的书面付款通知应由其法定代表人（负责人）或授权代理人签字并加盖公章。</w:t>
      </w:r>
    </w:p>
    <w:p w14:paraId="0DD331D9">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五、本保函项下的权利不得转让，不得设定担保。受益人未经开立人书面同意转让本保函或其 项下任何权利，对开立人不发生法律效力。</w:t>
      </w:r>
    </w:p>
    <w:p w14:paraId="5ABD316A">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六、本保函项下的基础交易不成立、不生效、无效、被撤销、被解除，不影响本保函的独立有 效。</w:t>
      </w:r>
    </w:p>
    <w:p w14:paraId="4EA8587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七、本保函项下的义务和责任均在保函有效期到期后自动消灭。</w:t>
      </w:r>
    </w:p>
    <w:p w14:paraId="4EDCD1AB">
      <w:pPr>
        <w:keepNext w:val="0"/>
        <w:keepLines w:val="0"/>
        <w:pageBreakBefore w:val="0"/>
        <w:widowControl w:val="0"/>
        <w:kinsoku/>
        <w:wordWrap w:val="0"/>
        <w:overflowPunct/>
        <w:topLinePunct/>
        <w:autoSpaceDE w:val="0"/>
        <w:autoSpaceDN/>
        <w:bidi w:val="0"/>
        <w:adjustRightInd/>
        <w:snapToGrid/>
        <w:spacing w:line="560" w:lineRule="exact"/>
        <w:ind w:left="0" w:right="0" w:firstLine="40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八、本保函适用的法律为中华人民共和国法律，因本保函产生的纠纷案件， 由申请人所在地人 民法院管辖。</w:t>
      </w:r>
    </w:p>
    <w:p w14:paraId="7381519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九、本保函自我方法定代表人或授权代表签字并加盖公章之日起生效。</w:t>
      </w:r>
    </w:p>
    <w:p w14:paraId="0C7ED48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FD2315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38C6DB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AD3B6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 立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公章）</w:t>
      </w:r>
    </w:p>
    <w:p w14:paraId="559DB5E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法定代表人（或授权代表）：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7F52A9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ascii="宋体" w:hAnsi="宋体" w:eastAsia="宋体" w:cs="宋体"/>
          <w:snapToGrid/>
          <w:spacing w:val="0"/>
          <w:w w:val="100"/>
          <w:kern w:val="21"/>
          <w:position w:val="0"/>
          <w:sz w:val="20"/>
          <w:szCs w:val="20"/>
          <w:u w:val="single" w:color="auto"/>
        </w:rPr>
        <w:t xml:space="preserve">                                         </w:t>
      </w:r>
    </w:p>
    <w:p w14:paraId="2CB09C3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邮政编码：</w:t>
      </w:r>
      <w:r>
        <w:rPr>
          <w:rFonts w:ascii="宋体" w:hAnsi="宋体" w:eastAsia="宋体" w:cs="宋体"/>
          <w:snapToGrid/>
          <w:spacing w:val="0"/>
          <w:w w:val="100"/>
          <w:kern w:val="21"/>
          <w:position w:val="0"/>
          <w:sz w:val="20"/>
          <w:szCs w:val="20"/>
          <w:u w:val="single" w:color="auto"/>
        </w:rPr>
        <w:t xml:space="preserve">                  </w:t>
      </w:r>
    </w:p>
    <w:p w14:paraId="2E5C44E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ascii="宋体" w:hAnsi="宋体" w:eastAsia="宋体" w:cs="宋体"/>
          <w:snapToGrid/>
          <w:spacing w:val="0"/>
          <w:w w:val="100"/>
          <w:kern w:val="21"/>
          <w:position w:val="0"/>
          <w:sz w:val="20"/>
          <w:szCs w:val="20"/>
          <w:u w:val="single" w:color="auto"/>
        </w:rPr>
        <w:t xml:space="preserve">                  </w:t>
      </w:r>
    </w:p>
    <w:p w14:paraId="3769698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传    真：</w:t>
      </w:r>
      <w:r>
        <w:rPr>
          <w:rFonts w:ascii="宋体" w:hAnsi="宋体" w:eastAsia="宋体" w:cs="宋体"/>
          <w:snapToGrid/>
          <w:spacing w:val="0"/>
          <w:w w:val="100"/>
          <w:kern w:val="21"/>
          <w:position w:val="0"/>
          <w:sz w:val="20"/>
          <w:szCs w:val="20"/>
          <w:u w:val="single" w:color="auto"/>
        </w:rPr>
        <w:t xml:space="preserve">                  </w:t>
      </w:r>
    </w:p>
    <w:p w14:paraId="5B33C97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开立时间：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72E7332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4" w:type="default"/>
          <w:pgSz w:w="11906" w:h="16838"/>
          <w:pgMar w:top="1440" w:right="1080" w:bottom="1440" w:left="1080" w:header="0" w:footer="1185" w:gutter="0"/>
          <w:pgNumType w:fmt="decimal"/>
          <w:cols w:space="720" w:num="1"/>
        </w:sectPr>
      </w:pPr>
    </w:p>
    <w:p w14:paraId="44F5734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EF40C5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581" w:name="bookmark182"/>
      <w:bookmarkEnd w:id="581"/>
      <w:bookmarkStart w:id="582" w:name="_Toc25466"/>
      <w:bookmarkStart w:id="583" w:name="_Toc12412"/>
      <w:bookmarkStart w:id="584" w:name="_Toc15395"/>
      <w:r>
        <w:rPr>
          <w:rFonts w:ascii="宋体" w:hAnsi="宋体" w:eastAsia="宋体" w:cs="宋体"/>
          <w:b/>
          <w:bCs/>
          <w:snapToGrid/>
          <w:spacing w:val="0"/>
          <w:w w:val="100"/>
          <w:kern w:val="21"/>
          <w:position w:val="0"/>
          <w:sz w:val="43"/>
          <w:szCs w:val="43"/>
        </w:rPr>
        <w:t>第五章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工程量清单</w:t>
      </w:r>
      <w:bookmarkEnd w:id="582"/>
      <w:bookmarkEnd w:id="583"/>
      <w:bookmarkEnd w:id="584"/>
    </w:p>
    <w:p w14:paraId="342B1DA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85" w:name="_Toc23143"/>
      <w:bookmarkStart w:id="586" w:name="_Toc15890"/>
      <w:bookmarkStart w:id="587" w:name="_Toc21441"/>
      <w:r>
        <w:rPr>
          <w:rFonts w:ascii="宋体" w:hAnsi="宋体" w:eastAsia="宋体" w:cs="宋体"/>
          <w:b/>
          <w:bCs/>
          <w:snapToGrid/>
          <w:spacing w:val="0"/>
          <w:w w:val="100"/>
          <w:kern w:val="21"/>
          <w:position w:val="0"/>
          <w:sz w:val="31"/>
          <w:szCs w:val="31"/>
        </w:rPr>
        <w:t>1.工程量清单说明</w:t>
      </w:r>
      <w:bookmarkEnd w:id="585"/>
      <w:bookmarkEnd w:id="586"/>
      <w:bookmarkEnd w:id="587"/>
    </w:p>
    <w:p w14:paraId="786C90FD">
      <w:pPr>
        <w:keepNext w:val="0"/>
        <w:keepLines w:val="0"/>
        <w:pageBreakBefore w:val="0"/>
        <w:widowControl w:val="0"/>
        <w:kinsoku/>
        <w:wordWrap w:val="0"/>
        <w:overflowPunct/>
        <w:topLinePunct/>
        <w:autoSpaceDE w:val="0"/>
        <w:autoSpaceDN/>
        <w:bidi w:val="0"/>
        <w:adjustRightInd/>
        <w:snapToGrid/>
        <w:spacing w:line="560" w:lineRule="exact"/>
        <w:ind w:left="0" w:right="0" w:firstLine="434"/>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1.1 </w:t>
      </w:r>
      <w:r>
        <w:rPr>
          <w:rFonts w:ascii="宋体" w:hAnsi="宋体" w:eastAsia="宋体" w:cs="宋体"/>
          <w:snapToGrid/>
          <w:spacing w:val="0"/>
          <w:w w:val="100"/>
          <w:kern w:val="21"/>
          <w:position w:val="0"/>
          <w:sz w:val="20"/>
          <w:szCs w:val="20"/>
        </w:rPr>
        <w:t>本工程量清单应与招标文件中的投标人须知、通用合同条款、专用合同条款、技术标准和要 求（合同技术条款）、图纸等一起阅读和理解。</w:t>
      </w:r>
    </w:p>
    <w:p w14:paraId="315BB69A">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1.2 </w:t>
      </w:r>
      <w:r>
        <w:rPr>
          <w:rFonts w:ascii="宋体" w:hAnsi="宋体" w:eastAsia="宋体" w:cs="宋体"/>
          <w:snapToGrid/>
          <w:spacing w:val="0"/>
          <w:w w:val="100"/>
          <w:kern w:val="21"/>
          <w:position w:val="0"/>
          <w:sz w:val="20"/>
          <w:szCs w:val="20"/>
        </w:rPr>
        <w:t>工程量清单仅是投标人投标报价的共同基础。除另有约定外，工程量清单中的工程量是根据 招标设计图纸按现行工程量清单计价规范和计量规则计算的用于投标报价的估算工程量，不作为最 终结算工程量。最终结算工程量是承包人实际完成并符合技术标准和要求（合同技术条款）、现行工 程量清单计价规范和计量规则等规定，按施工图纸计算的有效工程量。</w:t>
      </w:r>
    </w:p>
    <w:p w14:paraId="72B1FA3B">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1.3 </w:t>
      </w:r>
      <w:r>
        <w:rPr>
          <w:rFonts w:ascii="宋体" w:hAnsi="宋体" w:eastAsia="宋体" w:cs="宋体"/>
          <w:snapToGrid/>
          <w:spacing w:val="0"/>
          <w:w w:val="100"/>
          <w:kern w:val="21"/>
          <w:position w:val="0"/>
          <w:sz w:val="20"/>
          <w:szCs w:val="20"/>
        </w:rPr>
        <w:t>工程量清单中各项目的工作内容和要求应符合相关技术标准和要求（合同技术条款）以及现 行工程量清单计价规范的规定。</w:t>
      </w:r>
    </w:p>
    <w:p w14:paraId="714627B2">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1.4 </w:t>
      </w:r>
      <w:r>
        <w:rPr>
          <w:rFonts w:ascii="宋体" w:hAnsi="宋体" w:eastAsia="宋体" w:cs="宋体"/>
          <w:snapToGrid/>
          <w:spacing w:val="0"/>
          <w:w w:val="100"/>
          <w:kern w:val="21"/>
          <w:position w:val="0"/>
          <w:sz w:val="20"/>
          <w:szCs w:val="20"/>
        </w:rPr>
        <w:t>工程量清单中各项目的工作内容和要求应符合相关技术标准和要求（合同技术条款）的规定。</w:t>
      </w:r>
    </w:p>
    <w:p w14:paraId="1585C71E">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1.5 </w:t>
      </w:r>
      <w:r>
        <w:rPr>
          <w:rFonts w:ascii="宋体" w:hAnsi="宋体" w:eastAsia="宋体" w:cs="宋体"/>
          <w:snapToGrid/>
          <w:spacing w:val="0"/>
          <w:w w:val="100"/>
          <w:kern w:val="21"/>
          <w:position w:val="0"/>
          <w:sz w:val="20"/>
          <w:szCs w:val="20"/>
        </w:rPr>
        <w:t>工程价款的支付遵循第四章合同条款的相关约定。</w:t>
      </w:r>
    </w:p>
    <w:p w14:paraId="7679555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88" w:name="bookmark183"/>
      <w:bookmarkEnd w:id="588"/>
      <w:bookmarkStart w:id="589" w:name="_Toc27698"/>
      <w:bookmarkStart w:id="590" w:name="_Toc23089"/>
      <w:bookmarkStart w:id="591" w:name="_Toc25990"/>
      <w:r>
        <w:rPr>
          <w:rFonts w:ascii="宋体" w:hAnsi="宋体" w:eastAsia="宋体" w:cs="宋体"/>
          <w:b/>
          <w:bCs/>
          <w:snapToGrid/>
          <w:spacing w:val="0"/>
          <w:w w:val="100"/>
          <w:kern w:val="21"/>
          <w:position w:val="0"/>
          <w:sz w:val="31"/>
          <w:szCs w:val="31"/>
        </w:rPr>
        <w:t>2.投标报价说明</w:t>
      </w:r>
      <w:bookmarkEnd w:id="589"/>
      <w:bookmarkEnd w:id="590"/>
      <w:bookmarkEnd w:id="591"/>
    </w:p>
    <w:p w14:paraId="0BA1947E">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592" w:name="_Toc19831"/>
      <w:r>
        <w:rPr>
          <w:rFonts w:ascii="Times New Roman" w:hAnsi="Times New Roman" w:eastAsia="Times New Roman" w:cs="Times New Roman"/>
          <w:snapToGrid/>
          <w:spacing w:val="0"/>
          <w:w w:val="100"/>
          <w:kern w:val="21"/>
          <w:position w:val="0"/>
          <w:sz w:val="20"/>
          <w:szCs w:val="20"/>
        </w:rPr>
        <w:t xml:space="preserve">2.1 </w:t>
      </w:r>
      <w:r>
        <w:rPr>
          <w:rFonts w:ascii="宋体" w:hAnsi="宋体" w:eastAsia="宋体" w:cs="宋体"/>
          <w:snapToGrid/>
          <w:spacing w:val="0"/>
          <w:w w:val="100"/>
          <w:kern w:val="21"/>
          <w:position w:val="0"/>
          <w:sz w:val="20"/>
          <w:szCs w:val="20"/>
        </w:rPr>
        <w:t>工程量清单报价表组成</w:t>
      </w:r>
      <w:bookmarkEnd w:id="592"/>
    </w:p>
    <w:p w14:paraId="0400379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见招标人发布的工程量清单。</w:t>
      </w:r>
    </w:p>
    <w:p w14:paraId="0BDC877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firstLine="400" w:firstLineChars="200"/>
        <w:jc w:val="left"/>
        <w:textAlignment w:val="baseline"/>
        <w:outlineLvl w:val="1"/>
        <w:rPr>
          <w:rFonts w:ascii="宋体" w:hAnsi="宋体" w:eastAsia="宋体" w:cs="宋体"/>
          <w:snapToGrid/>
          <w:spacing w:val="0"/>
          <w:w w:val="100"/>
          <w:kern w:val="21"/>
          <w:position w:val="0"/>
          <w:sz w:val="20"/>
          <w:szCs w:val="20"/>
        </w:rPr>
      </w:pPr>
      <w:bookmarkStart w:id="593" w:name="_Toc21654"/>
      <w:r>
        <w:rPr>
          <w:rFonts w:ascii="Times New Roman" w:hAnsi="Times New Roman" w:eastAsia="Times New Roman" w:cs="Times New Roman"/>
          <w:snapToGrid/>
          <w:spacing w:val="0"/>
          <w:w w:val="100"/>
          <w:kern w:val="21"/>
          <w:position w:val="0"/>
          <w:sz w:val="20"/>
          <w:szCs w:val="20"/>
        </w:rPr>
        <w:t xml:space="preserve">2.2  </w:t>
      </w:r>
      <w:r>
        <w:rPr>
          <w:rFonts w:ascii="宋体" w:hAnsi="宋体" w:eastAsia="宋体" w:cs="宋体"/>
          <w:snapToGrid/>
          <w:spacing w:val="0"/>
          <w:w w:val="100"/>
          <w:kern w:val="21"/>
          <w:position w:val="0"/>
          <w:sz w:val="20"/>
          <w:szCs w:val="20"/>
        </w:rPr>
        <w:t>工程量清单报价表填写规定</w:t>
      </w:r>
      <w:bookmarkEnd w:id="593"/>
    </w:p>
    <w:p w14:paraId="16EF019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594" w:name="bookmark184"/>
      <w:bookmarkEnd w:id="594"/>
      <w:bookmarkStart w:id="595" w:name="_Toc11961"/>
      <w:bookmarkStart w:id="596" w:name="_Toc32346"/>
      <w:bookmarkStart w:id="597" w:name="_Toc3781"/>
      <w:r>
        <w:rPr>
          <w:rFonts w:ascii="宋体" w:hAnsi="宋体" w:eastAsia="宋体" w:cs="宋体"/>
          <w:b/>
          <w:bCs/>
          <w:snapToGrid/>
          <w:spacing w:val="0"/>
          <w:w w:val="100"/>
          <w:kern w:val="21"/>
          <w:position w:val="0"/>
          <w:sz w:val="31"/>
          <w:szCs w:val="31"/>
        </w:rPr>
        <w:t>3.其他说明</w:t>
      </w:r>
      <w:bookmarkEnd w:id="595"/>
      <w:bookmarkEnd w:id="596"/>
      <w:bookmarkEnd w:id="597"/>
    </w:p>
    <w:p w14:paraId="7C1EBC0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3.1 </w:t>
      </w:r>
      <w:r>
        <w:rPr>
          <w:rFonts w:ascii="宋体" w:hAnsi="宋体" w:eastAsia="宋体" w:cs="宋体"/>
          <w:snapToGrid/>
          <w:spacing w:val="0"/>
          <w:w w:val="100"/>
          <w:kern w:val="21"/>
          <w:position w:val="0"/>
          <w:sz w:val="20"/>
          <w:szCs w:val="20"/>
        </w:rPr>
        <w:t>广域网考勤产生的相关费用， 由中标人承担，含在投标总报价中，不单独计列。</w:t>
      </w:r>
    </w:p>
    <w:p w14:paraId="1E6C7787">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3.2 </w:t>
      </w:r>
      <w:r>
        <w:rPr>
          <w:rFonts w:ascii="宋体" w:hAnsi="宋体" w:eastAsia="宋体" w:cs="宋体"/>
          <w:snapToGrid/>
          <w:spacing w:val="0"/>
          <w:w w:val="100"/>
          <w:kern w:val="21"/>
          <w:position w:val="0"/>
          <w:sz w:val="20"/>
          <w:szCs w:val="20"/>
        </w:rPr>
        <w:t>招标代理服务费、工程量清单和控制价编制费约定由中标人支付的，该部分费用应当包含在 投标报价的单价、合价与总价中，投标人无需单独报价。</w:t>
      </w:r>
    </w:p>
    <w:p w14:paraId="6ADFC1CD">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9"/>
        <w:rPr>
          <w:rFonts w:ascii="宋体" w:hAnsi="宋体" w:eastAsia="宋体" w:cs="宋体"/>
          <w:snapToGrid/>
          <w:spacing w:val="0"/>
          <w:w w:val="100"/>
          <w:kern w:val="21"/>
          <w:position w:val="0"/>
          <w:sz w:val="31"/>
          <w:szCs w:val="31"/>
        </w:rPr>
      </w:pPr>
      <w:bookmarkStart w:id="598" w:name="bookmark185"/>
      <w:bookmarkEnd w:id="598"/>
      <w:bookmarkStart w:id="599" w:name="_Toc24027"/>
      <w:bookmarkStart w:id="600" w:name="_Toc17371"/>
      <w:r>
        <w:rPr>
          <w:rFonts w:ascii="宋体" w:hAnsi="宋体" w:eastAsia="宋体" w:cs="宋体"/>
          <w:b/>
          <w:bCs/>
          <w:snapToGrid/>
          <w:spacing w:val="0"/>
          <w:w w:val="100"/>
          <w:kern w:val="21"/>
          <w:position w:val="0"/>
          <w:sz w:val="31"/>
          <w:szCs w:val="31"/>
        </w:rPr>
        <w:t>4.工程量清单</w:t>
      </w:r>
      <w:bookmarkEnd w:id="599"/>
      <w:bookmarkEnd w:id="600"/>
    </w:p>
    <w:p w14:paraId="7A8801C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另册。</w:t>
      </w:r>
    </w:p>
    <w:p w14:paraId="21EAF1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25" w:type="default"/>
          <w:pgSz w:w="11906" w:h="16838"/>
          <w:pgMar w:top="1440" w:right="1080" w:bottom="1440" w:left="1080" w:header="0" w:footer="1185" w:gutter="0"/>
          <w:pgNumType w:fmt="decimal"/>
          <w:cols w:space="720" w:num="1"/>
        </w:sectPr>
      </w:pPr>
    </w:p>
    <w:p w14:paraId="0BA55AA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601" w:name="bookmark186"/>
      <w:bookmarkEnd w:id="601"/>
      <w:bookmarkStart w:id="602" w:name="_Toc24817"/>
      <w:bookmarkStart w:id="603" w:name="_Toc6751"/>
      <w:bookmarkStart w:id="604" w:name="_Toc11301"/>
      <w:r>
        <w:rPr>
          <w:rFonts w:ascii="宋体" w:hAnsi="宋体" w:eastAsia="宋体" w:cs="宋体"/>
          <w:b/>
          <w:bCs/>
          <w:snapToGrid/>
          <w:spacing w:val="0"/>
          <w:w w:val="100"/>
          <w:kern w:val="21"/>
          <w:position w:val="0"/>
          <w:sz w:val="43"/>
          <w:szCs w:val="43"/>
        </w:rPr>
        <w:t>第六章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图纸（招标图纸）</w:t>
      </w:r>
      <w:bookmarkEnd w:id="602"/>
      <w:bookmarkEnd w:id="603"/>
      <w:bookmarkEnd w:id="604"/>
    </w:p>
    <w:p w14:paraId="18736A3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43"/>
          <w:szCs w:val="43"/>
        </w:rPr>
        <w:sectPr>
          <w:footerReference r:id="rId26" w:type="default"/>
          <w:pgSz w:w="11906" w:h="16838"/>
          <w:pgMar w:top="1440" w:right="1080" w:bottom="1440" w:left="1080" w:header="0" w:footer="1185" w:gutter="0"/>
          <w:pgNumType w:fmt="decimal"/>
          <w:cols w:space="720" w:num="1"/>
        </w:sectPr>
      </w:pPr>
    </w:p>
    <w:p w14:paraId="20D3C0C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605" w:name="bookmark187"/>
      <w:bookmarkEnd w:id="605"/>
      <w:bookmarkStart w:id="606" w:name="_Toc16236"/>
      <w:bookmarkStart w:id="607" w:name="_Toc10283"/>
      <w:bookmarkStart w:id="608" w:name="_Toc24809"/>
      <w:r>
        <w:rPr>
          <w:rFonts w:ascii="宋体" w:hAnsi="宋体" w:eastAsia="宋体" w:cs="宋体"/>
          <w:b/>
          <w:bCs/>
          <w:snapToGrid/>
          <w:spacing w:val="0"/>
          <w:w w:val="100"/>
          <w:kern w:val="21"/>
          <w:position w:val="0"/>
          <w:sz w:val="31"/>
          <w:szCs w:val="31"/>
        </w:rPr>
        <w:t>1.</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招标图纸目录</w:t>
      </w:r>
      <w:bookmarkEnd w:id="606"/>
      <w:bookmarkEnd w:id="607"/>
      <w:bookmarkEnd w:id="608"/>
    </w:p>
    <w:p w14:paraId="1320289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p>
    <w:tbl>
      <w:tblPr>
        <w:tblStyle w:val="26"/>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1376"/>
        <w:gridCol w:w="1376"/>
        <w:gridCol w:w="1376"/>
        <w:gridCol w:w="1376"/>
        <w:gridCol w:w="2412"/>
        <w:gridCol w:w="1376"/>
      </w:tblGrid>
      <w:tr w14:paraId="7AF4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00A9E08A">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序号</w:t>
            </w:r>
          </w:p>
        </w:tc>
        <w:tc>
          <w:tcPr>
            <w:tcW w:w="1376" w:type="dxa"/>
            <w:vAlign w:val="center"/>
          </w:tcPr>
          <w:p w14:paraId="18EBD6BB">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图名</w:t>
            </w:r>
          </w:p>
        </w:tc>
        <w:tc>
          <w:tcPr>
            <w:tcW w:w="1376" w:type="dxa"/>
            <w:vAlign w:val="center"/>
          </w:tcPr>
          <w:p w14:paraId="150D54F9">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图号</w:t>
            </w:r>
          </w:p>
        </w:tc>
        <w:tc>
          <w:tcPr>
            <w:tcW w:w="1376" w:type="dxa"/>
            <w:vAlign w:val="center"/>
          </w:tcPr>
          <w:p w14:paraId="7AFC1691">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版本</w:t>
            </w:r>
          </w:p>
        </w:tc>
        <w:tc>
          <w:tcPr>
            <w:tcW w:w="2412" w:type="dxa"/>
            <w:vAlign w:val="center"/>
          </w:tcPr>
          <w:p w14:paraId="0A5EE0B5">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出图日期</w:t>
            </w:r>
          </w:p>
        </w:tc>
        <w:tc>
          <w:tcPr>
            <w:tcW w:w="1376" w:type="dxa"/>
            <w:vAlign w:val="center"/>
          </w:tcPr>
          <w:p w14:paraId="49FBD7E4">
            <w:pPr>
              <w:pStyle w:val="27"/>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hint="eastAsia" w:ascii="宋体" w:eastAsia="宋体"/>
                <w:b/>
                <w:snapToGrid/>
                <w:spacing w:val="0"/>
                <w:w w:val="100"/>
                <w:kern w:val="21"/>
                <w:position w:val="0"/>
                <w:sz w:val="20"/>
                <w:lang w:eastAsia="zh-CN"/>
              </w:rPr>
            </w:pPr>
            <w:r>
              <w:rPr>
                <w:rFonts w:hint="eastAsia" w:ascii="宋体" w:eastAsia="宋体"/>
                <w:b/>
                <w:snapToGrid/>
                <w:spacing w:val="0"/>
                <w:w w:val="100"/>
                <w:kern w:val="21"/>
                <w:position w:val="0"/>
                <w:sz w:val="20"/>
                <w:lang w:eastAsia="zh-CN"/>
              </w:rPr>
              <w:t>备注</w:t>
            </w:r>
          </w:p>
        </w:tc>
      </w:tr>
      <w:tr w14:paraId="25137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7C0A978B">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5819F3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B51449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ECF928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0440F26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795241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5ED1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6B7BD42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BB092F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C83DC87">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35ABA3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5721605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299441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7499D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56C90E9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B890CC7">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7E7CDF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00AAD70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75224F5B">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35D5AC86">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50FEC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32E6347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F4C9AA1">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8A36DB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847C01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66C8F99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42DAE6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19EF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1D41876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1E93E5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C7EED5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CA01B11">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6958FA3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5DF41D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042F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302CB40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1AA93E0">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99A10B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2B63B13">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44E7F65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00E448D8">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771C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7B016FE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6D5FF6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647435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357F183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3DE2445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CB9D247">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07FA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08DA0F45">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AB7EE1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0E6DD4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BD6215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4CE6A84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858CDDB">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3423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405EBDD3">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0E09996">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F37228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8335FF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03C8AD70">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CFEA3D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4FAD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4DCD1CA0">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88EAE5C">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F66863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4D06F40">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1F77F0D5">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E93CEB1">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0DFE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7EDAA22B">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3ACD723">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66FBF2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D64A6CA">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6AF60467">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4C6750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35E25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7D0E339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572DF57">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342969E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0BD3B20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49513CE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DBB749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7CA9A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3756E996">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BE7C833">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BC84625">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20DD8C8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6544729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62E5F85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221C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550FF49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190CF80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37C71B76">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0915DCE9">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64AAF386">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14F3F60">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r w14:paraId="161A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376" w:type="dxa"/>
            <w:vAlign w:val="center"/>
          </w:tcPr>
          <w:p w14:paraId="5DAB3FE4">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5E1EF5D">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47AD2ADE">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7D702E6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2412" w:type="dxa"/>
            <w:vAlign w:val="center"/>
          </w:tcPr>
          <w:p w14:paraId="577EC8C2">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c>
          <w:tcPr>
            <w:tcW w:w="1376" w:type="dxa"/>
            <w:vAlign w:val="center"/>
          </w:tcPr>
          <w:p w14:paraId="55AAE4CF">
            <w:pPr>
              <w:keepNext w:val="0"/>
              <w:keepLines w:val="0"/>
              <w:pageBreakBefore w:val="0"/>
              <w:widowControl w:val="0"/>
              <w:kinsoku/>
              <w:wordWrap w:val="0"/>
              <w:overflowPunct/>
              <w:topLinePunct/>
              <w:autoSpaceDE w:val="0"/>
              <w:autoSpaceDN/>
              <w:bidi w:val="0"/>
              <w:adjustRightInd/>
              <w:snapToGrid w:val="0"/>
              <w:spacing w:line="560" w:lineRule="exact"/>
              <w:ind w:left="0" w:right="0"/>
              <w:jc w:val="center"/>
              <w:textAlignment w:val="baseline"/>
              <w:outlineLvl w:val="9"/>
              <w:rPr>
                <w:rFonts w:ascii="Arial"/>
                <w:snapToGrid/>
                <w:spacing w:val="0"/>
                <w:w w:val="100"/>
                <w:kern w:val="21"/>
                <w:position w:val="0"/>
                <w:sz w:val="21"/>
              </w:rPr>
            </w:pPr>
          </w:p>
        </w:tc>
      </w:tr>
    </w:tbl>
    <w:p w14:paraId="4C92BF8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71D835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hAnsi="Arial" w:eastAsia="Arial" w:cs="Arial"/>
          <w:snapToGrid/>
          <w:spacing w:val="0"/>
          <w:w w:val="100"/>
          <w:kern w:val="21"/>
          <w:position w:val="0"/>
          <w:sz w:val="21"/>
          <w:szCs w:val="21"/>
        </w:rPr>
        <w:sectPr>
          <w:footerReference r:id="rId27" w:type="default"/>
          <w:pgSz w:w="11906" w:h="16838"/>
          <w:pgMar w:top="1440" w:right="1080" w:bottom="1440" w:left="1080" w:header="0" w:footer="1185" w:gutter="0"/>
          <w:pgNumType w:fmt="decimal"/>
          <w:cols w:space="720" w:num="1"/>
        </w:sectPr>
      </w:pPr>
    </w:p>
    <w:p w14:paraId="2172053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609" w:name="bookmark188"/>
      <w:bookmarkEnd w:id="609"/>
      <w:bookmarkStart w:id="610" w:name="_Toc15718"/>
      <w:bookmarkStart w:id="611" w:name="_Toc6972"/>
      <w:bookmarkStart w:id="612" w:name="_Toc1891"/>
      <w:r>
        <w:rPr>
          <w:rFonts w:ascii="宋体" w:hAnsi="宋体" w:eastAsia="宋体" w:cs="宋体"/>
          <w:b/>
          <w:bCs/>
          <w:snapToGrid/>
          <w:spacing w:val="0"/>
          <w:w w:val="100"/>
          <w:kern w:val="21"/>
          <w:position w:val="0"/>
          <w:sz w:val="31"/>
          <w:szCs w:val="31"/>
        </w:rPr>
        <w:t>2.</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图纸</w:t>
      </w:r>
      <w:bookmarkEnd w:id="610"/>
      <w:bookmarkEnd w:id="611"/>
      <w:bookmarkEnd w:id="612"/>
    </w:p>
    <w:p w14:paraId="64DCD1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3"/>
          <w:szCs w:val="23"/>
        </w:rPr>
      </w:pPr>
      <w:r>
        <w:rPr>
          <w:rFonts w:ascii="宋体" w:hAnsi="宋体" w:eastAsia="宋体" w:cs="宋体"/>
          <w:b/>
          <w:bCs/>
          <w:snapToGrid/>
          <w:spacing w:val="0"/>
          <w:w w:val="100"/>
          <w:kern w:val="21"/>
          <w:position w:val="0"/>
          <w:sz w:val="23"/>
          <w:szCs w:val="23"/>
        </w:rPr>
        <w:t>招标图纸在电子交易系统下载。</w:t>
      </w:r>
    </w:p>
    <w:p w14:paraId="450D004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3"/>
          <w:szCs w:val="23"/>
        </w:rPr>
        <w:sectPr>
          <w:footerReference r:id="rId28" w:type="default"/>
          <w:pgSz w:w="11906" w:h="16838"/>
          <w:pgMar w:top="1440" w:right="1080" w:bottom="1440" w:left="1080" w:header="0" w:footer="1185" w:gutter="0"/>
          <w:pgNumType w:fmt="decimal"/>
          <w:cols w:space="720" w:num="1"/>
        </w:sectPr>
      </w:pPr>
    </w:p>
    <w:p w14:paraId="14A148C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613" w:name="bookmark191"/>
      <w:bookmarkEnd w:id="613"/>
      <w:bookmarkStart w:id="614" w:name="bookmark190"/>
      <w:bookmarkEnd w:id="614"/>
      <w:bookmarkStart w:id="615" w:name="bookmark189"/>
      <w:bookmarkEnd w:id="615"/>
      <w:bookmarkStart w:id="616" w:name="_Toc17241"/>
      <w:bookmarkStart w:id="617" w:name="_Toc15165"/>
      <w:bookmarkStart w:id="618" w:name="_Toc17734"/>
      <w:r>
        <w:rPr>
          <w:rFonts w:ascii="宋体" w:hAnsi="宋体" w:eastAsia="宋体" w:cs="宋体"/>
          <w:b/>
          <w:bCs/>
          <w:snapToGrid/>
          <w:spacing w:val="0"/>
          <w:w w:val="100"/>
          <w:kern w:val="21"/>
          <w:position w:val="0"/>
          <w:sz w:val="43"/>
          <w:szCs w:val="43"/>
        </w:rPr>
        <w:t>第七章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技术标准和要求</w:t>
      </w:r>
      <w:bookmarkEnd w:id="616"/>
      <w:bookmarkEnd w:id="617"/>
      <w:bookmarkEnd w:id="618"/>
    </w:p>
    <w:p w14:paraId="582E39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（说明：技术标准和要求通常包括但不限于以下内容：）</w:t>
      </w:r>
    </w:p>
    <w:p w14:paraId="0EB0396F">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619" w:name="_Toc13642"/>
      <w:bookmarkStart w:id="620" w:name="_Toc18487"/>
      <w:bookmarkStart w:id="621" w:name="_Toc3242"/>
      <w:r>
        <w:rPr>
          <w:rFonts w:ascii="宋体" w:hAnsi="宋体" w:eastAsia="宋体" w:cs="宋体"/>
          <w:b/>
          <w:bCs/>
          <w:snapToGrid/>
          <w:spacing w:val="0"/>
          <w:w w:val="100"/>
          <w:kern w:val="21"/>
          <w:position w:val="0"/>
          <w:sz w:val="31"/>
          <w:szCs w:val="31"/>
        </w:rPr>
        <w:t>第一节</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一般要求</w:t>
      </w:r>
      <w:bookmarkEnd w:id="619"/>
      <w:bookmarkEnd w:id="620"/>
      <w:bookmarkEnd w:id="621"/>
    </w:p>
    <w:p w14:paraId="63988483">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622" w:name="_Toc11295"/>
      <w:bookmarkStart w:id="623" w:name="_Toc10215"/>
      <w:bookmarkStart w:id="624" w:name="_Toc31369"/>
      <w:r>
        <w:rPr>
          <w:rFonts w:ascii="宋体" w:hAnsi="宋体" w:eastAsia="宋体" w:cs="宋体"/>
          <w:b/>
          <w:bCs/>
          <w:snapToGrid/>
          <w:spacing w:val="0"/>
          <w:w w:val="100"/>
          <w:kern w:val="21"/>
          <w:position w:val="0"/>
          <w:sz w:val="31"/>
          <w:szCs w:val="31"/>
        </w:rPr>
        <w:t>1.工程说明</w:t>
      </w:r>
      <w:bookmarkEnd w:id="622"/>
      <w:bookmarkEnd w:id="623"/>
      <w:bookmarkEnd w:id="624"/>
    </w:p>
    <w:p w14:paraId="4DE716E4">
      <w:pPr>
        <w:keepNext w:val="0"/>
        <w:keepLines w:val="0"/>
        <w:pageBreakBefore w:val="0"/>
        <w:widowControl w:val="0"/>
        <w:kinsoku/>
        <w:wordWrap w:val="0"/>
        <w:overflowPunct/>
        <w:topLinePunct/>
        <w:autoSpaceDE w:val="0"/>
        <w:autoSpaceDN/>
        <w:bidi w:val="0"/>
        <w:adjustRightInd/>
        <w:snapToGrid/>
        <w:spacing w:line="560" w:lineRule="exact"/>
        <w:ind w:right="0" w:firstLine="422" w:firstLineChars="200"/>
        <w:jc w:val="both"/>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（说明：简述本工程项目所在地的地理位置、工程规模、现场条件和周围环境和水文气象和工</w:t>
      </w:r>
      <w:r>
        <w:rPr>
          <w:rFonts w:ascii="宋体" w:hAnsi="宋体" w:eastAsia="宋体" w:cs="宋体"/>
          <w:snapToGrid/>
          <w:spacing w:val="0"/>
          <w:w w:val="100"/>
          <w:kern w:val="21"/>
          <w:position w:val="0"/>
          <w:sz w:val="21"/>
          <w:szCs w:val="21"/>
        </w:rPr>
        <w:t xml:space="preserve"> </w:t>
      </w:r>
      <w:r>
        <w:rPr>
          <w:rFonts w:ascii="宋体" w:hAnsi="宋体" w:eastAsia="宋体" w:cs="宋体"/>
          <w:b/>
          <w:bCs/>
          <w:i/>
          <w:iCs/>
          <w:snapToGrid/>
          <w:spacing w:val="0"/>
          <w:w w:val="100"/>
          <w:kern w:val="21"/>
          <w:position w:val="0"/>
          <w:sz w:val="21"/>
          <w:szCs w:val="21"/>
        </w:rPr>
        <w:t>程地质资料。）</w:t>
      </w:r>
    </w:p>
    <w:p w14:paraId="13C0FD4C">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625" w:name="bookmark192"/>
      <w:bookmarkEnd w:id="625"/>
      <w:bookmarkStart w:id="626" w:name="_Toc19919"/>
      <w:bookmarkStart w:id="627" w:name="_Toc8436"/>
      <w:bookmarkStart w:id="628" w:name="_Toc7996"/>
      <w:r>
        <w:rPr>
          <w:rFonts w:ascii="宋体" w:hAnsi="宋体" w:eastAsia="宋体" w:cs="宋体"/>
          <w:b/>
          <w:bCs/>
          <w:snapToGrid/>
          <w:spacing w:val="0"/>
          <w:w w:val="100"/>
          <w:kern w:val="21"/>
          <w:position w:val="0"/>
          <w:sz w:val="31"/>
          <w:szCs w:val="31"/>
        </w:rPr>
        <w:t>2.工程项目及其工作内容</w:t>
      </w:r>
      <w:bookmarkEnd w:id="626"/>
      <w:bookmarkEnd w:id="627"/>
      <w:bookmarkEnd w:id="628"/>
    </w:p>
    <w:p w14:paraId="1FF808D2">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1"/>
        <w:rPr>
          <w:rFonts w:ascii="宋体" w:hAnsi="宋体" w:eastAsia="宋体" w:cs="宋体"/>
          <w:snapToGrid/>
          <w:spacing w:val="0"/>
          <w:w w:val="100"/>
          <w:kern w:val="21"/>
          <w:position w:val="0"/>
          <w:sz w:val="28"/>
          <w:szCs w:val="28"/>
        </w:rPr>
      </w:pPr>
      <w:bookmarkStart w:id="629" w:name="_Toc28952"/>
      <w:r>
        <w:rPr>
          <w:rFonts w:ascii="宋体" w:hAnsi="宋体" w:eastAsia="宋体" w:cs="宋体"/>
          <w:b/>
          <w:bCs/>
          <w:snapToGrid/>
          <w:spacing w:val="0"/>
          <w:w w:val="100"/>
          <w:kern w:val="21"/>
          <w:position w:val="0"/>
          <w:sz w:val="28"/>
          <w:szCs w:val="28"/>
        </w:rPr>
        <w:t>2.1</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本合同承包人承担的工程项目及其工作内容</w:t>
      </w:r>
      <w:bookmarkEnd w:id="629"/>
    </w:p>
    <w:p w14:paraId="03EB417D">
      <w:pPr>
        <w:keepNext w:val="0"/>
        <w:keepLines w:val="0"/>
        <w:pageBreakBefore w:val="0"/>
        <w:widowControl w:val="0"/>
        <w:kinsoku/>
        <w:wordWrap w:val="0"/>
        <w:overflowPunct/>
        <w:topLinePunct/>
        <w:autoSpaceDE w:val="0"/>
        <w:autoSpaceDN/>
        <w:bidi w:val="0"/>
        <w:adjustRightInd/>
        <w:snapToGrid/>
        <w:spacing w:line="560" w:lineRule="exact"/>
        <w:ind w:left="0" w:right="0" w:firstLine="422" w:firstLineChars="200"/>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（说明：简述本合同承包人承担的工程项目及其工作内容。）</w:t>
      </w:r>
    </w:p>
    <w:p w14:paraId="04607746">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left"/>
        <w:textAlignment w:val="baseline"/>
        <w:outlineLvl w:val="0"/>
        <w:rPr>
          <w:rFonts w:ascii="宋体" w:hAnsi="宋体" w:eastAsia="宋体" w:cs="宋体"/>
          <w:snapToGrid/>
          <w:spacing w:val="0"/>
          <w:w w:val="100"/>
          <w:kern w:val="21"/>
          <w:position w:val="0"/>
          <w:sz w:val="31"/>
          <w:szCs w:val="31"/>
        </w:rPr>
      </w:pPr>
      <w:bookmarkStart w:id="630" w:name="bookmark193"/>
      <w:bookmarkEnd w:id="630"/>
      <w:bookmarkStart w:id="631" w:name="_Toc26114"/>
      <w:bookmarkStart w:id="632" w:name="_Toc10633"/>
      <w:bookmarkStart w:id="633" w:name="_Toc5340"/>
      <w:r>
        <w:rPr>
          <w:rFonts w:ascii="宋体" w:hAnsi="宋体" w:eastAsia="宋体" w:cs="宋体"/>
          <w:b/>
          <w:bCs/>
          <w:snapToGrid/>
          <w:spacing w:val="0"/>
          <w:w w:val="100"/>
          <w:kern w:val="21"/>
          <w:position w:val="0"/>
          <w:sz w:val="31"/>
          <w:szCs w:val="31"/>
        </w:rPr>
        <w:t>3.发包人其他要求</w:t>
      </w:r>
      <w:bookmarkEnd w:id="631"/>
      <w:bookmarkEnd w:id="632"/>
      <w:bookmarkEnd w:id="633"/>
    </w:p>
    <w:p w14:paraId="4E426541">
      <w:pPr>
        <w:keepNext w:val="0"/>
        <w:keepLines w:val="0"/>
        <w:pageBreakBefore w:val="0"/>
        <w:widowControl w:val="0"/>
        <w:kinsoku/>
        <w:wordWrap w:val="0"/>
        <w:overflowPunct/>
        <w:topLinePunct/>
        <w:autoSpaceDE w:val="0"/>
        <w:autoSpaceDN/>
        <w:bidi w:val="0"/>
        <w:adjustRightInd/>
        <w:snapToGrid/>
        <w:spacing w:line="560" w:lineRule="exact"/>
        <w:ind w:right="0" w:firstLine="422" w:firstLineChars="200"/>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（说明：简述本合同发包人的其他要求，通常包括但不限于：进度实施计划、工程质量的检查、</w:t>
      </w:r>
      <w:r>
        <w:rPr>
          <w:rFonts w:ascii="宋体" w:hAnsi="宋体" w:eastAsia="宋体" w:cs="宋体"/>
          <w:snapToGrid/>
          <w:spacing w:val="0"/>
          <w:w w:val="100"/>
          <w:kern w:val="21"/>
          <w:position w:val="0"/>
          <w:sz w:val="21"/>
          <w:szCs w:val="21"/>
        </w:rPr>
        <w:t xml:space="preserve"> </w:t>
      </w:r>
      <w:r>
        <w:rPr>
          <w:rFonts w:ascii="宋体" w:hAnsi="宋体" w:eastAsia="宋体" w:cs="宋体"/>
          <w:b/>
          <w:bCs/>
          <w:i/>
          <w:iCs/>
          <w:snapToGrid/>
          <w:spacing w:val="0"/>
          <w:w w:val="100"/>
          <w:kern w:val="21"/>
          <w:position w:val="0"/>
          <w:sz w:val="21"/>
          <w:szCs w:val="21"/>
        </w:rPr>
        <w:t>检验和验收、工程量计量、引用技术标准和规程规范的规定以及发包人和承包人其他工作责任等。）</w:t>
      </w:r>
    </w:p>
    <w:p w14:paraId="5EA4BD10">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b/>
          <w:bCs/>
          <w:snapToGrid/>
          <w:spacing w:val="0"/>
          <w:w w:val="100"/>
          <w:kern w:val="21"/>
          <w:position w:val="0"/>
          <w:sz w:val="31"/>
          <w:szCs w:val="31"/>
        </w:rPr>
      </w:pPr>
      <w:bookmarkStart w:id="634" w:name="bookmark194"/>
      <w:bookmarkEnd w:id="634"/>
      <w:bookmarkStart w:id="635" w:name="_Toc28135"/>
      <w:bookmarkStart w:id="636" w:name="_Toc16713"/>
    </w:p>
    <w:p w14:paraId="727B1418">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31"/>
          <w:szCs w:val="31"/>
        </w:rPr>
      </w:pPr>
      <w:bookmarkStart w:id="637" w:name="_Toc21119"/>
      <w:r>
        <w:rPr>
          <w:rFonts w:ascii="宋体" w:hAnsi="宋体" w:eastAsia="宋体" w:cs="宋体"/>
          <w:b/>
          <w:bCs/>
          <w:snapToGrid/>
          <w:spacing w:val="0"/>
          <w:w w:val="100"/>
          <w:kern w:val="21"/>
          <w:position w:val="0"/>
          <w:sz w:val="31"/>
          <w:szCs w:val="31"/>
        </w:rPr>
        <w:t>第二节</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技术条款</w:t>
      </w:r>
      <w:bookmarkEnd w:id="635"/>
      <w:bookmarkEnd w:id="636"/>
      <w:bookmarkEnd w:id="637"/>
    </w:p>
    <w:p w14:paraId="1E4FFAB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（说明：依据项目情况、具体特点及国家和行业颁布的技术标准和规程规范编写。）</w:t>
      </w:r>
    </w:p>
    <w:p w14:paraId="2AE34A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1"/>
          <w:szCs w:val="21"/>
        </w:rPr>
        <w:sectPr>
          <w:footerReference r:id="rId29" w:type="default"/>
          <w:pgSz w:w="11906" w:h="16838"/>
          <w:pgMar w:top="1440" w:right="1080" w:bottom="1440" w:left="1080" w:header="0" w:footer="1185" w:gutter="0"/>
          <w:pgNumType w:fmt="decimal"/>
          <w:cols w:space="720" w:num="1"/>
        </w:sectPr>
      </w:pPr>
    </w:p>
    <w:p w14:paraId="3D880834">
      <w:pPr>
        <w:keepNext w:val="0"/>
        <w:keepLines w:val="0"/>
        <w:pageBreakBefore w:val="0"/>
        <w:widowControl w:val="0"/>
        <w:kinsoku/>
        <w:wordWrap w:val="0"/>
        <w:overflowPunct/>
        <w:topLinePunct/>
        <w:autoSpaceDE w:val="0"/>
        <w:autoSpaceDN/>
        <w:bidi w:val="0"/>
        <w:adjustRightInd/>
        <w:snapToGrid/>
        <w:spacing w:line="560" w:lineRule="exact"/>
        <w:ind w:left="0" w:leftChars="0" w:right="0" w:rightChars="0"/>
        <w:jc w:val="center"/>
        <w:textAlignment w:val="baseline"/>
        <w:outlineLvl w:val="0"/>
        <w:rPr>
          <w:rFonts w:ascii="宋体" w:hAnsi="宋体" w:eastAsia="宋体" w:cs="宋体"/>
          <w:snapToGrid/>
          <w:spacing w:val="0"/>
          <w:w w:val="100"/>
          <w:kern w:val="21"/>
          <w:position w:val="0"/>
          <w:sz w:val="43"/>
          <w:szCs w:val="43"/>
        </w:rPr>
      </w:pPr>
      <w:bookmarkStart w:id="638" w:name="bookmark195"/>
      <w:bookmarkEnd w:id="638"/>
      <w:bookmarkStart w:id="639" w:name="_Toc32639"/>
      <w:bookmarkStart w:id="640" w:name="_Toc32752"/>
      <w:bookmarkStart w:id="641" w:name="_Toc22908"/>
      <w:r>
        <w:rPr>
          <w:rFonts w:ascii="宋体" w:hAnsi="宋体" w:eastAsia="宋体" w:cs="宋体"/>
          <w:b/>
          <w:bCs/>
          <w:snapToGrid/>
          <w:spacing w:val="0"/>
          <w:w w:val="100"/>
          <w:kern w:val="21"/>
          <w:position w:val="0"/>
          <w:sz w:val="43"/>
          <w:szCs w:val="43"/>
        </w:rPr>
        <w:t>第八章</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投标文件格式</w:t>
      </w:r>
      <w:bookmarkEnd w:id="639"/>
      <w:bookmarkEnd w:id="640"/>
      <w:bookmarkEnd w:id="641"/>
    </w:p>
    <w:p w14:paraId="745D6EC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46A0BD1">
      <w:pPr>
        <w:keepNext w:val="0"/>
        <w:keepLines w:val="0"/>
        <w:pageBreakBefore w:val="0"/>
        <w:widowControl w:val="0"/>
        <w:tabs>
          <w:tab w:val="left" w:pos="2193"/>
        </w:tabs>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hint="eastAsia" w:ascii="宋体" w:hAnsi="宋体" w:eastAsia="宋体" w:cs="宋体"/>
          <w:b/>
          <w:bCs/>
          <w:snapToGrid/>
          <w:spacing w:val="0"/>
          <w:w w:val="100"/>
          <w:kern w:val="21"/>
          <w:position w:val="0"/>
          <w:sz w:val="28"/>
          <w:szCs w:val="28"/>
          <w:lang w:val="en-US" w:eastAsia="zh-CN"/>
        </w:rPr>
        <w:t xml:space="preserve">     </w:t>
      </w:r>
      <w:r>
        <w:rPr>
          <w:rFonts w:ascii="宋体" w:hAnsi="宋体" w:eastAsia="宋体" w:cs="宋体"/>
          <w:snapToGrid/>
          <w:spacing w:val="0"/>
          <w:w w:val="100"/>
          <w:kern w:val="21"/>
          <w:position w:val="0"/>
          <w:sz w:val="28"/>
          <w:szCs w:val="28"/>
          <w:u w:val="single" w:color="auto"/>
        </w:rPr>
        <w:t xml:space="preserve">     </w:t>
      </w:r>
      <w:r>
        <w:rPr>
          <w:rFonts w:ascii="宋体" w:hAnsi="宋体" w:eastAsia="宋体" w:cs="宋体"/>
          <w:b/>
          <w:bCs/>
          <w:snapToGrid/>
          <w:spacing w:val="0"/>
          <w:w w:val="100"/>
          <w:kern w:val="21"/>
          <w:position w:val="0"/>
          <w:sz w:val="28"/>
          <w:szCs w:val="28"/>
        </w:rPr>
        <w:t>（项目名称）</w:t>
      </w:r>
      <w:r>
        <w:rPr>
          <w:rFonts w:ascii="宋体" w:hAnsi="宋体" w:eastAsia="宋体" w:cs="宋体"/>
          <w:snapToGrid/>
          <w:spacing w:val="0"/>
          <w:w w:val="100"/>
          <w:kern w:val="21"/>
          <w:position w:val="0"/>
          <w:sz w:val="28"/>
          <w:szCs w:val="28"/>
          <w:u w:val="single" w:color="auto"/>
        </w:rPr>
        <w:t xml:space="preserve">     </w:t>
      </w:r>
      <w:r>
        <w:rPr>
          <w:rFonts w:ascii="宋体" w:hAnsi="宋体" w:eastAsia="宋体" w:cs="宋体"/>
          <w:b/>
          <w:bCs/>
          <w:snapToGrid/>
          <w:spacing w:val="0"/>
          <w:w w:val="100"/>
          <w:kern w:val="21"/>
          <w:position w:val="0"/>
          <w:sz w:val="28"/>
          <w:szCs w:val="28"/>
        </w:rPr>
        <w:t>标段施工招标项目</w:t>
      </w:r>
    </w:p>
    <w:p w14:paraId="27E39AC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A21DE1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8B937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43"/>
          <w:szCs w:val="43"/>
        </w:rPr>
      </w:pPr>
      <w:r>
        <w:rPr>
          <w:rFonts w:ascii="宋体" w:hAnsi="宋体" w:eastAsia="宋体" w:cs="宋体"/>
          <w:b/>
          <w:bCs/>
          <w:snapToGrid/>
          <w:spacing w:val="0"/>
          <w:w w:val="100"/>
          <w:kern w:val="21"/>
          <w:position w:val="0"/>
          <w:sz w:val="43"/>
          <w:szCs w:val="43"/>
        </w:rPr>
        <w:t>投</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标</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文</w:t>
      </w:r>
      <w:r>
        <w:rPr>
          <w:rFonts w:ascii="宋体" w:hAnsi="宋体" w:eastAsia="宋体" w:cs="宋体"/>
          <w:snapToGrid/>
          <w:spacing w:val="0"/>
          <w:w w:val="100"/>
          <w:kern w:val="21"/>
          <w:position w:val="0"/>
          <w:sz w:val="43"/>
          <w:szCs w:val="43"/>
        </w:rPr>
        <w:t xml:space="preserve"> </w:t>
      </w:r>
      <w:r>
        <w:rPr>
          <w:rFonts w:ascii="宋体" w:hAnsi="宋体" w:eastAsia="宋体" w:cs="宋体"/>
          <w:b/>
          <w:bCs/>
          <w:snapToGrid/>
          <w:spacing w:val="0"/>
          <w:w w:val="100"/>
          <w:kern w:val="21"/>
          <w:position w:val="0"/>
          <w:sz w:val="43"/>
          <w:szCs w:val="43"/>
        </w:rPr>
        <w:t>件</w:t>
      </w:r>
    </w:p>
    <w:p w14:paraId="289E92E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963175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DC8E8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招标项目编号：</w:t>
      </w:r>
    </w:p>
    <w:p w14:paraId="6A562EB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B9E3B8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36A99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7C526D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F8B848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42B766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A91019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AE40939">
      <w:pPr>
        <w:keepNext w:val="0"/>
        <w:keepLines w:val="0"/>
        <w:pageBreakBefore w:val="0"/>
        <w:widowControl w:val="0"/>
        <w:kinsoku/>
        <w:wordWrap w:val="0"/>
        <w:overflowPunct/>
        <w:topLinePunct/>
        <w:autoSpaceDE w:val="0"/>
        <w:autoSpaceDN/>
        <w:bidi w:val="0"/>
        <w:adjustRightInd/>
        <w:snapToGrid/>
        <w:spacing w:line="560" w:lineRule="exact"/>
        <w:ind w:left="0" w:right="0" w:firstLine="2"/>
        <w:jc w:val="center"/>
        <w:textAlignment w:val="baseline"/>
        <w:outlineLvl w:val="9"/>
        <w:rPr>
          <w:rFonts w:ascii="宋体" w:hAnsi="宋体" w:eastAsia="宋体" w:cs="宋体"/>
          <w:b/>
          <w:bCs/>
          <w:snapToGrid/>
          <w:spacing w:val="0"/>
          <w:w w:val="100"/>
          <w:kern w:val="21"/>
          <w:position w:val="0"/>
          <w:sz w:val="31"/>
          <w:szCs w:val="31"/>
        </w:rPr>
      </w:pPr>
      <w:r>
        <w:rPr>
          <w:rFonts w:ascii="宋体" w:hAnsi="宋体" w:eastAsia="宋体" w:cs="宋体"/>
          <w:b/>
          <w:bCs/>
          <w:snapToGrid/>
          <w:spacing w:val="0"/>
          <w:w w:val="100"/>
          <w:kern w:val="21"/>
          <w:position w:val="0"/>
          <w:sz w:val="31"/>
          <w:szCs w:val="31"/>
        </w:rPr>
        <w:t>投</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标</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人</w:t>
      </w:r>
      <w:r>
        <w:rPr>
          <w:rFonts w:ascii="宋体" w:hAnsi="宋体" w:eastAsia="宋体" w:cs="宋体"/>
          <w:snapToGrid/>
          <w:spacing w:val="0"/>
          <w:w w:val="100"/>
          <w:kern w:val="21"/>
          <w:position w:val="0"/>
          <w:sz w:val="31"/>
          <w:szCs w:val="31"/>
        </w:rPr>
        <w:t xml:space="preserve"> </w:t>
      </w:r>
      <w:r>
        <w:rPr>
          <w:rFonts w:ascii="宋体" w:hAnsi="宋体" w:eastAsia="宋体" w:cs="宋体"/>
          <w:b/>
          <w:bCs/>
          <w:snapToGrid/>
          <w:spacing w:val="0"/>
          <w:w w:val="100"/>
          <w:kern w:val="21"/>
          <w:position w:val="0"/>
          <w:sz w:val="31"/>
          <w:szCs w:val="31"/>
        </w:rPr>
        <w:t>：</w:t>
      </w:r>
      <w:r>
        <w:rPr>
          <w:rFonts w:ascii="宋体" w:hAnsi="宋体" w:eastAsia="宋体" w:cs="宋体"/>
          <w:snapToGrid/>
          <w:spacing w:val="0"/>
          <w:w w:val="100"/>
          <w:kern w:val="21"/>
          <w:position w:val="0"/>
          <w:sz w:val="31"/>
          <w:szCs w:val="31"/>
        </w:rPr>
        <w:t xml:space="preserve"> </w:t>
      </w:r>
      <w:r>
        <w:rPr>
          <w:rFonts w:ascii="宋体" w:hAnsi="宋体" w:eastAsia="宋体" w:cs="宋体"/>
          <w:snapToGrid/>
          <w:spacing w:val="0"/>
          <w:w w:val="100"/>
          <w:kern w:val="21"/>
          <w:position w:val="0"/>
          <w:sz w:val="31"/>
          <w:szCs w:val="31"/>
          <w:u w:val="single" w:color="auto"/>
        </w:rPr>
        <w:t xml:space="preserve">                          </w:t>
      </w:r>
      <w:r>
        <w:rPr>
          <w:rFonts w:ascii="宋体" w:hAnsi="宋体" w:eastAsia="宋体" w:cs="宋体"/>
          <w:b/>
          <w:bCs/>
          <w:snapToGrid/>
          <w:spacing w:val="0"/>
          <w:w w:val="100"/>
          <w:kern w:val="21"/>
          <w:position w:val="0"/>
          <w:sz w:val="31"/>
          <w:szCs w:val="31"/>
        </w:rPr>
        <w:t>（盖单位章）</w:t>
      </w:r>
    </w:p>
    <w:p w14:paraId="2A06085A">
      <w:pPr>
        <w:keepNext w:val="0"/>
        <w:keepLines w:val="0"/>
        <w:pageBreakBefore w:val="0"/>
        <w:widowControl w:val="0"/>
        <w:kinsoku/>
        <w:wordWrap w:val="0"/>
        <w:overflowPunct/>
        <w:topLinePunct/>
        <w:autoSpaceDE w:val="0"/>
        <w:autoSpaceDN/>
        <w:bidi w:val="0"/>
        <w:adjustRightInd/>
        <w:snapToGrid/>
        <w:spacing w:line="560" w:lineRule="exact"/>
        <w:ind w:left="0" w:right="0" w:firstLine="2"/>
        <w:jc w:val="center"/>
        <w:textAlignment w:val="baseline"/>
        <w:outlineLvl w:val="9"/>
        <w:rPr>
          <w:rFonts w:ascii="宋体" w:hAnsi="宋体" w:eastAsia="宋体" w:cs="宋体"/>
          <w:b/>
          <w:bCs/>
          <w:snapToGrid/>
          <w:spacing w:val="0"/>
          <w:w w:val="100"/>
          <w:kern w:val="21"/>
          <w:position w:val="0"/>
          <w:sz w:val="31"/>
          <w:szCs w:val="31"/>
        </w:rPr>
      </w:pPr>
      <w:r>
        <w:rPr>
          <w:rFonts w:ascii="宋体" w:hAnsi="宋体" w:eastAsia="宋体" w:cs="宋体"/>
          <w:b/>
          <w:bCs/>
          <w:snapToGrid/>
          <w:spacing w:val="0"/>
          <w:w w:val="100"/>
          <w:kern w:val="21"/>
          <w:position w:val="0"/>
          <w:sz w:val="31"/>
          <w:szCs w:val="31"/>
        </w:rPr>
        <w:t>法定代表人或其委托代理人：</w:t>
      </w:r>
      <w:r>
        <w:rPr>
          <w:rFonts w:ascii="宋体" w:hAnsi="宋体" w:eastAsia="宋体" w:cs="宋体"/>
          <w:snapToGrid/>
          <w:spacing w:val="0"/>
          <w:w w:val="100"/>
          <w:kern w:val="21"/>
          <w:position w:val="0"/>
          <w:sz w:val="31"/>
          <w:szCs w:val="31"/>
        </w:rPr>
        <w:t xml:space="preserve"> </w:t>
      </w:r>
      <w:r>
        <w:rPr>
          <w:rFonts w:ascii="宋体" w:hAnsi="宋体" w:eastAsia="宋体" w:cs="宋体"/>
          <w:snapToGrid/>
          <w:spacing w:val="0"/>
          <w:w w:val="100"/>
          <w:kern w:val="21"/>
          <w:position w:val="0"/>
          <w:sz w:val="31"/>
          <w:szCs w:val="31"/>
          <w:u w:val="single" w:color="auto"/>
        </w:rPr>
        <w:t xml:space="preserve">      </w:t>
      </w:r>
      <w:r>
        <w:rPr>
          <w:rFonts w:ascii="宋体" w:hAnsi="宋体" w:eastAsia="宋体" w:cs="宋体"/>
          <w:b/>
          <w:bCs/>
          <w:snapToGrid/>
          <w:spacing w:val="0"/>
          <w:w w:val="100"/>
          <w:kern w:val="21"/>
          <w:position w:val="0"/>
          <w:sz w:val="31"/>
          <w:szCs w:val="31"/>
        </w:rPr>
        <w:t>（签字或盖章）</w:t>
      </w:r>
    </w:p>
    <w:p w14:paraId="38F87307">
      <w:pPr>
        <w:keepNext w:val="0"/>
        <w:keepLines w:val="0"/>
        <w:pageBreakBefore w:val="0"/>
        <w:widowControl w:val="0"/>
        <w:kinsoku/>
        <w:wordWrap w:val="0"/>
        <w:overflowPunct/>
        <w:topLinePunct/>
        <w:autoSpaceDE w:val="0"/>
        <w:autoSpaceDN/>
        <w:bidi w:val="0"/>
        <w:adjustRightInd/>
        <w:snapToGrid/>
        <w:spacing w:line="560" w:lineRule="exact"/>
        <w:ind w:left="0" w:right="0" w:firstLine="2"/>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snapToGrid/>
          <w:spacing w:val="0"/>
          <w:w w:val="100"/>
          <w:kern w:val="21"/>
          <w:position w:val="0"/>
          <w:sz w:val="31"/>
          <w:szCs w:val="31"/>
          <w:u w:val="single" w:color="auto"/>
        </w:rPr>
        <w:tab/>
      </w:r>
      <w:r>
        <w:rPr>
          <w:rFonts w:ascii="宋体" w:hAnsi="宋体" w:eastAsia="宋体" w:cs="宋体"/>
          <w:b/>
          <w:bCs/>
          <w:snapToGrid/>
          <w:spacing w:val="0"/>
          <w:w w:val="100"/>
          <w:kern w:val="21"/>
          <w:position w:val="0"/>
          <w:sz w:val="31"/>
          <w:szCs w:val="31"/>
        </w:rPr>
        <w:t>年</w:t>
      </w:r>
      <w:r>
        <w:rPr>
          <w:rFonts w:ascii="宋体" w:hAnsi="宋体" w:eastAsia="宋体" w:cs="宋体"/>
          <w:snapToGrid/>
          <w:spacing w:val="0"/>
          <w:w w:val="100"/>
          <w:kern w:val="21"/>
          <w:position w:val="0"/>
          <w:sz w:val="31"/>
          <w:szCs w:val="31"/>
          <w:u w:val="single" w:color="auto"/>
        </w:rPr>
        <w:t xml:space="preserve">      </w:t>
      </w:r>
      <w:r>
        <w:rPr>
          <w:rFonts w:ascii="宋体" w:hAnsi="宋体" w:eastAsia="宋体" w:cs="宋体"/>
          <w:b/>
          <w:bCs/>
          <w:snapToGrid/>
          <w:spacing w:val="0"/>
          <w:w w:val="100"/>
          <w:kern w:val="21"/>
          <w:position w:val="0"/>
          <w:sz w:val="31"/>
          <w:szCs w:val="31"/>
        </w:rPr>
        <w:t>月</w:t>
      </w:r>
      <w:r>
        <w:rPr>
          <w:rFonts w:ascii="宋体" w:hAnsi="宋体" w:eastAsia="宋体" w:cs="宋体"/>
          <w:snapToGrid/>
          <w:spacing w:val="0"/>
          <w:w w:val="100"/>
          <w:kern w:val="21"/>
          <w:position w:val="0"/>
          <w:sz w:val="31"/>
          <w:szCs w:val="31"/>
          <w:u w:val="single" w:color="auto"/>
        </w:rPr>
        <w:t xml:space="preserve">     </w:t>
      </w:r>
      <w:r>
        <w:rPr>
          <w:rFonts w:ascii="宋体" w:hAnsi="宋体" w:eastAsia="宋体" w:cs="宋体"/>
          <w:b/>
          <w:bCs/>
          <w:snapToGrid/>
          <w:spacing w:val="0"/>
          <w:w w:val="100"/>
          <w:kern w:val="21"/>
          <w:position w:val="0"/>
          <w:sz w:val="31"/>
          <w:szCs w:val="31"/>
        </w:rPr>
        <w:t>日</w:t>
      </w:r>
    </w:p>
    <w:p w14:paraId="3EBAF1D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31"/>
          <w:szCs w:val="31"/>
        </w:rPr>
        <w:sectPr>
          <w:footerReference r:id="rId30" w:type="default"/>
          <w:pgSz w:w="11906" w:h="16838"/>
          <w:pgMar w:top="1440" w:right="1080" w:bottom="1440" w:left="1080" w:header="0" w:footer="1185" w:gutter="0"/>
          <w:pgNumType w:fmt="decimal"/>
          <w:cols w:space="720" w:num="1"/>
        </w:sectPr>
      </w:pPr>
    </w:p>
    <w:p w14:paraId="20F160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2" w:name="bookmark196"/>
      <w:bookmarkEnd w:id="642"/>
      <w:r>
        <w:rPr>
          <w:rFonts w:ascii="宋体" w:hAnsi="宋体" w:eastAsia="宋体" w:cs="宋体"/>
          <w:b/>
          <w:bCs/>
          <w:snapToGrid/>
          <w:spacing w:val="0"/>
          <w:w w:val="100"/>
          <w:kern w:val="21"/>
          <w:position w:val="0"/>
          <w:sz w:val="31"/>
          <w:szCs w:val="31"/>
        </w:rPr>
        <w:t>目录</w:t>
      </w:r>
    </w:p>
    <w:p w14:paraId="43C42D99">
      <w:pPr>
        <w:spacing w:before="65" w:line="227" w:lineRule="auto"/>
        <w:ind w:left="64"/>
        <w:outlineLvl w:val="1"/>
        <w:rPr>
          <w:rFonts w:ascii="宋体" w:hAnsi="宋体" w:eastAsia="宋体" w:cs="宋体"/>
          <w:sz w:val="20"/>
          <w:szCs w:val="20"/>
        </w:rPr>
      </w:pPr>
      <w:r>
        <w:rPr>
          <w:rFonts w:ascii="宋体" w:hAnsi="宋体" w:eastAsia="宋体" w:cs="宋体"/>
          <w:spacing w:val="8"/>
          <w:sz w:val="20"/>
          <w:szCs w:val="20"/>
        </w:rPr>
        <w:t>一、投标函及投标函附录</w:t>
      </w:r>
    </w:p>
    <w:sdt>
      <w:sdtPr>
        <w:rPr>
          <w:rFonts w:ascii="宋体" w:hAnsi="宋体" w:eastAsia="宋体" w:cs="宋体"/>
          <w:sz w:val="20"/>
          <w:szCs w:val="20"/>
        </w:rPr>
        <w:id w:val="147455725"/>
        <w:docPartObj>
          <w:docPartGallery w:val="Table of Contents"/>
          <w:docPartUnique/>
        </w:docPartObj>
      </w:sdtPr>
      <w:sdtEndPr>
        <w:rPr>
          <w:rFonts w:ascii="宋体" w:hAnsi="宋体" w:eastAsia="宋体" w:cs="宋体"/>
          <w:sz w:val="20"/>
          <w:szCs w:val="20"/>
        </w:rPr>
      </w:sdtEndPr>
      <w:sdtContent>
        <w:p w14:paraId="6C886F48">
          <w:pPr>
            <w:spacing w:before="192" w:line="228" w:lineRule="auto"/>
            <w:ind w:left="64"/>
            <w:rPr>
              <w:rFonts w:ascii="宋体" w:hAnsi="宋体" w:eastAsia="宋体" w:cs="宋体"/>
              <w:sz w:val="20"/>
              <w:szCs w:val="20"/>
            </w:rPr>
          </w:pPr>
          <w:r>
            <w:rPr>
              <w:rFonts w:ascii="宋体" w:hAnsi="宋体" w:eastAsia="宋体" w:cs="宋体"/>
              <w:spacing w:val="8"/>
              <w:sz w:val="20"/>
              <w:szCs w:val="20"/>
            </w:rPr>
            <w:t>二、法定代表人身份证明（适用于无委托代理人的情况）</w:t>
          </w:r>
        </w:p>
        <w:p w14:paraId="57F70A95">
          <w:pPr>
            <w:spacing w:before="192" w:line="227" w:lineRule="auto"/>
            <w:ind w:left="64"/>
            <w:rPr>
              <w:rFonts w:ascii="宋体" w:hAnsi="宋体" w:eastAsia="宋体" w:cs="宋体"/>
              <w:sz w:val="20"/>
              <w:szCs w:val="20"/>
            </w:rPr>
          </w:pPr>
          <w:r>
            <w:rPr>
              <w:rFonts w:ascii="宋体" w:hAnsi="宋体" w:eastAsia="宋体" w:cs="宋体"/>
              <w:spacing w:val="8"/>
              <w:sz w:val="20"/>
              <w:szCs w:val="20"/>
            </w:rPr>
            <w:t>二、授权委托书（适用于有委托代理人的情况）</w:t>
          </w:r>
        </w:p>
        <w:p w14:paraId="20640106">
          <w:pPr>
            <w:spacing w:before="196" w:line="227" w:lineRule="auto"/>
            <w:ind w:left="60"/>
            <w:rPr>
              <w:rFonts w:ascii="宋体" w:hAnsi="宋体" w:eastAsia="宋体" w:cs="宋体"/>
              <w:sz w:val="20"/>
              <w:szCs w:val="20"/>
            </w:rPr>
          </w:pPr>
          <w:r>
            <w:rPr>
              <w:rFonts w:ascii="宋体" w:hAnsi="宋体" w:eastAsia="宋体" w:cs="宋体"/>
              <w:spacing w:val="8"/>
              <w:sz w:val="20"/>
              <w:szCs w:val="20"/>
            </w:rPr>
            <w:t>三、联合体协议书</w:t>
          </w:r>
        </w:p>
        <w:p w14:paraId="33444499">
          <w:pPr>
            <w:spacing w:before="193" w:line="228" w:lineRule="auto"/>
            <w:ind w:left="80"/>
            <w:rPr>
              <w:rFonts w:ascii="宋体" w:hAnsi="宋体" w:eastAsia="宋体" w:cs="宋体"/>
              <w:sz w:val="20"/>
              <w:szCs w:val="20"/>
            </w:rPr>
          </w:pPr>
          <w:r>
            <w:rPr>
              <w:rFonts w:ascii="宋体" w:hAnsi="宋体" w:eastAsia="宋体" w:cs="宋体"/>
              <w:spacing w:val="5"/>
              <w:sz w:val="20"/>
              <w:szCs w:val="20"/>
            </w:rPr>
            <w:t>四、投标保证金</w:t>
          </w:r>
        </w:p>
        <w:p w14:paraId="6A89EA70">
          <w:pPr>
            <w:spacing w:before="192" w:line="226" w:lineRule="auto"/>
            <w:ind w:left="64"/>
            <w:rPr>
              <w:rFonts w:ascii="宋体" w:hAnsi="宋体" w:eastAsia="宋体" w:cs="宋体"/>
              <w:sz w:val="20"/>
              <w:szCs w:val="20"/>
            </w:rPr>
          </w:pPr>
          <w:r>
            <w:rPr>
              <w:rFonts w:ascii="宋体" w:hAnsi="宋体" w:eastAsia="宋体" w:cs="宋体"/>
              <w:spacing w:val="8"/>
              <w:sz w:val="20"/>
              <w:szCs w:val="20"/>
            </w:rPr>
            <w:t>五、已标价工程量清单</w:t>
          </w:r>
        </w:p>
        <w:p w14:paraId="3A19C810">
          <w:pPr>
            <w:spacing w:before="197" w:line="229" w:lineRule="auto"/>
            <w:ind w:left="62"/>
            <w:rPr>
              <w:rFonts w:ascii="宋体" w:hAnsi="宋体" w:eastAsia="宋体" w:cs="宋体"/>
              <w:sz w:val="20"/>
              <w:szCs w:val="20"/>
            </w:rPr>
          </w:pPr>
          <w:r>
            <w:rPr>
              <w:rFonts w:ascii="宋体" w:hAnsi="宋体" w:eastAsia="宋体" w:cs="宋体"/>
              <w:spacing w:val="7"/>
              <w:sz w:val="20"/>
              <w:szCs w:val="20"/>
            </w:rPr>
            <w:t>六、施工组织设计</w:t>
          </w:r>
        </w:p>
        <w:p w14:paraId="53D0C707">
          <w:pPr>
            <w:spacing w:before="191" w:line="227" w:lineRule="auto"/>
            <w:ind w:left="59"/>
            <w:rPr>
              <w:rFonts w:ascii="宋体" w:hAnsi="宋体" w:eastAsia="宋体" w:cs="宋体"/>
              <w:sz w:val="20"/>
              <w:szCs w:val="20"/>
            </w:rPr>
          </w:pPr>
          <w:r>
            <w:rPr>
              <w:rFonts w:ascii="宋体" w:hAnsi="宋体" w:eastAsia="宋体" w:cs="宋体"/>
              <w:spacing w:val="8"/>
              <w:sz w:val="20"/>
              <w:szCs w:val="20"/>
            </w:rPr>
            <w:t>七、项目管理机构</w:t>
          </w:r>
        </w:p>
        <w:p w14:paraId="41F24556">
          <w:pPr>
            <w:spacing w:before="193" w:line="227" w:lineRule="auto"/>
            <w:ind w:left="64"/>
            <w:rPr>
              <w:rFonts w:ascii="宋体" w:hAnsi="宋体" w:eastAsia="宋体" w:cs="宋体"/>
              <w:sz w:val="20"/>
              <w:szCs w:val="20"/>
            </w:rPr>
          </w:pPr>
          <w:r>
            <w:rPr>
              <w:rFonts w:ascii="宋体" w:hAnsi="宋体" w:eastAsia="宋体" w:cs="宋体"/>
              <w:spacing w:val="8"/>
              <w:sz w:val="20"/>
              <w:szCs w:val="20"/>
            </w:rPr>
            <w:t>八、拟分包项目情况表</w:t>
          </w:r>
        </w:p>
        <w:p w14:paraId="2198030F">
          <w:pPr>
            <w:spacing w:before="196" w:line="228" w:lineRule="auto"/>
            <w:ind w:left="65"/>
            <w:rPr>
              <w:rFonts w:ascii="宋体" w:hAnsi="宋体" w:eastAsia="宋体" w:cs="宋体"/>
              <w:sz w:val="20"/>
              <w:szCs w:val="20"/>
            </w:rPr>
          </w:pPr>
          <w:r>
            <w:rPr>
              <w:rFonts w:ascii="宋体" w:hAnsi="宋体" w:eastAsia="宋体" w:cs="宋体"/>
              <w:spacing w:val="8"/>
              <w:sz w:val="20"/>
              <w:szCs w:val="20"/>
            </w:rPr>
            <w:t>九、资格审查资料</w:t>
          </w:r>
        </w:p>
        <w:p w14:paraId="7F54AA19">
          <w:pPr>
            <w:spacing w:before="192" w:line="228" w:lineRule="auto"/>
            <w:ind w:left="61"/>
            <w:rPr>
              <w:rFonts w:ascii="宋体" w:hAnsi="宋体" w:eastAsia="宋体" w:cs="宋体"/>
              <w:spacing w:val="9"/>
              <w:sz w:val="20"/>
              <w:szCs w:val="20"/>
            </w:rPr>
          </w:pPr>
          <w:r>
            <w:rPr>
              <w:rFonts w:ascii="宋体" w:hAnsi="宋体" w:eastAsia="宋体" w:cs="宋体"/>
              <w:spacing w:val="9"/>
              <w:sz w:val="20"/>
              <w:szCs w:val="20"/>
            </w:rPr>
            <w:t>十、农民工工资支付保障承诺</w:t>
          </w:r>
        </w:p>
        <w:p w14:paraId="628CA348">
          <w:pPr>
            <w:spacing w:before="192" w:line="228" w:lineRule="auto"/>
            <w:ind w:left="61"/>
            <w:rPr>
              <w:rFonts w:ascii="宋体" w:hAnsi="宋体" w:eastAsia="宋体" w:cs="宋体"/>
              <w:snapToGrid/>
              <w:spacing w:val="0"/>
              <w:w w:val="100"/>
              <w:kern w:val="21"/>
              <w:position w:val="0"/>
              <w:sz w:val="20"/>
              <w:szCs w:val="20"/>
            </w:rPr>
          </w:pPr>
          <w:r>
            <w:rPr>
              <w:rFonts w:ascii="宋体" w:hAnsi="宋体" w:eastAsia="宋体" w:cs="宋体"/>
              <w:spacing w:val="8"/>
              <w:sz w:val="20"/>
              <w:szCs w:val="20"/>
            </w:rPr>
            <w:t>十</w:t>
          </w:r>
          <w:r>
            <w:rPr>
              <w:rFonts w:hint="eastAsia" w:ascii="宋体" w:hAnsi="宋体" w:eastAsia="宋体" w:cs="宋体"/>
              <w:spacing w:val="8"/>
              <w:sz w:val="20"/>
              <w:szCs w:val="20"/>
              <w:lang w:val="en-US" w:eastAsia="zh-CN"/>
            </w:rPr>
            <w:t>一</w:t>
          </w:r>
          <w:r>
            <w:rPr>
              <w:rFonts w:ascii="宋体" w:hAnsi="宋体" w:eastAsia="宋体" w:cs="宋体"/>
              <w:spacing w:val="8"/>
              <w:sz w:val="20"/>
              <w:szCs w:val="20"/>
            </w:rPr>
            <w:t>、其他材料</w:t>
          </w:r>
        </w:p>
      </w:sdtContent>
    </w:sdt>
    <w:sdt>
      <w:sdtPr>
        <w:rPr>
          <w:rFonts w:ascii="宋体" w:hAnsi="宋体" w:eastAsia="宋体" w:cs="Arial"/>
          <w:snapToGrid w:val="0"/>
          <w:color w:val="000000"/>
          <w:kern w:val="0"/>
          <w:sz w:val="21"/>
          <w:szCs w:val="21"/>
          <w:lang w:val="en-US" w:eastAsia="en-US" w:bidi="ar-SA"/>
        </w:rPr>
        <w:id w:val="147477517"/>
        <w:showingPlcHdr/>
        <w15:color w:val="DBDBDB"/>
        <w:docPartObj>
          <w:docPartGallery w:val="Table of Contents"/>
          <w:docPartUnique/>
        </w:docPartObj>
      </w:sdtPr>
      <w:sdtEndPr>
        <w:rPr>
          <w:rFonts w:ascii="宋体" w:hAnsi="宋体" w:eastAsia="宋体" w:cs="宋体"/>
          <w:snapToGrid/>
          <w:color w:val="000000"/>
          <w:spacing w:val="0"/>
          <w:w w:val="100"/>
          <w:kern w:val="21"/>
          <w:position w:val="0"/>
          <w:sz w:val="21"/>
          <w:szCs w:val="20"/>
          <w:lang w:val="en-US" w:eastAsia="en-US" w:bidi="ar-SA"/>
        </w:rPr>
      </w:sdtEndPr>
      <w:sdtContent>
        <w:p w14:paraId="3080817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color w:val="000000"/>
              <w:spacing w:val="0"/>
              <w:w w:val="100"/>
              <w:kern w:val="21"/>
              <w:position w:val="0"/>
              <w:sz w:val="21"/>
              <w:szCs w:val="20"/>
              <w:lang w:val="en-US" w:eastAsia="en-US" w:bidi="ar-SA"/>
            </w:rPr>
          </w:pPr>
          <w:r>
            <w:rPr>
              <w:rFonts w:hint="eastAsia" w:ascii="宋体" w:hAnsi="宋体" w:eastAsia="宋体" w:cs="Arial"/>
              <w:snapToGrid w:val="0"/>
              <w:color w:val="000000"/>
              <w:kern w:val="0"/>
              <w:sz w:val="21"/>
              <w:szCs w:val="21"/>
              <w:lang w:val="en-US" w:eastAsia="zh-CN" w:bidi="ar-SA"/>
            </w:rPr>
            <w:t xml:space="preserve">     </w:t>
          </w:r>
        </w:p>
      </w:sdtContent>
    </w:sdt>
    <w:p w14:paraId="5C1D49E0">
      <w:pPr>
        <w:pStyle w:val="2"/>
        <w:sectPr>
          <w:footerReference r:id="rId31" w:type="default"/>
          <w:pgSz w:w="11906" w:h="16838"/>
          <w:pgMar w:top="1440" w:right="1080" w:bottom="1440" w:left="1080" w:header="0" w:footer="978" w:gutter="0"/>
          <w:pgNumType w:fmt="decimal"/>
          <w:cols w:space="720" w:num="1"/>
        </w:sectPr>
      </w:pPr>
    </w:p>
    <w:p w14:paraId="6BD43AF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3" w:name="bookmark197"/>
      <w:bookmarkEnd w:id="643"/>
      <w:r>
        <w:rPr>
          <w:rFonts w:ascii="宋体" w:hAnsi="宋体" w:eastAsia="宋体" w:cs="宋体"/>
          <w:b/>
          <w:bCs/>
          <w:snapToGrid/>
          <w:spacing w:val="0"/>
          <w:w w:val="100"/>
          <w:kern w:val="21"/>
          <w:position w:val="0"/>
          <w:sz w:val="31"/>
          <w:szCs w:val="31"/>
        </w:rPr>
        <w:t>一、投标函及投标函附录</w:t>
      </w:r>
    </w:p>
    <w:p w14:paraId="1541A8A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（一）投标函</w:t>
      </w:r>
    </w:p>
    <w:p w14:paraId="5468635E">
      <w:pPr>
        <w:keepNext w:val="0"/>
        <w:keepLines w:val="0"/>
        <w:pageBreakBefore w:val="0"/>
        <w:widowControl w:val="0"/>
        <w:tabs>
          <w:tab w:val="left" w:pos="2518"/>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（招标人名称）：</w:t>
      </w:r>
    </w:p>
    <w:p w14:paraId="0950B0EC">
      <w:pPr>
        <w:keepNext w:val="0"/>
        <w:keepLines w:val="0"/>
        <w:pageBreakBefore w:val="0"/>
        <w:widowControl w:val="0"/>
        <w:kinsoku/>
        <w:wordWrap w:val="0"/>
        <w:overflowPunct/>
        <w:topLinePunct/>
        <w:autoSpaceDE w:val="0"/>
        <w:autoSpaceDN/>
        <w:bidi w:val="0"/>
        <w:adjustRightInd/>
        <w:snapToGrid/>
        <w:spacing w:line="560" w:lineRule="exact"/>
        <w:ind w:left="0" w:right="0" w:firstLine="43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1．我方已仔细研究了</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（项目名称）</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标段施工招标文件的全部内容，愿意以 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 的投标总报价，工期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日历天，按合同约 定实施和完成承包工程，修补工程中的任何缺陷，工程质量达到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，安全目标：</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环保目标：</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p>
    <w:p w14:paraId="4CCBE29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我方的投标文件包括下列内容：</w:t>
      </w:r>
    </w:p>
    <w:p w14:paraId="23167EE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（l）投标函及投标函附录；</w:t>
      </w:r>
    </w:p>
    <w:p w14:paraId="382CB30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（2）法定代表人身份证明或授权委托书；</w:t>
      </w:r>
    </w:p>
    <w:p w14:paraId="323569A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（3）联合体协议书；</w:t>
      </w:r>
    </w:p>
    <w:p w14:paraId="3BA1112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（4）投标保证金；</w:t>
      </w:r>
    </w:p>
    <w:p w14:paraId="0E5BF99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 已标价的工程量清单；</w:t>
      </w:r>
    </w:p>
    <w:p w14:paraId="01E5200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（6）施工组织设计；</w:t>
      </w:r>
    </w:p>
    <w:p w14:paraId="675C904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（7）项目管理机构；</w:t>
      </w:r>
    </w:p>
    <w:p w14:paraId="0E252EC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（8）拟分包项目情况表；</w:t>
      </w:r>
    </w:p>
    <w:p w14:paraId="2538EAC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（9）资格审查资料；</w:t>
      </w:r>
    </w:p>
    <w:p w14:paraId="3A5A232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（10）其他资料；</w:t>
      </w:r>
    </w:p>
    <w:p w14:paraId="38AF707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投标文件的上述组成部分如存在内容不一致的， 以投标函为准。</w:t>
      </w:r>
    </w:p>
    <w:p w14:paraId="5B91161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3．我方承诺在投标有效期内不修改、撤销投标文件。</w:t>
      </w:r>
    </w:p>
    <w:p w14:paraId="3A8DC6F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4．如我方中标，我方承诺：</w:t>
      </w:r>
    </w:p>
    <w:p w14:paraId="06C41E8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（1）在收到中标通知书后，在中标通知书规定的期限内与你方签订合同；</w:t>
      </w:r>
    </w:p>
    <w:p w14:paraId="3933254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（2）在签订合同时不向你方提出附加条件；</w:t>
      </w:r>
    </w:p>
    <w:p w14:paraId="098442D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（3）按照招标文件要求提交履约保证金；</w:t>
      </w:r>
    </w:p>
    <w:p w14:paraId="0944DD4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（4）在合同约定的期限内完成合同规定的全部义务。</w:t>
      </w:r>
    </w:p>
    <w:p w14:paraId="4292E4A6">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5．我方在此声明，所递交的投标文件及有关资料内容完整、真实和准确，且不存在第二章“投 标人须知 ”第 1.4.3 项规定和投标人诚信承诺书的任何一种情形。</w:t>
      </w:r>
    </w:p>
    <w:p w14:paraId="46C5D7C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（其他补充说明）。</w:t>
      </w:r>
    </w:p>
    <w:p w14:paraId="1D580F8B">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附件：投标人诚信承诺书</w:t>
      </w:r>
    </w:p>
    <w:p w14:paraId="6B981FE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p>
    <w:p w14:paraId="2F2F79B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4DE1D61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65A6848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ascii="宋体" w:hAnsi="宋体" w:eastAsia="宋体" w:cs="宋体"/>
          <w:snapToGrid/>
          <w:spacing w:val="0"/>
          <w:w w:val="100"/>
          <w:kern w:val="21"/>
          <w:position w:val="0"/>
          <w:sz w:val="20"/>
          <w:szCs w:val="20"/>
          <w:u w:val="single" w:color="auto"/>
        </w:rPr>
        <w:t xml:space="preserve">                                                 </w:t>
      </w:r>
    </w:p>
    <w:p w14:paraId="54E17B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网    址：</w:t>
      </w:r>
      <w:r>
        <w:rPr>
          <w:rFonts w:ascii="宋体" w:hAnsi="宋体" w:eastAsia="宋体" w:cs="宋体"/>
          <w:snapToGrid/>
          <w:spacing w:val="0"/>
          <w:w w:val="100"/>
          <w:kern w:val="21"/>
          <w:position w:val="0"/>
          <w:sz w:val="20"/>
          <w:szCs w:val="20"/>
          <w:u w:val="single" w:color="auto"/>
        </w:rPr>
        <w:t xml:space="preserve">                                                 </w:t>
      </w:r>
    </w:p>
    <w:p w14:paraId="09540A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ascii="宋体" w:hAnsi="宋体" w:eastAsia="宋体" w:cs="宋体"/>
          <w:snapToGrid/>
          <w:spacing w:val="0"/>
          <w:w w:val="100"/>
          <w:kern w:val="21"/>
          <w:position w:val="0"/>
          <w:sz w:val="20"/>
          <w:szCs w:val="20"/>
          <w:u w:val="single" w:color="auto"/>
        </w:rPr>
        <w:t xml:space="preserve">                                                 </w:t>
      </w:r>
    </w:p>
    <w:p w14:paraId="7FCF62C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传    真：</w:t>
      </w:r>
      <w:r>
        <w:rPr>
          <w:rFonts w:ascii="宋体" w:hAnsi="宋体" w:eastAsia="宋体" w:cs="宋体"/>
          <w:snapToGrid/>
          <w:spacing w:val="0"/>
          <w:w w:val="100"/>
          <w:kern w:val="21"/>
          <w:position w:val="0"/>
          <w:sz w:val="20"/>
          <w:szCs w:val="20"/>
          <w:u w:val="single" w:color="auto"/>
        </w:rPr>
        <w:t xml:space="preserve">                                                 </w:t>
      </w:r>
    </w:p>
    <w:p w14:paraId="0D3D349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邮政编码：</w:t>
      </w:r>
      <w:r>
        <w:rPr>
          <w:rFonts w:ascii="宋体" w:hAnsi="宋体" w:eastAsia="宋体" w:cs="宋体"/>
          <w:snapToGrid/>
          <w:spacing w:val="0"/>
          <w:w w:val="100"/>
          <w:kern w:val="21"/>
          <w:position w:val="0"/>
          <w:sz w:val="20"/>
          <w:szCs w:val="20"/>
          <w:u w:val="single" w:color="auto"/>
        </w:rPr>
        <w:t xml:space="preserve">                                                 </w:t>
      </w:r>
    </w:p>
    <w:p w14:paraId="63C2336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72E40C9">
      <w:pPr>
        <w:keepNext w:val="0"/>
        <w:keepLines w:val="0"/>
        <w:pageBreakBefore w:val="0"/>
        <w:widowControl w:val="0"/>
        <w:tabs>
          <w:tab w:val="left" w:pos="6810"/>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688F03A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2" w:type="default"/>
          <w:pgSz w:w="11906" w:h="16838"/>
          <w:pgMar w:top="1440" w:right="1080" w:bottom="1440" w:left="1080" w:header="0" w:footer="1185" w:gutter="0"/>
          <w:pgNumType w:fmt="decimal"/>
          <w:cols w:space="720" w:num="1"/>
        </w:sectPr>
      </w:pPr>
    </w:p>
    <w:p w14:paraId="5BF0DC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（二）</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投标函附录</w:t>
      </w:r>
    </w:p>
    <w:p w14:paraId="5F89412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p>
    <w:tbl>
      <w:tblPr>
        <w:tblStyle w:val="26"/>
        <w:tblW w:w="8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8"/>
        <w:gridCol w:w="1705"/>
        <w:gridCol w:w="2073"/>
        <w:gridCol w:w="1710"/>
      </w:tblGrid>
      <w:tr w14:paraId="4224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44" w:type="dxa"/>
            <w:vAlign w:val="center"/>
          </w:tcPr>
          <w:p w14:paraId="43157EF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2338" w:type="dxa"/>
            <w:vAlign w:val="center"/>
          </w:tcPr>
          <w:p w14:paraId="36E811B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条款名称</w:t>
            </w:r>
          </w:p>
        </w:tc>
        <w:tc>
          <w:tcPr>
            <w:tcW w:w="1705" w:type="dxa"/>
            <w:vAlign w:val="center"/>
          </w:tcPr>
          <w:p w14:paraId="0ED6385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合同条款号</w:t>
            </w:r>
          </w:p>
        </w:tc>
        <w:tc>
          <w:tcPr>
            <w:tcW w:w="2073" w:type="dxa"/>
            <w:vAlign w:val="center"/>
          </w:tcPr>
          <w:p w14:paraId="434448F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约定内容</w:t>
            </w:r>
          </w:p>
        </w:tc>
        <w:tc>
          <w:tcPr>
            <w:tcW w:w="1710" w:type="dxa"/>
            <w:vAlign w:val="center"/>
          </w:tcPr>
          <w:p w14:paraId="6E99AA0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bookmarkStart w:id="655" w:name="_GoBack"/>
            <w:r>
              <w:rPr>
                <w:snapToGrid/>
                <w:spacing w:val="0"/>
                <w:w w:val="100"/>
                <w:kern w:val="21"/>
                <w:position w:val="0"/>
              </w:rPr>
              <w:t>备注</w:t>
            </w:r>
          </w:p>
          <w:bookmarkEnd w:id="655"/>
        </w:tc>
      </w:tr>
      <w:tr w14:paraId="3CE8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06FE2F3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w:t>
            </w:r>
          </w:p>
        </w:tc>
        <w:tc>
          <w:tcPr>
            <w:tcW w:w="2338" w:type="dxa"/>
            <w:vAlign w:val="center"/>
          </w:tcPr>
          <w:p w14:paraId="20C4C35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项目经理</w:t>
            </w:r>
          </w:p>
        </w:tc>
        <w:tc>
          <w:tcPr>
            <w:tcW w:w="1705" w:type="dxa"/>
            <w:vAlign w:val="center"/>
          </w:tcPr>
          <w:p w14:paraId="32A5748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1.1.2.4</w:t>
            </w:r>
          </w:p>
        </w:tc>
        <w:tc>
          <w:tcPr>
            <w:tcW w:w="2073" w:type="dxa"/>
            <w:vAlign w:val="center"/>
          </w:tcPr>
          <w:p w14:paraId="2BA8F0E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姓名：</w:t>
            </w:r>
          </w:p>
        </w:tc>
        <w:tc>
          <w:tcPr>
            <w:tcW w:w="1710" w:type="dxa"/>
            <w:vAlign w:val="center"/>
          </w:tcPr>
          <w:p w14:paraId="07C8D3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773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144" w:type="dxa"/>
            <w:vAlign w:val="center"/>
          </w:tcPr>
          <w:p w14:paraId="1F961AE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2</w:t>
            </w:r>
          </w:p>
        </w:tc>
        <w:tc>
          <w:tcPr>
            <w:tcW w:w="2338" w:type="dxa"/>
            <w:vAlign w:val="center"/>
          </w:tcPr>
          <w:p w14:paraId="7728D03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工期</w:t>
            </w:r>
          </w:p>
        </w:tc>
        <w:tc>
          <w:tcPr>
            <w:tcW w:w="1705" w:type="dxa"/>
            <w:vAlign w:val="center"/>
          </w:tcPr>
          <w:p w14:paraId="37E6A6A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1.1.4.3</w:t>
            </w:r>
          </w:p>
        </w:tc>
        <w:tc>
          <w:tcPr>
            <w:tcW w:w="2073" w:type="dxa"/>
            <w:vAlign w:val="center"/>
          </w:tcPr>
          <w:p w14:paraId="51F940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r>
              <w:rPr>
                <w:snapToGrid/>
                <w:spacing w:val="0"/>
                <w:w w:val="100"/>
                <w:kern w:val="21"/>
                <w:position w:val="0"/>
              </w:rPr>
              <w:pict>
                <v:shape id="_x0000_s1046" o:spid="_x0000_s1046" style="position:absolute;left:0pt;margin-left:37pt;margin-top:16pt;height:0.5pt;width:31.45pt;mso-position-horizontal-relative:page;mso-position-vertical-relative:page;z-index:251667456;mso-width-relative:page;mso-height-relative:page;" filled="f" stroked="t" coordsize="629,10" path="m0,4l628,4e">
                  <v:fill on="f" focussize="0,0"/>
                  <v:stroke weight="0.48pt" color="#000000" miterlimit="10" joinstyle="bevel"/>
                  <v:imagedata o:title=""/>
                  <o:lock v:ext="edit"/>
                </v:shape>
              </w:pict>
            </w:r>
          </w:p>
        </w:tc>
        <w:tc>
          <w:tcPr>
            <w:tcW w:w="1710" w:type="dxa"/>
            <w:vAlign w:val="center"/>
          </w:tcPr>
          <w:p w14:paraId="10D979D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8C0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44" w:type="dxa"/>
            <w:vAlign w:val="center"/>
          </w:tcPr>
          <w:p w14:paraId="7F0FD25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3</w:t>
            </w:r>
          </w:p>
        </w:tc>
        <w:tc>
          <w:tcPr>
            <w:tcW w:w="2338" w:type="dxa"/>
            <w:vAlign w:val="center"/>
          </w:tcPr>
          <w:p w14:paraId="66B5A56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缺陷责任期</w:t>
            </w:r>
          </w:p>
        </w:tc>
        <w:tc>
          <w:tcPr>
            <w:tcW w:w="1705" w:type="dxa"/>
            <w:vAlign w:val="center"/>
          </w:tcPr>
          <w:p w14:paraId="00D7972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1.1.4.5</w:t>
            </w:r>
          </w:p>
        </w:tc>
        <w:tc>
          <w:tcPr>
            <w:tcW w:w="2073" w:type="dxa"/>
            <w:vAlign w:val="center"/>
          </w:tcPr>
          <w:p w14:paraId="48AEA6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r>
              <w:rPr>
                <w:snapToGrid/>
                <w:spacing w:val="0"/>
                <w:w w:val="100"/>
                <w:kern w:val="21"/>
                <w:position w:val="0"/>
              </w:rPr>
              <w:pict>
                <v:shape id="_x0000_s1047" o:spid="_x0000_s1047" style="position:absolute;left:0pt;margin-left:35.8pt;margin-top:19.95pt;height:0.5pt;width:31.55pt;mso-position-horizontal-relative:page;mso-position-vertical-relative:page;z-index:251666432;mso-width-relative:page;mso-height-relative:page;" filled="f" stroked="t" coordsize="630,10" path="m0,4l630,4e">
                  <v:fill on="f" focussize="0,0"/>
                  <v:stroke weight="0.48pt" color="#000000" miterlimit="10" joinstyle="bevel"/>
                  <v:imagedata o:title=""/>
                  <o:lock v:ext="edit"/>
                </v:shape>
              </w:pict>
            </w:r>
          </w:p>
        </w:tc>
        <w:tc>
          <w:tcPr>
            <w:tcW w:w="1710" w:type="dxa"/>
            <w:vAlign w:val="center"/>
          </w:tcPr>
          <w:p w14:paraId="1651CB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B60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6C37DD2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4</w:t>
            </w:r>
          </w:p>
        </w:tc>
        <w:tc>
          <w:tcPr>
            <w:tcW w:w="2338" w:type="dxa"/>
            <w:vAlign w:val="center"/>
          </w:tcPr>
          <w:p w14:paraId="6870F19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分包</w:t>
            </w:r>
          </w:p>
        </w:tc>
        <w:tc>
          <w:tcPr>
            <w:tcW w:w="1705" w:type="dxa"/>
            <w:vAlign w:val="center"/>
          </w:tcPr>
          <w:p w14:paraId="3C0F2C1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4.3</w:t>
            </w:r>
          </w:p>
        </w:tc>
        <w:tc>
          <w:tcPr>
            <w:tcW w:w="2073" w:type="dxa"/>
            <w:vAlign w:val="center"/>
          </w:tcPr>
          <w:p w14:paraId="6DFAB13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r>
              <w:rPr>
                <w:snapToGrid/>
                <w:spacing w:val="0"/>
                <w:w w:val="100"/>
                <w:kern w:val="21"/>
                <w:position w:val="0"/>
              </w:rPr>
              <w:pict>
                <v:shape id="_x0000_s1048" o:spid="_x0000_s1048" style="position:absolute;left:0pt;margin-left:35.8pt;margin-top:16.15pt;height:0.5pt;width:31.55pt;mso-position-horizontal-relative:page;mso-position-vertical-relative:page;z-index:251665408;mso-width-relative:page;mso-height-relative:page;" filled="f" stroked="t" coordsize="630,10" path="m0,4l630,4e">
                  <v:fill on="f" focussize="0,0"/>
                  <v:stroke weight="0.48pt" color="#000000" miterlimit="10" joinstyle="bevel"/>
                  <v:imagedata o:title=""/>
                  <o:lock v:ext="edit"/>
                </v:shape>
              </w:pict>
            </w:r>
          </w:p>
        </w:tc>
        <w:tc>
          <w:tcPr>
            <w:tcW w:w="1710" w:type="dxa"/>
            <w:vAlign w:val="center"/>
          </w:tcPr>
          <w:p w14:paraId="68A54F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D5C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144" w:type="dxa"/>
            <w:vAlign w:val="center"/>
          </w:tcPr>
          <w:p w14:paraId="4DF1DCB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2338" w:type="dxa"/>
            <w:vAlign w:val="center"/>
          </w:tcPr>
          <w:p w14:paraId="78E6505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1705" w:type="dxa"/>
            <w:vAlign w:val="center"/>
          </w:tcPr>
          <w:p w14:paraId="7B045F9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2073" w:type="dxa"/>
            <w:vAlign w:val="center"/>
          </w:tcPr>
          <w:p w14:paraId="079D6C7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1710" w:type="dxa"/>
            <w:vAlign w:val="center"/>
          </w:tcPr>
          <w:p w14:paraId="6DDAD6D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AF9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23F0309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79AA6A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C6BD01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53CE59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25BE636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428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144" w:type="dxa"/>
            <w:vAlign w:val="center"/>
          </w:tcPr>
          <w:p w14:paraId="7A3F1E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3FF9DF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135255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51C3AF8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2081CA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B04F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4D5992B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61562AA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E2CCE3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1942C5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035069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2C4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6A337F4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4458F6C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7E3DD5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2923C8D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327115E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B2F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144" w:type="dxa"/>
            <w:vAlign w:val="center"/>
          </w:tcPr>
          <w:p w14:paraId="0DB2FA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670EEE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37F2CA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220680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11BAA2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668C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144" w:type="dxa"/>
            <w:vAlign w:val="center"/>
          </w:tcPr>
          <w:p w14:paraId="40E5CB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8" w:type="dxa"/>
            <w:vAlign w:val="center"/>
          </w:tcPr>
          <w:p w14:paraId="43DB155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7D45C4C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06D878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10" w:type="dxa"/>
            <w:vAlign w:val="center"/>
          </w:tcPr>
          <w:p w14:paraId="5735023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72DE042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56B26D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3DC603F">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496D63C3">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（签字） </w:t>
      </w:r>
    </w:p>
    <w:p w14:paraId="77097244">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0F47D59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3" w:type="default"/>
          <w:pgSz w:w="11906" w:h="16838"/>
          <w:pgMar w:top="1440" w:right="1080" w:bottom="1440" w:left="1080" w:header="0" w:footer="1185" w:gutter="0"/>
          <w:pgNumType w:fmt="decimal"/>
          <w:cols w:space="720" w:num="1"/>
        </w:sectPr>
      </w:pPr>
    </w:p>
    <w:p w14:paraId="26F865C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snapToGrid/>
          <w:spacing w:val="0"/>
          <w:w w:val="100"/>
          <w:kern w:val="21"/>
          <w:position w:val="0"/>
          <w:sz w:val="28"/>
          <w:szCs w:val="28"/>
        </w:rPr>
        <w:t>（三）价格折算量化因素及标准响应一览表</w:t>
      </w:r>
    </w:p>
    <w:p w14:paraId="02465C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p>
    <w:tbl>
      <w:tblPr>
        <w:tblStyle w:val="26"/>
        <w:tblpPr w:leftFromText="180" w:rightFromText="180" w:vertAnchor="text" w:tblpXSpec="center" w:tblpY="1"/>
        <w:tblOverlap w:val="never"/>
        <w:tblW w:w="89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8"/>
        <w:gridCol w:w="1705"/>
        <w:gridCol w:w="2073"/>
        <w:gridCol w:w="1710"/>
      </w:tblGrid>
      <w:tr w14:paraId="6D83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44" w:type="dxa"/>
            <w:vAlign w:val="center"/>
          </w:tcPr>
          <w:p w14:paraId="5E320A8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2338" w:type="dxa"/>
            <w:vAlign w:val="center"/>
          </w:tcPr>
          <w:p w14:paraId="7092460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价格折算</w:t>
            </w:r>
          </w:p>
          <w:p w14:paraId="6E39A44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量化因素</w:t>
            </w:r>
          </w:p>
        </w:tc>
        <w:tc>
          <w:tcPr>
            <w:tcW w:w="1705" w:type="dxa"/>
            <w:vAlign w:val="center"/>
          </w:tcPr>
          <w:p w14:paraId="4DC9EF8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价格折算</w:t>
            </w:r>
          </w:p>
          <w:p w14:paraId="78D8FC2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量化标准</w:t>
            </w:r>
          </w:p>
        </w:tc>
        <w:tc>
          <w:tcPr>
            <w:tcW w:w="2073" w:type="dxa"/>
            <w:vAlign w:val="center"/>
          </w:tcPr>
          <w:p w14:paraId="7C43E29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投标人响应情况</w:t>
            </w:r>
          </w:p>
        </w:tc>
        <w:tc>
          <w:tcPr>
            <w:tcW w:w="1710" w:type="dxa"/>
            <w:vAlign w:val="center"/>
          </w:tcPr>
          <w:p w14:paraId="6DF27444">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104"/>
              <w:jc w:val="center"/>
              <w:textAlignment w:val="baseline"/>
              <w:outlineLvl w:val="9"/>
              <w:rPr>
                <w:snapToGrid/>
                <w:spacing w:val="0"/>
                <w:w w:val="100"/>
                <w:kern w:val="21"/>
                <w:position w:val="0"/>
              </w:rPr>
            </w:pPr>
            <w:r>
              <w:rPr>
                <w:snapToGrid/>
                <w:spacing w:val="0"/>
                <w:w w:val="100"/>
                <w:kern w:val="21"/>
                <w:position w:val="0"/>
              </w:rPr>
              <w:t>投标人价格  折算计算结果</w:t>
            </w:r>
          </w:p>
        </w:tc>
      </w:tr>
      <w:tr w14:paraId="0775A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center"/>
          </w:tcPr>
          <w:p w14:paraId="711D595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1</w:t>
            </w:r>
          </w:p>
        </w:tc>
        <w:tc>
          <w:tcPr>
            <w:tcW w:w="2338" w:type="dxa"/>
            <w:vAlign w:val="center"/>
          </w:tcPr>
          <w:p w14:paraId="063CBF9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 付款条件</w:t>
            </w:r>
          </w:p>
        </w:tc>
        <w:tc>
          <w:tcPr>
            <w:tcW w:w="1705" w:type="dxa"/>
            <w:vAlign w:val="center"/>
          </w:tcPr>
          <w:p w14:paraId="5CC533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06B8AB30">
            <w:pPr>
              <w:pStyle w:val="27"/>
              <w:keepNext w:val="0"/>
              <w:keepLines w:val="0"/>
              <w:pageBreakBefore w:val="0"/>
              <w:widowControl w:val="0"/>
              <w:tabs>
                <w:tab w:val="left" w:pos="1051"/>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w:t>
            </w:r>
          </w:p>
        </w:tc>
        <w:tc>
          <w:tcPr>
            <w:tcW w:w="1710" w:type="dxa"/>
            <w:vAlign w:val="center"/>
          </w:tcPr>
          <w:p w14:paraId="079D3B1A">
            <w:pPr>
              <w:pStyle w:val="27"/>
              <w:keepNext w:val="0"/>
              <w:keepLines w:val="0"/>
              <w:pageBreakBefore w:val="0"/>
              <w:widowControl w:val="0"/>
              <w:tabs>
                <w:tab w:val="left" w:pos="632"/>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元（调减）</w:t>
            </w:r>
          </w:p>
        </w:tc>
      </w:tr>
      <w:tr w14:paraId="118C8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center"/>
          </w:tcPr>
          <w:p w14:paraId="7229572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2</w:t>
            </w:r>
          </w:p>
        </w:tc>
        <w:tc>
          <w:tcPr>
            <w:tcW w:w="2338" w:type="dxa"/>
            <w:vAlign w:val="center"/>
          </w:tcPr>
          <w:p w14:paraId="224BE33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 工期</w:t>
            </w:r>
          </w:p>
        </w:tc>
        <w:tc>
          <w:tcPr>
            <w:tcW w:w="1705" w:type="dxa"/>
            <w:vAlign w:val="center"/>
          </w:tcPr>
          <w:p w14:paraId="2870989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708D9036">
            <w:pPr>
              <w:pStyle w:val="27"/>
              <w:keepNext w:val="0"/>
              <w:keepLines w:val="0"/>
              <w:pageBreakBefore w:val="0"/>
              <w:widowControl w:val="0"/>
              <w:tabs>
                <w:tab w:val="left" w:pos="1158"/>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日历天</w:t>
            </w:r>
          </w:p>
        </w:tc>
        <w:tc>
          <w:tcPr>
            <w:tcW w:w="1710" w:type="dxa"/>
            <w:vAlign w:val="center"/>
          </w:tcPr>
          <w:p w14:paraId="6AA6AF6F">
            <w:pPr>
              <w:pStyle w:val="27"/>
              <w:keepNext w:val="0"/>
              <w:keepLines w:val="0"/>
              <w:pageBreakBefore w:val="0"/>
              <w:widowControl w:val="0"/>
              <w:tabs>
                <w:tab w:val="left" w:pos="632"/>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元（调减）</w:t>
            </w:r>
          </w:p>
        </w:tc>
      </w:tr>
      <w:tr w14:paraId="6DDD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center"/>
          </w:tcPr>
          <w:p w14:paraId="262BE35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3</w:t>
            </w:r>
          </w:p>
        </w:tc>
        <w:tc>
          <w:tcPr>
            <w:tcW w:w="2338" w:type="dxa"/>
            <w:vAlign w:val="center"/>
          </w:tcPr>
          <w:p w14:paraId="3462359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 企业信誉</w:t>
            </w:r>
          </w:p>
        </w:tc>
        <w:tc>
          <w:tcPr>
            <w:tcW w:w="1705" w:type="dxa"/>
            <w:vAlign w:val="center"/>
          </w:tcPr>
          <w:p w14:paraId="0B7C35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5753EFE9">
            <w:pPr>
              <w:pStyle w:val="27"/>
              <w:keepNext w:val="0"/>
              <w:keepLines w:val="0"/>
              <w:pageBreakBefore w:val="0"/>
              <w:widowControl w:val="0"/>
              <w:tabs>
                <w:tab w:val="left" w:pos="1240"/>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次</w:t>
            </w:r>
          </w:p>
        </w:tc>
        <w:tc>
          <w:tcPr>
            <w:tcW w:w="1710" w:type="dxa"/>
            <w:vAlign w:val="center"/>
          </w:tcPr>
          <w:p w14:paraId="3E0A49FC">
            <w:pPr>
              <w:pStyle w:val="27"/>
              <w:keepNext w:val="0"/>
              <w:keepLines w:val="0"/>
              <w:pageBreakBefore w:val="0"/>
              <w:widowControl w:val="0"/>
              <w:tabs>
                <w:tab w:val="left" w:pos="632"/>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元（调增）</w:t>
            </w:r>
          </w:p>
        </w:tc>
      </w:tr>
      <w:tr w14:paraId="7EF47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center"/>
          </w:tcPr>
          <w:p w14:paraId="3DDC825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4</w:t>
            </w:r>
          </w:p>
        </w:tc>
        <w:tc>
          <w:tcPr>
            <w:tcW w:w="2338" w:type="dxa"/>
            <w:vAlign w:val="center"/>
          </w:tcPr>
          <w:p w14:paraId="61C35E0D">
            <w:pPr>
              <w:pStyle w:val="27"/>
              <w:keepNext w:val="0"/>
              <w:keepLines w:val="0"/>
              <w:pageBreakBefore w:val="0"/>
              <w:widowControl w:val="0"/>
              <w:kinsoku/>
              <w:wordWrap w:val="0"/>
              <w:overflowPunct/>
              <w:topLinePunct/>
              <w:autoSpaceDE w:val="0"/>
              <w:autoSpaceDN/>
              <w:bidi w:val="0"/>
              <w:adjustRightInd/>
              <w:snapToGrid/>
              <w:spacing w:line="560" w:lineRule="exact"/>
              <w:ind w:left="0" w:right="0" w:firstLine="4"/>
              <w:jc w:val="center"/>
              <w:textAlignment w:val="baseline"/>
              <w:outlineLvl w:val="9"/>
              <w:rPr>
                <w:snapToGrid/>
                <w:spacing w:val="0"/>
                <w:w w:val="100"/>
                <w:kern w:val="21"/>
                <w:position w:val="0"/>
              </w:rPr>
            </w:pPr>
            <w:r>
              <w:rPr>
                <w:snapToGrid/>
                <w:spacing w:val="0"/>
                <w:w w:val="100"/>
                <w:kern w:val="21"/>
                <w:position w:val="0"/>
              </w:rPr>
              <w:t>□ 执行政府采购政策 的价格扣除</w:t>
            </w:r>
          </w:p>
        </w:tc>
        <w:tc>
          <w:tcPr>
            <w:tcW w:w="1705" w:type="dxa"/>
            <w:vAlign w:val="center"/>
          </w:tcPr>
          <w:p w14:paraId="06C5047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376F0074">
            <w:pPr>
              <w:pStyle w:val="27"/>
              <w:keepNext w:val="0"/>
              <w:keepLines w:val="0"/>
              <w:pageBreakBefore w:val="0"/>
              <w:widowControl w:val="0"/>
              <w:tabs>
                <w:tab w:val="left" w:pos="1240"/>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w:t>
            </w:r>
          </w:p>
        </w:tc>
        <w:tc>
          <w:tcPr>
            <w:tcW w:w="1710" w:type="dxa"/>
            <w:vAlign w:val="center"/>
          </w:tcPr>
          <w:p w14:paraId="515C100A">
            <w:pPr>
              <w:pStyle w:val="27"/>
              <w:keepNext w:val="0"/>
              <w:keepLines w:val="0"/>
              <w:pageBreakBefore w:val="0"/>
              <w:widowControl w:val="0"/>
              <w:tabs>
                <w:tab w:val="left" w:pos="632"/>
              </w:tabs>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元（调减）</w:t>
            </w:r>
          </w:p>
        </w:tc>
      </w:tr>
      <w:tr w14:paraId="1C5F0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center"/>
          </w:tcPr>
          <w:p w14:paraId="7FA1EAC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2338" w:type="dxa"/>
            <w:vAlign w:val="center"/>
          </w:tcPr>
          <w:p w14:paraId="44A5542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1705" w:type="dxa"/>
            <w:vAlign w:val="center"/>
          </w:tcPr>
          <w:p w14:paraId="648AD8B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073" w:type="dxa"/>
            <w:vAlign w:val="center"/>
          </w:tcPr>
          <w:p w14:paraId="2EFCE80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c>
          <w:tcPr>
            <w:tcW w:w="1710" w:type="dxa"/>
            <w:vAlign w:val="center"/>
          </w:tcPr>
          <w:p w14:paraId="5E7F667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p>
        </w:tc>
      </w:tr>
      <w:tr w14:paraId="4E4DF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0" w:type="dxa"/>
            <w:gridSpan w:val="4"/>
            <w:vAlign w:val="center"/>
          </w:tcPr>
          <w:p w14:paraId="18F42C4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价格累计折算结果</w:t>
            </w:r>
          </w:p>
        </w:tc>
        <w:tc>
          <w:tcPr>
            <w:tcW w:w="1710" w:type="dxa"/>
            <w:vAlign w:val="center"/>
          </w:tcPr>
          <w:p w14:paraId="2E71CED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56CD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260" w:type="dxa"/>
            <w:gridSpan w:val="4"/>
            <w:vAlign w:val="center"/>
          </w:tcPr>
          <w:p w14:paraId="1BE140C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b/>
                <w:bCs/>
                <w:snapToGrid/>
                <w:spacing w:val="0"/>
                <w:w w:val="100"/>
                <w:kern w:val="21"/>
                <w:position w:val="0"/>
              </w:rPr>
              <w:t>投标人评标价</w:t>
            </w:r>
          </w:p>
        </w:tc>
        <w:tc>
          <w:tcPr>
            <w:tcW w:w="1710" w:type="dxa"/>
            <w:vAlign w:val="center"/>
          </w:tcPr>
          <w:p w14:paraId="2DD4FE3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6440C2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19B0125">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1953328B">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日 期：</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4124AC9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347F3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835F99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注：1.本表仅适用于评标办法选用经评审的最低投标价法的招标项目。</w:t>
      </w:r>
    </w:p>
    <w:p w14:paraId="141AB453">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2.本表由投标人根据招标文件规定的价格折算量化因素及标准自行填报并计算出评标价，评标 委员会将对其计算结果的准确性进行复核。</w:t>
      </w:r>
    </w:p>
    <w:p w14:paraId="1826C02B">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3.本表格式仅供参考，招标人可以结合电子交易系统投标文件制作工具自行设计表格格式， 以 便提高价格折算的工作效率和准确性。</w:t>
      </w:r>
    </w:p>
    <w:p w14:paraId="78F8DBF4">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4.投标人应基于诚信原则如实响应，如明知不符合调减标准而调减或者明知应当调增而不调增， 均视为弄虚作假，将按照附件《投标人诚信承诺书》规定的原则进行处理。</w:t>
      </w:r>
    </w:p>
    <w:p w14:paraId="21F86E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4" w:type="default"/>
          <w:pgSz w:w="11906" w:h="16838"/>
          <w:pgMar w:top="1440" w:right="1080" w:bottom="1440" w:left="1080" w:header="0" w:footer="1185" w:gutter="0"/>
          <w:pgNumType w:fmt="decimal"/>
          <w:cols w:space="720" w:num="1"/>
        </w:sectPr>
      </w:pPr>
    </w:p>
    <w:p w14:paraId="3491350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9"/>
          <w:szCs w:val="29"/>
        </w:rPr>
      </w:pPr>
      <w:r>
        <w:rPr>
          <w:rFonts w:ascii="宋体" w:hAnsi="宋体" w:eastAsia="宋体" w:cs="宋体"/>
          <w:b/>
          <w:bCs/>
          <w:snapToGrid/>
          <w:spacing w:val="0"/>
          <w:w w:val="100"/>
          <w:kern w:val="21"/>
          <w:position w:val="0"/>
          <w:sz w:val="29"/>
          <w:szCs w:val="29"/>
        </w:rPr>
        <w:t>附件：</w:t>
      </w:r>
    </w:p>
    <w:p w14:paraId="150972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投标人诚信承诺书</w:t>
      </w:r>
    </w:p>
    <w:p w14:paraId="4FF2E4AB">
      <w:pPr>
        <w:keepNext w:val="0"/>
        <w:keepLines w:val="0"/>
        <w:pageBreakBefore w:val="0"/>
        <w:widowControl w:val="0"/>
        <w:tabs>
          <w:tab w:val="left" w:pos="1050"/>
        </w:tabs>
        <w:kinsoku/>
        <w:wordWrap w:val="0"/>
        <w:overflowPunct/>
        <w:topLinePunct/>
        <w:autoSpaceDE w:val="0"/>
        <w:autoSpaceDN/>
        <w:bidi w:val="0"/>
        <w:adjustRightInd/>
        <w:snapToGrid/>
        <w:spacing w:line="560" w:lineRule="exact"/>
        <w:ind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致：</w:t>
      </w:r>
      <w:r>
        <w:rPr>
          <w:rFonts w:ascii="宋体" w:hAnsi="宋体" w:eastAsia="宋体" w:cs="宋体"/>
          <w:snapToGrid/>
          <w:spacing w:val="0"/>
          <w:w w:val="100"/>
          <w:kern w:val="21"/>
          <w:position w:val="0"/>
          <w:sz w:val="20"/>
          <w:szCs w:val="20"/>
          <w:u w:val="single" w:color="auto"/>
        </w:rPr>
        <w:t xml:space="preserve">    （招标人名称）        </w:t>
      </w: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u w:val="single" w:color="auto"/>
        </w:rPr>
        <w:t>招标投标行政监督部门</w:t>
      </w:r>
    </w:p>
    <w:p w14:paraId="2AC5E8E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我单位参加本次投标，郑重承诺如下：</w:t>
      </w:r>
    </w:p>
    <w:p w14:paraId="7F8790EE">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 投标提供的所有资料真实有效。如被发现提供虚假资料，同意取消投标、中标或中标候选人 资格。</w:t>
      </w:r>
    </w:p>
    <w:p w14:paraId="2F8E860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不挂靠和借用资质投标，不串通投标。如被发现， 同意取消投标、中标或中标候选人资格。</w:t>
      </w:r>
    </w:p>
    <w:p w14:paraId="6AA18E8B">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3．除不可抗力（是指不能预见、不能避免并不能克服的客观情况，包括自然灾害和社会突发事 件，如地震、海啸、瘟疫、水灾、骚乱、暴动、战争等）外，我方不因任何其他原因放弃中标候选 人或中标资格。</w:t>
      </w:r>
    </w:p>
    <w:p w14:paraId="516347BF">
      <w:pPr>
        <w:keepNext w:val="0"/>
        <w:keepLines w:val="0"/>
        <w:pageBreakBefore w:val="0"/>
        <w:widowControl w:val="0"/>
        <w:kinsoku/>
        <w:wordWrap w:val="0"/>
        <w:overflowPunct/>
        <w:topLinePunct/>
        <w:autoSpaceDE w:val="0"/>
        <w:autoSpaceDN/>
        <w:bidi w:val="0"/>
        <w:adjustRightInd/>
        <w:snapToGrid/>
        <w:spacing w:line="560" w:lineRule="exact"/>
        <w:ind w:left="0" w:right="0" w:firstLine="41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4．我方同意将达不到投标人资格要求条件仍参与投标或被行政主管部门、监督管理部门等暂停、 取消公共资源交易资格且在限制期内仍参与投标的情形视为弄虚作假， 同意取消投标、中标或中标 候选人资格。</w:t>
      </w:r>
    </w:p>
    <w:p w14:paraId="13C13E3F">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5．我方投标拟派的项目经理在参与本项目投标时，未在其他建设工程项目上担任施工单位项目 负责人或虽在其他项目上任职但本项目中标后能够从该项目撤离，否则同意取消中标或中标候选人 资格。</w:t>
      </w:r>
    </w:p>
    <w:p w14:paraId="74082E8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6．我方中标后，严格按照招标文件和我单位投标文件的约定签订合同。</w:t>
      </w:r>
    </w:p>
    <w:p w14:paraId="0A98D879">
      <w:pPr>
        <w:keepNext w:val="0"/>
        <w:keepLines w:val="0"/>
        <w:pageBreakBefore w:val="0"/>
        <w:widowControl w:val="0"/>
        <w:kinsoku/>
        <w:wordWrap w:val="0"/>
        <w:overflowPunct/>
        <w:topLinePunct/>
        <w:autoSpaceDE w:val="0"/>
        <w:autoSpaceDN/>
        <w:bidi w:val="0"/>
        <w:adjustRightInd/>
        <w:snapToGrid/>
        <w:spacing w:line="560" w:lineRule="exact"/>
        <w:ind w:left="0" w:right="0" w:firstLine="425"/>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7．我方作为投诉人投诉时，投诉书上的法定代表人签字与我单位数字证书（CA 锁） 内的法定 代表人签字、投标文件中的法定代表人签字一致（系同一人所签）。否则视为弄虚作假。</w:t>
      </w:r>
    </w:p>
    <w:p w14:paraId="11927859">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8．如监管机构或其他利害关系人认为法定代表人的签字不是同一人所签或对签字有疑议时，我 方同意在被告知后的五个工作日内让双方协商确认并经监管部门同意的地点（或在监管机构见证下 与被投诉人约定的鉴定机构）进行字迹辨认和鉴定，否则视为弄虚作假。</w:t>
      </w:r>
    </w:p>
    <w:p w14:paraId="39B55A2E">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出现违反上述承诺情形之一的，我单位同意投标保证金不予退还。被处理后，我单位愿意公开 披露我单位违反承诺的不良行为信息，愿意接受处罚并承担所有经济损失和法律责任。</w:t>
      </w:r>
    </w:p>
    <w:p w14:paraId="001868A7">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我方在中标后的履约过程中除不可抗力外，我单位绝不放弃（拒绝）履约，否则同意招标人（甲</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方）给予我单位履约保证金不予退还的处理。处理期间，我单位（乙方）不以任何理由向招标人提</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出退还履约保证金的要求。</w:t>
      </w:r>
    </w:p>
    <w:p w14:paraId="404A1601">
      <w:pPr>
        <w:keepNext w:val="0"/>
        <w:keepLines w:val="0"/>
        <w:pageBreakBefore w:val="0"/>
        <w:widowControl w:val="0"/>
        <w:kinsoku/>
        <w:wordWrap w:val="0"/>
        <w:overflowPunct/>
        <w:topLinePunct/>
        <w:autoSpaceDE w:val="0"/>
        <w:autoSpaceDN/>
        <w:bidi w:val="0"/>
        <w:adjustRightInd/>
        <w:snapToGrid/>
        <w:spacing w:line="560" w:lineRule="exact"/>
        <w:ind w:left="0" w:right="0" w:firstLine="402"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此承诺不受投标有效期的限制。</w:t>
      </w:r>
    </w:p>
    <w:p w14:paraId="60723C4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46166C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投标人：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5504F02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统一社会信用代码：</w:t>
      </w:r>
      <w:r>
        <w:rPr>
          <w:rFonts w:ascii="宋体" w:hAnsi="宋体" w:eastAsia="宋体" w:cs="宋体"/>
          <w:snapToGrid/>
          <w:spacing w:val="0"/>
          <w:w w:val="100"/>
          <w:kern w:val="21"/>
          <w:position w:val="0"/>
          <w:sz w:val="20"/>
          <w:szCs w:val="20"/>
          <w:u w:val="single" w:color="auto"/>
        </w:rPr>
        <w:t xml:space="preserve">                    </w:t>
      </w:r>
    </w:p>
    <w:p w14:paraId="714E1D0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（签字或盖章）</w:t>
      </w:r>
    </w:p>
    <w:p w14:paraId="669F7E47">
      <w:pPr>
        <w:keepNext w:val="0"/>
        <w:keepLines w:val="0"/>
        <w:pageBreakBefore w:val="0"/>
        <w:widowControl w:val="0"/>
        <w:tabs>
          <w:tab w:val="left" w:pos="6665"/>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07D38F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5" w:type="default"/>
          <w:pgSz w:w="11906" w:h="16838"/>
          <w:pgMar w:top="1440" w:right="1080" w:bottom="1440" w:left="1080" w:header="0" w:footer="1185" w:gutter="0"/>
          <w:pgNumType w:fmt="decimal"/>
          <w:cols w:space="720" w:num="1"/>
        </w:sectPr>
      </w:pPr>
    </w:p>
    <w:p w14:paraId="0FC6AD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4" w:name="bookmark198"/>
      <w:bookmarkEnd w:id="644"/>
      <w:r>
        <w:rPr>
          <w:rFonts w:ascii="宋体" w:hAnsi="宋体" w:eastAsia="宋体" w:cs="宋体"/>
          <w:b/>
          <w:bCs/>
          <w:snapToGrid/>
          <w:spacing w:val="0"/>
          <w:w w:val="100"/>
          <w:kern w:val="21"/>
          <w:position w:val="0"/>
          <w:sz w:val="31"/>
          <w:szCs w:val="31"/>
        </w:rPr>
        <w:t>二、法定代表人身份证明</w:t>
      </w:r>
    </w:p>
    <w:p w14:paraId="505AE3D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投标人名称：</w:t>
      </w:r>
      <w:r>
        <w:rPr>
          <w:rFonts w:ascii="宋体" w:hAnsi="宋体" w:eastAsia="宋体" w:cs="宋体"/>
          <w:snapToGrid/>
          <w:spacing w:val="0"/>
          <w:w w:val="100"/>
          <w:kern w:val="21"/>
          <w:position w:val="0"/>
          <w:sz w:val="20"/>
          <w:szCs w:val="20"/>
          <w:u w:val="single" w:color="auto"/>
        </w:rPr>
        <w:t xml:space="preserve">                            </w:t>
      </w:r>
    </w:p>
    <w:p w14:paraId="6F9BFA0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单位性质：</w:t>
      </w:r>
      <w:r>
        <w:rPr>
          <w:rFonts w:ascii="宋体" w:hAnsi="宋体" w:eastAsia="宋体" w:cs="宋体"/>
          <w:snapToGrid/>
          <w:spacing w:val="0"/>
          <w:w w:val="100"/>
          <w:kern w:val="21"/>
          <w:position w:val="0"/>
          <w:sz w:val="20"/>
          <w:szCs w:val="20"/>
          <w:u w:val="single" w:color="auto"/>
        </w:rPr>
        <w:t xml:space="preserve">                              </w:t>
      </w:r>
    </w:p>
    <w:p w14:paraId="14B88DE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地址：</w:t>
      </w:r>
      <w:r>
        <w:rPr>
          <w:rFonts w:ascii="宋体" w:hAnsi="宋体" w:eastAsia="宋体" w:cs="宋体"/>
          <w:snapToGrid/>
          <w:spacing w:val="0"/>
          <w:w w:val="100"/>
          <w:kern w:val="21"/>
          <w:position w:val="0"/>
          <w:sz w:val="20"/>
          <w:szCs w:val="20"/>
          <w:u w:val="single" w:color="auto"/>
        </w:rPr>
        <w:t xml:space="preserve">                                  </w:t>
      </w:r>
    </w:p>
    <w:p w14:paraId="487AFF1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成立时间：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8524A2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经营期限：</w:t>
      </w:r>
      <w:r>
        <w:rPr>
          <w:rFonts w:ascii="宋体" w:hAnsi="宋体" w:eastAsia="宋体" w:cs="宋体"/>
          <w:snapToGrid/>
          <w:spacing w:val="0"/>
          <w:w w:val="100"/>
          <w:kern w:val="21"/>
          <w:position w:val="0"/>
          <w:sz w:val="20"/>
          <w:szCs w:val="20"/>
          <w:u w:val="single" w:color="auto"/>
        </w:rPr>
        <w:t xml:space="preserve">                             </w:t>
      </w:r>
    </w:p>
    <w:p w14:paraId="2BE7E2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姓名：</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性别：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身份证号码：</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职务：</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系</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投标人名称）的法定代表人。</w:t>
      </w:r>
    </w:p>
    <w:p w14:paraId="2177044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特此证明。</w:t>
      </w:r>
    </w:p>
    <w:p w14:paraId="5C661CD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附：法定代表人身份证扫描件。</w:t>
      </w:r>
    </w:p>
    <w:p w14:paraId="35A8558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A786B17">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投标人：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盖单位章）</w:t>
      </w:r>
    </w:p>
    <w:p w14:paraId="14203D98">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C9032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6" w:type="default"/>
          <w:pgSz w:w="11906" w:h="16838"/>
          <w:pgMar w:top="1440" w:right="1080" w:bottom="1440" w:left="1080" w:header="0" w:footer="1185" w:gutter="0"/>
          <w:pgNumType w:fmt="decimal"/>
          <w:cols w:space="720" w:num="1"/>
        </w:sectPr>
      </w:pPr>
    </w:p>
    <w:p w14:paraId="5E8723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5" w:name="bookmark199"/>
      <w:bookmarkEnd w:id="645"/>
      <w:r>
        <w:rPr>
          <w:rFonts w:ascii="宋体" w:hAnsi="宋体" w:eastAsia="宋体" w:cs="宋体"/>
          <w:b/>
          <w:bCs/>
          <w:snapToGrid/>
          <w:spacing w:val="0"/>
          <w:w w:val="100"/>
          <w:kern w:val="21"/>
          <w:position w:val="0"/>
          <w:sz w:val="31"/>
          <w:szCs w:val="31"/>
        </w:rPr>
        <w:t>二、授权委托书</w:t>
      </w:r>
    </w:p>
    <w:p w14:paraId="6427E04F">
      <w:pPr>
        <w:keepNext w:val="0"/>
        <w:keepLines w:val="0"/>
        <w:pageBreakBefore w:val="0"/>
        <w:widowControl w:val="0"/>
        <w:kinsoku/>
        <w:wordWrap w:val="0"/>
        <w:overflowPunct/>
        <w:topLinePunct/>
        <w:autoSpaceDE w:val="0"/>
        <w:autoSpaceDN/>
        <w:bidi w:val="0"/>
        <w:adjustRightInd/>
        <w:snapToGrid/>
        <w:spacing w:line="560" w:lineRule="exact"/>
        <w:ind w:left="0" w:right="0" w:firstLine="5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（姓名）系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（投标人名称）的法定代表人，现委托 （姓名）为我方代理人。代理人根据授权，以我方名义签署、澄清、说明、补正、递交、撤回、修改 （项目名称）</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标段施工投标文件、签订合同和处理有关事宜，其法律后果由我方承担。</w:t>
      </w:r>
    </w:p>
    <w:p w14:paraId="4E0C376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委托期限：即日起至投标有效期满止。</w:t>
      </w:r>
    </w:p>
    <w:p w14:paraId="20AADFD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代理人无转委托权。</w:t>
      </w:r>
    </w:p>
    <w:p w14:paraId="4C76CED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9F341C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附：法定代表人身份证扫描件及委托代理人身份证扫描件</w:t>
      </w:r>
    </w:p>
    <w:p w14:paraId="0A3EEAE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8CD5AB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6EC80A4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法定代表人：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650BAE8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身份证号码： </w:t>
      </w:r>
      <w:r>
        <w:rPr>
          <w:rFonts w:ascii="宋体" w:hAnsi="宋体" w:eastAsia="宋体" w:cs="宋体"/>
          <w:snapToGrid/>
          <w:spacing w:val="0"/>
          <w:w w:val="100"/>
          <w:kern w:val="21"/>
          <w:position w:val="0"/>
          <w:sz w:val="20"/>
          <w:szCs w:val="20"/>
          <w:u w:val="single" w:color="auto"/>
        </w:rPr>
        <w:t xml:space="preserve">                                             </w:t>
      </w:r>
    </w:p>
    <w:p w14:paraId="17AC3F3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委托代理人：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2B9C6B2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身份证号码： </w:t>
      </w:r>
      <w:r>
        <w:rPr>
          <w:rFonts w:ascii="宋体" w:hAnsi="宋体" w:eastAsia="宋体" w:cs="宋体"/>
          <w:snapToGrid/>
          <w:spacing w:val="0"/>
          <w:w w:val="100"/>
          <w:kern w:val="21"/>
          <w:position w:val="0"/>
          <w:sz w:val="20"/>
          <w:szCs w:val="20"/>
          <w:u w:val="single" w:color="auto"/>
        </w:rPr>
        <w:t xml:space="preserve">                                             </w:t>
      </w:r>
    </w:p>
    <w:p w14:paraId="3E8C2703">
      <w:pPr>
        <w:keepNext w:val="0"/>
        <w:keepLines w:val="0"/>
        <w:pageBreakBefore w:val="0"/>
        <w:widowControl w:val="0"/>
        <w:tabs>
          <w:tab w:val="left" w:pos="7055"/>
        </w:tabs>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33DC540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7" w:type="default"/>
          <w:pgSz w:w="11906" w:h="16838"/>
          <w:pgMar w:top="1440" w:right="1080" w:bottom="1440" w:left="1080" w:header="0" w:footer="1185" w:gutter="0"/>
          <w:pgNumType w:fmt="decimal"/>
          <w:cols w:space="720" w:num="1"/>
        </w:sectPr>
      </w:pPr>
    </w:p>
    <w:p w14:paraId="6B5E0D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6" w:name="bookmark200"/>
      <w:bookmarkEnd w:id="646"/>
      <w:r>
        <w:rPr>
          <w:rFonts w:ascii="宋体" w:hAnsi="宋体" w:eastAsia="宋体" w:cs="宋体"/>
          <w:b/>
          <w:bCs/>
          <w:snapToGrid/>
          <w:spacing w:val="0"/>
          <w:w w:val="100"/>
          <w:kern w:val="21"/>
          <w:position w:val="0"/>
          <w:sz w:val="31"/>
          <w:szCs w:val="31"/>
        </w:rPr>
        <w:t>三、联合体协议书</w:t>
      </w:r>
    </w:p>
    <w:p w14:paraId="5A37E807">
      <w:pPr>
        <w:keepNext w:val="0"/>
        <w:keepLines w:val="0"/>
        <w:pageBreakBefore w:val="0"/>
        <w:widowControl w:val="0"/>
        <w:tabs>
          <w:tab w:val="left" w:pos="2186"/>
        </w:tabs>
        <w:kinsoku/>
        <w:wordWrap w:val="0"/>
        <w:overflowPunct/>
        <w:topLinePunct/>
        <w:autoSpaceDE w:val="0"/>
        <w:autoSpaceDN/>
        <w:bidi w:val="0"/>
        <w:adjustRightInd/>
        <w:snapToGrid/>
        <w:spacing w:line="560" w:lineRule="exact"/>
        <w:ind w:left="0" w:right="0" w:firstLine="50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（所有成员单位名称） 自愿组成</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（联合体名称）联合体，共同参加 （项目名称）</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标段施工招标项目投标。现就联合体投标事宜订立如下协议。</w:t>
      </w:r>
    </w:p>
    <w:p w14:paraId="2901DD3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1.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（某成员单位名称）为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（联合体名称）牵头人。</w:t>
      </w:r>
    </w:p>
    <w:p w14:paraId="4676D199">
      <w:pPr>
        <w:keepNext w:val="0"/>
        <w:keepLines w:val="0"/>
        <w:pageBreakBefore w:val="0"/>
        <w:widowControl w:val="0"/>
        <w:kinsoku/>
        <w:wordWrap w:val="0"/>
        <w:overflowPunct/>
        <w:topLinePunct/>
        <w:autoSpaceDE w:val="0"/>
        <w:autoSpaceDN/>
        <w:bidi w:val="0"/>
        <w:adjustRightInd/>
        <w:snapToGrid/>
        <w:spacing w:line="560" w:lineRule="exact"/>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 联合体各成员授权牵头人代表联合体参加投标活动，签署文件，提交和接收相关的资料、信 息及指示，进行合同谈判活动，负责合同实施阶段的组织和协调工作， 以及处理与本招标项目有关</w:t>
      </w:r>
    </w:p>
    <w:p w14:paraId="3C205AA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的一切事宜。</w:t>
      </w:r>
    </w:p>
    <w:p w14:paraId="49114B42">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3. 联合体牵头人在本项目中签署的一切文件和处理的一切事宜，联合体各成员均予以承认。联 合体各成员将严格按照招标文件、投标文件和合同的要求全面履行义务，并向招标人承担连带责任。</w:t>
      </w:r>
    </w:p>
    <w:p w14:paraId="7AE9EC09">
      <w:pPr>
        <w:keepNext w:val="0"/>
        <w:keepLines w:val="0"/>
        <w:pageBreakBefore w:val="0"/>
        <w:widowControl w:val="0"/>
        <w:kinsoku/>
        <w:wordWrap w:val="0"/>
        <w:overflowPunct/>
        <w:topLinePunct/>
        <w:autoSpaceDE w:val="0"/>
        <w:autoSpaceDN/>
        <w:bidi w:val="0"/>
        <w:adjustRightInd/>
        <w:snapToGrid/>
        <w:spacing w:line="560" w:lineRule="exact"/>
        <w:ind w:left="0" w:right="0" w:firstLine="40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4. 联合体各成员单位内部的职责分工如下：</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w:t>
      </w:r>
      <w:r>
        <w:rPr>
          <w:rFonts w:ascii="宋体" w:hAnsi="宋体" w:eastAsia="宋体" w:cs="宋体"/>
          <w:b/>
          <w:bCs/>
          <w:snapToGrid/>
          <w:spacing w:val="0"/>
          <w:w w:val="100"/>
          <w:kern w:val="21"/>
          <w:position w:val="0"/>
          <w:sz w:val="20"/>
          <w:szCs w:val="20"/>
        </w:rPr>
        <w:t>（注：</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因招标项目执行《政府采购促进中小企业发展管理办法》第八条或第九条时，投标人应当按规定作</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出响应。）</w:t>
      </w:r>
    </w:p>
    <w:p w14:paraId="1E6687AB">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5. 本协议书自所有成员单位法定代表人（或其委托代理人）签字并盖单位章之日起生效，合同 履行完毕后自动失效。</w:t>
      </w:r>
    </w:p>
    <w:p w14:paraId="58718BF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6. 本协议书一式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份，联合体成员和招标人各执一份。</w:t>
      </w:r>
    </w:p>
    <w:p w14:paraId="0345B22C">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注：本协议书由法定代表人签字的，应附法定代表人身份证明； 由委托代理人签字的，应附授 权委托书。</w:t>
      </w:r>
    </w:p>
    <w:p w14:paraId="06D2D1A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联合体牵头人名称：</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3F2C723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254CCF5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联合体成员名称：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08DF2F8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7F9E18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联合体成员名称：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2FD39D3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0770E9D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p>
    <w:p w14:paraId="3A73EDEC">
      <w:pPr>
        <w:keepNext w:val="0"/>
        <w:keepLines w:val="0"/>
        <w:pageBreakBefore w:val="0"/>
        <w:widowControl w:val="0"/>
        <w:tabs>
          <w:tab w:val="left" w:pos="4521"/>
        </w:tabs>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2009FA5E">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sectPr>
          <w:footerReference r:id="rId38" w:type="default"/>
          <w:pgSz w:w="11906" w:h="16838"/>
          <w:pgMar w:top="1440" w:right="1080" w:bottom="1440" w:left="1080" w:header="0" w:footer="1185" w:gutter="0"/>
          <w:pgNumType w:fmt="decimal"/>
          <w:cols w:space="720" w:num="1"/>
        </w:sectPr>
      </w:pPr>
    </w:p>
    <w:p w14:paraId="6D43EDA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7" w:name="bookmark201"/>
      <w:bookmarkEnd w:id="647"/>
      <w:r>
        <w:rPr>
          <w:rFonts w:ascii="宋体" w:hAnsi="宋体" w:eastAsia="宋体" w:cs="宋体"/>
          <w:b/>
          <w:bCs/>
          <w:snapToGrid/>
          <w:spacing w:val="0"/>
          <w:w w:val="100"/>
          <w:kern w:val="21"/>
          <w:position w:val="0"/>
          <w:sz w:val="31"/>
          <w:szCs w:val="31"/>
        </w:rPr>
        <w:t>四、投标保证金</w:t>
      </w:r>
    </w:p>
    <w:p w14:paraId="6FB4AC2F">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如采用现金形式的投标担保，投标人应在此提供银行回单的扫描件、基本账户开户许可证扫描件（或 基本存款账户编号）。</w:t>
      </w:r>
    </w:p>
    <w:p w14:paraId="257D1217">
      <w:pPr>
        <w:keepNext w:val="0"/>
        <w:keepLines w:val="0"/>
        <w:pageBreakBefore w:val="0"/>
        <w:widowControl w:val="0"/>
        <w:kinsoku/>
        <w:wordWrap w:val="0"/>
        <w:overflowPunct/>
        <w:topLinePunct/>
        <w:autoSpaceDE w:val="0"/>
        <w:autoSpaceDN/>
        <w:bidi w:val="0"/>
        <w:adjustRightInd/>
        <w:snapToGrid/>
        <w:spacing w:line="560" w:lineRule="exact"/>
        <w:ind w:left="0" w:right="0" w:firstLine="402"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如采用银行保函，投标人应在此提供基本账户开户许可证扫描件，同时将银行保函扫描件提供在投</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标文件中，格式见投标保函示范文本。</w:t>
      </w:r>
    </w:p>
    <w:p w14:paraId="226EC08E">
      <w:pPr>
        <w:keepNext w:val="0"/>
        <w:keepLines w:val="0"/>
        <w:pageBreakBefore w:val="0"/>
        <w:widowControl w:val="0"/>
        <w:kinsoku/>
        <w:wordWrap w:val="0"/>
        <w:overflowPunct/>
        <w:topLinePunct/>
        <w:autoSpaceDE w:val="0"/>
        <w:autoSpaceDN/>
        <w:bidi w:val="0"/>
        <w:adjustRightInd/>
        <w:snapToGrid/>
        <w:spacing w:line="560" w:lineRule="exact"/>
        <w:ind w:left="0" w:right="0" w:firstLine="402"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如采用担保机构担保或保证保险，担保机构担保或保证保险扫描件提供在投标文件中，格式见投标</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保函示范文本。</w:t>
      </w:r>
    </w:p>
    <w:p w14:paraId="4936AA58">
      <w:pPr>
        <w:keepNext w:val="0"/>
        <w:keepLines w:val="0"/>
        <w:pageBreakBefore w:val="0"/>
        <w:widowControl w:val="0"/>
        <w:kinsoku/>
        <w:wordWrap w:val="0"/>
        <w:overflowPunct/>
        <w:topLinePunct/>
        <w:autoSpaceDE w:val="0"/>
        <w:autoSpaceDN/>
        <w:bidi w:val="0"/>
        <w:adjustRightInd/>
        <w:snapToGrid/>
        <w:spacing w:line="560" w:lineRule="exact"/>
        <w:ind w:left="0" w:right="0" w:firstLine="402"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如采用电子保函形式，系统自动抓取电子保函信息，投标文件无需提供。</w:t>
      </w:r>
    </w:p>
    <w:p w14:paraId="4048A41E">
      <w:pPr>
        <w:rPr>
          <w:rFonts w:ascii="宋体" w:hAnsi="宋体" w:eastAsia="宋体" w:cs="宋体"/>
          <w:b/>
          <w:bCs/>
          <w:snapToGrid/>
          <w:spacing w:val="0"/>
          <w:w w:val="100"/>
          <w:kern w:val="21"/>
          <w:position w:val="0"/>
          <w:sz w:val="20"/>
          <w:szCs w:val="20"/>
        </w:rPr>
      </w:pPr>
      <w:r>
        <w:rPr>
          <w:rFonts w:ascii="宋体" w:hAnsi="宋体" w:eastAsia="宋体" w:cs="宋体"/>
          <w:b/>
          <w:bCs/>
          <w:snapToGrid/>
          <w:spacing w:val="0"/>
          <w:w w:val="100"/>
          <w:kern w:val="21"/>
          <w:position w:val="0"/>
          <w:sz w:val="20"/>
          <w:szCs w:val="20"/>
        </w:rPr>
        <w:br w:type="page"/>
      </w:r>
    </w:p>
    <w:p w14:paraId="49C11475">
      <w:pPr>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（一）投标保函示范文本</w:t>
      </w:r>
    </w:p>
    <w:p w14:paraId="4C1EACA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编号：</w:t>
      </w:r>
    </w:p>
    <w:p w14:paraId="5B1F09E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致：</w:t>
      </w:r>
      <w:r>
        <w:rPr>
          <w:rFonts w:ascii="宋体" w:hAnsi="宋体" w:eastAsia="宋体" w:cs="宋体"/>
          <w:snapToGrid/>
          <w:spacing w:val="0"/>
          <w:w w:val="100"/>
          <w:kern w:val="21"/>
          <w:position w:val="0"/>
          <w:sz w:val="20"/>
          <w:szCs w:val="20"/>
          <w:u w:val="single" w:color="auto"/>
        </w:rPr>
        <w:t>受益人（招标人）名称</w:t>
      </w:r>
    </w:p>
    <w:p w14:paraId="1B2B3598">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开立人获得通知，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（投标人）于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日参加编号为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（标段 编号）的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（标段名称）投标（即“基础交易 ”）。</w:t>
      </w:r>
    </w:p>
    <w:p w14:paraId="1E840A91">
      <w:pPr>
        <w:keepNext w:val="0"/>
        <w:keepLines w:val="0"/>
        <w:pageBreakBefore w:val="0"/>
        <w:widowControl w:val="0"/>
        <w:kinsoku/>
        <w:wordWrap w:val="0"/>
        <w:overflowPunct/>
        <w:topLinePunct/>
        <w:autoSpaceDE w:val="0"/>
        <w:autoSpaceDN/>
        <w:bidi w:val="0"/>
        <w:adjustRightInd/>
        <w:snapToGrid/>
        <w:spacing w:line="560" w:lineRule="exact"/>
        <w:ind w:left="0" w:right="0" w:firstLine="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一、开立人理解根据招标条件，投标人必须提交一份投标保函（以下简称“本保函 ”），以担保投标 人诚信履行其在上述基础交易中承担的投标人义务。鉴此，应申请人要求，开立人在此同意向受益 人出具此投标保函，本保函担保金额为人民币（大写）</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元( </w:t>
      </w:r>
      <w:r>
        <w:rPr>
          <w:rFonts w:ascii="Times New Roman" w:hAnsi="Times New Roman" w:eastAsia="Times New Roman" w:cs="Times New Roman"/>
          <w:snapToGrid/>
          <w:spacing w:val="0"/>
          <w:w w:val="100"/>
          <w:kern w:val="21"/>
          <w:position w:val="0"/>
          <w:sz w:val="20"/>
          <w:szCs w:val="20"/>
        </w:rPr>
        <w:t xml:space="preserve">¥  </w:t>
      </w:r>
      <w:r>
        <w:rPr>
          <w:rFonts w:ascii="Times New Roman" w:hAnsi="Times New Roman" w:eastAsia="Times New Roman" w:cs="Times New Roman"/>
          <w:snapToGrid/>
          <w:spacing w:val="0"/>
          <w:w w:val="100"/>
          <w:kern w:val="21"/>
          <w:position w:val="0"/>
          <w:sz w:val="20"/>
          <w:szCs w:val="20"/>
          <w:u w:val="single" w:color="auto"/>
        </w:rPr>
        <w:t xml:space="preserve">            </w:t>
      </w:r>
      <w:r>
        <w:rPr>
          <w:rFonts w:ascii="Times New Roman" w:hAnsi="Times New Roman" w:eastAsia="Times New Roman" w:cs="Times New Roman"/>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rPr>
        <w:t>)。</w:t>
      </w:r>
    </w:p>
    <w:p w14:paraId="4383EE1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二、开立人在投标人发生以下情形时承担保证担保责任：</w:t>
      </w:r>
    </w:p>
    <w:p w14:paraId="6D4E820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）投标人在投标有效期内撤销投标文件；</w:t>
      </w:r>
    </w:p>
    <w:p w14:paraId="1B418F5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）投标人在中标后无正当理由不与招标人订立合同；</w:t>
      </w:r>
    </w:p>
    <w:p w14:paraId="1BECFC9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）投标人在签订合同时向招标人提出附加条件；</w:t>
      </w:r>
    </w:p>
    <w:p w14:paraId="4A4F156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）投标人不按照招标文件要求提交履约保证金；</w:t>
      </w:r>
    </w:p>
    <w:p w14:paraId="0DDDD75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）发生招标文件明确规定可以不予退还投标保证金的其他情形。</w:t>
      </w:r>
    </w:p>
    <w:p w14:paraId="6E47B121">
      <w:pPr>
        <w:keepNext w:val="0"/>
        <w:keepLines w:val="0"/>
        <w:pageBreakBefore w:val="0"/>
        <w:widowControl w:val="0"/>
        <w:kinsoku/>
        <w:wordWrap w:val="0"/>
        <w:overflowPunct/>
        <w:topLinePunct/>
        <w:autoSpaceDE w:val="0"/>
        <w:autoSpaceDN/>
        <w:bidi w:val="0"/>
        <w:adjustRightInd/>
        <w:snapToGrid/>
        <w:spacing w:line="560" w:lineRule="exact"/>
        <w:ind w:left="0" w:right="0" w:hanging="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三、本保函为不可撤销、不可转让的见索即付独立保函。本保函有效期自开立之日起至投标有效期 届满之日止。</w:t>
      </w:r>
    </w:p>
    <w:p w14:paraId="48FDBA2F">
      <w:pPr>
        <w:keepNext w:val="0"/>
        <w:keepLines w:val="0"/>
        <w:pageBreakBefore w:val="0"/>
        <w:widowControl w:val="0"/>
        <w:kinsoku/>
        <w:wordWrap w:val="0"/>
        <w:overflowPunct/>
        <w:topLinePunct/>
        <w:autoSpaceDE w:val="0"/>
        <w:autoSpaceDN/>
        <w:bidi w:val="0"/>
        <w:adjustRightInd/>
        <w:snapToGrid/>
        <w:spacing w:line="560" w:lineRule="exact"/>
        <w:ind w:left="0" w:right="0" w:firstLine="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四、开立人承诺，在收到受益人发来的书面付款通知后的七日内无条件支付，前述书面付款通知即 为付款要求之单据，且应满足以下要求：</w:t>
      </w:r>
    </w:p>
    <w:p w14:paraId="7FE039D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1</w:t>
      </w:r>
      <w:r>
        <w:rPr>
          <w:rFonts w:ascii="宋体" w:hAnsi="宋体" w:eastAsia="宋体" w:cs="宋体"/>
          <w:snapToGrid/>
          <w:spacing w:val="0"/>
          <w:w w:val="100"/>
          <w:kern w:val="21"/>
          <w:position w:val="0"/>
          <w:sz w:val="20"/>
          <w:szCs w:val="20"/>
        </w:rPr>
        <w:t>）付款通知到达的日期在本保函的有效期内；</w:t>
      </w:r>
    </w:p>
    <w:p w14:paraId="3663834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2</w:t>
      </w:r>
      <w:r>
        <w:rPr>
          <w:rFonts w:ascii="宋体" w:hAnsi="宋体" w:eastAsia="宋体" w:cs="宋体"/>
          <w:snapToGrid/>
          <w:spacing w:val="0"/>
          <w:w w:val="100"/>
          <w:kern w:val="21"/>
          <w:position w:val="0"/>
          <w:sz w:val="20"/>
          <w:szCs w:val="20"/>
        </w:rPr>
        <w:t>）载明要求支付的金额；</w:t>
      </w:r>
    </w:p>
    <w:p w14:paraId="151306E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3</w:t>
      </w:r>
      <w:r>
        <w:rPr>
          <w:rFonts w:ascii="宋体" w:hAnsi="宋体" w:eastAsia="宋体" w:cs="宋体"/>
          <w:snapToGrid/>
          <w:spacing w:val="0"/>
          <w:w w:val="100"/>
          <w:kern w:val="21"/>
          <w:position w:val="0"/>
          <w:sz w:val="20"/>
          <w:szCs w:val="20"/>
        </w:rPr>
        <w:t>）载明申请人违反招投标文件规定的义务内容和具体条款；</w:t>
      </w:r>
    </w:p>
    <w:p w14:paraId="2923277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4</w:t>
      </w:r>
      <w:r>
        <w:rPr>
          <w:rFonts w:ascii="宋体" w:hAnsi="宋体" w:eastAsia="宋体" w:cs="宋体"/>
          <w:snapToGrid/>
          <w:spacing w:val="0"/>
          <w:w w:val="100"/>
          <w:kern w:val="21"/>
          <w:position w:val="0"/>
          <w:sz w:val="20"/>
          <w:szCs w:val="20"/>
        </w:rPr>
        <w:t>）声明不存在招标文件规定或我国法律规定免除申请人或我方支付责任的情形；</w:t>
      </w:r>
    </w:p>
    <w:p w14:paraId="43344A2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r>
        <w:rPr>
          <w:rFonts w:ascii="Times New Roman" w:hAnsi="Times New Roman" w:eastAsia="Times New Roman" w:cs="Times New Roman"/>
          <w:snapToGrid/>
          <w:spacing w:val="0"/>
          <w:w w:val="100"/>
          <w:kern w:val="21"/>
          <w:position w:val="0"/>
          <w:sz w:val="20"/>
          <w:szCs w:val="20"/>
        </w:rPr>
        <w:t>5</w:t>
      </w:r>
      <w:r>
        <w:rPr>
          <w:rFonts w:ascii="宋体" w:hAnsi="宋体" w:eastAsia="宋体" w:cs="宋体"/>
          <w:snapToGrid/>
          <w:spacing w:val="0"/>
          <w:w w:val="100"/>
          <w:kern w:val="21"/>
          <w:position w:val="0"/>
          <w:sz w:val="20"/>
          <w:szCs w:val="20"/>
        </w:rPr>
        <w:t>）书面付款通知应在本保函有效期内到达的地址是：           。</w:t>
      </w:r>
    </w:p>
    <w:p w14:paraId="7F706C0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受益人发出的书面付款通知应由其法定代表人（负责人）或授权代理人签字并加盖公章。</w:t>
      </w:r>
    </w:p>
    <w:p w14:paraId="61E6CB73">
      <w:pPr>
        <w:keepNext w:val="0"/>
        <w:keepLines w:val="0"/>
        <w:pageBreakBefore w:val="0"/>
        <w:widowControl w:val="0"/>
        <w:kinsoku/>
        <w:wordWrap w:val="0"/>
        <w:overflowPunct/>
        <w:topLinePunct/>
        <w:autoSpaceDE w:val="0"/>
        <w:autoSpaceDN/>
        <w:bidi w:val="0"/>
        <w:adjustRightInd/>
        <w:snapToGrid/>
        <w:spacing w:line="560" w:lineRule="exact"/>
        <w:ind w:left="0" w:right="0" w:firstLine="4"/>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五、本保函项下的权利不得转让，不得设定担保。受益人未经开立人书面同意转让本保函或其项下 任何权利，对开立人不发生法律效力。</w:t>
      </w:r>
    </w:p>
    <w:p w14:paraId="023A12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六、本保函项下的基础交易不成立、不生效、无效、被撤销、被解除，不影响本保函的独立有效。</w:t>
      </w:r>
    </w:p>
    <w:p w14:paraId="645DE5E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七、本保函项下的义务和责任均在保函有效期到期后自动消灭。</w:t>
      </w:r>
    </w:p>
    <w:p w14:paraId="5BC4008B">
      <w:pPr>
        <w:keepNext w:val="0"/>
        <w:keepLines w:val="0"/>
        <w:pageBreakBefore w:val="0"/>
        <w:widowControl w:val="0"/>
        <w:kinsoku/>
        <w:wordWrap w:val="0"/>
        <w:overflowPunct/>
        <w:topLinePunct/>
        <w:autoSpaceDE w:val="0"/>
        <w:autoSpaceDN/>
        <w:bidi w:val="0"/>
        <w:adjustRightInd/>
        <w:snapToGrid/>
        <w:spacing w:line="560" w:lineRule="exact"/>
        <w:ind w:left="0" w:right="0" w:hanging="1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八、本保函适用的法律为中华人民共和国法律，因本保函产生的纠纷案件，由受益人所在地人民法 院管辖。</w:t>
      </w:r>
    </w:p>
    <w:p w14:paraId="49C39CF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九、本保函自我方法定代表人或授权代表签字并加盖公章之日起生效。</w:t>
      </w:r>
    </w:p>
    <w:p w14:paraId="780065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p>
    <w:p w14:paraId="1FCD21D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开立人：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（公章）</w:t>
      </w:r>
    </w:p>
    <w:p w14:paraId="3BE4C56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法定代表人（或授权代表）：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3D4DF33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地    址：</w:t>
      </w:r>
      <w:r>
        <w:rPr>
          <w:rFonts w:ascii="宋体" w:hAnsi="宋体" w:eastAsia="宋体" w:cs="宋体"/>
          <w:snapToGrid/>
          <w:spacing w:val="0"/>
          <w:w w:val="100"/>
          <w:kern w:val="21"/>
          <w:position w:val="0"/>
          <w:sz w:val="20"/>
          <w:szCs w:val="20"/>
          <w:u w:val="single" w:color="auto"/>
        </w:rPr>
        <w:t xml:space="preserve">                                        </w:t>
      </w:r>
    </w:p>
    <w:p w14:paraId="301B703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邮政编码：</w:t>
      </w:r>
      <w:r>
        <w:rPr>
          <w:rFonts w:ascii="宋体" w:hAnsi="宋体" w:eastAsia="宋体" w:cs="宋体"/>
          <w:snapToGrid/>
          <w:spacing w:val="0"/>
          <w:w w:val="100"/>
          <w:kern w:val="21"/>
          <w:position w:val="0"/>
          <w:sz w:val="20"/>
          <w:szCs w:val="20"/>
          <w:u w:val="single" w:color="auto"/>
        </w:rPr>
        <w:t xml:space="preserve">                  </w:t>
      </w:r>
    </w:p>
    <w:p w14:paraId="164D5E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电    话：</w:t>
      </w:r>
      <w:r>
        <w:rPr>
          <w:rFonts w:ascii="宋体" w:hAnsi="宋体" w:eastAsia="宋体" w:cs="宋体"/>
          <w:snapToGrid/>
          <w:spacing w:val="0"/>
          <w:w w:val="100"/>
          <w:kern w:val="21"/>
          <w:position w:val="0"/>
          <w:sz w:val="20"/>
          <w:szCs w:val="20"/>
          <w:u w:val="single" w:color="auto"/>
        </w:rPr>
        <w:t xml:space="preserve">                  </w:t>
      </w:r>
    </w:p>
    <w:p w14:paraId="6879362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传    真：</w:t>
      </w:r>
      <w:r>
        <w:rPr>
          <w:rFonts w:ascii="宋体" w:hAnsi="宋体" w:eastAsia="宋体" w:cs="宋体"/>
          <w:snapToGrid/>
          <w:spacing w:val="0"/>
          <w:w w:val="100"/>
          <w:kern w:val="21"/>
          <w:position w:val="0"/>
          <w:sz w:val="20"/>
          <w:szCs w:val="20"/>
          <w:u w:val="single" w:color="auto"/>
        </w:rPr>
        <w:t xml:space="preserve">                  </w:t>
      </w:r>
    </w:p>
    <w:p w14:paraId="29A65CE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开立时间：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8599F7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B1CFCB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F4633F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注：1、允许投标人实际开具的银行保函或担保机构或保证保险机构出具的担保的格式与本文件提</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供的格式有所不同，但不得更改本文件提供的银行保函或担保格式中的实质性内容。</w:t>
      </w:r>
    </w:p>
    <w:p w14:paraId="297D7085">
      <w:pPr>
        <w:keepNext w:val="0"/>
        <w:keepLines w:val="0"/>
        <w:pageBreakBefore w:val="0"/>
        <w:widowControl w:val="0"/>
        <w:kinsoku/>
        <w:wordWrap w:val="0"/>
        <w:overflowPunct/>
        <w:topLinePunct/>
        <w:autoSpaceDE w:val="0"/>
        <w:autoSpaceDN/>
        <w:bidi w:val="0"/>
        <w:adjustRightInd/>
        <w:snapToGrid/>
        <w:spacing w:line="560" w:lineRule="exact"/>
        <w:ind w:left="0" w:right="0" w:firstLine="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3、投标人开具的银行保函（或担保机构担保或保证保险）必须具有明确有效的查询途径（二维码；</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或网址链接及查询方式）。</w:t>
      </w:r>
    </w:p>
    <w:p w14:paraId="170DA75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39" w:type="default"/>
          <w:pgSz w:w="11906" w:h="16838"/>
          <w:pgMar w:top="1440" w:right="1080" w:bottom="1440" w:left="1080" w:header="0" w:footer="1185" w:gutter="0"/>
          <w:pgNumType w:fmt="decimal"/>
          <w:cols w:space="720" w:num="1"/>
        </w:sectPr>
      </w:pPr>
    </w:p>
    <w:p w14:paraId="4C70EC7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10"/>
          <w:szCs w:val="10"/>
        </w:rPr>
      </w:pPr>
      <w:r>
        <w:rPr>
          <w:snapToGrid/>
          <w:spacing w:val="0"/>
          <w:w w:val="100"/>
          <w:kern w:val="21"/>
          <w:position w:val="0"/>
        </w:rPr>
        <w:fldChar w:fldCharType="begin"/>
      </w:r>
      <w:r>
        <w:rPr>
          <w:snapToGrid/>
          <w:spacing w:val="0"/>
          <w:w w:val="100"/>
          <w:kern w:val="21"/>
          <w:position w:val="0"/>
        </w:rPr>
        <w:instrText xml:space="preserve"> HYPERLINK "wl3233" </w:instrText>
      </w:r>
      <w:r>
        <w:rPr>
          <w:snapToGrid/>
          <w:spacing w:val="0"/>
          <w:w w:val="100"/>
          <w:kern w:val="21"/>
          <w:position w:val="0"/>
        </w:rPr>
        <w:fldChar w:fldCharType="separate"/>
      </w:r>
      <w:r>
        <w:rPr>
          <w:rFonts w:ascii="宋体" w:hAnsi="宋体" w:eastAsia="宋体" w:cs="宋体"/>
          <w:b/>
          <w:bCs/>
          <w:snapToGrid/>
          <w:spacing w:val="0"/>
          <w:w w:val="100"/>
          <w:kern w:val="21"/>
          <w:position w:val="0"/>
          <w:sz w:val="20"/>
          <w:szCs w:val="20"/>
        </w:rPr>
        <w:t>（二）免缴投标保证金承诺函</w:t>
      </w:r>
      <w:r>
        <w:rPr>
          <w:rFonts w:ascii="宋体" w:hAnsi="宋体" w:eastAsia="宋体" w:cs="宋体"/>
          <w:b/>
          <w:bCs/>
          <w:snapToGrid/>
          <w:spacing w:val="0"/>
          <w:w w:val="100"/>
          <w:kern w:val="21"/>
          <w:position w:val="0"/>
          <w:sz w:val="10"/>
          <w:szCs w:val="10"/>
        </w:rPr>
        <w:t>①</w:t>
      </w:r>
      <w:r>
        <w:rPr>
          <w:rFonts w:ascii="宋体" w:hAnsi="宋体" w:eastAsia="宋体" w:cs="宋体"/>
          <w:b/>
          <w:bCs/>
          <w:snapToGrid/>
          <w:spacing w:val="0"/>
          <w:w w:val="100"/>
          <w:kern w:val="21"/>
          <w:position w:val="0"/>
          <w:sz w:val="10"/>
          <w:szCs w:val="10"/>
        </w:rPr>
        <w:fldChar w:fldCharType="end"/>
      </w:r>
    </w:p>
    <w:p w14:paraId="234BD19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(招标人名称)</w:t>
      </w:r>
    </w:p>
    <w:p w14:paraId="41146D3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E885E5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按照招标文件的规定，我单位郑重承诺如下：</w:t>
      </w:r>
    </w:p>
    <w:p w14:paraId="749AF322">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我单位将严格遵守《中华人民共和国招标投标法》等法律、法规和招标文件约定条款。如果存 在招标文件约定的投标保证金不予退还的情形，将于收到招标人书面通知 </w:t>
      </w:r>
      <w:r>
        <w:rPr>
          <w:rFonts w:ascii="Times New Roman" w:hAnsi="Times New Roman" w:eastAsia="Times New Roman" w:cs="Times New Roman"/>
          <w:snapToGrid/>
          <w:spacing w:val="0"/>
          <w:w w:val="100"/>
          <w:kern w:val="21"/>
          <w:position w:val="0"/>
          <w:sz w:val="20"/>
          <w:szCs w:val="20"/>
        </w:rPr>
        <w:t xml:space="preserve">7  </w:t>
      </w:r>
      <w:r>
        <w:rPr>
          <w:rFonts w:ascii="宋体" w:hAnsi="宋体" w:eastAsia="宋体" w:cs="宋体"/>
          <w:snapToGrid/>
          <w:spacing w:val="0"/>
          <w:w w:val="100"/>
          <w:kern w:val="21"/>
          <w:position w:val="0"/>
          <w:sz w:val="20"/>
          <w:szCs w:val="20"/>
        </w:rPr>
        <w:t>日内将招标文件约定 的投标保证金足额缴纳至招标人指定账户。</w:t>
      </w:r>
    </w:p>
    <w:p w14:paraId="2AE46A9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我单位对上述承诺的真实性负责。如有虚假，我单位愿意承担弄虚作假法律责任。</w:t>
      </w:r>
    </w:p>
    <w:p w14:paraId="0F5C3FF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02E61CF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B89E3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3BDE6CF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投</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标</w:t>
      </w:r>
      <w:r>
        <w:rPr>
          <w:rFonts w:ascii="宋体" w:hAnsi="宋体" w:eastAsia="宋体" w:cs="宋体"/>
          <w:snapToGrid/>
          <w:spacing w:val="0"/>
          <w:w w:val="100"/>
          <w:kern w:val="21"/>
          <w:position w:val="0"/>
          <w:sz w:val="20"/>
          <w:szCs w:val="20"/>
        </w:rPr>
        <w:t xml:space="preserve"> </w:t>
      </w:r>
      <w:r>
        <w:rPr>
          <w:rFonts w:ascii="宋体" w:hAnsi="宋体" w:eastAsia="宋体" w:cs="宋体"/>
          <w:b/>
          <w:bCs/>
          <w:snapToGrid/>
          <w:spacing w:val="0"/>
          <w:w w:val="100"/>
          <w:kern w:val="21"/>
          <w:position w:val="0"/>
          <w:sz w:val="20"/>
          <w:szCs w:val="20"/>
        </w:rPr>
        <w:t>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b/>
          <w:bCs/>
          <w:snapToGrid/>
          <w:spacing w:val="0"/>
          <w:w w:val="100"/>
          <w:kern w:val="21"/>
          <w:position w:val="0"/>
          <w:sz w:val="20"/>
          <w:szCs w:val="20"/>
        </w:rPr>
        <w:t>（盖单位章）</w:t>
      </w:r>
    </w:p>
    <w:p w14:paraId="0DA96A0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日 期：</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3CFB72B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357B79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84ECB0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7CA32F8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B67524F">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10B3EC6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17"/>
          <w:szCs w:val="17"/>
        </w:rPr>
        <w:sectPr>
          <w:footerReference r:id="rId40" w:type="default"/>
          <w:pgSz w:w="11906" w:h="16838"/>
          <w:pgMar w:top="1440" w:right="1080" w:bottom="1440" w:left="1080" w:header="0" w:footer="0" w:gutter="0"/>
          <w:pgNumType w:fmt="decimal"/>
          <w:cols w:space="720" w:num="1"/>
        </w:sectPr>
      </w:pPr>
    </w:p>
    <w:p w14:paraId="298F126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8" w:name="bookmark202"/>
      <w:bookmarkEnd w:id="648"/>
      <w:r>
        <w:rPr>
          <w:rFonts w:ascii="宋体" w:hAnsi="宋体" w:eastAsia="宋体" w:cs="宋体"/>
          <w:b/>
          <w:bCs/>
          <w:snapToGrid/>
          <w:spacing w:val="0"/>
          <w:w w:val="100"/>
          <w:kern w:val="21"/>
          <w:position w:val="0"/>
          <w:sz w:val="31"/>
          <w:szCs w:val="31"/>
        </w:rPr>
        <w:t>五、已标价工程量清单</w:t>
      </w:r>
    </w:p>
    <w:p w14:paraId="4922E46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按第五章工程量清单格式和内容填写。</w:t>
      </w:r>
    </w:p>
    <w:p w14:paraId="353E291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1" w:type="default"/>
          <w:pgSz w:w="11906" w:h="16838"/>
          <w:pgMar w:top="1440" w:right="1080" w:bottom="1440" w:left="1080" w:header="0" w:footer="1185" w:gutter="0"/>
          <w:pgNumType w:fmt="decimal"/>
          <w:cols w:space="720" w:num="1"/>
        </w:sectPr>
      </w:pPr>
    </w:p>
    <w:p w14:paraId="7A6146B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49" w:name="bookmark203"/>
      <w:bookmarkEnd w:id="649"/>
      <w:r>
        <w:rPr>
          <w:rFonts w:ascii="宋体" w:hAnsi="宋体" w:eastAsia="宋体" w:cs="宋体"/>
          <w:b/>
          <w:bCs/>
          <w:snapToGrid/>
          <w:spacing w:val="0"/>
          <w:w w:val="100"/>
          <w:kern w:val="21"/>
          <w:position w:val="0"/>
          <w:sz w:val="31"/>
          <w:szCs w:val="31"/>
        </w:rPr>
        <w:t>六、施工组织设计</w:t>
      </w:r>
    </w:p>
    <w:p w14:paraId="5113B266">
      <w:pPr>
        <w:keepNext w:val="0"/>
        <w:keepLines w:val="0"/>
        <w:pageBreakBefore w:val="0"/>
        <w:widowControl w:val="0"/>
        <w:kinsoku/>
        <w:wordWrap w:val="0"/>
        <w:overflowPunct/>
        <w:topLinePunct/>
        <w:autoSpaceDE w:val="0"/>
        <w:autoSpaceDN/>
        <w:bidi w:val="0"/>
        <w:adjustRightInd/>
        <w:snapToGrid/>
        <w:spacing w:line="560" w:lineRule="exact"/>
        <w:ind w:left="0" w:right="0" w:firstLine="437"/>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   </w:t>
      </w:r>
      <w:r>
        <w:rPr>
          <w:rFonts w:ascii="宋体" w:hAnsi="宋体" w:eastAsia="宋体" w:cs="宋体"/>
          <w:snapToGrid/>
          <w:spacing w:val="0"/>
          <w:w w:val="100"/>
          <w:kern w:val="21"/>
          <w:position w:val="0"/>
          <w:sz w:val="20"/>
          <w:szCs w:val="20"/>
        </w:rPr>
        <w:t>投标人编制施工组织设计的要求：编制时应采用文字并结合图表形式说明施工方法；拟投入 本标段的主要施工设备情况、拟配备本标段的试验和检测仪器设备情况、劳动力计划等；结合工程 特点提出切实可行的工程质量、安全生产、文明施工、工程进度、技术组织措施， 同时应对关键工 序、复杂环节重点提出相应技术措施，如冬雨季施工技术、减少噪声、降低环境污染、地下管线及 其他地上地下设施的保护加固措施等。</w:t>
      </w:r>
    </w:p>
    <w:p w14:paraId="246FCCF4">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   </w:t>
      </w:r>
      <w:r>
        <w:rPr>
          <w:rFonts w:ascii="宋体" w:hAnsi="宋体" w:eastAsia="宋体" w:cs="宋体"/>
          <w:snapToGrid/>
          <w:spacing w:val="0"/>
          <w:w w:val="100"/>
          <w:kern w:val="21"/>
          <w:position w:val="0"/>
          <w:sz w:val="20"/>
          <w:szCs w:val="20"/>
        </w:rPr>
        <w:t>施工组织设计除采用文字表述外可附下列图表，图表及格式要求附后。</w:t>
      </w:r>
    </w:p>
    <w:p w14:paraId="133BA08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附表一  拟投入本标段的主要施工设备表</w:t>
      </w:r>
    </w:p>
    <w:p w14:paraId="0680F51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附表二  拟配备本标段的试验和检测仪器设备表</w:t>
      </w:r>
    </w:p>
    <w:p w14:paraId="56BF4E0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附表三  劳动力计划表</w:t>
      </w:r>
    </w:p>
    <w:p w14:paraId="3E8F65F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附表四  计划开、竣工日期和施工进度网络图</w:t>
      </w:r>
    </w:p>
    <w:p w14:paraId="7E3185D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附表五  施工总平面图</w:t>
      </w:r>
    </w:p>
    <w:p w14:paraId="5EC3137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附表六  临时用地表</w:t>
      </w:r>
    </w:p>
    <w:p w14:paraId="3D3DCCC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2" w:type="default"/>
          <w:pgSz w:w="11906" w:h="16838"/>
          <w:pgMar w:top="1440" w:right="1080" w:bottom="1440" w:left="1080" w:header="0" w:footer="1185" w:gutter="0"/>
          <w:pgNumType w:fmt="decimal"/>
          <w:cols w:space="720" w:num="1"/>
        </w:sectPr>
      </w:pPr>
    </w:p>
    <w:p w14:paraId="2E66C0F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附表一：拟投入本标段的主要施工设备表</w:t>
      </w:r>
    </w:p>
    <w:tbl>
      <w:tblPr>
        <w:tblStyle w:val="26"/>
        <w:tblW w:w="95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29"/>
        <w:gridCol w:w="1077"/>
        <w:gridCol w:w="732"/>
        <w:gridCol w:w="804"/>
        <w:gridCol w:w="1319"/>
        <w:gridCol w:w="953"/>
        <w:gridCol w:w="1148"/>
        <w:gridCol w:w="757"/>
      </w:tblGrid>
      <w:tr w14:paraId="6EB52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730" w:type="dxa"/>
            <w:vAlign w:val="center"/>
          </w:tcPr>
          <w:p w14:paraId="0B01EB6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1182" w:type="dxa"/>
            <w:vAlign w:val="center"/>
          </w:tcPr>
          <w:p w14:paraId="2BC204B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设备名称</w:t>
            </w:r>
          </w:p>
        </w:tc>
        <w:tc>
          <w:tcPr>
            <w:tcW w:w="829" w:type="dxa"/>
            <w:vAlign w:val="center"/>
          </w:tcPr>
          <w:p w14:paraId="43A0DF6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型号</w:t>
            </w:r>
          </w:p>
          <w:p w14:paraId="7BB61CB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规格</w:t>
            </w:r>
          </w:p>
        </w:tc>
        <w:tc>
          <w:tcPr>
            <w:tcW w:w="1077" w:type="dxa"/>
            <w:vAlign w:val="center"/>
          </w:tcPr>
          <w:p w14:paraId="1FA0828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数量</w:t>
            </w:r>
          </w:p>
        </w:tc>
        <w:tc>
          <w:tcPr>
            <w:tcW w:w="732" w:type="dxa"/>
            <w:vAlign w:val="center"/>
          </w:tcPr>
          <w:p w14:paraId="2C039A7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国别</w:t>
            </w:r>
          </w:p>
          <w:p w14:paraId="1A8DCD7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产地</w:t>
            </w:r>
          </w:p>
        </w:tc>
        <w:tc>
          <w:tcPr>
            <w:tcW w:w="804" w:type="dxa"/>
            <w:vAlign w:val="center"/>
          </w:tcPr>
          <w:p w14:paraId="1F63F1D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制造</w:t>
            </w:r>
          </w:p>
          <w:p w14:paraId="242E6AB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年份</w:t>
            </w:r>
          </w:p>
        </w:tc>
        <w:tc>
          <w:tcPr>
            <w:tcW w:w="1319" w:type="dxa"/>
            <w:vAlign w:val="center"/>
          </w:tcPr>
          <w:p w14:paraId="47DB081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额定功率</w:t>
            </w:r>
          </w:p>
          <w:p w14:paraId="222AA18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w:t>
            </w:r>
            <w:r>
              <w:rPr>
                <w:rFonts w:ascii="Times New Roman" w:hAnsi="Times New Roman" w:eastAsia="Times New Roman" w:cs="Times New Roman"/>
                <w:snapToGrid/>
                <w:spacing w:val="0"/>
                <w:w w:val="100"/>
                <w:kern w:val="21"/>
                <w:position w:val="0"/>
              </w:rPr>
              <w:t>kW</w:t>
            </w:r>
            <w:r>
              <w:rPr>
                <w:snapToGrid/>
                <w:spacing w:val="0"/>
                <w:w w:val="100"/>
                <w:kern w:val="21"/>
                <w:position w:val="0"/>
              </w:rPr>
              <w:t>）</w:t>
            </w:r>
          </w:p>
        </w:tc>
        <w:tc>
          <w:tcPr>
            <w:tcW w:w="953" w:type="dxa"/>
            <w:vAlign w:val="center"/>
          </w:tcPr>
          <w:p w14:paraId="084C2C1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生产</w:t>
            </w:r>
          </w:p>
          <w:p w14:paraId="242ACF7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能力</w:t>
            </w:r>
          </w:p>
        </w:tc>
        <w:tc>
          <w:tcPr>
            <w:tcW w:w="1148" w:type="dxa"/>
            <w:vAlign w:val="center"/>
          </w:tcPr>
          <w:p w14:paraId="09AE677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用于施工</w:t>
            </w:r>
          </w:p>
          <w:p w14:paraId="7CA080F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部位</w:t>
            </w:r>
          </w:p>
        </w:tc>
        <w:tc>
          <w:tcPr>
            <w:tcW w:w="757" w:type="dxa"/>
            <w:vAlign w:val="center"/>
          </w:tcPr>
          <w:p w14:paraId="683BB2A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r>
      <w:tr w14:paraId="28C8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35ED02C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1783E5A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78190D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2F66B8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27783E5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36C7E8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6EA114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92B0A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406100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52BCC99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431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73E5FE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6C1ED3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C5A9AE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19F6DA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7B6E36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0627FAA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2F84589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5E1C0AF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45D17D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2582DE3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07B7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30" w:type="dxa"/>
            <w:vAlign w:val="center"/>
          </w:tcPr>
          <w:p w14:paraId="3EC785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0871045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232D10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3E0208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63C436B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6554681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67B695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45C92D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69E001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65F1249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FDF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2B36FF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300B49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187694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04D77A4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732BCE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49E63D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344435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941DE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7668C7C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5B0E3C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70E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2EC9CA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2F6A88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789BD65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3B0C10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49A93D6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4F5266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6C4AB2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5988051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063416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75E201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1D3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62FA04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6837AB2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07543C7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255CDD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052BBB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2EEDBD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57FBD2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2E9A69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74D2FAE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4B335EF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593F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30" w:type="dxa"/>
            <w:vAlign w:val="center"/>
          </w:tcPr>
          <w:p w14:paraId="6F0A99F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5235D1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4F0D0A4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19E7EB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5ABC4E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6BBD901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75A60D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2C7A20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11636E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288BBB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F98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19468B6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77678A7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A7261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234CF0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69308A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1315DF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4B624A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30399A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1FFA0A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4EA3624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979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4B65A9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190B932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AD3E1C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2E111B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127807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4D0CBB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5B00A2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6F51D7C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50E990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2395796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54E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7927E10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1871FB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D2A69F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07B901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7622618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02B0DA8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6E19011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565097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4DED931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582729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B065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730" w:type="dxa"/>
            <w:vAlign w:val="center"/>
          </w:tcPr>
          <w:p w14:paraId="6D16D1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05DB86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E653F6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74B863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775C2D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24DA98C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322DA9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1B28B8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74508D5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3D663B4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2C7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3ED711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63A667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0AA3D4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42A3EA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2473835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7358497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44D99F9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12E984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749EF9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4EC944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C053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5C44710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5B5114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79001B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4B2401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4C54AB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3AD107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32A2F3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0C8551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2C4EE99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59F20A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3121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7E65210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39CD2B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0FE3FD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5453A58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37B7828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0CC34D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72CB4FB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0243369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6F99129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06D26E4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95C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31B4F9B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634CA1C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B730F3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52A3B51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2E121A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68E4BE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10BEC05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453DD1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43A780F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4DAE3F4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BDE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3EC2424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3666F2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869B3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6C1CCFB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63A640D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093A70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780371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2E5BA1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01554C9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27A9E1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BED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6FCED6B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6C01C8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24B89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2664B3D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1C4AFD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7EC95B0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1770CB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2FB69E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11D3ABB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1F8147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6ED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66F559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4FFCE9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AB8F3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008515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733AC0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2EA51D0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1CEB331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28F8CD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5C0FA85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38AA021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192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2051512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481FD7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3153093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58129F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1A585D4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179CA52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62CF5EE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5F382C3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39F6A42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288E62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91AA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30" w:type="dxa"/>
            <w:vAlign w:val="center"/>
          </w:tcPr>
          <w:p w14:paraId="6CEC11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7C9466B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61A592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6D07598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6B30FB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4A1DB2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768A8D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40AF2A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2CA5607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05B588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D71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730" w:type="dxa"/>
            <w:vAlign w:val="center"/>
          </w:tcPr>
          <w:p w14:paraId="1A4DEE9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2" w:type="dxa"/>
            <w:vAlign w:val="center"/>
          </w:tcPr>
          <w:p w14:paraId="7C64250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71E165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7" w:type="dxa"/>
            <w:vAlign w:val="center"/>
          </w:tcPr>
          <w:p w14:paraId="4E8D25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2" w:type="dxa"/>
            <w:vAlign w:val="center"/>
          </w:tcPr>
          <w:p w14:paraId="44DFD44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4" w:type="dxa"/>
            <w:vAlign w:val="center"/>
          </w:tcPr>
          <w:p w14:paraId="4A32A11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19" w:type="dxa"/>
            <w:vAlign w:val="center"/>
          </w:tcPr>
          <w:p w14:paraId="5ED74F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53" w:type="dxa"/>
            <w:vAlign w:val="center"/>
          </w:tcPr>
          <w:p w14:paraId="3B80D0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8" w:type="dxa"/>
            <w:vAlign w:val="center"/>
          </w:tcPr>
          <w:p w14:paraId="0F0525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7" w:type="dxa"/>
            <w:vAlign w:val="center"/>
          </w:tcPr>
          <w:p w14:paraId="50C0B29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6F143D7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附表二：拟配备本标段的试验和检测仪器设备表</w:t>
      </w:r>
    </w:p>
    <w:tbl>
      <w:tblPr>
        <w:tblStyle w:val="26"/>
        <w:tblW w:w="92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184"/>
        <w:gridCol w:w="829"/>
        <w:gridCol w:w="1079"/>
        <w:gridCol w:w="733"/>
        <w:gridCol w:w="805"/>
        <w:gridCol w:w="1320"/>
        <w:gridCol w:w="1800"/>
        <w:gridCol w:w="753"/>
      </w:tblGrid>
      <w:tr w14:paraId="27D6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728" w:type="dxa"/>
            <w:vAlign w:val="center"/>
          </w:tcPr>
          <w:p w14:paraId="408CFC6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1184" w:type="dxa"/>
            <w:vAlign w:val="center"/>
          </w:tcPr>
          <w:p w14:paraId="73D8D8A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仪器设备</w:t>
            </w:r>
          </w:p>
          <w:p w14:paraId="597E3D2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名称</w:t>
            </w:r>
          </w:p>
        </w:tc>
        <w:tc>
          <w:tcPr>
            <w:tcW w:w="829" w:type="dxa"/>
            <w:vAlign w:val="center"/>
          </w:tcPr>
          <w:p w14:paraId="644C909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型号</w:t>
            </w:r>
          </w:p>
          <w:p w14:paraId="3AC0B03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规格</w:t>
            </w:r>
          </w:p>
        </w:tc>
        <w:tc>
          <w:tcPr>
            <w:tcW w:w="1079" w:type="dxa"/>
            <w:vAlign w:val="center"/>
          </w:tcPr>
          <w:p w14:paraId="5927CBA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数量</w:t>
            </w:r>
          </w:p>
        </w:tc>
        <w:tc>
          <w:tcPr>
            <w:tcW w:w="733" w:type="dxa"/>
            <w:vAlign w:val="center"/>
          </w:tcPr>
          <w:p w14:paraId="226BA2F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国别</w:t>
            </w:r>
          </w:p>
          <w:p w14:paraId="27A1108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产地</w:t>
            </w:r>
          </w:p>
        </w:tc>
        <w:tc>
          <w:tcPr>
            <w:tcW w:w="805" w:type="dxa"/>
            <w:vAlign w:val="center"/>
          </w:tcPr>
          <w:p w14:paraId="62C2503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制造</w:t>
            </w:r>
          </w:p>
          <w:p w14:paraId="6FE6BAB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年份</w:t>
            </w:r>
          </w:p>
        </w:tc>
        <w:tc>
          <w:tcPr>
            <w:tcW w:w="1320" w:type="dxa"/>
            <w:vAlign w:val="center"/>
          </w:tcPr>
          <w:p w14:paraId="4E45F58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已使用台时</w:t>
            </w:r>
          </w:p>
          <w:p w14:paraId="6E6259A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数</w:t>
            </w:r>
          </w:p>
        </w:tc>
        <w:tc>
          <w:tcPr>
            <w:tcW w:w="1800" w:type="dxa"/>
            <w:vAlign w:val="center"/>
          </w:tcPr>
          <w:p w14:paraId="43C0A36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用途</w:t>
            </w:r>
          </w:p>
        </w:tc>
        <w:tc>
          <w:tcPr>
            <w:tcW w:w="753" w:type="dxa"/>
            <w:vAlign w:val="center"/>
          </w:tcPr>
          <w:p w14:paraId="24DB92E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r>
      <w:tr w14:paraId="6CF00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28" w:type="dxa"/>
            <w:vAlign w:val="center"/>
          </w:tcPr>
          <w:p w14:paraId="07BB0F8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1218FB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06D8D8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B34E33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4498203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3F3FAF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2A4848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003A440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08D36B1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DE1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489055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79041A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3C30F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14532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5014B2B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3908C7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63214E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2C1311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37E8D3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D4A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728" w:type="dxa"/>
            <w:vAlign w:val="center"/>
          </w:tcPr>
          <w:p w14:paraId="26D936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54238A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79530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B47360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69983FF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2D4C9A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5F1267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32A01D7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5E97207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7673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584CD6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501CAE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81A5BE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1F84C4B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00B03D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2748EE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3331E3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40A7BE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3AB5AC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176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28" w:type="dxa"/>
            <w:vAlign w:val="center"/>
          </w:tcPr>
          <w:p w14:paraId="0F7AC2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6C90C1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16BF2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92124E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47832E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2E6962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5A7E81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6390DFA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21D1C4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A6DB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28" w:type="dxa"/>
            <w:vAlign w:val="center"/>
          </w:tcPr>
          <w:p w14:paraId="7ED4B7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0CF830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674DC40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7167B0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16A1615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4E97A6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3FB396F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499F7A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78E1EA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B912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728" w:type="dxa"/>
            <w:vAlign w:val="center"/>
          </w:tcPr>
          <w:p w14:paraId="0846AF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2D95501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057538B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714D542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7A33653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4B4F17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5CD0F9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17DF1F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112BB0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1AF2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18C8307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2F9FE2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46CA509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16B7D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3D42E4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6A3903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606FAEF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659AED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0C9C9E9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163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37DEA1A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20ECB83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4EC42A0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BADFB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12D5A3E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53AC5A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2CA34B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453C8D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04FBF0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5E9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258320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0E25324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0BD7644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35EC22B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39DBD22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6412BA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61FE878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7F869DE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4CAF9C4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0DD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728" w:type="dxa"/>
            <w:vAlign w:val="center"/>
          </w:tcPr>
          <w:p w14:paraId="60E880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1639415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6964FF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85988F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374193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57A29B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269F25D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79FF83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0CACEE9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398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3681BF5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2455818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0DB067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4CF139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39F9E19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2F3D85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00A7EC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185E2D4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4EA9CF0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6B0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3AD8686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072B40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6716B7A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414C06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147DB88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25CACD4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66BF93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72F4B15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3721FAE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5D7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0D232F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352B5F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D647A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A6127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56B9F1A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6CCB0D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4CBA4D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66C2979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11E2C90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89C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6AC530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34DB9F5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E812B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75DAE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28CF929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077E41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7BFE99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420B03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1D160B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CDE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59E2901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033FB4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5489DDB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DD94D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131BB6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1C544AF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79F4DE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1739DC0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167267D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5F8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0F24440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1059B5F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2BDED90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B3096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458330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1DEE6A4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3FBD3F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6B22CA9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32AC7C0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208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jc w:val="center"/>
        </w:trPr>
        <w:tc>
          <w:tcPr>
            <w:tcW w:w="728" w:type="dxa"/>
            <w:vAlign w:val="center"/>
          </w:tcPr>
          <w:p w14:paraId="6F2F18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702221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4D3B1B8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1D2C26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2F46D4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63F4CC6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02B85B6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02F7932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574067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A2D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728" w:type="dxa"/>
            <w:vAlign w:val="center"/>
          </w:tcPr>
          <w:p w14:paraId="2F54765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7A4540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35C91F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4ED15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072133C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0A30D6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49A1A1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72B9FA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28F7FD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47E4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728" w:type="dxa"/>
            <w:vAlign w:val="center"/>
          </w:tcPr>
          <w:p w14:paraId="187DEC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02D5A3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120676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130997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7EBE9A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0EEAF38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6B57248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116A034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471574D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FE1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jc w:val="center"/>
        </w:trPr>
        <w:tc>
          <w:tcPr>
            <w:tcW w:w="728" w:type="dxa"/>
            <w:vAlign w:val="center"/>
          </w:tcPr>
          <w:p w14:paraId="5A2707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84" w:type="dxa"/>
            <w:vAlign w:val="center"/>
          </w:tcPr>
          <w:p w14:paraId="7A7580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29" w:type="dxa"/>
            <w:vAlign w:val="center"/>
          </w:tcPr>
          <w:p w14:paraId="30D958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631C2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33" w:type="dxa"/>
            <w:vAlign w:val="center"/>
          </w:tcPr>
          <w:p w14:paraId="4255599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805" w:type="dxa"/>
            <w:vAlign w:val="center"/>
          </w:tcPr>
          <w:p w14:paraId="402822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20" w:type="dxa"/>
            <w:vAlign w:val="center"/>
          </w:tcPr>
          <w:p w14:paraId="3358F2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800" w:type="dxa"/>
            <w:vAlign w:val="center"/>
          </w:tcPr>
          <w:p w14:paraId="1A4580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753" w:type="dxa"/>
            <w:vAlign w:val="center"/>
          </w:tcPr>
          <w:p w14:paraId="72F72FF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16E0919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附表三：劳动力计划表</w:t>
      </w:r>
    </w:p>
    <w:p w14:paraId="233E4917">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黑体" w:hAnsi="黑体" w:eastAsia="黑体" w:cs="黑体"/>
          <w:snapToGrid/>
          <w:spacing w:val="0"/>
          <w:w w:val="100"/>
          <w:kern w:val="21"/>
          <w:position w:val="0"/>
          <w:sz w:val="20"/>
          <w:szCs w:val="20"/>
        </w:rPr>
      </w:pPr>
      <w:r>
        <w:rPr>
          <w:rFonts w:ascii="黑体" w:hAnsi="黑体" w:eastAsia="黑体" w:cs="黑体"/>
          <w:snapToGrid/>
          <w:spacing w:val="0"/>
          <w:w w:val="100"/>
          <w:kern w:val="21"/>
          <w:position w:val="0"/>
          <w:sz w:val="20"/>
          <w:szCs w:val="20"/>
        </w:rPr>
        <w:t>单位：人</w:t>
      </w:r>
    </w:p>
    <w:tbl>
      <w:tblPr>
        <w:tblStyle w:val="26"/>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1419"/>
        <w:gridCol w:w="1160"/>
        <w:gridCol w:w="1161"/>
        <w:gridCol w:w="1160"/>
        <w:gridCol w:w="1161"/>
        <w:gridCol w:w="1160"/>
        <w:gridCol w:w="1163"/>
      </w:tblGrid>
      <w:tr w14:paraId="2E79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906" w:type="dxa"/>
            <w:vAlign w:val="center"/>
          </w:tcPr>
          <w:p w14:paraId="4E359F7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工种</w:t>
            </w:r>
          </w:p>
        </w:tc>
        <w:tc>
          <w:tcPr>
            <w:tcW w:w="8384" w:type="dxa"/>
            <w:gridSpan w:val="7"/>
            <w:vAlign w:val="center"/>
          </w:tcPr>
          <w:p w14:paraId="6D42AA2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按工程施工阶段投入劳动力情况</w:t>
            </w:r>
          </w:p>
        </w:tc>
      </w:tr>
      <w:tr w14:paraId="7253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06" w:type="dxa"/>
            <w:vAlign w:val="center"/>
          </w:tcPr>
          <w:p w14:paraId="3E330B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793444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9DFC7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6A11C1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8FAA35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A90D1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C476EF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72E3DC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B29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2EFCC1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20A73B4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A961D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5CB180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726B55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AA5586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F8E346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977334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5D64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24CA9F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5E8AD6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F8E3F4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40F90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11FA8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5A3457F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668D6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7C0328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08D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2F8B228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0DB88A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E14FEF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ACF4D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BDE71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6700DE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23D4EB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6CFDF29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465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06" w:type="dxa"/>
            <w:vAlign w:val="center"/>
          </w:tcPr>
          <w:p w14:paraId="2E49A43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5723A2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7EC706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5D9B0AE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B34B1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4E1CEF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43641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C7652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F34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6E6E9B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1BBF934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180FC5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3F09BF6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A587B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AA9334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C93B13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61281DA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E1EE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653BB86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40F7150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5EEE2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E1AE2C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A8139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CA93D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7B34C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DBFE5B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7FB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0B4BBC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6580AB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3D4273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F487B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8F53F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39D4B9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F6970D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14B367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CDDC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06" w:type="dxa"/>
            <w:vAlign w:val="center"/>
          </w:tcPr>
          <w:p w14:paraId="06B6721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3E02AE8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CD46E1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3264FF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4E0EF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0F95A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810697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40632EC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74F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3A93135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423230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734451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A599F7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3B43DE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70F7D31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39B0D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573A4D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4A4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774B614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3603B2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FEACC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6936D8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E614F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42A7CA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58024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3E71D2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1425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63AF669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1CCC18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4860B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6A1C2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C102C5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424BE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1EC73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3FB48E4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E350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906" w:type="dxa"/>
            <w:vAlign w:val="center"/>
          </w:tcPr>
          <w:p w14:paraId="6508A48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7CBE71F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A2A518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DEA72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851B9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32AF1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15441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45F8E23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5BC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3579DD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7EC6DB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21F91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39698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7033150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191BE9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C59D7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6359292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D99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43623F1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6954B6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30A323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DD90FB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C0126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D1ED22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D7DC47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68DF7C5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0B1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2111F41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500CC3B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75D1EB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ED622D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40FC3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605D3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1E916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290F01E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B2E4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0268F9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2BE6F2C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18ED3F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FA9FB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EEB35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5AF54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5506F4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A29C2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84E3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3BD2D1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573821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7A7EE9E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463515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84EF6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1CF11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01596DF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4BDA20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9CC1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1112F9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57E582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46FB824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2110272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F85B54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14B3D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99062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0B2BF2F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0D72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06" w:type="dxa"/>
            <w:vAlign w:val="center"/>
          </w:tcPr>
          <w:p w14:paraId="134F75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4EF31A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B383B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07306EE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B0085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127760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62E795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4036A8F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552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906" w:type="dxa"/>
            <w:vAlign w:val="center"/>
          </w:tcPr>
          <w:p w14:paraId="7B5B2E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19" w:type="dxa"/>
            <w:vAlign w:val="center"/>
          </w:tcPr>
          <w:p w14:paraId="7F5787B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35362D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64DFB7D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246FE7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1" w:type="dxa"/>
            <w:vAlign w:val="center"/>
          </w:tcPr>
          <w:p w14:paraId="41C3628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0" w:type="dxa"/>
            <w:vAlign w:val="center"/>
          </w:tcPr>
          <w:p w14:paraId="1D4EB7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63" w:type="dxa"/>
            <w:vAlign w:val="center"/>
          </w:tcPr>
          <w:p w14:paraId="289A32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13CF66E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附表四：计划开、竣工日期和施工进度网络图</w:t>
      </w:r>
    </w:p>
    <w:p w14:paraId="68CF717B">
      <w:pPr>
        <w:keepNext w:val="0"/>
        <w:keepLines w:val="0"/>
        <w:pageBreakBefore w:val="0"/>
        <w:widowControl w:val="0"/>
        <w:kinsoku/>
        <w:wordWrap w:val="0"/>
        <w:overflowPunct/>
        <w:topLinePunct/>
        <w:autoSpaceDE w:val="0"/>
        <w:autoSpaceDN/>
        <w:bidi w:val="0"/>
        <w:adjustRightInd/>
        <w:snapToGrid/>
        <w:spacing w:line="560" w:lineRule="exact"/>
        <w:ind w:left="0" w:right="0" w:firstLine="436"/>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1.  </w:t>
      </w:r>
      <w:r>
        <w:rPr>
          <w:rFonts w:ascii="宋体" w:hAnsi="宋体" w:eastAsia="宋体" w:cs="宋体"/>
          <w:snapToGrid/>
          <w:spacing w:val="0"/>
          <w:w w:val="100"/>
          <w:kern w:val="21"/>
          <w:position w:val="0"/>
          <w:sz w:val="20"/>
          <w:szCs w:val="20"/>
        </w:rPr>
        <w:t>投标人应递交施工进度网络图或施工进度表，说明按招标文件要求的计划工期进行施工的各 个关键日期。</w:t>
      </w:r>
    </w:p>
    <w:p w14:paraId="17BB9D6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Times New Roman" w:hAnsi="Times New Roman" w:eastAsia="Times New Roman" w:cs="Times New Roman"/>
          <w:snapToGrid/>
          <w:spacing w:val="0"/>
          <w:w w:val="100"/>
          <w:kern w:val="21"/>
          <w:position w:val="0"/>
          <w:sz w:val="20"/>
          <w:szCs w:val="20"/>
        </w:rPr>
        <w:t xml:space="preserve">2.  </w:t>
      </w:r>
      <w:r>
        <w:rPr>
          <w:rFonts w:ascii="宋体" w:hAnsi="宋体" w:eastAsia="宋体" w:cs="宋体"/>
          <w:snapToGrid/>
          <w:spacing w:val="0"/>
          <w:w w:val="100"/>
          <w:kern w:val="21"/>
          <w:position w:val="0"/>
          <w:sz w:val="20"/>
          <w:szCs w:val="20"/>
        </w:rPr>
        <w:t>施工进度表可采用网络图（或横道图）表示。</w:t>
      </w:r>
    </w:p>
    <w:p w14:paraId="099EFF4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b/>
          <w:bCs/>
          <w:snapToGrid/>
          <w:spacing w:val="0"/>
          <w:w w:val="100"/>
          <w:kern w:val="21"/>
          <w:position w:val="0"/>
          <w:sz w:val="28"/>
          <w:szCs w:val="28"/>
        </w:rPr>
      </w:pPr>
    </w:p>
    <w:p w14:paraId="6637A58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附表五：施工总平面图</w:t>
      </w:r>
    </w:p>
    <w:p w14:paraId="0DEE8771">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投标人应递交一份施工总平面图，绘出现场临时设施布置图表并附文字说明，说明临时设施、 加工车间、现场办公、设备及仓储、供电、供水、卫生、生活、道路、消防等设施的情况和布置。</w:t>
      </w:r>
    </w:p>
    <w:p w14:paraId="4DB853E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2639B6B">
      <w:pPr>
        <w:rPr>
          <w:rFonts w:ascii="宋体" w:hAnsi="宋体" w:eastAsia="宋体" w:cs="宋体"/>
          <w:b/>
          <w:bCs/>
          <w:snapToGrid/>
          <w:spacing w:val="0"/>
          <w:w w:val="100"/>
          <w:kern w:val="21"/>
          <w:position w:val="0"/>
          <w:sz w:val="28"/>
          <w:szCs w:val="28"/>
        </w:rPr>
      </w:pPr>
      <w:r>
        <w:rPr>
          <w:rFonts w:ascii="宋体" w:hAnsi="宋体" w:eastAsia="宋体" w:cs="宋体"/>
          <w:b/>
          <w:bCs/>
          <w:snapToGrid/>
          <w:spacing w:val="0"/>
          <w:w w:val="100"/>
          <w:kern w:val="21"/>
          <w:position w:val="0"/>
          <w:sz w:val="28"/>
          <w:szCs w:val="28"/>
        </w:rPr>
        <w:br w:type="page"/>
      </w:r>
    </w:p>
    <w:p w14:paraId="59C0410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附表六：临时用地表</w:t>
      </w:r>
    </w:p>
    <w:tbl>
      <w:tblPr>
        <w:tblStyle w:val="26"/>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1"/>
        <w:gridCol w:w="2325"/>
      </w:tblGrid>
      <w:tr w14:paraId="1503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324" w:type="dxa"/>
            <w:vAlign w:val="center"/>
          </w:tcPr>
          <w:p w14:paraId="13DAE58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用 途</w:t>
            </w:r>
          </w:p>
        </w:tc>
        <w:tc>
          <w:tcPr>
            <w:tcW w:w="2320" w:type="dxa"/>
            <w:vAlign w:val="center"/>
          </w:tcPr>
          <w:p w14:paraId="18C68F2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面 积（平方米）</w:t>
            </w:r>
          </w:p>
        </w:tc>
        <w:tc>
          <w:tcPr>
            <w:tcW w:w="2321" w:type="dxa"/>
            <w:vAlign w:val="center"/>
          </w:tcPr>
          <w:p w14:paraId="77D420C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位 置</w:t>
            </w:r>
          </w:p>
        </w:tc>
        <w:tc>
          <w:tcPr>
            <w:tcW w:w="2325" w:type="dxa"/>
            <w:vAlign w:val="center"/>
          </w:tcPr>
          <w:p w14:paraId="399D98C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需用时间</w:t>
            </w:r>
          </w:p>
        </w:tc>
      </w:tr>
      <w:tr w14:paraId="15A1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324" w:type="dxa"/>
            <w:vAlign w:val="center"/>
          </w:tcPr>
          <w:p w14:paraId="588359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259032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6EF309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0BECFAC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05C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4E231E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33B67C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7F687EC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72AD7E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758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0E118B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73FA4C8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4351F1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7B7BF36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DCB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75977FB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573C59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7FC2FBA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5E82DB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C0C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324" w:type="dxa"/>
            <w:vAlign w:val="center"/>
          </w:tcPr>
          <w:p w14:paraId="739CE3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09EF7A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3EC38A3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4918359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456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507560D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5C0498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2086DC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66595C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D0B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080103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6B79BB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0B3961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4829C6F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A08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31F4A2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4C7285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2C8E8D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0C0203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8C7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324" w:type="dxa"/>
            <w:vAlign w:val="center"/>
          </w:tcPr>
          <w:p w14:paraId="690F580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2F1E00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49FC54E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65DA1C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D38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6E9843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26CD7E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3715202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57FA20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0E40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78AC6D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3A42C7B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6EBEEC8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682518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818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3BA5A7B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733743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65EEB1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1F9DA2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5D2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324" w:type="dxa"/>
            <w:vAlign w:val="center"/>
          </w:tcPr>
          <w:p w14:paraId="4A29BC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3492F3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5A9D7C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362725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1E5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5C7D05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6467F8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2407AE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642A69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F7C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1A29D93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124BE74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3FB7A0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26A3BC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9DB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078FD6E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3EC703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7B1CFA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7CB68F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81A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20CE02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75995A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7DD3F84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022362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9D7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24C922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1091A4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7C8ABA8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599CA24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EA3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09463F2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17DCE7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1AF8430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79A6CD8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D46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0E94200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077588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1FB1BE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7807DDF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435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324" w:type="dxa"/>
            <w:vAlign w:val="center"/>
          </w:tcPr>
          <w:p w14:paraId="1D85AD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467DB1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405CCD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2048B9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53E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324" w:type="dxa"/>
            <w:vAlign w:val="center"/>
          </w:tcPr>
          <w:p w14:paraId="465EA7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0" w:type="dxa"/>
            <w:vAlign w:val="center"/>
          </w:tcPr>
          <w:p w14:paraId="349C9E2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1" w:type="dxa"/>
            <w:vAlign w:val="center"/>
          </w:tcPr>
          <w:p w14:paraId="6A7E5D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25" w:type="dxa"/>
            <w:vAlign w:val="center"/>
          </w:tcPr>
          <w:p w14:paraId="566130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5F410AA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31"/>
          <w:szCs w:val="31"/>
        </w:rPr>
      </w:pPr>
      <w:bookmarkStart w:id="650" w:name="bookmark204"/>
      <w:bookmarkEnd w:id="650"/>
      <w:r>
        <w:rPr>
          <w:rFonts w:ascii="宋体" w:hAnsi="宋体" w:eastAsia="宋体" w:cs="宋体"/>
          <w:b/>
          <w:bCs/>
          <w:snapToGrid/>
          <w:spacing w:val="0"/>
          <w:w w:val="100"/>
          <w:kern w:val="21"/>
          <w:position w:val="0"/>
          <w:sz w:val="31"/>
          <w:szCs w:val="31"/>
        </w:rPr>
        <w:t>七、项目管理机构</w:t>
      </w:r>
    </w:p>
    <w:p w14:paraId="2A195AB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（一）项目机构组成表</w:t>
      </w:r>
    </w:p>
    <w:tbl>
      <w:tblPr>
        <w:tblStyle w:val="26"/>
        <w:tblW w:w="88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72"/>
        <w:gridCol w:w="1079"/>
        <w:gridCol w:w="1143"/>
        <w:gridCol w:w="1143"/>
        <w:gridCol w:w="1143"/>
        <w:gridCol w:w="1143"/>
        <w:gridCol w:w="1446"/>
      </w:tblGrid>
      <w:tr w14:paraId="32A0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678" w:type="dxa"/>
            <w:vMerge w:val="restart"/>
            <w:tcBorders>
              <w:bottom w:val="nil"/>
            </w:tcBorders>
            <w:vAlign w:val="center"/>
          </w:tcPr>
          <w:p w14:paraId="009EB9C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职务</w:t>
            </w:r>
          </w:p>
        </w:tc>
        <w:tc>
          <w:tcPr>
            <w:tcW w:w="1072" w:type="dxa"/>
            <w:vMerge w:val="restart"/>
            <w:tcBorders>
              <w:bottom w:val="nil"/>
            </w:tcBorders>
            <w:vAlign w:val="center"/>
          </w:tcPr>
          <w:p w14:paraId="511E7E3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姓名</w:t>
            </w:r>
          </w:p>
        </w:tc>
        <w:tc>
          <w:tcPr>
            <w:tcW w:w="1079" w:type="dxa"/>
            <w:vMerge w:val="restart"/>
            <w:tcBorders>
              <w:bottom w:val="nil"/>
            </w:tcBorders>
            <w:vAlign w:val="center"/>
          </w:tcPr>
          <w:p w14:paraId="00D308E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职称</w:t>
            </w:r>
          </w:p>
        </w:tc>
        <w:tc>
          <w:tcPr>
            <w:tcW w:w="4572" w:type="dxa"/>
            <w:gridSpan w:val="4"/>
            <w:vAlign w:val="center"/>
          </w:tcPr>
          <w:p w14:paraId="00BFAE8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执业或职业资格证明</w:t>
            </w:r>
          </w:p>
        </w:tc>
        <w:tc>
          <w:tcPr>
            <w:tcW w:w="1446" w:type="dxa"/>
            <w:vMerge w:val="restart"/>
            <w:tcBorders>
              <w:bottom w:val="nil"/>
            </w:tcBorders>
            <w:vAlign w:val="center"/>
          </w:tcPr>
          <w:p w14:paraId="0A7CD5E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r>
      <w:tr w14:paraId="10A9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Merge w:val="continue"/>
            <w:tcBorders>
              <w:top w:val="nil"/>
            </w:tcBorders>
            <w:vAlign w:val="center"/>
          </w:tcPr>
          <w:p w14:paraId="15363C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Merge w:val="continue"/>
            <w:tcBorders>
              <w:top w:val="nil"/>
            </w:tcBorders>
            <w:vAlign w:val="center"/>
          </w:tcPr>
          <w:p w14:paraId="35875F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Merge w:val="continue"/>
            <w:tcBorders>
              <w:top w:val="nil"/>
            </w:tcBorders>
            <w:vAlign w:val="center"/>
          </w:tcPr>
          <w:p w14:paraId="7C55BC0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94AD8E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证书名称</w:t>
            </w:r>
          </w:p>
        </w:tc>
        <w:tc>
          <w:tcPr>
            <w:tcW w:w="1143" w:type="dxa"/>
            <w:vAlign w:val="center"/>
          </w:tcPr>
          <w:p w14:paraId="327FAD6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级别</w:t>
            </w:r>
          </w:p>
        </w:tc>
        <w:tc>
          <w:tcPr>
            <w:tcW w:w="1143" w:type="dxa"/>
            <w:vAlign w:val="center"/>
          </w:tcPr>
          <w:p w14:paraId="442C793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证号</w:t>
            </w:r>
          </w:p>
        </w:tc>
        <w:tc>
          <w:tcPr>
            <w:tcW w:w="1143" w:type="dxa"/>
            <w:vAlign w:val="center"/>
          </w:tcPr>
          <w:p w14:paraId="42D0454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专业</w:t>
            </w:r>
          </w:p>
        </w:tc>
        <w:tc>
          <w:tcPr>
            <w:tcW w:w="1446" w:type="dxa"/>
            <w:vMerge w:val="continue"/>
            <w:tcBorders>
              <w:top w:val="nil"/>
            </w:tcBorders>
            <w:vAlign w:val="center"/>
          </w:tcPr>
          <w:p w14:paraId="3C99D5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4F1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2FD25E4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5EC311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1EC78B9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1984C3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5016A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15F418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01112C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5BF326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742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028ED5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1632FB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EC237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FDF664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D46682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9A70B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DF41E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C4AA88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FC2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0A98EA0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4BB30D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3154366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E0E5CB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A2A01A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F3E6D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B524A1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3AA62AD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3FA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78" w:type="dxa"/>
            <w:vAlign w:val="center"/>
          </w:tcPr>
          <w:p w14:paraId="111AE4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33A877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C15E6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3EF643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B03854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D01E5F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829611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4F5328F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CA4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5073E70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2D54212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713A4F0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2DE54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B7375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B4069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660239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F3D78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0FB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4FF94DA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54C93BB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7538D2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33012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78068F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CC006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A8685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1ACC28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8AF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6B902C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4E91920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51A8FC0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7A492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552F9E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B03BC1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080CDD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1624081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9BE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27FDFEA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1A400D7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D0EFD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AE917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46E0D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FFF5D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6CDA5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43CDE7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6C9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5CA6DA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0A9CB31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0EC60CB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3C4164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009C6E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F13BB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7BF75F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2FDD17D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D55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78" w:type="dxa"/>
            <w:vAlign w:val="center"/>
          </w:tcPr>
          <w:p w14:paraId="7B93837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49A5EA4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46AAB0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A5D101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56F57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24F5D7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7C0EB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9D5BC6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C99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032497A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1025B1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6A309A2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8A0A04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A15E4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35A50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8F610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43ECF6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AB4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7D76643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319B92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5712319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9E73F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057C1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CA7BE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276C01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E41FA8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9158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78" w:type="dxa"/>
            <w:vAlign w:val="center"/>
          </w:tcPr>
          <w:p w14:paraId="1B8F1BF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440A2E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59D38A4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9C292F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037398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086040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07F96B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195F315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560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697417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04C166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9B983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6401C7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8CFB23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B58112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227DF6D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18E549E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470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1F4C18F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004573E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C64F1E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392840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579287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24B63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214E35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1680B9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F19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78" w:type="dxa"/>
            <w:vAlign w:val="center"/>
          </w:tcPr>
          <w:p w14:paraId="294E94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2E00AE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497C578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4BE8E6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89266A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9DA725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A6B25B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6CA26A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8B4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678" w:type="dxa"/>
            <w:vAlign w:val="center"/>
          </w:tcPr>
          <w:p w14:paraId="54D1767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4C24E4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15E8D7C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3D7147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7F351E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DA025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825A74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3FB53A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075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678" w:type="dxa"/>
            <w:vAlign w:val="center"/>
          </w:tcPr>
          <w:p w14:paraId="79E897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2" w:type="dxa"/>
            <w:vAlign w:val="center"/>
          </w:tcPr>
          <w:p w14:paraId="63F0C70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522AC7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00600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12867F9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71D07F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143" w:type="dxa"/>
            <w:vAlign w:val="center"/>
          </w:tcPr>
          <w:p w14:paraId="0E4019A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46" w:type="dxa"/>
            <w:vAlign w:val="center"/>
          </w:tcPr>
          <w:p w14:paraId="3AD606F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53EBC94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540F78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hAnsi="Arial" w:eastAsia="Arial" w:cs="Arial"/>
          <w:snapToGrid/>
          <w:spacing w:val="0"/>
          <w:w w:val="100"/>
          <w:kern w:val="21"/>
          <w:position w:val="0"/>
          <w:sz w:val="21"/>
          <w:szCs w:val="21"/>
        </w:rPr>
        <w:sectPr>
          <w:footerReference r:id="rId43" w:type="default"/>
          <w:pgSz w:w="11906" w:h="16838"/>
          <w:pgMar w:top="1440" w:right="1080" w:bottom="1440" w:left="1080" w:header="0" w:footer="1185" w:gutter="0"/>
          <w:pgNumType w:fmt="decimal"/>
          <w:cols w:space="720" w:num="1"/>
        </w:sectPr>
      </w:pPr>
    </w:p>
    <w:p w14:paraId="0943F70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（二）主要人员简历表</w:t>
      </w:r>
    </w:p>
    <w:tbl>
      <w:tblPr>
        <w:tblStyle w:val="26"/>
        <w:tblW w:w="92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2"/>
        <w:gridCol w:w="1537"/>
        <w:gridCol w:w="1538"/>
        <w:gridCol w:w="1538"/>
        <w:gridCol w:w="1538"/>
        <w:gridCol w:w="1543"/>
      </w:tblGrid>
      <w:tr w14:paraId="670C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542" w:type="dxa"/>
            <w:vAlign w:val="center"/>
          </w:tcPr>
          <w:p w14:paraId="2DD2DF3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姓名</w:t>
            </w:r>
          </w:p>
        </w:tc>
        <w:tc>
          <w:tcPr>
            <w:tcW w:w="1537" w:type="dxa"/>
            <w:vAlign w:val="center"/>
          </w:tcPr>
          <w:p w14:paraId="13DD74A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01BF003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年龄</w:t>
            </w:r>
          </w:p>
        </w:tc>
        <w:tc>
          <w:tcPr>
            <w:tcW w:w="1538" w:type="dxa"/>
            <w:vAlign w:val="center"/>
          </w:tcPr>
          <w:p w14:paraId="1DD291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470CA38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学历</w:t>
            </w:r>
          </w:p>
        </w:tc>
        <w:tc>
          <w:tcPr>
            <w:tcW w:w="1543" w:type="dxa"/>
            <w:vAlign w:val="center"/>
          </w:tcPr>
          <w:p w14:paraId="7D2CFEA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AF68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1542" w:type="dxa"/>
            <w:vAlign w:val="center"/>
          </w:tcPr>
          <w:p w14:paraId="33DF9F4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执业资格</w:t>
            </w:r>
          </w:p>
        </w:tc>
        <w:tc>
          <w:tcPr>
            <w:tcW w:w="4613" w:type="dxa"/>
            <w:gridSpan w:val="3"/>
            <w:vAlign w:val="center"/>
          </w:tcPr>
          <w:p w14:paraId="10974CC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56DA151B">
            <w:pPr>
              <w:pStyle w:val="27"/>
              <w:keepNext w:val="0"/>
              <w:keepLines w:val="0"/>
              <w:pageBreakBefore w:val="0"/>
              <w:widowControl w:val="0"/>
              <w:kinsoku/>
              <w:wordWrap w:val="0"/>
              <w:overflowPunct/>
              <w:topLinePunct/>
              <w:autoSpaceDE w:val="0"/>
              <w:autoSpaceDN/>
              <w:bidi w:val="0"/>
              <w:adjustRightInd/>
              <w:snapToGrid/>
              <w:spacing w:line="560" w:lineRule="exact"/>
              <w:ind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安全生产考核合格证书</w:t>
            </w:r>
          </w:p>
        </w:tc>
        <w:tc>
          <w:tcPr>
            <w:tcW w:w="1543" w:type="dxa"/>
            <w:vAlign w:val="center"/>
          </w:tcPr>
          <w:p w14:paraId="5231913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BB2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1542" w:type="dxa"/>
            <w:vAlign w:val="center"/>
          </w:tcPr>
          <w:p w14:paraId="6D6E968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职称</w:t>
            </w:r>
          </w:p>
        </w:tc>
        <w:tc>
          <w:tcPr>
            <w:tcW w:w="1537" w:type="dxa"/>
            <w:vAlign w:val="center"/>
          </w:tcPr>
          <w:p w14:paraId="754C7A0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5649C51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职务</w:t>
            </w:r>
          </w:p>
        </w:tc>
        <w:tc>
          <w:tcPr>
            <w:tcW w:w="1538" w:type="dxa"/>
            <w:vAlign w:val="center"/>
          </w:tcPr>
          <w:p w14:paraId="6E35B4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1A980E6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拟在本合同</w:t>
            </w:r>
          </w:p>
          <w:p w14:paraId="520148F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任职</w:t>
            </w:r>
          </w:p>
        </w:tc>
        <w:tc>
          <w:tcPr>
            <w:tcW w:w="1543" w:type="dxa"/>
            <w:vAlign w:val="center"/>
          </w:tcPr>
          <w:p w14:paraId="0D003B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1FAC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542" w:type="dxa"/>
            <w:vAlign w:val="center"/>
          </w:tcPr>
          <w:p w14:paraId="3D51ED6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毕业学校</w:t>
            </w:r>
          </w:p>
        </w:tc>
        <w:tc>
          <w:tcPr>
            <w:tcW w:w="7694" w:type="dxa"/>
            <w:gridSpan w:val="5"/>
            <w:vAlign w:val="center"/>
          </w:tcPr>
          <w:p w14:paraId="4616A30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年毕业于     学校      专业</w:t>
            </w:r>
          </w:p>
        </w:tc>
      </w:tr>
      <w:tr w14:paraId="51B5B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9236" w:type="dxa"/>
            <w:gridSpan w:val="6"/>
            <w:vAlign w:val="center"/>
          </w:tcPr>
          <w:p w14:paraId="2DD391C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主要施工管理经历</w:t>
            </w:r>
          </w:p>
        </w:tc>
      </w:tr>
      <w:tr w14:paraId="2332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jc w:val="center"/>
        </w:trPr>
        <w:tc>
          <w:tcPr>
            <w:tcW w:w="1542" w:type="dxa"/>
            <w:vAlign w:val="center"/>
          </w:tcPr>
          <w:p w14:paraId="5B66ED3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时间</w:t>
            </w:r>
          </w:p>
        </w:tc>
        <w:tc>
          <w:tcPr>
            <w:tcW w:w="4613" w:type="dxa"/>
            <w:gridSpan w:val="3"/>
            <w:vAlign w:val="center"/>
          </w:tcPr>
          <w:p w14:paraId="3B6BBC2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参加过的类似项目</w:t>
            </w:r>
          </w:p>
        </w:tc>
        <w:tc>
          <w:tcPr>
            <w:tcW w:w="1538" w:type="dxa"/>
            <w:vAlign w:val="center"/>
          </w:tcPr>
          <w:p w14:paraId="58DFFFF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担任职务</w:t>
            </w:r>
          </w:p>
        </w:tc>
        <w:tc>
          <w:tcPr>
            <w:tcW w:w="1543" w:type="dxa"/>
            <w:vAlign w:val="center"/>
          </w:tcPr>
          <w:p w14:paraId="0919E8A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发包人及联</w:t>
            </w:r>
          </w:p>
          <w:p w14:paraId="7939B4A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sz w:val="23"/>
                <w:szCs w:val="23"/>
              </w:rPr>
            </w:pPr>
            <w:r>
              <w:rPr>
                <w:snapToGrid/>
                <w:spacing w:val="0"/>
                <w:w w:val="100"/>
                <w:kern w:val="21"/>
                <w:position w:val="0"/>
                <w:sz w:val="23"/>
                <w:szCs w:val="23"/>
              </w:rPr>
              <w:t>系电话</w:t>
            </w:r>
          </w:p>
        </w:tc>
      </w:tr>
      <w:tr w14:paraId="0B3B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542" w:type="dxa"/>
            <w:vAlign w:val="center"/>
          </w:tcPr>
          <w:p w14:paraId="79DB2A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52F62BA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2F069A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0BFB33B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4155D0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6B1895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539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542" w:type="dxa"/>
            <w:vAlign w:val="center"/>
          </w:tcPr>
          <w:p w14:paraId="66A6A5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2A6F9B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236759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0BA40D0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4249BAF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5625FA0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546A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542" w:type="dxa"/>
            <w:vAlign w:val="center"/>
          </w:tcPr>
          <w:p w14:paraId="080149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661B6B2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304BCCF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6D0E81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3BDA9A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4D05DA7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01C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542" w:type="dxa"/>
            <w:vAlign w:val="center"/>
          </w:tcPr>
          <w:p w14:paraId="0CB9C19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161E3F9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68A9FA7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576433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7690C31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645BB5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C64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542" w:type="dxa"/>
            <w:vAlign w:val="center"/>
          </w:tcPr>
          <w:p w14:paraId="2F698E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0955A8B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1E03C6C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1D3A84A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046B031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7A7EC6E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1B04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1542" w:type="dxa"/>
            <w:vAlign w:val="center"/>
          </w:tcPr>
          <w:p w14:paraId="2278E5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55E15B9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77A3E3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1FBCE7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6C79A2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248367E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9F0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542" w:type="dxa"/>
            <w:vAlign w:val="center"/>
          </w:tcPr>
          <w:p w14:paraId="401CB53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7" w:type="dxa"/>
            <w:vAlign w:val="center"/>
          </w:tcPr>
          <w:p w14:paraId="2C951E7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61B77DE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79FD52B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38" w:type="dxa"/>
            <w:vAlign w:val="center"/>
          </w:tcPr>
          <w:p w14:paraId="1E6DCE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3" w:type="dxa"/>
            <w:vAlign w:val="center"/>
          </w:tcPr>
          <w:p w14:paraId="743F47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1F0531B7">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snapToGrid/>
          <w:spacing w:val="0"/>
          <w:w w:val="100"/>
          <w:kern w:val="21"/>
          <w:position w:val="0"/>
          <w:sz w:val="20"/>
          <w:szCs w:val="20"/>
        </w:rPr>
        <w:t xml:space="preserve">注：主要人员指投标人须知前附表第 </w:t>
      </w:r>
      <w:r>
        <w:rPr>
          <w:rFonts w:ascii="Arial" w:hAnsi="Arial" w:eastAsia="Arial" w:cs="Arial"/>
          <w:snapToGrid/>
          <w:spacing w:val="0"/>
          <w:w w:val="100"/>
          <w:kern w:val="21"/>
          <w:position w:val="0"/>
          <w:sz w:val="20"/>
          <w:szCs w:val="20"/>
        </w:rPr>
        <w:t xml:space="preserve">1.4.1 </w:t>
      </w:r>
      <w:r>
        <w:rPr>
          <w:rFonts w:ascii="宋体" w:hAnsi="宋体" w:eastAsia="宋体" w:cs="宋体"/>
          <w:snapToGrid/>
          <w:spacing w:val="0"/>
          <w:w w:val="100"/>
          <w:kern w:val="21"/>
          <w:position w:val="0"/>
          <w:sz w:val="20"/>
          <w:szCs w:val="20"/>
        </w:rPr>
        <w:t>项要求的人员及其他主要人员。表后附项目经理： 注册建造师证、安全生产考核合格证书、身份证、职称证</w:t>
      </w:r>
      <w:r>
        <w:rPr>
          <w:rFonts w:ascii="宋体" w:hAnsi="宋体" w:eastAsia="宋体" w:cs="宋体"/>
          <w:i/>
          <w:iCs/>
          <w:snapToGrid/>
          <w:spacing w:val="0"/>
          <w:w w:val="100"/>
          <w:kern w:val="21"/>
          <w:position w:val="0"/>
          <w:sz w:val="21"/>
          <w:szCs w:val="21"/>
        </w:rPr>
        <w:t>（如要求）</w:t>
      </w:r>
      <w:r>
        <w:rPr>
          <w:rFonts w:ascii="宋体" w:hAnsi="宋体" w:eastAsia="宋体" w:cs="宋体"/>
          <w:snapToGrid/>
          <w:spacing w:val="0"/>
          <w:w w:val="100"/>
          <w:kern w:val="21"/>
          <w:position w:val="0"/>
          <w:sz w:val="20"/>
          <w:szCs w:val="20"/>
        </w:rPr>
        <w:t>、个人业绩</w:t>
      </w:r>
      <w:r>
        <w:rPr>
          <w:rFonts w:ascii="宋体" w:hAnsi="宋体" w:eastAsia="宋体" w:cs="宋体"/>
          <w:i/>
          <w:iCs/>
          <w:snapToGrid/>
          <w:spacing w:val="0"/>
          <w:w w:val="100"/>
          <w:kern w:val="21"/>
          <w:position w:val="0"/>
          <w:sz w:val="21"/>
          <w:szCs w:val="21"/>
        </w:rPr>
        <w:t>（如要求）</w:t>
      </w:r>
      <w:r>
        <w:rPr>
          <w:rFonts w:ascii="宋体" w:hAnsi="宋体" w:eastAsia="宋体" w:cs="宋体"/>
          <w:snapToGrid/>
          <w:spacing w:val="0"/>
          <w:w w:val="100"/>
          <w:kern w:val="21"/>
          <w:position w:val="0"/>
          <w:sz w:val="20"/>
          <w:szCs w:val="20"/>
        </w:rPr>
        <w:t xml:space="preserve">；主要 人员：身份证、职称证、个人业绩 </w:t>
      </w:r>
      <w:r>
        <w:rPr>
          <w:rFonts w:ascii="宋体" w:hAnsi="宋体" w:eastAsia="宋体" w:cs="宋体"/>
          <w:i/>
          <w:iCs/>
          <w:snapToGrid/>
          <w:spacing w:val="0"/>
          <w:w w:val="100"/>
          <w:kern w:val="21"/>
          <w:position w:val="0"/>
          <w:sz w:val="21"/>
          <w:szCs w:val="21"/>
        </w:rPr>
        <w:t>（如要求）。（说明：以上资料仅为列举）</w:t>
      </w:r>
    </w:p>
    <w:p w14:paraId="315604FC">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1"/>
          <w:szCs w:val="21"/>
        </w:rPr>
        <w:sectPr>
          <w:footerReference r:id="rId44" w:type="default"/>
          <w:pgSz w:w="11906" w:h="16838"/>
          <w:pgMar w:top="1440" w:right="1080" w:bottom="1440" w:left="1080" w:header="0" w:footer="1185" w:gutter="0"/>
          <w:pgNumType w:fmt="decimal"/>
          <w:cols w:space="720" w:num="1"/>
        </w:sectPr>
      </w:pPr>
    </w:p>
    <w:p w14:paraId="23C4738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31"/>
          <w:szCs w:val="31"/>
        </w:rPr>
      </w:pPr>
      <w:bookmarkStart w:id="651" w:name="bookmark205"/>
      <w:bookmarkEnd w:id="651"/>
      <w:r>
        <w:rPr>
          <w:rFonts w:ascii="宋体" w:hAnsi="宋体" w:eastAsia="宋体" w:cs="宋体"/>
          <w:b/>
          <w:bCs/>
          <w:snapToGrid/>
          <w:spacing w:val="0"/>
          <w:w w:val="100"/>
          <w:kern w:val="21"/>
          <w:position w:val="0"/>
          <w:sz w:val="31"/>
          <w:szCs w:val="31"/>
        </w:rPr>
        <w:t>八、拟分包项目情况表</w:t>
      </w:r>
    </w:p>
    <w:tbl>
      <w:tblPr>
        <w:tblStyle w:val="26"/>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3"/>
        <w:gridCol w:w="1945"/>
        <w:gridCol w:w="2700"/>
      </w:tblGrid>
      <w:tr w14:paraId="666FE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082" w:type="dxa"/>
            <w:vAlign w:val="center"/>
          </w:tcPr>
          <w:p w14:paraId="0794E6D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拟分包的工程项目</w:t>
            </w:r>
          </w:p>
        </w:tc>
        <w:tc>
          <w:tcPr>
            <w:tcW w:w="2563" w:type="dxa"/>
            <w:vAlign w:val="center"/>
          </w:tcPr>
          <w:p w14:paraId="38E28B9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主要工程内容</w:t>
            </w:r>
          </w:p>
        </w:tc>
        <w:tc>
          <w:tcPr>
            <w:tcW w:w="1945" w:type="dxa"/>
            <w:vAlign w:val="center"/>
          </w:tcPr>
          <w:p w14:paraId="656B3C9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预计造价（万元）</w:t>
            </w:r>
          </w:p>
        </w:tc>
        <w:tc>
          <w:tcPr>
            <w:tcW w:w="2700" w:type="dxa"/>
            <w:vAlign w:val="center"/>
          </w:tcPr>
          <w:p w14:paraId="5D477CE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 注</w:t>
            </w:r>
          </w:p>
        </w:tc>
      </w:tr>
      <w:tr w14:paraId="3CA5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82" w:type="dxa"/>
            <w:vAlign w:val="center"/>
          </w:tcPr>
          <w:p w14:paraId="0EB473F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20261CB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0005D5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restart"/>
            <w:tcBorders>
              <w:bottom w:val="nil"/>
            </w:tcBorders>
            <w:vAlign w:val="center"/>
          </w:tcPr>
          <w:p w14:paraId="3EC473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E11A1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3C936B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A0033A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421EAC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02409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794DA2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C4E77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2D5E84A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0A646F7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094DF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4A1AC9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94A77F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1083F27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659CD79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1ABFC5B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5F9AAD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2FD6D7C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p w14:paraId="3ABF5A5E">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1"/>
              <w:jc w:val="center"/>
              <w:textAlignment w:val="baseline"/>
              <w:outlineLvl w:val="9"/>
              <w:rPr>
                <w:rFonts w:ascii="Times New Roman" w:hAnsi="Times New Roman" w:eastAsia="Times New Roman" w:cs="Times New Roman"/>
                <w:snapToGrid/>
                <w:spacing w:val="0"/>
                <w:w w:val="100"/>
                <w:kern w:val="21"/>
                <w:position w:val="0"/>
              </w:rPr>
            </w:pPr>
            <w:r>
              <w:rPr>
                <w:snapToGrid/>
                <w:spacing w:val="0"/>
                <w:w w:val="100"/>
                <w:kern w:val="21"/>
                <w:position w:val="0"/>
              </w:rPr>
              <w:t>注：若无分包计划，则投标 人应在本表填写</w:t>
            </w:r>
            <w:r>
              <w:rPr>
                <w:rFonts w:ascii="Times New Roman" w:hAnsi="Times New Roman" w:eastAsia="Times New Roman" w:cs="Times New Roman"/>
                <w:snapToGrid/>
                <w:spacing w:val="0"/>
                <w:w w:val="100"/>
                <w:kern w:val="21"/>
                <w:position w:val="0"/>
              </w:rPr>
              <w:t>“</w:t>
            </w:r>
            <w:r>
              <w:rPr>
                <w:snapToGrid/>
                <w:spacing w:val="0"/>
                <w:w w:val="100"/>
                <w:kern w:val="21"/>
                <w:position w:val="0"/>
              </w:rPr>
              <w:t>无</w:t>
            </w:r>
            <w:r>
              <w:rPr>
                <w:rFonts w:ascii="Times New Roman" w:hAnsi="Times New Roman" w:eastAsia="Times New Roman" w:cs="Times New Roman"/>
                <w:snapToGrid/>
                <w:spacing w:val="0"/>
                <w:w w:val="100"/>
                <w:kern w:val="21"/>
                <w:position w:val="0"/>
              </w:rPr>
              <w:t>”</w:t>
            </w:r>
          </w:p>
        </w:tc>
      </w:tr>
      <w:tr w14:paraId="78B1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082" w:type="dxa"/>
            <w:vAlign w:val="center"/>
          </w:tcPr>
          <w:p w14:paraId="7B72FE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102C41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A78ED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2935EB1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E221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55F2D8A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1B89A4C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2D92A9D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6D8C2E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780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82" w:type="dxa"/>
            <w:vAlign w:val="center"/>
          </w:tcPr>
          <w:p w14:paraId="3EC6861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5EC19D0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389B3D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7AAF23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BB8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2082" w:type="dxa"/>
            <w:vAlign w:val="center"/>
          </w:tcPr>
          <w:p w14:paraId="66CC6DB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6E2700B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0A1D8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7CFED1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766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0F40D8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098C94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10325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4C0B9A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C74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7C8198A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1DB4E0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61CE8F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134CA6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87B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082" w:type="dxa"/>
            <w:vAlign w:val="center"/>
          </w:tcPr>
          <w:p w14:paraId="7A78CBC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29742CC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41983E3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0E3BFBF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F64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7B4DA41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4DB9D46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42C08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6BE8DA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5BC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3A5AB5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7F0FCA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66A26A4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032300F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576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11B239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349103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53ED6C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5F01F51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16C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1DBFB6E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537E4E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E2343C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7231CAE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73A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082" w:type="dxa"/>
            <w:vAlign w:val="center"/>
          </w:tcPr>
          <w:p w14:paraId="65460E2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65EBF16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2B1796B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232DEC1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08CE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05F43B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44A78B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59E3D00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623BB8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FD63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418FC62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31EA458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4A3C2C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1DAB01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E38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2B5037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3E8F6DC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6AF601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7DDBC01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F94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0BDF10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62EF9E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727940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2417EB8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A0B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59ACB66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3CD5EC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4F5AD2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6C6633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1BF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2082" w:type="dxa"/>
            <w:vAlign w:val="center"/>
          </w:tcPr>
          <w:p w14:paraId="764D881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563" w:type="dxa"/>
            <w:vAlign w:val="center"/>
          </w:tcPr>
          <w:p w14:paraId="2E7DC2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45" w:type="dxa"/>
            <w:vAlign w:val="center"/>
          </w:tcPr>
          <w:p w14:paraId="75F919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bottom w:val="nil"/>
            </w:tcBorders>
            <w:vAlign w:val="center"/>
          </w:tcPr>
          <w:p w14:paraId="08FD65F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748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4645" w:type="dxa"/>
            <w:gridSpan w:val="2"/>
            <w:vAlign w:val="center"/>
          </w:tcPr>
          <w:p w14:paraId="7FE603A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拟分包工程造价合计（万元）</w:t>
            </w:r>
          </w:p>
        </w:tc>
        <w:tc>
          <w:tcPr>
            <w:tcW w:w="1945" w:type="dxa"/>
            <w:vAlign w:val="center"/>
          </w:tcPr>
          <w:p w14:paraId="4878BEE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700" w:type="dxa"/>
            <w:vMerge w:val="continue"/>
            <w:tcBorders>
              <w:top w:val="nil"/>
            </w:tcBorders>
            <w:vAlign w:val="center"/>
          </w:tcPr>
          <w:p w14:paraId="086E91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1359F1B6">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5B4C64E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hAnsi="Arial" w:eastAsia="Arial" w:cs="Arial"/>
          <w:snapToGrid/>
          <w:spacing w:val="0"/>
          <w:w w:val="100"/>
          <w:kern w:val="21"/>
          <w:position w:val="0"/>
          <w:sz w:val="21"/>
          <w:szCs w:val="21"/>
        </w:rPr>
        <w:sectPr>
          <w:footerReference r:id="rId45" w:type="default"/>
          <w:pgSz w:w="11906" w:h="16838"/>
          <w:pgMar w:top="1440" w:right="1080" w:bottom="1440" w:left="1080" w:header="0" w:footer="1185" w:gutter="0"/>
          <w:pgNumType w:fmt="decimal"/>
          <w:cols w:space="720" w:num="1"/>
        </w:sectPr>
      </w:pPr>
    </w:p>
    <w:p w14:paraId="4D05B47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31"/>
          <w:szCs w:val="31"/>
        </w:rPr>
      </w:pPr>
      <w:bookmarkStart w:id="652" w:name="bookmark206"/>
      <w:bookmarkEnd w:id="652"/>
      <w:r>
        <w:rPr>
          <w:rFonts w:ascii="宋体" w:hAnsi="宋体" w:eastAsia="宋体" w:cs="宋体"/>
          <w:b/>
          <w:bCs/>
          <w:snapToGrid/>
          <w:spacing w:val="0"/>
          <w:w w:val="100"/>
          <w:kern w:val="21"/>
          <w:position w:val="0"/>
          <w:sz w:val="31"/>
          <w:szCs w:val="31"/>
        </w:rPr>
        <w:t>九、资格审查材料</w:t>
      </w:r>
    </w:p>
    <w:p w14:paraId="1E3AC9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（一）投标人基本情况表</w:t>
      </w:r>
    </w:p>
    <w:tbl>
      <w:tblPr>
        <w:tblStyle w:val="26"/>
        <w:tblW w:w="92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931"/>
        <w:gridCol w:w="1310"/>
        <w:gridCol w:w="465"/>
        <w:gridCol w:w="1079"/>
        <w:gridCol w:w="1330"/>
        <w:gridCol w:w="1079"/>
        <w:gridCol w:w="1085"/>
      </w:tblGrid>
      <w:tr w14:paraId="2E10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937" w:type="dxa"/>
            <w:vAlign w:val="center"/>
          </w:tcPr>
          <w:p w14:paraId="68735FF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投标人名称</w:t>
            </w:r>
          </w:p>
        </w:tc>
        <w:tc>
          <w:tcPr>
            <w:tcW w:w="7279" w:type="dxa"/>
            <w:gridSpan w:val="7"/>
            <w:vAlign w:val="center"/>
          </w:tcPr>
          <w:p w14:paraId="03937B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BD4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45E7E00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注册地址</w:t>
            </w:r>
          </w:p>
        </w:tc>
        <w:tc>
          <w:tcPr>
            <w:tcW w:w="3785" w:type="dxa"/>
            <w:gridSpan w:val="4"/>
            <w:vAlign w:val="center"/>
          </w:tcPr>
          <w:p w14:paraId="03A23F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30" w:type="dxa"/>
            <w:vAlign w:val="center"/>
          </w:tcPr>
          <w:p w14:paraId="443C0D5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邮政编码</w:t>
            </w:r>
          </w:p>
        </w:tc>
        <w:tc>
          <w:tcPr>
            <w:tcW w:w="1079" w:type="dxa"/>
            <w:vAlign w:val="center"/>
          </w:tcPr>
          <w:p w14:paraId="47B851C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2B87D6D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A068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Merge w:val="restart"/>
            <w:tcBorders>
              <w:bottom w:val="nil"/>
            </w:tcBorders>
            <w:vAlign w:val="center"/>
          </w:tcPr>
          <w:p w14:paraId="3B335EA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联系方式</w:t>
            </w:r>
          </w:p>
        </w:tc>
        <w:tc>
          <w:tcPr>
            <w:tcW w:w="931" w:type="dxa"/>
            <w:vAlign w:val="center"/>
          </w:tcPr>
          <w:p w14:paraId="63A94CE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联系人</w:t>
            </w:r>
          </w:p>
        </w:tc>
        <w:tc>
          <w:tcPr>
            <w:tcW w:w="2854" w:type="dxa"/>
            <w:gridSpan w:val="3"/>
            <w:vAlign w:val="center"/>
          </w:tcPr>
          <w:p w14:paraId="642A296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30" w:type="dxa"/>
            <w:vAlign w:val="center"/>
          </w:tcPr>
          <w:p w14:paraId="4F5DC5C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电话</w:t>
            </w:r>
          </w:p>
        </w:tc>
        <w:tc>
          <w:tcPr>
            <w:tcW w:w="1079" w:type="dxa"/>
            <w:vAlign w:val="center"/>
          </w:tcPr>
          <w:p w14:paraId="1395A8C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581059C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735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Merge w:val="continue"/>
            <w:tcBorders>
              <w:top w:val="nil"/>
            </w:tcBorders>
            <w:vAlign w:val="center"/>
          </w:tcPr>
          <w:p w14:paraId="6AA2291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931" w:type="dxa"/>
            <w:vAlign w:val="center"/>
          </w:tcPr>
          <w:p w14:paraId="240408D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传真</w:t>
            </w:r>
          </w:p>
        </w:tc>
        <w:tc>
          <w:tcPr>
            <w:tcW w:w="2854" w:type="dxa"/>
            <w:gridSpan w:val="3"/>
            <w:vAlign w:val="center"/>
          </w:tcPr>
          <w:p w14:paraId="36DECD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330" w:type="dxa"/>
            <w:vAlign w:val="center"/>
          </w:tcPr>
          <w:p w14:paraId="674DB20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网址</w:t>
            </w:r>
          </w:p>
        </w:tc>
        <w:tc>
          <w:tcPr>
            <w:tcW w:w="1079" w:type="dxa"/>
            <w:vAlign w:val="center"/>
          </w:tcPr>
          <w:p w14:paraId="1FEF82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7CFD06C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4880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937" w:type="dxa"/>
            <w:vAlign w:val="center"/>
          </w:tcPr>
          <w:p w14:paraId="62CB061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组织结构</w:t>
            </w:r>
          </w:p>
        </w:tc>
        <w:tc>
          <w:tcPr>
            <w:tcW w:w="7279" w:type="dxa"/>
            <w:gridSpan w:val="7"/>
            <w:vAlign w:val="center"/>
          </w:tcPr>
          <w:p w14:paraId="3E357D8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3FA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2271D44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法定代表人</w:t>
            </w:r>
          </w:p>
        </w:tc>
        <w:tc>
          <w:tcPr>
            <w:tcW w:w="931" w:type="dxa"/>
            <w:vAlign w:val="center"/>
          </w:tcPr>
          <w:p w14:paraId="6613DEF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姓名</w:t>
            </w:r>
          </w:p>
        </w:tc>
        <w:tc>
          <w:tcPr>
            <w:tcW w:w="1310" w:type="dxa"/>
            <w:vAlign w:val="center"/>
          </w:tcPr>
          <w:p w14:paraId="28EE5C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4" w:type="dxa"/>
            <w:gridSpan w:val="2"/>
            <w:vAlign w:val="center"/>
          </w:tcPr>
          <w:p w14:paraId="755E8C4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技术职称</w:t>
            </w:r>
          </w:p>
        </w:tc>
        <w:tc>
          <w:tcPr>
            <w:tcW w:w="1330" w:type="dxa"/>
            <w:vAlign w:val="center"/>
          </w:tcPr>
          <w:p w14:paraId="55610CC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34BC71F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电话</w:t>
            </w:r>
          </w:p>
        </w:tc>
        <w:tc>
          <w:tcPr>
            <w:tcW w:w="1085" w:type="dxa"/>
            <w:vAlign w:val="center"/>
          </w:tcPr>
          <w:p w14:paraId="022781E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930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3C3EFE1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技术负责人</w:t>
            </w:r>
          </w:p>
        </w:tc>
        <w:tc>
          <w:tcPr>
            <w:tcW w:w="931" w:type="dxa"/>
            <w:vAlign w:val="center"/>
          </w:tcPr>
          <w:p w14:paraId="36BB175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姓名</w:t>
            </w:r>
          </w:p>
        </w:tc>
        <w:tc>
          <w:tcPr>
            <w:tcW w:w="1310" w:type="dxa"/>
            <w:vAlign w:val="center"/>
          </w:tcPr>
          <w:p w14:paraId="54CE8F2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544" w:type="dxa"/>
            <w:gridSpan w:val="2"/>
            <w:vAlign w:val="center"/>
          </w:tcPr>
          <w:p w14:paraId="07F470C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技术职称</w:t>
            </w:r>
          </w:p>
        </w:tc>
        <w:tc>
          <w:tcPr>
            <w:tcW w:w="1330" w:type="dxa"/>
            <w:vAlign w:val="center"/>
          </w:tcPr>
          <w:p w14:paraId="130D1B7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79" w:type="dxa"/>
            <w:vAlign w:val="center"/>
          </w:tcPr>
          <w:p w14:paraId="24065CD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电话</w:t>
            </w:r>
          </w:p>
        </w:tc>
        <w:tc>
          <w:tcPr>
            <w:tcW w:w="1085" w:type="dxa"/>
            <w:vAlign w:val="center"/>
          </w:tcPr>
          <w:p w14:paraId="0DD2E7C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43F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3B6CC4A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成立时间</w:t>
            </w:r>
          </w:p>
        </w:tc>
        <w:tc>
          <w:tcPr>
            <w:tcW w:w="2241" w:type="dxa"/>
            <w:gridSpan w:val="2"/>
            <w:vAlign w:val="center"/>
          </w:tcPr>
          <w:p w14:paraId="2BBDF6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874" w:type="dxa"/>
            <w:gridSpan w:val="3"/>
            <w:vAlign w:val="center"/>
          </w:tcPr>
          <w:p w14:paraId="0A38D71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员工总人数</w:t>
            </w:r>
          </w:p>
        </w:tc>
        <w:tc>
          <w:tcPr>
            <w:tcW w:w="1079" w:type="dxa"/>
            <w:vAlign w:val="center"/>
          </w:tcPr>
          <w:p w14:paraId="16901E7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0D46E5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522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2AC46DE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企业资质等级</w:t>
            </w:r>
          </w:p>
        </w:tc>
        <w:tc>
          <w:tcPr>
            <w:tcW w:w="2241" w:type="dxa"/>
            <w:gridSpan w:val="2"/>
            <w:vAlign w:val="center"/>
          </w:tcPr>
          <w:p w14:paraId="029C3A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465" w:type="dxa"/>
            <w:vMerge w:val="restart"/>
            <w:tcBorders>
              <w:bottom w:val="nil"/>
            </w:tcBorders>
            <w:textDirection w:val="tbRlV"/>
            <w:vAlign w:val="center"/>
          </w:tcPr>
          <w:p w14:paraId="578BE7C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其 中</w:t>
            </w:r>
          </w:p>
        </w:tc>
        <w:tc>
          <w:tcPr>
            <w:tcW w:w="2409" w:type="dxa"/>
            <w:gridSpan w:val="2"/>
            <w:vAlign w:val="center"/>
          </w:tcPr>
          <w:p w14:paraId="1431839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项目经理</w:t>
            </w:r>
          </w:p>
        </w:tc>
        <w:tc>
          <w:tcPr>
            <w:tcW w:w="1079" w:type="dxa"/>
            <w:vAlign w:val="center"/>
          </w:tcPr>
          <w:p w14:paraId="1232E36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516DA4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F74A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11DD513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营业执照号</w:t>
            </w:r>
          </w:p>
        </w:tc>
        <w:tc>
          <w:tcPr>
            <w:tcW w:w="2241" w:type="dxa"/>
            <w:gridSpan w:val="2"/>
            <w:vAlign w:val="center"/>
          </w:tcPr>
          <w:p w14:paraId="2F3245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465" w:type="dxa"/>
            <w:vMerge w:val="continue"/>
            <w:tcBorders>
              <w:top w:val="nil"/>
              <w:bottom w:val="nil"/>
            </w:tcBorders>
            <w:textDirection w:val="tbRlV"/>
            <w:vAlign w:val="center"/>
          </w:tcPr>
          <w:p w14:paraId="243BFD0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409" w:type="dxa"/>
            <w:gridSpan w:val="2"/>
            <w:vAlign w:val="center"/>
          </w:tcPr>
          <w:p w14:paraId="151C10F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高级职称人员</w:t>
            </w:r>
          </w:p>
        </w:tc>
        <w:tc>
          <w:tcPr>
            <w:tcW w:w="1079" w:type="dxa"/>
            <w:vAlign w:val="center"/>
          </w:tcPr>
          <w:p w14:paraId="1E0009C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3EC7F4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C19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937" w:type="dxa"/>
            <w:vAlign w:val="center"/>
          </w:tcPr>
          <w:p w14:paraId="473CEEA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注册资金</w:t>
            </w:r>
          </w:p>
        </w:tc>
        <w:tc>
          <w:tcPr>
            <w:tcW w:w="2241" w:type="dxa"/>
            <w:gridSpan w:val="2"/>
            <w:vAlign w:val="center"/>
          </w:tcPr>
          <w:p w14:paraId="4AA123F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465" w:type="dxa"/>
            <w:vMerge w:val="continue"/>
            <w:tcBorders>
              <w:top w:val="nil"/>
              <w:bottom w:val="nil"/>
            </w:tcBorders>
            <w:textDirection w:val="tbRlV"/>
            <w:vAlign w:val="center"/>
          </w:tcPr>
          <w:p w14:paraId="6BF20F1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409" w:type="dxa"/>
            <w:gridSpan w:val="2"/>
            <w:vAlign w:val="center"/>
          </w:tcPr>
          <w:p w14:paraId="759F5AD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中级职称人员</w:t>
            </w:r>
          </w:p>
        </w:tc>
        <w:tc>
          <w:tcPr>
            <w:tcW w:w="1079" w:type="dxa"/>
            <w:vAlign w:val="center"/>
          </w:tcPr>
          <w:p w14:paraId="34CF069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10D7DB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85A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389AA9D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开户银行</w:t>
            </w:r>
          </w:p>
        </w:tc>
        <w:tc>
          <w:tcPr>
            <w:tcW w:w="2241" w:type="dxa"/>
            <w:gridSpan w:val="2"/>
            <w:vAlign w:val="center"/>
          </w:tcPr>
          <w:p w14:paraId="6B03974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465" w:type="dxa"/>
            <w:vMerge w:val="continue"/>
            <w:tcBorders>
              <w:top w:val="nil"/>
              <w:bottom w:val="nil"/>
            </w:tcBorders>
            <w:textDirection w:val="tbRlV"/>
            <w:vAlign w:val="center"/>
          </w:tcPr>
          <w:p w14:paraId="1843B2D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409" w:type="dxa"/>
            <w:gridSpan w:val="2"/>
            <w:vAlign w:val="center"/>
          </w:tcPr>
          <w:p w14:paraId="2E79284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初级职称人员</w:t>
            </w:r>
          </w:p>
        </w:tc>
        <w:tc>
          <w:tcPr>
            <w:tcW w:w="1079" w:type="dxa"/>
            <w:vAlign w:val="center"/>
          </w:tcPr>
          <w:p w14:paraId="41A8390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1C693A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C2D4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37" w:type="dxa"/>
            <w:vAlign w:val="center"/>
          </w:tcPr>
          <w:p w14:paraId="58BA408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账号</w:t>
            </w:r>
          </w:p>
        </w:tc>
        <w:tc>
          <w:tcPr>
            <w:tcW w:w="2241" w:type="dxa"/>
            <w:gridSpan w:val="2"/>
            <w:vAlign w:val="center"/>
          </w:tcPr>
          <w:p w14:paraId="67661E4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465" w:type="dxa"/>
            <w:vMerge w:val="continue"/>
            <w:tcBorders>
              <w:top w:val="nil"/>
            </w:tcBorders>
            <w:textDirection w:val="tbRlV"/>
            <w:vAlign w:val="center"/>
          </w:tcPr>
          <w:p w14:paraId="24142DA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409" w:type="dxa"/>
            <w:gridSpan w:val="2"/>
            <w:vAlign w:val="center"/>
          </w:tcPr>
          <w:p w14:paraId="07A5E93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技工</w:t>
            </w:r>
          </w:p>
        </w:tc>
        <w:tc>
          <w:tcPr>
            <w:tcW w:w="1079" w:type="dxa"/>
            <w:vAlign w:val="center"/>
          </w:tcPr>
          <w:p w14:paraId="18542A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085" w:type="dxa"/>
            <w:vAlign w:val="center"/>
          </w:tcPr>
          <w:p w14:paraId="717B43F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202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3" w:hRule="atLeast"/>
          <w:jc w:val="center"/>
        </w:trPr>
        <w:tc>
          <w:tcPr>
            <w:tcW w:w="1937" w:type="dxa"/>
            <w:vAlign w:val="center"/>
          </w:tcPr>
          <w:p w14:paraId="64E1F77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经营范围</w:t>
            </w:r>
          </w:p>
        </w:tc>
        <w:tc>
          <w:tcPr>
            <w:tcW w:w="7279" w:type="dxa"/>
            <w:gridSpan w:val="7"/>
            <w:vAlign w:val="center"/>
          </w:tcPr>
          <w:p w14:paraId="1BD0540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E48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937" w:type="dxa"/>
            <w:vAlign w:val="center"/>
          </w:tcPr>
          <w:p w14:paraId="7D44DF8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c>
          <w:tcPr>
            <w:tcW w:w="7279" w:type="dxa"/>
            <w:gridSpan w:val="7"/>
            <w:vAlign w:val="center"/>
          </w:tcPr>
          <w:p w14:paraId="5DE094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5355E417">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w:t>
      </w:r>
      <w:r>
        <w:rPr>
          <w:rFonts w:ascii="Arial" w:hAnsi="Arial" w:eastAsia="Arial" w:cs="Arial"/>
          <w:snapToGrid/>
          <w:spacing w:val="0"/>
          <w:w w:val="100"/>
          <w:kern w:val="21"/>
          <w:position w:val="0"/>
          <w:sz w:val="20"/>
          <w:szCs w:val="20"/>
        </w:rPr>
        <w:t>1.</w:t>
      </w:r>
      <w:r>
        <w:rPr>
          <w:rFonts w:ascii="宋体" w:hAnsi="宋体" w:eastAsia="宋体" w:cs="宋体"/>
          <w:snapToGrid/>
          <w:spacing w:val="0"/>
          <w:w w:val="100"/>
          <w:kern w:val="21"/>
          <w:position w:val="0"/>
          <w:sz w:val="20"/>
          <w:szCs w:val="20"/>
        </w:rPr>
        <w:t>应附营业执照、安全生产许可证、资质证书等相关证明材料扫描件；</w:t>
      </w:r>
    </w:p>
    <w:p w14:paraId="1BAE5A95">
      <w:pPr>
        <w:keepNext w:val="0"/>
        <w:keepLines w:val="0"/>
        <w:pageBreakBefore w:val="0"/>
        <w:widowControl w:val="0"/>
        <w:kinsoku/>
        <w:wordWrap w:val="0"/>
        <w:overflowPunct/>
        <w:topLinePunct/>
        <w:autoSpaceDE w:val="0"/>
        <w:autoSpaceDN/>
        <w:bidi w:val="0"/>
        <w:adjustRightInd/>
        <w:snapToGrid/>
        <w:spacing w:line="560" w:lineRule="exact"/>
        <w:ind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Arial" w:hAnsi="Arial" w:eastAsia="Arial" w:cs="Arial"/>
          <w:snapToGrid/>
          <w:spacing w:val="0"/>
          <w:w w:val="100"/>
          <w:kern w:val="21"/>
          <w:position w:val="0"/>
          <w:sz w:val="20"/>
          <w:szCs w:val="20"/>
        </w:rPr>
        <w:t>2.</w:t>
      </w:r>
      <w:r>
        <w:rPr>
          <w:rFonts w:ascii="宋体" w:hAnsi="宋体" w:eastAsia="宋体" w:cs="宋体"/>
          <w:snapToGrid/>
          <w:spacing w:val="0"/>
          <w:w w:val="100"/>
          <w:kern w:val="21"/>
          <w:position w:val="0"/>
          <w:sz w:val="20"/>
          <w:szCs w:val="20"/>
        </w:rPr>
        <w:t>近年来，投标人法人机构如发生合法变更、重组、法人名称变更，应提供相关部门的 合法审批件等相关证明材料，证明其业绩、奖项等具备继承性。</w:t>
      </w:r>
    </w:p>
    <w:p w14:paraId="3B28003B">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6" w:type="default"/>
          <w:pgSz w:w="11906" w:h="16838"/>
          <w:pgMar w:top="1440" w:right="1080" w:bottom="1440" w:left="1080" w:header="0" w:footer="1185" w:gutter="0"/>
          <w:pgNumType w:fmt="decimal"/>
          <w:cols w:space="720" w:num="1"/>
        </w:sectPr>
      </w:pPr>
    </w:p>
    <w:p w14:paraId="207D1873">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（二）近年财务状况</w:t>
      </w:r>
    </w:p>
    <w:p w14:paraId="199A961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snapToGrid/>
          <w:spacing w:val="0"/>
          <w:w w:val="100"/>
          <w:kern w:val="21"/>
          <w:position w:val="0"/>
        </w:rPr>
      </w:pPr>
    </w:p>
    <w:tbl>
      <w:tblPr>
        <w:tblStyle w:val="26"/>
        <w:tblW w:w="8532"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9"/>
        <w:gridCol w:w="1704"/>
        <w:gridCol w:w="1705"/>
        <w:gridCol w:w="1705"/>
        <w:gridCol w:w="1709"/>
      </w:tblGrid>
      <w:tr w14:paraId="55305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9" w:type="dxa"/>
            <w:vAlign w:val="center"/>
          </w:tcPr>
          <w:p w14:paraId="610CB798">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名    称</w:t>
            </w:r>
          </w:p>
        </w:tc>
        <w:tc>
          <w:tcPr>
            <w:tcW w:w="1704" w:type="dxa"/>
            <w:vAlign w:val="center"/>
          </w:tcPr>
          <w:p w14:paraId="42FB753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单  位</w:t>
            </w:r>
          </w:p>
        </w:tc>
        <w:tc>
          <w:tcPr>
            <w:tcW w:w="1705" w:type="dxa"/>
            <w:vAlign w:val="center"/>
          </w:tcPr>
          <w:p w14:paraId="3A9B359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年</w:t>
            </w:r>
          </w:p>
        </w:tc>
        <w:tc>
          <w:tcPr>
            <w:tcW w:w="1705" w:type="dxa"/>
            <w:vAlign w:val="center"/>
          </w:tcPr>
          <w:p w14:paraId="2EE5E05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年</w:t>
            </w:r>
          </w:p>
        </w:tc>
        <w:tc>
          <w:tcPr>
            <w:tcW w:w="1709" w:type="dxa"/>
            <w:vAlign w:val="center"/>
          </w:tcPr>
          <w:p w14:paraId="2BA3CFC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年</w:t>
            </w:r>
          </w:p>
        </w:tc>
      </w:tr>
      <w:tr w14:paraId="02758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9" w:type="dxa"/>
            <w:vAlign w:val="center"/>
          </w:tcPr>
          <w:p w14:paraId="70D1D59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一、注册资金</w:t>
            </w:r>
          </w:p>
        </w:tc>
        <w:tc>
          <w:tcPr>
            <w:tcW w:w="1704" w:type="dxa"/>
            <w:vAlign w:val="center"/>
          </w:tcPr>
          <w:p w14:paraId="1793D4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FE483F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680B6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34BEC1B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B7C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9" w:type="dxa"/>
            <w:vAlign w:val="center"/>
          </w:tcPr>
          <w:p w14:paraId="65C5D27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二、净资产</w:t>
            </w:r>
          </w:p>
        </w:tc>
        <w:tc>
          <w:tcPr>
            <w:tcW w:w="1704" w:type="dxa"/>
            <w:vAlign w:val="center"/>
          </w:tcPr>
          <w:p w14:paraId="63516AC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6E4FC2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4EE72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3CF6DB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894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9" w:type="dxa"/>
            <w:vAlign w:val="center"/>
          </w:tcPr>
          <w:p w14:paraId="657BC3D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三、总资产</w:t>
            </w:r>
          </w:p>
        </w:tc>
        <w:tc>
          <w:tcPr>
            <w:tcW w:w="1704" w:type="dxa"/>
            <w:vAlign w:val="center"/>
          </w:tcPr>
          <w:p w14:paraId="5E2669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79370A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E0F6C5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072A501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1DE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9" w:type="dxa"/>
            <w:vAlign w:val="center"/>
          </w:tcPr>
          <w:p w14:paraId="54AB409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四、固定资产</w:t>
            </w:r>
          </w:p>
        </w:tc>
        <w:tc>
          <w:tcPr>
            <w:tcW w:w="1704" w:type="dxa"/>
            <w:vAlign w:val="center"/>
          </w:tcPr>
          <w:p w14:paraId="2BDA688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6E99E3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4A29B1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1E243A1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590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9" w:type="dxa"/>
            <w:vAlign w:val="center"/>
          </w:tcPr>
          <w:p w14:paraId="1EC3D8C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五、流动资产</w:t>
            </w:r>
          </w:p>
        </w:tc>
        <w:tc>
          <w:tcPr>
            <w:tcW w:w="1704" w:type="dxa"/>
            <w:vAlign w:val="center"/>
          </w:tcPr>
          <w:p w14:paraId="7874227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5A4CC6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5DDB010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7EA5263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330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9" w:type="dxa"/>
            <w:vAlign w:val="center"/>
          </w:tcPr>
          <w:p w14:paraId="38C3D09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六、流动负债</w:t>
            </w:r>
          </w:p>
        </w:tc>
        <w:tc>
          <w:tcPr>
            <w:tcW w:w="1704" w:type="dxa"/>
            <w:vAlign w:val="center"/>
          </w:tcPr>
          <w:p w14:paraId="49BCE27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151281A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34A021B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4CA89CD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458A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9" w:type="dxa"/>
            <w:vAlign w:val="center"/>
          </w:tcPr>
          <w:p w14:paraId="0BFF84B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七、负债合计</w:t>
            </w:r>
          </w:p>
        </w:tc>
        <w:tc>
          <w:tcPr>
            <w:tcW w:w="1704" w:type="dxa"/>
            <w:vAlign w:val="center"/>
          </w:tcPr>
          <w:p w14:paraId="02DDB3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1AB7E4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1306D98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136BF57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089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9" w:type="dxa"/>
            <w:vAlign w:val="center"/>
          </w:tcPr>
          <w:p w14:paraId="7541187C">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八、营业收入</w:t>
            </w:r>
          </w:p>
        </w:tc>
        <w:tc>
          <w:tcPr>
            <w:tcW w:w="1704" w:type="dxa"/>
            <w:vAlign w:val="center"/>
          </w:tcPr>
          <w:p w14:paraId="779222D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0C79E2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35E05E8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589040E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BB4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9" w:type="dxa"/>
            <w:vAlign w:val="center"/>
          </w:tcPr>
          <w:p w14:paraId="6FB5B55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九、净利润</w:t>
            </w:r>
          </w:p>
        </w:tc>
        <w:tc>
          <w:tcPr>
            <w:tcW w:w="1704" w:type="dxa"/>
            <w:vAlign w:val="center"/>
          </w:tcPr>
          <w:p w14:paraId="4A45DCB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679E7D0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5" w:type="dxa"/>
            <w:vAlign w:val="center"/>
          </w:tcPr>
          <w:p w14:paraId="2AB98E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709" w:type="dxa"/>
            <w:vAlign w:val="center"/>
          </w:tcPr>
          <w:p w14:paraId="2154E88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04D11713">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注：应附相关证明材料扫描件。</w:t>
      </w:r>
    </w:p>
    <w:p w14:paraId="1DE5CE4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7" w:type="default"/>
          <w:pgSz w:w="11906" w:h="16838"/>
          <w:pgMar w:top="1440" w:right="1080" w:bottom="1440" w:left="1080" w:header="0" w:footer="1185" w:gutter="0"/>
          <w:pgNumType w:fmt="decimal"/>
          <w:cols w:space="720" w:num="1"/>
        </w:sectPr>
      </w:pPr>
    </w:p>
    <w:p w14:paraId="50A30D4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（三）近年完成的类似项目情况表</w:t>
      </w:r>
    </w:p>
    <w:tbl>
      <w:tblPr>
        <w:tblStyle w:val="26"/>
        <w:tblW w:w="92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5"/>
      </w:tblGrid>
      <w:tr w14:paraId="4F39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2475" w:type="dxa"/>
            <w:vAlign w:val="center"/>
          </w:tcPr>
          <w:p w14:paraId="535DB05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项目名称</w:t>
            </w:r>
          </w:p>
        </w:tc>
        <w:tc>
          <w:tcPr>
            <w:tcW w:w="6815" w:type="dxa"/>
            <w:vAlign w:val="center"/>
          </w:tcPr>
          <w:p w14:paraId="1FB323B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8ED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2475" w:type="dxa"/>
            <w:vAlign w:val="center"/>
          </w:tcPr>
          <w:p w14:paraId="24AB2F99">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项目所在地</w:t>
            </w:r>
          </w:p>
        </w:tc>
        <w:tc>
          <w:tcPr>
            <w:tcW w:w="6815" w:type="dxa"/>
            <w:vAlign w:val="center"/>
          </w:tcPr>
          <w:p w14:paraId="4C65C0F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4C09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2475" w:type="dxa"/>
            <w:vAlign w:val="center"/>
          </w:tcPr>
          <w:p w14:paraId="3BD5EBB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发包人名称</w:t>
            </w:r>
          </w:p>
        </w:tc>
        <w:tc>
          <w:tcPr>
            <w:tcW w:w="6815" w:type="dxa"/>
            <w:vAlign w:val="center"/>
          </w:tcPr>
          <w:p w14:paraId="732A79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58A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475" w:type="dxa"/>
            <w:vAlign w:val="center"/>
          </w:tcPr>
          <w:p w14:paraId="28F9A9E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发包人地址</w:t>
            </w:r>
          </w:p>
        </w:tc>
        <w:tc>
          <w:tcPr>
            <w:tcW w:w="6815" w:type="dxa"/>
            <w:vAlign w:val="center"/>
          </w:tcPr>
          <w:p w14:paraId="07B933F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FAD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475" w:type="dxa"/>
            <w:vAlign w:val="center"/>
          </w:tcPr>
          <w:p w14:paraId="3C355F8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发包人电话</w:t>
            </w:r>
          </w:p>
        </w:tc>
        <w:tc>
          <w:tcPr>
            <w:tcW w:w="6815" w:type="dxa"/>
            <w:vAlign w:val="center"/>
          </w:tcPr>
          <w:p w14:paraId="127A2DA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981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2475" w:type="dxa"/>
            <w:vAlign w:val="center"/>
          </w:tcPr>
          <w:p w14:paraId="0D64B2E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合同价格</w:t>
            </w:r>
          </w:p>
        </w:tc>
        <w:tc>
          <w:tcPr>
            <w:tcW w:w="6815" w:type="dxa"/>
            <w:vAlign w:val="center"/>
          </w:tcPr>
          <w:p w14:paraId="4C9AC4D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967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475" w:type="dxa"/>
            <w:vAlign w:val="center"/>
          </w:tcPr>
          <w:p w14:paraId="75727B3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开工日期</w:t>
            </w:r>
          </w:p>
        </w:tc>
        <w:tc>
          <w:tcPr>
            <w:tcW w:w="6815" w:type="dxa"/>
            <w:vAlign w:val="center"/>
          </w:tcPr>
          <w:p w14:paraId="04C43AC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8BE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475" w:type="dxa"/>
            <w:vAlign w:val="center"/>
          </w:tcPr>
          <w:p w14:paraId="180AB0CA">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竣工日期</w:t>
            </w:r>
          </w:p>
        </w:tc>
        <w:tc>
          <w:tcPr>
            <w:tcW w:w="6815" w:type="dxa"/>
            <w:vAlign w:val="center"/>
          </w:tcPr>
          <w:p w14:paraId="1A3E843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57C9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2475" w:type="dxa"/>
            <w:vAlign w:val="center"/>
          </w:tcPr>
          <w:p w14:paraId="1E17A50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承担的工作</w:t>
            </w:r>
          </w:p>
        </w:tc>
        <w:tc>
          <w:tcPr>
            <w:tcW w:w="6815" w:type="dxa"/>
            <w:vAlign w:val="center"/>
          </w:tcPr>
          <w:p w14:paraId="0D426C6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683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475" w:type="dxa"/>
            <w:vAlign w:val="center"/>
          </w:tcPr>
          <w:p w14:paraId="072707DE">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工程质量</w:t>
            </w:r>
          </w:p>
        </w:tc>
        <w:tc>
          <w:tcPr>
            <w:tcW w:w="6815" w:type="dxa"/>
            <w:vAlign w:val="center"/>
          </w:tcPr>
          <w:p w14:paraId="500ECD8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8FB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2475" w:type="dxa"/>
            <w:vAlign w:val="center"/>
          </w:tcPr>
          <w:p w14:paraId="6B303341">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项目经理</w:t>
            </w:r>
          </w:p>
        </w:tc>
        <w:tc>
          <w:tcPr>
            <w:tcW w:w="6815" w:type="dxa"/>
            <w:vAlign w:val="center"/>
          </w:tcPr>
          <w:p w14:paraId="443E47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87E6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475" w:type="dxa"/>
            <w:vAlign w:val="center"/>
          </w:tcPr>
          <w:p w14:paraId="5009B3C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技术负责人</w:t>
            </w:r>
          </w:p>
        </w:tc>
        <w:tc>
          <w:tcPr>
            <w:tcW w:w="6815" w:type="dxa"/>
            <w:vAlign w:val="center"/>
          </w:tcPr>
          <w:p w14:paraId="0A83B79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A527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2475" w:type="dxa"/>
            <w:vAlign w:val="center"/>
          </w:tcPr>
          <w:p w14:paraId="76265559">
            <w:pPr>
              <w:pStyle w:val="27"/>
              <w:keepNext w:val="0"/>
              <w:keepLines w:val="0"/>
              <w:pageBreakBefore w:val="0"/>
              <w:widowControl w:val="0"/>
              <w:kinsoku/>
              <w:wordWrap w:val="0"/>
              <w:overflowPunct/>
              <w:topLinePunct/>
              <w:autoSpaceDE w:val="0"/>
              <w:autoSpaceDN/>
              <w:bidi w:val="0"/>
              <w:adjustRightInd/>
              <w:snapToGrid/>
              <w:spacing w:line="560" w:lineRule="exact"/>
              <w:ind w:left="0" w:right="0" w:hanging="653"/>
              <w:jc w:val="center"/>
              <w:textAlignment w:val="baseline"/>
              <w:outlineLvl w:val="9"/>
              <w:rPr>
                <w:snapToGrid/>
                <w:spacing w:val="0"/>
                <w:w w:val="100"/>
                <w:kern w:val="21"/>
                <w:position w:val="0"/>
              </w:rPr>
            </w:pPr>
            <w:r>
              <w:rPr>
                <w:snapToGrid/>
                <w:spacing w:val="0"/>
                <w:w w:val="100"/>
                <w:kern w:val="21"/>
                <w:position w:val="0"/>
              </w:rPr>
              <w:t>监理人和总监理工程师 以及电话</w:t>
            </w:r>
          </w:p>
        </w:tc>
        <w:tc>
          <w:tcPr>
            <w:tcW w:w="6815" w:type="dxa"/>
            <w:vAlign w:val="center"/>
          </w:tcPr>
          <w:p w14:paraId="34606F6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14F75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475" w:type="dxa"/>
            <w:vAlign w:val="center"/>
          </w:tcPr>
          <w:p w14:paraId="5DE372BB">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项目描述</w:t>
            </w:r>
          </w:p>
        </w:tc>
        <w:tc>
          <w:tcPr>
            <w:tcW w:w="6815" w:type="dxa"/>
            <w:vAlign w:val="center"/>
          </w:tcPr>
          <w:p w14:paraId="1593746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B48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2475" w:type="dxa"/>
            <w:vAlign w:val="center"/>
          </w:tcPr>
          <w:p w14:paraId="3A90EFA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c>
          <w:tcPr>
            <w:tcW w:w="6815" w:type="dxa"/>
            <w:vAlign w:val="center"/>
          </w:tcPr>
          <w:p w14:paraId="4990690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699453AD">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注：应附相关证明材料扫描件。</w:t>
      </w:r>
    </w:p>
    <w:p w14:paraId="523C72D0">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8" w:type="default"/>
          <w:pgSz w:w="11906" w:h="16838"/>
          <w:pgMar w:top="1440" w:right="1080" w:bottom="1440" w:left="1080" w:header="0" w:footer="1185" w:gutter="0"/>
          <w:pgNumType w:fmt="decimal"/>
          <w:cols w:space="720" w:num="1"/>
        </w:sectPr>
      </w:pPr>
    </w:p>
    <w:p w14:paraId="7FB8FF3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（四）近年发生的诉讼及仲裁情况表</w:t>
      </w:r>
    </w:p>
    <w:p w14:paraId="2B0AC42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（近   年指     年      月至      年      月）</w:t>
      </w:r>
    </w:p>
    <w:tbl>
      <w:tblPr>
        <w:tblStyle w:val="26"/>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4"/>
      </w:tblGrid>
      <w:tr w14:paraId="7A79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652" w:type="dxa"/>
            <w:vAlign w:val="center"/>
          </w:tcPr>
          <w:p w14:paraId="7211E302">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序号</w:t>
            </w:r>
          </w:p>
        </w:tc>
        <w:tc>
          <w:tcPr>
            <w:tcW w:w="1979" w:type="dxa"/>
            <w:vAlign w:val="center"/>
          </w:tcPr>
          <w:p w14:paraId="03A3F750">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诉讼或仲裁事项</w:t>
            </w:r>
          </w:p>
        </w:tc>
        <w:tc>
          <w:tcPr>
            <w:tcW w:w="2339" w:type="dxa"/>
            <w:vAlign w:val="center"/>
          </w:tcPr>
          <w:p w14:paraId="748B076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诉讼或仲裁中的地位</w:t>
            </w:r>
          </w:p>
        </w:tc>
        <w:tc>
          <w:tcPr>
            <w:tcW w:w="1420" w:type="dxa"/>
            <w:vAlign w:val="center"/>
          </w:tcPr>
          <w:p w14:paraId="7F1F2FDF">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缘由</w:t>
            </w:r>
          </w:p>
        </w:tc>
        <w:tc>
          <w:tcPr>
            <w:tcW w:w="1252" w:type="dxa"/>
            <w:vAlign w:val="center"/>
          </w:tcPr>
          <w:p w14:paraId="10AEFFAD">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结果</w:t>
            </w:r>
          </w:p>
        </w:tc>
        <w:tc>
          <w:tcPr>
            <w:tcW w:w="1474" w:type="dxa"/>
            <w:vAlign w:val="center"/>
          </w:tcPr>
          <w:p w14:paraId="656F7424">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备注</w:t>
            </w:r>
          </w:p>
        </w:tc>
      </w:tr>
      <w:tr w14:paraId="7979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4CA42353">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一</w:t>
            </w:r>
          </w:p>
        </w:tc>
        <w:tc>
          <w:tcPr>
            <w:tcW w:w="1979" w:type="dxa"/>
            <w:vAlign w:val="center"/>
          </w:tcPr>
          <w:p w14:paraId="4F672A16">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诉讼事项</w:t>
            </w:r>
          </w:p>
        </w:tc>
        <w:tc>
          <w:tcPr>
            <w:tcW w:w="2339" w:type="dxa"/>
            <w:vAlign w:val="center"/>
          </w:tcPr>
          <w:p w14:paraId="6858350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480EC58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04EB1E9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26AC706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6118E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2810860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5BF92D5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47F6EA8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0857936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5E3B11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0013E03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1A6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19166C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0834BC2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7FA7061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5814588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592E4A3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75D7665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E54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2" w:type="dxa"/>
            <w:vAlign w:val="center"/>
          </w:tcPr>
          <w:p w14:paraId="64A9694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3E3546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E77A9B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0E4D1A7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0327210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247B75C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A90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2" w:type="dxa"/>
            <w:vAlign w:val="center"/>
          </w:tcPr>
          <w:p w14:paraId="5213147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47A7E21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E5802C5">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5051018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30B37C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794F07E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021B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14A5B977">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二</w:t>
            </w:r>
          </w:p>
        </w:tc>
        <w:tc>
          <w:tcPr>
            <w:tcW w:w="1979" w:type="dxa"/>
            <w:vAlign w:val="center"/>
          </w:tcPr>
          <w:p w14:paraId="37C9DD45">
            <w:pPr>
              <w:pStyle w:val="27"/>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snapToGrid/>
                <w:spacing w:val="0"/>
                <w:w w:val="100"/>
                <w:kern w:val="21"/>
                <w:position w:val="0"/>
              </w:rPr>
            </w:pPr>
            <w:r>
              <w:rPr>
                <w:snapToGrid/>
                <w:spacing w:val="0"/>
                <w:w w:val="100"/>
                <w:kern w:val="21"/>
                <w:position w:val="0"/>
              </w:rPr>
              <w:t>仲裁事项</w:t>
            </w:r>
          </w:p>
        </w:tc>
        <w:tc>
          <w:tcPr>
            <w:tcW w:w="2339" w:type="dxa"/>
            <w:vAlign w:val="center"/>
          </w:tcPr>
          <w:p w14:paraId="3C0BF51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28F7FD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204269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7368126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751B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6E2E24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37DD778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5684C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4CC7B67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3F0C6E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74C190B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96E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2" w:type="dxa"/>
            <w:vAlign w:val="center"/>
          </w:tcPr>
          <w:p w14:paraId="1525CB5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333FDAB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01891C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68A35D0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65F0FC7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00CD28B4">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B531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589198B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1E72E7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DCF8AC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5A4405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C992EF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38BCC79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4124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1EDEFA0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4E4A64A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315D764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19C29AA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201EDF7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2E7B835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36F7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52" w:type="dxa"/>
            <w:vAlign w:val="center"/>
          </w:tcPr>
          <w:p w14:paraId="757949D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7EEE9D5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57777BC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33B62C7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5D21C6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07126B6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5E83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60B2AC98">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71F242B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4565E2A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088FF6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1B6ADCB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7950688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0F71D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1D768B10">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4F06A99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0C0B338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34FBB81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46DF715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6BAF5C6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33B8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52" w:type="dxa"/>
            <w:vAlign w:val="center"/>
          </w:tcPr>
          <w:p w14:paraId="04EDDDD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20A2C1E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7FC00C0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41A9A246">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639999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02F40DC3">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r w14:paraId="2E1D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52" w:type="dxa"/>
            <w:vAlign w:val="center"/>
          </w:tcPr>
          <w:p w14:paraId="770D1579">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979" w:type="dxa"/>
            <w:vAlign w:val="center"/>
          </w:tcPr>
          <w:p w14:paraId="20C693EC">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2339" w:type="dxa"/>
            <w:vAlign w:val="center"/>
          </w:tcPr>
          <w:p w14:paraId="487D087D">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20" w:type="dxa"/>
            <w:vAlign w:val="center"/>
          </w:tcPr>
          <w:p w14:paraId="167B062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252" w:type="dxa"/>
            <w:vAlign w:val="center"/>
          </w:tcPr>
          <w:p w14:paraId="7BEBB26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c>
          <w:tcPr>
            <w:tcW w:w="1474" w:type="dxa"/>
            <w:vAlign w:val="center"/>
          </w:tcPr>
          <w:p w14:paraId="01B37D61">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Arial"/>
                <w:snapToGrid/>
                <w:spacing w:val="0"/>
                <w:w w:val="100"/>
                <w:kern w:val="21"/>
                <w:position w:val="0"/>
                <w:sz w:val="21"/>
              </w:rPr>
            </w:pPr>
          </w:p>
        </w:tc>
      </w:tr>
    </w:tbl>
    <w:p w14:paraId="0E95C132">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注：应附相关证明材料扫描件。</w:t>
      </w:r>
    </w:p>
    <w:p w14:paraId="6ED18E5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49" w:type="default"/>
          <w:pgSz w:w="11906" w:h="16838"/>
          <w:pgMar w:top="1440" w:right="1080" w:bottom="1440" w:left="1080" w:header="0" w:footer="1185" w:gutter="0"/>
          <w:pgNumType w:fmt="decimal"/>
          <w:cols w:space="720" w:num="1"/>
        </w:sectPr>
      </w:pPr>
    </w:p>
    <w:p w14:paraId="584D8D2A">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8"/>
          <w:szCs w:val="28"/>
        </w:rPr>
      </w:pPr>
      <w:r>
        <w:rPr>
          <w:rFonts w:ascii="宋体" w:hAnsi="宋体" w:eastAsia="宋体" w:cs="宋体"/>
          <w:b/>
          <w:bCs/>
          <w:snapToGrid/>
          <w:spacing w:val="0"/>
          <w:w w:val="100"/>
          <w:kern w:val="21"/>
          <w:position w:val="0"/>
          <w:sz w:val="28"/>
          <w:szCs w:val="28"/>
        </w:rPr>
        <w:t>（五）</w:t>
      </w:r>
      <w:r>
        <w:rPr>
          <w:rFonts w:ascii="宋体" w:hAnsi="宋体" w:eastAsia="宋体" w:cs="宋体"/>
          <w:snapToGrid/>
          <w:spacing w:val="0"/>
          <w:w w:val="100"/>
          <w:kern w:val="21"/>
          <w:position w:val="0"/>
          <w:sz w:val="28"/>
          <w:szCs w:val="28"/>
        </w:rPr>
        <w:t xml:space="preserve"> </w:t>
      </w:r>
      <w:r>
        <w:rPr>
          <w:rFonts w:ascii="宋体" w:hAnsi="宋体" w:eastAsia="宋体" w:cs="宋体"/>
          <w:b/>
          <w:bCs/>
          <w:snapToGrid/>
          <w:spacing w:val="0"/>
          <w:w w:val="100"/>
          <w:kern w:val="21"/>
          <w:position w:val="0"/>
          <w:sz w:val="28"/>
          <w:szCs w:val="28"/>
        </w:rPr>
        <w:t>中小企业声明函（工程）</w:t>
      </w:r>
    </w:p>
    <w:p w14:paraId="11F4CB4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1"/>
          <w:szCs w:val="21"/>
        </w:rPr>
      </w:pPr>
      <w:r>
        <w:rPr>
          <w:rFonts w:ascii="宋体" w:hAnsi="宋体" w:eastAsia="宋体" w:cs="宋体"/>
          <w:b/>
          <w:bCs/>
          <w:i/>
          <w:iCs/>
          <w:snapToGrid/>
          <w:spacing w:val="0"/>
          <w:w w:val="100"/>
          <w:kern w:val="21"/>
          <w:position w:val="0"/>
          <w:sz w:val="21"/>
          <w:szCs w:val="21"/>
        </w:rPr>
        <w:t>（不符合中小企业扶持政策的，无需提供）</w:t>
      </w:r>
    </w:p>
    <w:p w14:paraId="69E0CE62">
      <w:pPr>
        <w:keepNext w:val="0"/>
        <w:keepLines w:val="0"/>
        <w:pageBreakBefore w:val="0"/>
        <w:widowControl w:val="0"/>
        <w:kinsoku/>
        <w:wordWrap w:val="0"/>
        <w:overflowPunct/>
        <w:topLinePunct/>
        <w:autoSpaceDE w:val="0"/>
        <w:autoSpaceDN/>
        <w:bidi w:val="0"/>
        <w:adjustRightInd/>
        <w:snapToGrid/>
        <w:spacing w:line="560" w:lineRule="exact"/>
        <w:ind w:left="0" w:right="0" w:firstLine="421"/>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本公司（联合体）郑重声明，根据《政府采购促进中小企业发展管理办法》（财库﹝ 2020 ) 46号） 的规定，本公司（联合体）参加</w:t>
      </w:r>
      <w:r>
        <w:rPr>
          <w:rFonts w:ascii="宋体" w:hAnsi="宋体" w:eastAsia="宋体" w:cs="宋体"/>
          <w:i/>
          <w:iCs/>
          <w:snapToGrid/>
          <w:spacing w:val="0"/>
          <w:w w:val="100"/>
          <w:kern w:val="21"/>
          <w:position w:val="0"/>
          <w:sz w:val="21"/>
          <w:szCs w:val="21"/>
          <w:u w:val="single" w:color="auto"/>
        </w:rPr>
        <w:t>（招标人名称）</w:t>
      </w:r>
      <w:r>
        <w:rPr>
          <w:rFonts w:ascii="宋体" w:hAnsi="宋体" w:eastAsia="宋体" w:cs="宋体"/>
          <w:snapToGrid/>
          <w:spacing w:val="0"/>
          <w:w w:val="100"/>
          <w:kern w:val="21"/>
          <w:position w:val="0"/>
          <w:sz w:val="20"/>
          <w:szCs w:val="20"/>
        </w:rPr>
        <w:t xml:space="preserve">的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（项目名称）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 招标活动，工程的施工单位全部为符合政策要求的中小企业。相关企业（含联合体中的中小 企业、签订分包意向协议的中小企业）的具体情况如下：</w:t>
      </w:r>
    </w:p>
    <w:p w14:paraId="5C9EA83F">
      <w:pPr>
        <w:keepNext w:val="0"/>
        <w:keepLines w:val="0"/>
        <w:pageBreakBefore w:val="0"/>
        <w:widowControl w:val="0"/>
        <w:kinsoku/>
        <w:wordWrap w:val="0"/>
        <w:overflowPunct/>
        <w:topLinePunct/>
        <w:autoSpaceDE w:val="0"/>
        <w:autoSpaceDN/>
        <w:bidi w:val="0"/>
        <w:adjustRightInd/>
        <w:snapToGrid/>
        <w:spacing w:line="560" w:lineRule="exact"/>
        <w:ind w:left="0" w:right="0" w:firstLine="43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1.</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i/>
          <w:iCs/>
          <w:snapToGrid/>
          <w:spacing w:val="0"/>
          <w:w w:val="100"/>
          <w:kern w:val="21"/>
          <w:position w:val="0"/>
          <w:sz w:val="21"/>
          <w:szCs w:val="21"/>
          <w:u w:val="single" w:color="auto"/>
        </w:rPr>
        <w:t>（标的名称）</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snapToGrid/>
          <w:spacing w:val="0"/>
          <w:w w:val="100"/>
          <w:kern w:val="21"/>
          <w:position w:val="0"/>
          <w:sz w:val="20"/>
          <w:szCs w:val="20"/>
        </w:rPr>
        <w:t>，属于</w:t>
      </w:r>
      <w:r>
        <w:rPr>
          <w:rFonts w:ascii="宋体" w:hAnsi="宋体" w:eastAsia="宋体" w:cs="宋体"/>
          <w:i/>
          <w:iCs/>
          <w:snapToGrid/>
          <w:spacing w:val="0"/>
          <w:w w:val="100"/>
          <w:kern w:val="21"/>
          <w:position w:val="0"/>
          <w:sz w:val="21"/>
          <w:szCs w:val="21"/>
          <w:u w:val="single" w:color="auto"/>
        </w:rPr>
        <w:t>（招标文件中明确的所属行业</w:t>
      </w:r>
      <w:r>
        <w:rPr>
          <w:rFonts w:ascii="宋体" w:hAnsi="宋体" w:eastAsia="宋体" w:cs="宋体"/>
          <w:i/>
          <w:iCs/>
          <w:snapToGrid/>
          <w:spacing w:val="0"/>
          <w:w w:val="100"/>
          <w:kern w:val="21"/>
          <w:position w:val="0"/>
          <w:sz w:val="21"/>
          <w:szCs w:val="21"/>
        </w:rPr>
        <w:t>）</w:t>
      </w:r>
      <w:r>
        <w:rPr>
          <w:rFonts w:ascii="宋体" w:hAnsi="宋体" w:eastAsia="宋体" w:cs="宋体"/>
          <w:snapToGrid/>
          <w:spacing w:val="0"/>
          <w:w w:val="100"/>
          <w:kern w:val="21"/>
          <w:position w:val="0"/>
          <w:sz w:val="20"/>
          <w:szCs w:val="20"/>
        </w:rPr>
        <w:t>；承建（承接）企业为</w:t>
      </w:r>
      <w:r>
        <w:rPr>
          <w:rFonts w:ascii="宋体" w:hAnsi="宋体" w:eastAsia="宋体" w:cs="宋体"/>
          <w:i/>
          <w:iCs/>
          <w:snapToGrid/>
          <w:spacing w:val="0"/>
          <w:w w:val="100"/>
          <w:kern w:val="21"/>
          <w:position w:val="0"/>
          <w:sz w:val="21"/>
          <w:szCs w:val="21"/>
          <w:u w:val="single" w:color="auto"/>
        </w:rPr>
        <w:t>（企业名称</w:t>
      </w:r>
      <w:r>
        <w:rPr>
          <w:rFonts w:ascii="宋体" w:hAnsi="宋体" w:eastAsia="宋体" w:cs="宋体"/>
          <w:i/>
          <w:iCs/>
          <w:snapToGrid/>
          <w:spacing w:val="0"/>
          <w:w w:val="100"/>
          <w:kern w:val="21"/>
          <w:position w:val="0"/>
          <w:sz w:val="21"/>
          <w:szCs w:val="21"/>
        </w:rPr>
        <w:t>）</w:t>
      </w:r>
      <w:r>
        <w:rPr>
          <w:rFonts w:ascii="宋体" w:hAnsi="宋体" w:eastAsia="宋体" w:cs="宋体"/>
          <w:snapToGrid/>
          <w:spacing w:val="0"/>
          <w:w w:val="100"/>
          <w:kern w:val="21"/>
          <w:position w:val="0"/>
          <w:sz w:val="20"/>
          <w:szCs w:val="20"/>
        </w:rPr>
        <w:t xml:space="preserve">， 从业人员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人，营业收入为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万元，资产总额为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w:t>
      </w:r>
      <w:r>
        <w:rPr>
          <w:snapToGrid/>
          <w:spacing w:val="0"/>
          <w:w w:val="100"/>
          <w:kern w:val="21"/>
          <w:position w:val="0"/>
        </w:rPr>
        <w:fldChar w:fldCharType="begin"/>
      </w:r>
      <w:r>
        <w:rPr>
          <w:snapToGrid/>
          <w:spacing w:val="0"/>
          <w:w w:val="100"/>
          <w:kern w:val="21"/>
          <w:position w:val="0"/>
        </w:rPr>
        <w:instrText xml:space="preserve"> HYPERLINK "wl3329" </w:instrText>
      </w:r>
      <w:r>
        <w:rPr>
          <w:snapToGrid/>
          <w:spacing w:val="0"/>
          <w:w w:val="100"/>
          <w:kern w:val="21"/>
          <w:position w:val="0"/>
        </w:rPr>
        <w:fldChar w:fldCharType="separate"/>
      </w:r>
      <w:r>
        <w:rPr>
          <w:rFonts w:ascii="宋体" w:hAnsi="宋体" w:eastAsia="宋体" w:cs="宋体"/>
          <w:snapToGrid/>
          <w:spacing w:val="0"/>
          <w:w w:val="100"/>
          <w:kern w:val="21"/>
          <w:position w:val="0"/>
          <w:sz w:val="20"/>
          <w:szCs w:val="20"/>
        </w:rPr>
        <w:t>万元</w:t>
      </w:r>
      <w:r>
        <w:rPr>
          <w:rFonts w:ascii="宋体" w:hAnsi="宋体" w:eastAsia="宋体" w:cs="宋体"/>
          <w:snapToGrid/>
          <w:spacing w:val="0"/>
          <w:w w:val="100"/>
          <w:kern w:val="21"/>
          <w:position w:val="0"/>
          <w:sz w:val="11"/>
          <w:szCs w:val="11"/>
        </w:rPr>
        <w:t>①</w:t>
      </w:r>
      <w:r>
        <w:rPr>
          <w:rFonts w:ascii="宋体" w:hAnsi="宋体" w:eastAsia="宋体" w:cs="宋体"/>
          <w:snapToGrid/>
          <w:spacing w:val="0"/>
          <w:w w:val="100"/>
          <w:kern w:val="21"/>
          <w:position w:val="0"/>
          <w:sz w:val="11"/>
          <w:szCs w:val="11"/>
        </w:rPr>
        <w:fldChar w:fldCharType="end"/>
      </w:r>
      <w:r>
        <w:rPr>
          <w:rFonts w:ascii="宋体" w:hAnsi="宋体" w:eastAsia="宋体" w:cs="宋体"/>
          <w:snapToGrid/>
          <w:spacing w:val="0"/>
          <w:w w:val="100"/>
          <w:kern w:val="21"/>
          <w:position w:val="0"/>
          <w:sz w:val="11"/>
          <w:szCs w:val="11"/>
        </w:rPr>
        <w:t xml:space="preserve"> </w:t>
      </w:r>
      <w:r>
        <w:rPr>
          <w:rFonts w:ascii="宋体" w:hAnsi="宋体" w:eastAsia="宋体" w:cs="宋体"/>
          <w:snapToGrid/>
          <w:spacing w:val="0"/>
          <w:w w:val="100"/>
          <w:kern w:val="21"/>
          <w:position w:val="0"/>
          <w:sz w:val="20"/>
          <w:szCs w:val="20"/>
        </w:rPr>
        <w:t>, 属于</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i/>
          <w:iCs/>
          <w:snapToGrid/>
          <w:spacing w:val="0"/>
          <w:w w:val="100"/>
          <w:kern w:val="21"/>
          <w:position w:val="0"/>
          <w:sz w:val="21"/>
          <w:szCs w:val="21"/>
          <w:u w:val="single" w:color="auto"/>
        </w:rPr>
        <w:t>（中型企业、小型企</w:t>
      </w:r>
      <w:r>
        <w:rPr>
          <w:rFonts w:ascii="宋体" w:hAnsi="宋体" w:eastAsia="宋体" w:cs="宋体"/>
          <w:snapToGrid/>
          <w:spacing w:val="0"/>
          <w:w w:val="100"/>
          <w:kern w:val="21"/>
          <w:position w:val="0"/>
          <w:sz w:val="21"/>
          <w:szCs w:val="21"/>
        </w:rPr>
        <w:t xml:space="preserve"> </w:t>
      </w:r>
      <w:r>
        <w:rPr>
          <w:rFonts w:ascii="宋体" w:hAnsi="宋体" w:eastAsia="宋体" w:cs="宋体"/>
          <w:i/>
          <w:iCs/>
          <w:snapToGrid/>
          <w:spacing w:val="0"/>
          <w:w w:val="100"/>
          <w:kern w:val="21"/>
          <w:position w:val="0"/>
          <w:sz w:val="21"/>
          <w:szCs w:val="21"/>
          <w:u w:val="single" w:color="auto"/>
        </w:rPr>
        <w:t>业、微型企</w:t>
      </w:r>
      <w:r>
        <w:rPr>
          <w:rFonts w:ascii="宋体" w:hAnsi="宋体" w:eastAsia="宋体" w:cs="宋体"/>
          <w:i/>
          <w:iCs/>
          <w:snapToGrid/>
          <w:spacing w:val="0"/>
          <w:w w:val="100"/>
          <w:kern w:val="21"/>
          <w:position w:val="0"/>
          <w:sz w:val="21"/>
          <w:szCs w:val="21"/>
        </w:rPr>
        <w:t>）</w:t>
      </w:r>
      <w:r>
        <w:rPr>
          <w:rFonts w:ascii="宋体" w:hAnsi="宋体" w:eastAsia="宋体" w:cs="宋体"/>
          <w:snapToGrid/>
          <w:spacing w:val="0"/>
          <w:w w:val="100"/>
          <w:kern w:val="21"/>
          <w:position w:val="0"/>
          <w:sz w:val="20"/>
          <w:szCs w:val="20"/>
        </w:rPr>
        <w:t>；</w:t>
      </w:r>
    </w:p>
    <w:p w14:paraId="4982538C">
      <w:pPr>
        <w:keepNext w:val="0"/>
        <w:keepLines w:val="0"/>
        <w:pageBreakBefore w:val="0"/>
        <w:widowControl w:val="0"/>
        <w:kinsoku/>
        <w:wordWrap w:val="0"/>
        <w:overflowPunct/>
        <w:topLinePunct/>
        <w:autoSpaceDE w:val="0"/>
        <w:autoSpaceDN/>
        <w:bidi w:val="0"/>
        <w:adjustRightInd/>
        <w:snapToGrid/>
        <w:spacing w:line="560" w:lineRule="exact"/>
        <w:ind w:left="0" w:right="0" w:firstLine="40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2. </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i/>
          <w:iCs/>
          <w:snapToGrid/>
          <w:spacing w:val="0"/>
          <w:w w:val="100"/>
          <w:kern w:val="21"/>
          <w:position w:val="0"/>
          <w:sz w:val="21"/>
          <w:szCs w:val="21"/>
          <w:u w:val="single" w:color="auto"/>
        </w:rPr>
        <w:t>（标的名称）</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snapToGrid/>
          <w:spacing w:val="0"/>
          <w:w w:val="100"/>
          <w:kern w:val="21"/>
          <w:position w:val="0"/>
          <w:sz w:val="21"/>
          <w:szCs w:val="21"/>
        </w:rPr>
        <w:t xml:space="preserve"> </w:t>
      </w:r>
      <w:r>
        <w:rPr>
          <w:rFonts w:ascii="宋体" w:hAnsi="宋体" w:eastAsia="宋体" w:cs="宋体"/>
          <w:snapToGrid/>
          <w:spacing w:val="0"/>
          <w:w w:val="100"/>
          <w:kern w:val="21"/>
          <w:position w:val="0"/>
          <w:sz w:val="20"/>
          <w:szCs w:val="20"/>
        </w:rPr>
        <w:t>，属于</w:t>
      </w:r>
      <w:r>
        <w:rPr>
          <w:rFonts w:ascii="宋体" w:hAnsi="宋体" w:eastAsia="宋体" w:cs="宋体"/>
          <w:i/>
          <w:iCs/>
          <w:snapToGrid/>
          <w:spacing w:val="0"/>
          <w:w w:val="100"/>
          <w:kern w:val="21"/>
          <w:position w:val="0"/>
          <w:sz w:val="21"/>
          <w:szCs w:val="21"/>
          <w:u w:val="single" w:color="auto"/>
        </w:rPr>
        <w:t>（</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i/>
          <w:iCs/>
          <w:snapToGrid/>
          <w:spacing w:val="0"/>
          <w:w w:val="100"/>
          <w:kern w:val="21"/>
          <w:position w:val="0"/>
          <w:sz w:val="21"/>
          <w:szCs w:val="21"/>
          <w:u w:val="single" w:color="auto"/>
        </w:rPr>
        <w:t>招标文件中明确的所属行业</w:t>
      </w:r>
      <w:r>
        <w:rPr>
          <w:rFonts w:ascii="宋体" w:hAnsi="宋体" w:eastAsia="宋体" w:cs="宋体"/>
          <w:i/>
          <w:iCs/>
          <w:snapToGrid/>
          <w:spacing w:val="0"/>
          <w:w w:val="100"/>
          <w:kern w:val="21"/>
          <w:position w:val="0"/>
          <w:sz w:val="21"/>
          <w:szCs w:val="21"/>
        </w:rPr>
        <w:t>）</w:t>
      </w:r>
      <w:r>
        <w:rPr>
          <w:rFonts w:ascii="宋体" w:hAnsi="宋体" w:eastAsia="宋体" w:cs="宋体"/>
          <w:snapToGrid/>
          <w:spacing w:val="0"/>
          <w:w w:val="100"/>
          <w:kern w:val="21"/>
          <w:position w:val="0"/>
          <w:sz w:val="20"/>
          <w:szCs w:val="20"/>
        </w:rPr>
        <w:t>；承建（承接）企业为</w:t>
      </w:r>
      <w:r>
        <w:rPr>
          <w:rFonts w:ascii="宋体" w:hAnsi="宋体" w:eastAsia="宋体" w:cs="宋体"/>
          <w:i/>
          <w:iCs/>
          <w:snapToGrid/>
          <w:spacing w:val="0"/>
          <w:w w:val="100"/>
          <w:kern w:val="21"/>
          <w:position w:val="0"/>
          <w:sz w:val="21"/>
          <w:szCs w:val="21"/>
          <w:u w:val="single" w:color="auto"/>
        </w:rPr>
        <w:t>（企业名</w:t>
      </w:r>
      <w:r>
        <w:rPr>
          <w:rFonts w:ascii="宋体" w:hAnsi="宋体" w:eastAsia="宋体" w:cs="宋体"/>
          <w:snapToGrid/>
          <w:spacing w:val="0"/>
          <w:w w:val="100"/>
          <w:kern w:val="21"/>
          <w:position w:val="0"/>
          <w:sz w:val="21"/>
          <w:szCs w:val="21"/>
        </w:rPr>
        <w:t xml:space="preserve"> </w:t>
      </w:r>
      <w:r>
        <w:rPr>
          <w:rFonts w:ascii="宋体" w:hAnsi="宋体" w:eastAsia="宋体" w:cs="宋体"/>
          <w:i/>
          <w:iCs/>
          <w:snapToGrid/>
          <w:spacing w:val="0"/>
          <w:w w:val="100"/>
          <w:kern w:val="21"/>
          <w:position w:val="0"/>
          <w:sz w:val="21"/>
          <w:szCs w:val="21"/>
          <w:u w:val="single" w:color="auto"/>
        </w:rPr>
        <w:t>称）</w:t>
      </w:r>
      <w:r>
        <w:rPr>
          <w:rFonts w:ascii="宋体" w:hAnsi="宋体" w:eastAsia="宋体" w:cs="宋体"/>
          <w:snapToGrid/>
          <w:spacing w:val="0"/>
          <w:w w:val="100"/>
          <w:kern w:val="21"/>
          <w:position w:val="0"/>
          <w:sz w:val="20"/>
          <w:szCs w:val="20"/>
        </w:rPr>
        <w:t>，从业人员</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人，营业收入为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万元，资产总额为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万元，属于</w:t>
      </w:r>
      <w:r>
        <w:rPr>
          <w:rFonts w:ascii="宋体" w:hAnsi="宋体" w:eastAsia="宋体" w:cs="宋体"/>
          <w:i/>
          <w:iCs/>
          <w:snapToGrid/>
          <w:spacing w:val="0"/>
          <w:w w:val="100"/>
          <w:kern w:val="21"/>
          <w:position w:val="0"/>
          <w:sz w:val="21"/>
          <w:szCs w:val="21"/>
          <w:u w:val="single" w:color="auto"/>
        </w:rPr>
        <w:t>（中型企业、</w:t>
      </w:r>
      <w:r>
        <w:rPr>
          <w:rFonts w:ascii="宋体" w:hAnsi="宋体" w:eastAsia="宋体" w:cs="宋体"/>
          <w:snapToGrid/>
          <w:spacing w:val="0"/>
          <w:w w:val="100"/>
          <w:kern w:val="21"/>
          <w:position w:val="0"/>
          <w:sz w:val="21"/>
          <w:szCs w:val="21"/>
        </w:rPr>
        <w:t xml:space="preserve"> </w:t>
      </w:r>
      <w:r>
        <w:rPr>
          <w:rFonts w:ascii="宋体" w:hAnsi="宋体" w:eastAsia="宋体" w:cs="宋体"/>
          <w:i/>
          <w:iCs/>
          <w:snapToGrid/>
          <w:spacing w:val="0"/>
          <w:w w:val="100"/>
          <w:kern w:val="21"/>
          <w:position w:val="0"/>
          <w:sz w:val="21"/>
          <w:szCs w:val="21"/>
          <w:u w:val="single" w:color="auto"/>
        </w:rPr>
        <w:t>小型企业、微型企业</w:t>
      </w:r>
      <w:r>
        <w:rPr>
          <w:rFonts w:ascii="宋体" w:hAnsi="宋体" w:eastAsia="宋体" w:cs="宋体"/>
          <w:i/>
          <w:iCs/>
          <w:snapToGrid/>
          <w:spacing w:val="0"/>
          <w:w w:val="100"/>
          <w:kern w:val="21"/>
          <w:position w:val="0"/>
          <w:sz w:val="21"/>
          <w:szCs w:val="21"/>
        </w:rPr>
        <w:t>）</w:t>
      </w:r>
      <w:r>
        <w:rPr>
          <w:rFonts w:ascii="宋体" w:hAnsi="宋体" w:eastAsia="宋体" w:cs="宋体"/>
          <w:snapToGrid/>
          <w:spacing w:val="0"/>
          <w:w w:val="100"/>
          <w:kern w:val="21"/>
          <w:position w:val="0"/>
          <w:sz w:val="20"/>
          <w:szCs w:val="20"/>
        </w:rPr>
        <w:t>；</w:t>
      </w:r>
    </w:p>
    <w:p w14:paraId="3E1098BD">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w:t>
      </w:r>
    </w:p>
    <w:p w14:paraId="07548533">
      <w:pPr>
        <w:keepNext w:val="0"/>
        <w:keepLines w:val="0"/>
        <w:pageBreakBefore w:val="0"/>
        <w:widowControl w:val="0"/>
        <w:kinsoku/>
        <w:wordWrap w:val="0"/>
        <w:overflowPunct/>
        <w:topLinePunct/>
        <w:autoSpaceDE w:val="0"/>
        <w:autoSpaceDN/>
        <w:bidi w:val="0"/>
        <w:adjustRightInd/>
        <w:snapToGrid/>
        <w:spacing w:line="560" w:lineRule="exact"/>
        <w:ind w:left="0" w:right="0" w:firstLine="44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以上企业，不属于大企业的分支机构，不存在控股股东为大企业的情形，也不存在与大 企业的负责人为同一人的情形。</w:t>
      </w:r>
    </w:p>
    <w:p w14:paraId="2FFED5A5">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本企业对上述声明内容的真实性负责。如有虚假，将依法承担相应责任。</w:t>
      </w:r>
    </w:p>
    <w:p w14:paraId="79AFA4C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3D226947">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44DB741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 </w:t>
      </w: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56DD0069">
      <w:pPr>
        <w:keepNext w:val="0"/>
        <w:keepLines w:val="0"/>
        <w:pageBreakBefore w:val="0"/>
        <w:widowControl w:val="0"/>
        <w:kinsoku/>
        <w:wordWrap w:val="0"/>
        <w:overflowPunct/>
        <w:topLinePunct/>
        <w:autoSpaceDE w:val="0"/>
        <w:autoSpaceDN/>
        <w:bidi w:val="0"/>
        <w:adjustRightInd/>
        <w:snapToGrid/>
        <w:spacing w:line="240" w:lineRule="auto"/>
        <w:ind w:left="0" w:right="0" w:firstLine="416"/>
        <w:jc w:val="left"/>
        <w:textAlignment w:val="baseline"/>
        <w:outlineLvl w:val="9"/>
        <w:rPr>
          <w:rFonts w:ascii="宋体" w:hAnsi="宋体" w:eastAsia="宋体" w:cs="宋体"/>
          <w:snapToGrid/>
          <w:spacing w:val="0"/>
          <w:w w:val="100"/>
          <w:kern w:val="21"/>
          <w:position w:val="0"/>
          <w:sz w:val="20"/>
          <w:szCs w:val="20"/>
        </w:rPr>
      </w:pPr>
    </w:p>
    <w:p w14:paraId="76FB7885">
      <w:pPr>
        <w:keepNext w:val="0"/>
        <w:keepLines w:val="0"/>
        <w:pageBreakBefore w:val="0"/>
        <w:widowControl w:val="0"/>
        <w:kinsoku/>
        <w:wordWrap w:val="0"/>
        <w:overflowPunct/>
        <w:topLinePunct/>
        <w:autoSpaceDE w:val="0"/>
        <w:autoSpaceDN/>
        <w:bidi w:val="0"/>
        <w:adjustRightInd/>
        <w:snapToGrid/>
        <w:spacing w:line="240" w:lineRule="auto"/>
        <w:ind w:left="0" w:right="0" w:firstLine="41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注一：不符合中小企业扶持政策的，或所有标的信息不能填写全面的，无需提供；请投标人务 必全面、准确了解相关政策等相关信息后，谨慎提交。</w:t>
      </w:r>
    </w:p>
    <w:p w14:paraId="710E4BD5">
      <w:pPr>
        <w:keepNext w:val="0"/>
        <w:keepLines w:val="0"/>
        <w:pageBreakBefore w:val="0"/>
        <w:widowControl w:val="0"/>
        <w:kinsoku/>
        <w:wordWrap w:val="0"/>
        <w:overflowPunct/>
        <w:topLinePunct/>
        <w:autoSpaceDE w:val="0"/>
        <w:autoSpaceDN/>
        <w:bidi w:val="0"/>
        <w:adjustRightInd/>
        <w:snapToGrid/>
        <w:spacing w:line="240" w:lineRule="auto"/>
        <w:ind w:left="0" w:right="0" w:firstLine="440"/>
        <w:jc w:val="left"/>
        <w:textAlignment w:val="baseline"/>
        <w:outlineLvl w:val="9"/>
        <w:rPr>
          <w:rFonts w:ascii="宋体" w:hAnsi="宋体" w:eastAsia="宋体" w:cs="宋体"/>
          <w:snapToGrid/>
          <w:spacing w:val="0"/>
          <w:w w:val="100"/>
          <w:kern w:val="21"/>
          <w:position w:val="0"/>
          <w:sz w:val="22"/>
          <w:szCs w:val="22"/>
        </w:rPr>
      </w:pPr>
      <w:r>
        <w:rPr>
          <w:rFonts w:ascii="宋体" w:hAnsi="宋体" w:eastAsia="宋体" w:cs="宋体"/>
          <w:b/>
          <w:bCs/>
          <w:snapToGrid/>
          <w:spacing w:val="0"/>
          <w:w w:val="100"/>
          <w:kern w:val="21"/>
          <w:position w:val="0"/>
          <w:sz w:val="22"/>
          <w:szCs w:val="22"/>
        </w:rPr>
        <w:t>供应商须对《中小企业声明函》的真实性负责。如有虚假，属于提供虚假材料谋取成交，</w:t>
      </w:r>
      <w:r>
        <w:rPr>
          <w:rFonts w:ascii="宋体" w:hAnsi="宋体" w:eastAsia="宋体" w:cs="宋体"/>
          <w:snapToGrid/>
          <w:spacing w:val="0"/>
          <w:w w:val="100"/>
          <w:kern w:val="21"/>
          <w:position w:val="0"/>
          <w:sz w:val="22"/>
          <w:szCs w:val="22"/>
        </w:rPr>
        <w:t xml:space="preserve"> </w:t>
      </w:r>
      <w:r>
        <w:rPr>
          <w:rFonts w:ascii="宋体" w:hAnsi="宋体" w:eastAsia="宋体" w:cs="宋体"/>
          <w:b/>
          <w:bCs/>
          <w:snapToGrid/>
          <w:spacing w:val="0"/>
          <w:w w:val="100"/>
          <w:kern w:val="21"/>
          <w:position w:val="0"/>
          <w:sz w:val="22"/>
          <w:szCs w:val="22"/>
        </w:rPr>
        <w:t>将依法追究相应责任。</w:t>
      </w:r>
    </w:p>
    <w:p w14:paraId="2DBE1092">
      <w:pPr>
        <w:keepNext w:val="0"/>
        <w:keepLines w:val="0"/>
        <w:pageBreakBefore w:val="0"/>
        <w:widowControl w:val="0"/>
        <w:kinsoku/>
        <w:wordWrap w:val="0"/>
        <w:overflowPunct/>
        <w:topLinePunct/>
        <w:autoSpaceDE w:val="0"/>
        <w:autoSpaceDN/>
        <w:bidi w:val="0"/>
        <w:adjustRightInd/>
        <w:snapToGrid/>
        <w:spacing w:line="240" w:lineRule="auto"/>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注二：1.监狱企业无需</w:t>
      </w:r>
      <w:r>
        <w:rPr>
          <w:rFonts w:ascii="宋体" w:hAnsi="宋体" w:eastAsia="宋体" w:cs="宋体"/>
          <w:snapToGrid/>
          <w:spacing w:val="0"/>
          <w:w w:val="100"/>
          <w:kern w:val="21"/>
          <w:position w:val="0"/>
          <w:sz w:val="22"/>
          <w:szCs w:val="22"/>
        </w:rPr>
        <w:t>提供</w:t>
      </w:r>
      <w:r>
        <w:rPr>
          <w:rFonts w:ascii="宋体" w:hAnsi="宋体" w:eastAsia="宋体" w:cs="宋体"/>
          <w:snapToGrid/>
          <w:spacing w:val="0"/>
          <w:w w:val="100"/>
          <w:kern w:val="21"/>
          <w:position w:val="0"/>
          <w:sz w:val="20"/>
          <w:szCs w:val="20"/>
        </w:rPr>
        <w:t>《中小企业声明函》，需要提供由省级以上监狱管理局、戒毒管理 局(含新疆生产建设兵团)出具的属于监狱企业的证明文件。</w:t>
      </w:r>
    </w:p>
    <w:p w14:paraId="11D6AC64">
      <w:pPr>
        <w:keepNext w:val="0"/>
        <w:keepLines w:val="0"/>
        <w:pageBreakBefore w:val="0"/>
        <w:widowControl w:val="0"/>
        <w:kinsoku/>
        <w:wordWrap w:val="0"/>
        <w:overflowPunct/>
        <w:topLinePunct/>
        <w:autoSpaceDE w:val="0"/>
        <w:autoSpaceDN/>
        <w:bidi w:val="0"/>
        <w:adjustRightInd/>
        <w:snapToGrid/>
        <w:spacing w:line="240" w:lineRule="auto"/>
        <w:ind w:left="0" w:right="0" w:firstLine="40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2.残疾人福利性单位无需提供《中小企业声明函》，提供以下格式的《残疾人福利性单位声明函》。</w:t>
      </w:r>
    </w:p>
    <w:p w14:paraId="39A08824">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4FFED5FE">
      <w:pPr>
        <w:pStyle w:val="4"/>
        <w:keepNext w:val="0"/>
        <w:keepLines w:val="0"/>
        <w:pageBreakBefore w:val="0"/>
        <w:widowControl w:val="0"/>
        <w:kinsoku/>
        <w:wordWrap w:val="0"/>
        <w:overflowPunct/>
        <w:topLinePunct/>
        <w:autoSpaceDE w:val="0"/>
        <w:autoSpaceDN/>
        <w:bidi w:val="0"/>
        <w:adjustRightInd/>
        <w:snapToGrid/>
        <w:spacing w:line="560" w:lineRule="exact"/>
        <w:ind w:right="0"/>
        <w:jc w:val="left"/>
        <w:textAlignment w:val="baseline"/>
        <w:outlineLvl w:val="9"/>
        <w:rPr>
          <w:rFonts w:ascii="Times New Roman" w:hAnsi="Times New Roman" w:eastAsia="Times New Roman" w:cs="Times New Roman"/>
          <w:snapToGrid/>
          <w:spacing w:val="0"/>
          <w:w w:val="100"/>
          <w:kern w:val="21"/>
          <w:position w:val="0"/>
          <w:sz w:val="17"/>
          <w:szCs w:val="17"/>
        </w:rPr>
      </w:pPr>
      <w:r>
        <w:rPr>
          <w:snapToGrid/>
          <w:spacing w:val="0"/>
          <w:w w:val="100"/>
          <w:kern w:val="21"/>
          <w:position w:val="0"/>
        </w:rPr>
        <w:pict>
          <v:shape id="_x0000_s1051" o:spid="_x0000_s1051" style="position:absolute;left:0pt;margin-left:-5.8pt;margin-top:1.8pt;height:0.4pt;width:144.4pt;z-index:251668480;mso-width-relative:page;mso-height-relative:page;" filled="f" stroked="t" coordsize="2887,8" path="m3,3l2883,3e">
            <v:fill on="f" focussize="0,0"/>
            <v:stroke weight="0.37pt" color="#000000" miterlimit="10" joinstyle="bevel" endcap="square"/>
            <v:imagedata o:title=""/>
            <o:lock v:ext="edit"/>
          </v:shape>
        </w:pict>
      </w:r>
      <w:r>
        <w:rPr>
          <w:rFonts w:ascii="微软雅黑" w:hAnsi="微软雅黑" w:eastAsia="微软雅黑" w:cs="微软雅黑"/>
          <w:spacing w:val="9"/>
          <w:position w:val="10"/>
          <w:sz w:val="10"/>
          <w:szCs w:val="10"/>
        </w:rPr>
        <w:t>①</w:t>
      </w:r>
      <w:r>
        <w:rPr>
          <w:spacing w:val="9"/>
          <w:sz w:val="17"/>
          <w:szCs w:val="17"/>
        </w:rPr>
        <w:t>从业人员、营业收入、资产总额填报上一</w:t>
      </w:r>
      <w:r>
        <w:rPr>
          <w:snapToGrid/>
          <w:spacing w:val="0"/>
          <w:w w:val="100"/>
          <w:kern w:val="21"/>
          <w:position w:val="0"/>
          <w:sz w:val="17"/>
          <w:szCs w:val="17"/>
        </w:rPr>
        <w:t xml:space="preserve">年度数据，无上一年度数据的新成立企业可不填报。 </w:t>
      </w:r>
    </w:p>
    <w:p w14:paraId="25F3BF39">
      <w:pPr>
        <w:pStyle w:val="4"/>
        <w:spacing w:before="20" w:line="219" w:lineRule="auto"/>
        <w:ind w:left="20"/>
        <w:rPr>
          <w:sz w:val="17"/>
          <w:szCs w:val="17"/>
        </w:rPr>
      </w:pPr>
    </w:p>
    <w:p w14:paraId="22E43EAA">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2914547E">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9"/>
          <w:szCs w:val="29"/>
        </w:rPr>
      </w:pPr>
      <w:r>
        <w:rPr>
          <w:rFonts w:ascii="宋体" w:hAnsi="宋体" w:eastAsia="宋体" w:cs="宋体"/>
          <w:b/>
          <w:bCs/>
          <w:snapToGrid/>
          <w:spacing w:val="0"/>
          <w:w w:val="100"/>
          <w:kern w:val="21"/>
          <w:position w:val="0"/>
          <w:sz w:val="29"/>
          <w:szCs w:val="29"/>
        </w:rPr>
        <w:t>残疾人福利性单位声明函</w:t>
      </w:r>
    </w:p>
    <w:p w14:paraId="1FEFA131">
      <w:pPr>
        <w:keepNext w:val="0"/>
        <w:keepLines w:val="0"/>
        <w:pageBreakBefore w:val="0"/>
        <w:widowControl w:val="0"/>
        <w:kinsoku/>
        <w:wordWrap w:val="0"/>
        <w:overflowPunct/>
        <w:topLinePunct/>
        <w:autoSpaceDE w:val="0"/>
        <w:autoSpaceDN/>
        <w:bidi w:val="0"/>
        <w:adjustRightInd/>
        <w:snapToGrid/>
        <w:spacing w:line="560" w:lineRule="exact"/>
        <w:ind w:left="0" w:right="0" w:firstLine="44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本单位郑重声明，根据《财政部 民政部 中国残疾人联合会关于促进残疾人就业政府采购政 策的通知》（财库〔2017〕141号） 的规定，本单位为符合条件的残疾人福利性单位，且本单位 参加</w:t>
      </w:r>
      <w:r>
        <w:rPr>
          <w:rFonts w:ascii="宋体" w:hAnsi="宋体" w:eastAsia="宋体" w:cs="宋体"/>
          <w:snapToGrid/>
          <w:spacing w:val="0"/>
          <w:w w:val="100"/>
          <w:kern w:val="21"/>
          <w:position w:val="0"/>
          <w:sz w:val="21"/>
          <w:szCs w:val="21"/>
          <w:u w:val="single" w:color="auto"/>
        </w:rPr>
        <w:t xml:space="preserve"> </w:t>
      </w:r>
      <w:r>
        <w:rPr>
          <w:rFonts w:ascii="宋体" w:hAnsi="宋体" w:eastAsia="宋体" w:cs="宋体"/>
          <w:i/>
          <w:iCs/>
          <w:snapToGrid/>
          <w:spacing w:val="0"/>
          <w:w w:val="100"/>
          <w:kern w:val="21"/>
          <w:position w:val="0"/>
          <w:sz w:val="21"/>
          <w:szCs w:val="21"/>
          <w:u w:val="single" w:color="auto"/>
        </w:rPr>
        <w:t>（招标人名称）</w:t>
      </w:r>
      <w:r>
        <w:rPr>
          <w:rFonts w:ascii="宋体" w:hAnsi="宋体" w:eastAsia="宋体" w:cs="宋体"/>
          <w:snapToGrid/>
          <w:spacing w:val="0"/>
          <w:w w:val="100"/>
          <w:kern w:val="21"/>
          <w:position w:val="0"/>
          <w:sz w:val="20"/>
          <w:szCs w:val="20"/>
        </w:rPr>
        <w:t>的</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（项目名称）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标段施工招标活动。</w:t>
      </w:r>
    </w:p>
    <w:p w14:paraId="1F43F226">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本单位对上述声明的真实性负责。如有虚假， 将依法承担相应责任。</w:t>
      </w:r>
    </w:p>
    <w:p w14:paraId="35694395">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0F7B41AF">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68F5973D">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70EBAB5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50" w:type="default"/>
          <w:pgSz w:w="11906" w:h="16838"/>
          <w:pgMar w:top="1440" w:right="1080" w:bottom="1440" w:left="1080" w:header="0" w:footer="1185" w:gutter="0"/>
          <w:pgNumType w:fmt="decimal"/>
          <w:cols w:space="720" w:num="1"/>
        </w:sectPr>
      </w:pPr>
    </w:p>
    <w:p w14:paraId="02C5CF9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3"/>
          <w:szCs w:val="23"/>
        </w:rPr>
      </w:pPr>
      <w:r>
        <w:rPr>
          <w:rFonts w:ascii="宋体" w:hAnsi="宋体" w:eastAsia="宋体" w:cs="宋体"/>
          <w:snapToGrid/>
          <w:spacing w:val="0"/>
          <w:w w:val="100"/>
          <w:kern w:val="21"/>
          <w:position w:val="0"/>
          <w:sz w:val="23"/>
          <w:szCs w:val="23"/>
        </w:rPr>
        <w:t>附：</w:t>
      </w:r>
    </w:p>
    <w:p w14:paraId="7CCE6D2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3"/>
          <w:szCs w:val="23"/>
        </w:rPr>
      </w:pPr>
      <w:r>
        <w:rPr>
          <w:rFonts w:ascii="宋体" w:hAnsi="宋体" w:eastAsia="宋体" w:cs="宋体"/>
          <w:b/>
          <w:bCs/>
          <w:snapToGrid/>
          <w:spacing w:val="0"/>
          <w:w w:val="100"/>
          <w:kern w:val="21"/>
          <w:position w:val="0"/>
          <w:sz w:val="23"/>
          <w:szCs w:val="23"/>
        </w:rPr>
        <w:t>工业和信息化部、国家统计局、国家发展和改革委员会、财政部关于印发中小企业划型标准规定的通知</w:t>
      </w:r>
    </w:p>
    <w:p w14:paraId="6C1B2727">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3"/>
          <w:szCs w:val="23"/>
        </w:rPr>
      </w:pPr>
      <w:r>
        <w:rPr>
          <w:rFonts w:ascii="宋体" w:hAnsi="宋体" w:eastAsia="宋体" w:cs="宋体"/>
          <w:b/>
          <w:bCs/>
          <w:snapToGrid/>
          <w:spacing w:val="0"/>
          <w:w w:val="100"/>
          <w:kern w:val="21"/>
          <w:position w:val="0"/>
          <w:sz w:val="23"/>
          <w:szCs w:val="23"/>
        </w:rPr>
        <w:t>（工信部联企业〔2011〕300</w:t>
      </w:r>
      <w:r>
        <w:rPr>
          <w:rFonts w:ascii="宋体" w:hAnsi="宋体" w:eastAsia="宋体" w:cs="宋体"/>
          <w:snapToGrid/>
          <w:spacing w:val="0"/>
          <w:w w:val="100"/>
          <w:kern w:val="21"/>
          <w:position w:val="0"/>
          <w:sz w:val="23"/>
          <w:szCs w:val="23"/>
        </w:rPr>
        <w:t xml:space="preserve"> </w:t>
      </w:r>
      <w:r>
        <w:rPr>
          <w:rFonts w:ascii="宋体" w:hAnsi="宋体" w:eastAsia="宋体" w:cs="宋体"/>
          <w:b/>
          <w:bCs/>
          <w:snapToGrid/>
          <w:spacing w:val="0"/>
          <w:w w:val="100"/>
          <w:kern w:val="21"/>
          <w:position w:val="0"/>
          <w:sz w:val="23"/>
          <w:szCs w:val="23"/>
        </w:rPr>
        <w:t>号）</w:t>
      </w:r>
    </w:p>
    <w:p w14:paraId="747BAABE">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各省、自治区、直辖市人民政府，国务院各部委、各直属机构及有关单位：</w:t>
      </w:r>
    </w:p>
    <w:p w14:paraId="1CD1FE25">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为贯彻落实《中华人民共和国中小企业促进法》和《国务院关于进一步促进中小企业发展的若 干意见》（国发〔2009〕36 号），工业和信息化部、国家统计局、发展改革委、财政部研究制定了《中 小企业划型标准规定》。经国务院同意，现印发给你们，请遵照执行。</w:t>
      </w:r>
    </w:p>
    <w:p w14:paraId="769F9B48">
      <w:pPr>
        <w:keepNext w:val="0"/>
        <w:keepLines w:val="0"/>
        <w:pageBreakBefore w:val="0"/>
        <w:widowControl w:val="0"/>
        <w:kinsoku/>
        <w:wordWrap w:val="0"/>
        <w:overflowPunct/>
        <w:topLinePunct/>
        <w:autoSpaceDE w:val="0"/>
        <w:autoSpaceDN/>
        <w:bidi w:val="0"/>
        <w:adjustRightInd/>
        <w:snapToGrid/>
        <w:spacing w:line="560" w:lineRule="exact"/>
        <w:ind w:left="0" w:right="0" w:hanging="226"/>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工业和信息化部</w:t>
      </w:r>
    </w:p>
    <w:p w14:paraId="1343A9ED">
      <w:pPr>
        <w:keepNext w:val="0"/>
        <w:keepLines w:val="0"/>
        <w:pageBreakBefore w:val="0"/>
        <w:widowControl w:val="0"/>
        <w:kinsoku/>
        <w:wordWrap w:val="0"/>
        <w:overflowPunct/>
        <w:topLinePunct/>
        <w:autoSpaceDE w:val="0"/>
        <w:autoSpaceDN/>
        <w:bidi w:val="0"/>
        <w:adjustRightInd/>
        <w:snapToGrid/>
        <w:spacing w:line="560" w:lineRule="exact"/>
        <w:ind w:left="0" w:right="0" w:hanging="226"/>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国家统计局</w:t>
      </w:r>
    </w:p>
    <w:p w14:paraId="41BE64DE">
      <w:pPr>
        <w:keepNext w:val="0"/>
        <w:keepLines w:val="0"/>
        <w:pageBreakBefore w:val="0"/>
        <w:widowControl w:val="0"/>
        <w:kinsoku/>
        <w:wordWrap w:val="0"/>
        <w:overflowPunct/>
        <w:topLinePunct/>
        <w:autoSpaceDE w:val="0"/>
        <w:autoSpaceDN/>
        <w:bidi w:val="0"/>
        <w:adjustRightInd/>
        <w:snapToGrid/>
        <w:spacing w:line="560" w:lineRule="exact"/>
        <w:ind w:left="0" w:right="0" w:hanging="82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国家发展和改革委员会</w:t>
      </w:r>
    </w:p>
    <w:p w14:paraId="387EEBFC">
      <w:pPr>
        <w:keepNext w:val="0"/>
        <w:keepLines w:val="0"/>
        <w:pageBreakBefore w:val="0"/>
        <w:widowControl w:val="0"/>
        <w:kinsoku/>
        <w:wordWrap w:val="0"/>
        <w:overflowPunct/>
        <w:topLinePunct/>
        <w:autoSpaceDE w:val="0"/>
        <w:autoSpaceDN/>
        <w:bidi w:val="0"/>
        <w:adjustRightInd/>
        <w:snapToGrid/>
        <w:spacing w:line="560" w:lineRule="exact"/>
        <w:ind w:left="0" w:right="0" w:hanging="82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财政部</w:t>
      </w:r>
    </w:p>
    <w:p w14:paraId="23231684">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二○一一年六月十八日</w:t>
      </w:r>
    </w:p>
    <w:p w14:paraId="493F3F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b/>
          <w:bCs/>
          <w:snapToGrid/>
          <w:spacing w:val="0"/>
          <w:w w:val="100"/>
          <w:kern w:val="21"/>
          <w:position w:val="0"/>
          <w:sz w:val="20"/>
          <w:szCs w:val="20"/>
        </w:rPr>
        <w:t>中小企业划型标准规定</w:t>
      </w:r>
    </w:p>
    <w:p w14:paraId="6B534BB5">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一、根据《中华人民共和国中小企业促进法》和《国务院关于进一步促进中小企业发展的若干 意见》（国发〔2009〕36 号），制定本规定。</w:t>
      </w:r>
    </w:p>
    <w:p w14:paraId="64A07F56">
      <w:pPr>
        <w:keepNext w:val="0"/>
        <w:keepLines w:val="0"/>
        <w:pageBreakBefore w:val="0"/>
        <w:widowControl w:val="0"/>
        <w:kinsoku/>
        <w:wordWrap w:val="0"/>
        <w:overflowPunct/>
        <w:topLinePunct/>
        <w:autoSpaceDE w:val="0"/>
        <w:autoSpaceDN/>
        <w:bidi w:val="0"/>
        <w:adjustRightInd/>
        <w:snapToGrid/>
        <w:spacing w:line="560" w:lineRule="exact"/>
        <w:ind w:left="0" w:right="0" w:firstLine="42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二、中小企业划分为中型、小型、微型三种类型，具体标准根据企业从业人员、营业收入、资 产总额等指标，结合行业特点制定。</w:t>
      </w:r>
    </w:p>
    <w:p w14:paraId="7EDAB747">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三、本规定适用的行业包括：农、林、牧、渔业，工业（包括采矿业，制造业， 电力、热力、 燃气及水生产和供应业），建筑业，批发业，零售业，交通运输业（不含铁路运输业），仓储业，邮 政业，住宿业，餐饮业，信息传输业（包括电信、互联网和相关服务），软件和信息技术服务业，房 地产开发经营，物业管理，租赁和商务服务业，其他未列明行业（包括科学研究和技术服务业，水 利、环境和公共设施管理业，居民服务、修理和其他服务业，社会工作，文化、体育和娱乐业等）。</w:t>
      </w:r>
    </w:p>
    <w:p w14:paraId="44B0D43C">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四、各行业划型标准为：</w:t>
      </w:r>
    </w:p>
    <w:p w14:paraId="4D84D584">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（一）农、林、牧、渔业。营业收入 20000 万元以下的为中小微型企业。其中，营业收入 500 万元及以上的为中型企业，营业收入 50 万元及以上的为小型企业，营业收入 50 万元以下的为微型 企业。</w:t>
      </w:r>
    </w:p>
    <w:p w14:paraId="40067007">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（二）工业。从业人员 1000 人以下或营业收入 40000 万元以下的为中小微型企业。其中，从业 人员 300 人及以上，且营业收入 2000 万元及以上的为中型企业；从业人员 20 人及以上，且营业收 入 300 万元及以上的为小型企业；从业人员 20 人以下或营业收入 300 万元以下的为微型企业。</w:t>
      </w:r>
    </w:p>
    <w:p w14:paraId="1AED1E98">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（三）建筑业。营业收入 80000 万元以下或资产总额 80000 万元以下的为中小微型企业。其中， 营业收入 6000 万元及以上，且资产总额 5000 万元及以上的为中型企业；营业收入 300 万元及以上， 且资产总额 300 万元及以上的为小型企业；营业收入 300 万元以下或资产总额 300 万元以下的为微 型企业。</w:t>
      </w:r>
    </w:p>
    <w:p w14:paraId="1B77938A">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（四）批发业。从业人员 200 人以下或营业收入 40000 万元以下的为中小微型企业。其中，从 业人员 20 人及以上，且营业收入 5000 万元及以上的为中型企业；从业人员 5 人及以上，且营业收 入 1000 万元及以上的为小型企业；从业人员 5 人以下或营业收入 1000 万元以下的为微型企业。</w:t>
      </w:r>
    </w:p>
    <w:p w14:paraId="6FC8462B">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（五）零售业。从业人员 300 人以下或营业收入 20000 万元以下的为中小微型企业。其中，从 业人员 50 人及以上，且营业收入 500 万元及以上的为中型企业；从业人员 10 人及以上，且营业收 入 100 万元及以上的为小型企业；从业人员 10 人以下或营业收入 100 万元以下的为微型企业。</w:t>
      </w:r>
    </w:p>
    <w:p w14:paraId="32F650CF">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（六）交通运输业。从业人员 1000 人以下或营业收入 30000 万元以下的为中小微型企业。其中， 从业人员 300 人及以上，且营业收入 3000 万元及以上的为中型企业；从业人员 20 人及以上，且营 业收入 200 万元及以上的为小型企业；从业人员 20 人以下或营业收入 200 万元以下的为微型企业。</w:t>
      </w:r>
    </w:p>
    <w:p w14:paraId="5D1A8102">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（七）仓储业。从业人员 200 人以下或营业收入 30000 万元以下的为中小微型企业。其中，从 业人员 100 人及以上，且营业收入 1000 万元及以上的为中型企业；从业人员 20 人及以上，且营业 收入 100 万元及以上的为小型企业；从业人员 20 人以下或营业收入 100 万元以下的为微型企业。</w:t>
      </w:r>
    </w:p>
    <w:p w14:paraId="0BE324E0">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（八）邮政业。从业人员 1000 人以下或营业收入 30000 万元以下的为中小微型企业。其中，从 业人员 300 人及以上，且营业收入 2000 万元及以上的为中型企业；从业人员 20 人及以上，且营业 收入 100 万元及以上的为小型企业；从业人员 20 人以下或营业收入 100 万元以下的为微型企业。</w:t>
      </w:r>
    </w:p>
    <w:p w14:paraId="12293D90">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（九）住宿业。从业人员 300 人以下或营业收入 10000 万元以下的为中小微型企业。其中，从 业人员 100 人及以上，且营业收入 2000 万元及以上的为中型企业；从业人员 10 人及以上，且营业 收入 100 万元及以上的为小型企业；从业人员 10 人以下或营业收入 100 万元以下的为微型企业。</w:t>
      </w:r>
    </w:p>
    <w:p w14:paraId="54C159A7">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（十）餐饮业。从业人员 300 人以下或营业收入 10000 万元以下的为中小微型企业。其中，从 业人员 100 人及以上，且营业收入 2000 万元及以上的为中型企业；从业人员 10 人及以上，且营业 收入 100 万元及以上的为小型企业；从业人员 10 人以下或营业收入 100 万元以下的为微型企业。</w:t>
      </w:r>
    </w:p>
    <w:p w14:paraId="07BE7D18">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（十一）信息传输业。从业人员 2000 人以下或营业收入 100000 万元以下的为中小微型企业。  其中，从业人员 100 人及以上，且营业收入 1000 万元及以上的为中型企业；从业人员 10 人及以上， 且营业收入 100 万元及以上的为小型企业；从业人员 10 人以下或营业收入 100 万元以下的为微型企 业。</w:t>
      </w:r>
    </w:p>
    <w:p w14:paraId="3D2D0967">
      <w:pPr>
        <w:keepNext w:val="0"/>
        <w:keepLines w:val="0"/>
        <w:pageBreakBefore w:val="0"/>
        <w:widowControl w:val="0"/>
        <w:kinsoku/>
        <w:wordWrap w:val="0"/>
        <w:overflowPunct/>
        <w:topLinePunct/>
        <w:autoSpaceDE w:val="0"/>
        <w:autoSpaceDN/>
        <w:bidi w:val="0"/>
        <w:adjustRightInd/>
        <w:snapToGrid/>
        <w:spacing w:line="560" w:lineRule="exact"/>
        <w:ind w:left="0" w:right="0" w:firstLine="428"/>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（十二）软件和信息技术服务业。从业人员 300 人以下或营业收入 10000 万元以下的为中小微 型企业。其中，从业人员 100 人及以上，且营业收入 1000 万元及以上的为中型企业；从业人员 10 人及以上，且营业收入 50 万元及以上的为小型企业；从业人员 10 人以下或营业收入 50 万元以下的 为微型企业。</w:t>
      </w:r>
    </w:p>
    <w:p w14:paraId="606AAD22">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（十三）房地产开发经营。营业收入 200000 万元以下或资产总额 10000 万元以下的为中小微型 企业。其中，营业收入 1000 万元及以上，且资产总额 5000 万元及以上的为中型企业；营业收入 100 万元及以上，且资产总额 2000 万元及以上的为小型企业；营业收入 100 万元以下或资产总额 2000 万元以下的为微型企业。</w:t>
      </w:r>
    </w:p>
    <w:p w14:paraId="775119E1">
      <w:pPr>
        <w:keepNext w:val="0"/>
        <w:keepLines w:val="0"/>
        <w:pageBreakBefore w:val="0"/>
        <w:widowControl w:val="0"/>
        <w:kinsoku/>
        <w:wordWrap w:val="0"/>
        <w:overflowPunct/>
        <w:topLinePunct/>
        <w:autoSpaceDE w:val="0"/>
        <w:autoSpaceDN/>
        <w:bidi w:val="0"/>
        <w:adjustRightInd/>
        <w:snapToGrid/>
        <w:spacing w:line="560" w:lineRule="exact"/>
        <w:ind w:left="0" w:right="0" w:firstLine="42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（十四）物业管理。从业人员 1000 人以下或营业收入 5000 万元以下的为中小微型企业。其中， 从业人员 300 人及以上，且营业收入 1000 万元及以上的为中型企业；从业人员 100 人及以上，且营 业收入 500 万元及以上的为小型企业；从业人员 100 人以下或营业收入 500 万元以下的为微型企业。</w:t>
      </w:r>
    </w:p>
    <w:p w14:paraId="047E6211">
      <w:pPr>
        <w:keepNext w:val="0"/>
        <w:keepLines w:val="0"/>
        <w:pageBreakBefore w:val="0"/>
        <w:widowControl w:val="0"/>
        <w:kinsoku/>
        <w:wordWrap w:val="0"/>
        <w:overflowPunct/>
        <w:topLinePunct/>
        <w:autoSpaceDE w:val="0"/>
        <w:autoSpaceDN/>
        <w:bidi w:val="0"/>
        <w:adjustRightInd/>
        <w:snapToGrid/>
        <w:spacing w:line="560" w:lineRule="exact"/>
        <w:ind w:left="0" w:right="0" w:firstLine="43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（十五）租赁和商务服务业。从业人员 300 人以下或资产总额 120000 万元以下的为中小微型企 业。其中，从业人员 100 人及以上，且资产总额 8000 万元及以上的为中型企业；从业人员 10 人及 以上，且资产总额 100 万元及以上的为小型企业；从业人员 10 人以下或资产总额 100 万元以下的为微型企业。</w:t>
      </w:r>
    </w:p>
    <w:p w14:paraId="70C77098">
      <w:pPr>
        <w:keepNext w:val="0"/>
        <w:keepLines w:val="0"/>
        <w:pageBreakBefore w:val="0"/>
        <w:widowControl w:val="0"/>
        <w:kinsoku/>
        <w:wordWrap w:val="0"/>
        <w:overflowPunct/>
        <w:topLinePunct/>
        <w:autoSpaceDE w:val="0"/>
        <w:autoSpaceDN/>
        <w:bidi w:val="0"/>
        <w:adjustRightInd/>
        <w:snapToGrid/>
        <w:spacing w:line="560" w:lineRule="exact"/>
        <w:ind w:left="0" w:right="0" w:firstLine="406"/>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（十六）其他未列明行业。从业人员 300 人以下的为中小微型企业。其中，从业人员 100 人及 以上的为中型企业；从业人员 10 人及以上的为小型企业；从业人员 10 人以下的为微型企业。</w:t>
      </w:r>
    </w:p>
    <w:p w14:paraId="500388F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五、企业类型的划分以统计部门的统计数据为依据。</w:t>
      </w:r>
    </w:p>
    <w:p w14:paraId="3D5C5C8E">
      <w:pPr>
        <w:keepNext w:val="0"/>
        <w:keepLines w:val="0"/>
        <w:pageBreakBefore w:val="0"/>
        <w:widowControl w:val="0"/>
        <w:kinsoku/>
        <w:wordWrap w:val="0"/>
        <w:overflowPunct/>
        <w:topLinePunct/>
        <w:autoSpaceDE w:val="0"/>
        <w:autoSpaceDN/>
        <w:bidi w:val="0"/>
        <w:adjustRightInd/>
        <w:snapToGrid/>
        <w:spacing w:line="560" w:lineRule="exact"/>
        <w:ind w:left="0" w:right="0" w:firstLine="419"/>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六、本规定适用于在中华人民共和国境内依法设立的各类所有制和各种组织形式的企业。个体 工商户和本规定以外的行业，参照本规定进行划型。</w:t>
      </w:r>
    </w:p>
    <w:p w14:paraId="5A9E1338">
      <w:pPr>
        <w:keepNext w:val="0"/>
        <w:keepLines w:val="0"/>
        <w:pageBreakBefore w:val="0"/>
        <w:widowControl w:val="0"/>
        <w:kinsoku/>
        <w:wordWrap w:val="0"/>
        <w:overflowPunct/>
        <w:topLinePunct/>
        <w:autoSpaceDE w:val="0"/>
        <w:autoSpaceDN/>
        <w:bidi w:val="0"/>
        <w:adjustRightInd/>
        <w:snapToGrid/>
        <w:spacing w:line="560" w:lineRule="exact"/>
        <w:ind w:left="0" w:right="0" w:firstLine="417"/>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七、本规定的中型企业标准上限即为大型企业标准的下限， 国家统计部门据此制定大中小微型 企业的统计分类。国务院有关部门据此进行相关数据分析，不得制定与本规定不一致的企业划型标 准。</w:t>
      </w:r>
    </w:p>
    <w:p w14:paraId="7E93124C">
      <w:pPr>
        <w:keepNext w:val="0"/>
        <w:keepLines w:val="0"/>
        <w:pageBreakBefore w:val="0"/>
        <w:widowControl w:val="0"/>
        <w:kinsoku/>
        <w:wordWrap w:val="0"/>
        <w:overflowPunct/>
        <w:topLinePunct/>
        <w:autoSpaceDE w:val="0"/>
        <w:autoSpaceDN/>
        <w:bidi w:val="0"/>
        <w:adjustRightInd/>
        <w:snapToGrid/>
        <w:spacing w:line="560" w:lineRule="exact"/>
        <w:ind w:left="0" w:right="0" w:firstLine="422"/>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八、本规定由工业和信息化部、国家统计局会同有关部门根据《国民经济行业分类》修订情况 和企业发展变化情况适时修订。</w:t>
      </w:r>
    </w:p>
    <w:p w14:paraId="4B9AB6F8">
      <w:pPr>
        <w:keepNext w:val="0"/>
        <w:keepLines w:val="0"/>
        <w:pageBreakBefore w:val="0"/>
        <w:widowControl w:val="0"/>
        <w:kinsoku/>
        <w:wordWrap w:val="0"/>
        <w:overflowPunct/>
        <w:topLinePunct/>
        <w:autoSpaceDE w:val="0"/>
        <w:autoSpaceDN/>
        <w:bidi w:val="0"/>
        <w:adjustRightInd/>
        <w:snapToGrid/>
        <w:spacing w:line="560" w:lineRule="exact"/>
        <w:ind w:left="0" w:right="0" w:firstLine="400" w:firstLineChars="20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九、本规定由工业和信息化部、国家统计局会同有关部门负责解释。</w:t>
      </w:r>
    </w:p>
    <w:p w14:paraId="2CFA04A7">
      <w:pPr>
        <w:keepNext w:val="0"/>
        <w:keepLines w:val="0"/>
        <w:pageBreakBefore w:val="0"/>
        <w:widowControl w:val="0"/>
        <w:kinsoku/>
        <w:wordWrap w:val="0"/>
        <w:overflowPunct/>
        <w:topLinePunct/>
        <w:autoSpaceDE w:val="0"/>
        <w:autoSpaceDN/>
        <w:bidi w:val="0"/>
        <w:adjustRightInd/>
        <w:snapToGrid/>
        <w:spacing w:line="560" w:lineRule="exact"/>
        <w:ind w:left="0" w:right="0" w:firstLine="403"/>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十、本规定自发布之日起执行，原国家经贸委、原国家计委、财政部和国家统计局 2003 年颁布 的《中小企业标准暂行规定》同时废止。</w:t>
      </w:r>
    </w:p>
    <w:p w14:paraId="1E89A140">
      <w:pPr>
        <w:rPr>
          <w:rFonts w:ascii="宋体" w:hAnsi="宋体" w:eastAsia="宋体" w:cs="宋体"/>
          <w:b/>
          <w:bCs/>
          <w:snapToGrid/>
          <w:spacing w:val="0"/>
          <w:w w:val="100"/>
          <w:kern w:val="21"/>
          <w:position w:val="0"/>
          <w:sz w:val="31"/>
          <w:szCs w:val="31"/>
        </w:rPr>
      </w:pPr>
      <w:bookmarkStart w:id="653" w:name="bookmark207"/>
      <w:bookmarkEnd w:id="653"/>
      <w:r>
        <w:rPr>
          <w:rFonts w:ascii="宋体" w:hAnsi="宋体" w:eastAsia="宋体" w:cs="宋体"/>
          <w:b/>
          <w:bCs/>
          <w:snapToGrid/>
          <w:spacing w:val="0"/>
          <w:w w:val="100"/>
          <w:kern w:val="21"/>
          <w:position w:val="0"/>
          <w:sz w:val="31"/>
          <w:szCs w:val="31"/>
        </w:rPr>
        <w:br w:type="page"/>
      </w:r>
    </w:p>
    <w:p w14:paraId="6F95EBD2">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r>
        <w:rPr>
          <w:rFonts w:ascii="宋体" w:hAnsi="宋体" w:eastAsia="宋体" w:cs="宋体"/>
          <w:b/>
          <w:bCs/>
          <w:snapToGrid/>
          <w:spacing w:val="0"/>
          <w:w w:val="100"/>
          <w:kern w:val="21"/>
          <w:position w:val="0"/>
          <w:sz w:val="31"/>
          <w:szCs w:val="31"/>
        </w:rPr>
        <w:t>十、农民工工资支付保障承诺</w:t>
      </w:r>
    </w:p>
    <w:p w14:paraId="2FD65DC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p w14:paraId="60FB55A5">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致：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（招标人名称）</w:t>
      </w:r>
    </w:p>
    <w:p w14:paraId="3BB992B1">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 xml:space="preserve">我方将对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（项目名称） </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标段施工进行投标。我方承诺：</w:t>
      </w:r>
    </w:p>
    <w:p w14:paraId="5DED0C5D">
      <w:pPr>
        <w:keepNext w:val="0"/>
        <w:keepLines w:val="0"/>
        <w:pageBreakBefore w:val="0"/>
        <w:widowControl w:val="0"/>
        <w:kinsoku/>
        <w:wordWrap w:val="0"/>
        <w:overflowPunct/>
        <w:topLinePunct/>
        <w:autoSpaceDE w:val="0"/>
        <w:autoSpaceDN/>
        <w:bidi w:val="0"/>
        <w:adjustRightInd/>
        <w:snapToGrid/>
        <w:spacing w:line="560" w:lineRule="exact"/>
        <w:ind w:left="0" w:right="0" w:firstLine="420"/>
        <w:jc w:val="lef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若我方中标，我方将按照安徽省人力资源和社会保障厅、安徽省农业农村厅及项目所在地关于 农民工工资监督管理有关规定，办理农民工工资支付保障手续，保障农民工的权益，不拖欠农民工 工资。 如违反承诺，我方同意发包人对我方递交的投标保证金不予退还、取消中标资格，并愿按有 关规定接受任何处罚。</w:t>
      </w:r>
    </w:p>
    <w:p w14:paraId="6B4B49BB">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p>
    <w:p w14:paraId="58ACB158">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p>
    <w:p w14:paraId="4E148243">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投 标 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（盖单位章）</w:t>
      </w:r>
    </w:p>
    <w:p w14:paraId="3E1929B0">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法定代表人或其委托代理人：</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（签字）</w:t>
      </w:r>
    </w:p>
    <w:p w14:paraId="23B7D066">
      <w:pPr>
        <w:keepNext w:val="0"/>
        <w:keepLines w:val="0"/>
        <w:pageBreakBefore w:val="0"/>
        <w:widowControl w:val="0"/>
        <w:kinsoku/>
        <w:wordWrap w:val="0"/>
        <w:overflowPunct/>
        <w:topLinePunct/>
        <w:autoSpaceDE w:val="0"/>
        <w:autoSpaceDN/>
        <w:bidi w:val="0"/>
        <w:adjustRightInd/>
        <w:snapToGrid/>
        <w:spacing w:line="560" w:lineRule="exact"/>
        <w:ind w:left="0" w:right="0"/>
        <w:jc w:val="right"/>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u w:val="single" w:color="auto"/>
        </w:rPr>
        <w:tab/>
      </w:r>
      <w:r>
        <w:rPr>
          <w:rFonts w:ascii="宋体" w:hAnsi="宋体" w:eastAsia="宋体" w:cs="宋体"/>
          <w:snapToGrid/>
          <w:spacing w:val="0"/>
          <w:w w:val="100"/>
          <w:kern w:val="21"/>
          <w:position w:val="0"/>
          <w:sz w:val="20"/>
          <w:szCs w:val="20"/>
        </w:rPr>
        <w:t xml:space="preserve"> 年</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月</w:t>
      </w:r>
      <w:r>
        <w:rPr>
          <w:rFonts w:ascii="宋体" w:hAnsi="宋体" w:eastAsia="宋体" w:cs="宋体"/>
          <w:snapToGrid/>
          <w:spacing w:val="0"/>
          <w:w w:val="100"/>
          <w:kern w:val="21"/>
          <w:position w:val="0"/>
          <w:sz w:val="20"/>
          <w:szCs w:val="20"/>
          <w:u w:val="single" w:color="auto"/>
        </w:rPr>
        <w:t xml:space="preserve">      </w:t>
      </w:r>
      <w:r>
        <w:rPr>
          <w:rFonts w:ascii="宋体" w:hAnsi="宋体" w:eastAsia="宋体" w:cs="宋体"/>
          <w:snapToGrid/>
          <w:spacing w:val="0"/>
          <w:w w:val="100"/>
          <w:kern w:val="21"/>
          <w:position w:val="0"/>
          <w:sz w:val="20"/>
          <w:szCs w:val="20"/>
        </w:rPr>
        <w:t xml:space="preserve"> 日</w:t>
      </w:r>
    </w:p>
    <w:p w14:paraId="450531D9">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宋体" w:hAnsi="宋体" w:eastAsia="宋体" w:cs="宋体"/>
          <w:snapToGrid/>
          <w:spacing w:val="0"/>
          <w:w w:val="100"/>
          <w:kern w:val="21"/>
          <w:position w:val="0"/>
          <w:sz w:val="20"/>
          <w:szCs w:val="20"/>
        </w:rPr>
        <w:sectPr>
          <w:footerReference r:id="rId51" w:type="default"/>
          <w:pgSz w:w="11906" w:h="16838"/>
          <w:pgMar w:top="1440" w:right="1080" w:bottom="1440" w:left="1080" w:header="0" w:footer="1185" w:gutter="0"/>
          <w:pgNumType w:fmt="decimal"/>
          <w:cols w:space="720" w:num="1"/>
        </w:sectPr>
      </w:pPr>
    </w:p>
    <w:p w14:paraId="07C8935B">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31"/>
          <w:szCs w:val="31"/>
        </w:rPr>
      </w:pPr>
      <w:bookmarkStart w:id="654" w:name="bookmark208"/>
      <w:bookmarkEnd w:id="654"/>
      <w:r>
        <w:rPr>
          <w:rFonts w:ascii="宋体" w:hAnsi="宋体" w:eastAsia="宋体" w:cs="宋体"/>
          <w:b/>
          <w:bCs/>
          <w:snapToGrid/>
          <w:spacing w:val="0"/>
          <w:w w:val="100"/>
          <w:kern w:val="21"/>
          <w:position w:val="0"/>
          <w:sz w:val="31"/>
          <w:szCs w:val="31"/>
        </w:rPr>
        <w:t>十一、其他材料</w:t>
      </w:r>
    </w:p>
    <w:p w14:paraId="33829A3F">
      <w:pPr>
        <w:keepNext w:val="0"/>
        <w:keepLines w:val="0"/>
        <w:pageBreakBefore w:val="0"/>
        <w:widowControl w:val="0"/>
        <w:kinsoku/>
        <w:wordWrap w:val="0"/>
        <w:overflowPunct/>
        <w:topLinePunct/>
        <w:autoSpaceDE w:val="0"/>
        <w:autoSpaceDN/>
        <w:bidi w:val="0"/>
        <w:adjustRightInd/>
        <w:snapToGrid/>
        <w:spacing w:line="560" w:lineRule="exact"/>
        <w:ind w:left="0" w:right="0"/>
        <w:jc w:val="center"/>
        <w:textAlignment w:val="baseline"/>
        <w:outlineLvl w:val="9"/>
        <w:rPr>
          <w:rFonts w:ascii="宋体" w:hAnsi="宋体" w:eastAsia="宋体" w:cs="宋体"/>
          <w:snapToGrid/>
          <w:spacing w:val="0"/>
          <w:w w:val="100"/>
          <w:kern w:val="21"/>
          <w:position w:val="0"/>
          <w:sz w:val="20"/>
          <w:szCs w:val="20"/>
        </w:rPr>
      </w:pPr>
      <w:r>
        <w:rPr>
          <w:rFonts w:ascii="宋体" w:hAnsi="宋体" w:eastAsia="宋体" w:cs="宋体"/>
          <w:snapToGrid/>
          <w:spacing w:val="0"/>
          <w:w w:val="100"/>
          <w:kern w:val="21"/>
          <w:position w:val="0"/>
          <w:sz w:val="20"/>
          <w:szCs w:val="20"/>
        </w:rPr>
        <w:t>良好行为记录证明材料、投标人信用网页截图等。</w:t>
      </w:r>
    </w:p>
    <w:p w14:paraId="118A0278">
      <w:pPr>
        <w:keepNext w:val="0"/>
        <w:keepLines w:val="0"/>
        <w:pageBreakBefore w:val="0"/>
        <w:widowControl w:val="0"/>
        <w:kinsoku/>
        <w:wordWrap w:val="0"/>
        <w:overflowPunct/>
        <w:topLinePunct/>
        <w:autoSpaceDE w:val="0"/>
        <w:autoSpaceDN/>
        <w:bidi w:val="0"/>
        <w:adjustRightInd/>
        <w:snapToGrid/>
        <w:spacing w:line="560" w:lineRule="exact"/>
        <w:ind w:left="0" w:right="0"/>
        <w:jc w:val="left"/>
        <w:textAlignment w:val="baseline"/>
        <w:outlineLvl w:val="9"/>
        <w:rPr>
          <w:rFonts w:ascii="Arial"/>
          <w:snapToGrid/>
          <w:spacing w:val="0"/>
          <w:w w:val="100"/>
          <w:kern w:val="21"/>
          <w:position w:val="0"/>
          <w:sz w:val="21"/>
        </w:rPr>
      </w:pPr>
    </w:p>
    <w:sectPr>
      <w:footerReference r:id="rId52" w:type="default"/>
      <w:pgSz w:w="11906" w:h="16838"/>
      <w:pgMar w:top="1440" w:right="1080" w:bottom="1440" w:left="1080" w:header="0" w:footer="0"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qjyzx" w:date="2025-09-10T09:25:45Z" w:initials="h">
    <w:p w14:paraId="637EA9CD">
      <w:pPr>
        <w:pStyle w:val="3"/>
        <w:rPr>
          <w:rFonts w:hint="default" w:eastAsia="宋体"/>
          <w:lang w:val="en-US" w:eastAsia="zh-CN"/>
        </w:rPr>
      </w:pPr>
      <w:r>
        <w:rPr>
          <w:rFonts w:hint="eastAsia" w:eastAsia="宋体"/>
          <w:lang w:eastAsia="zh-CN"/>
        </w:rPr>
        <w:t>不少于</w:t>
      </w:r>
      <w:r>
        <w:rPr>
          <w:rFonts w:hint="eastAsia" w:eastAsia="宋体"/>
          <w:lang w:val="en-US" w:eastAsia="zh-CN"/>
        </w:rPr>
        <w:t>80%</w:t>
      </w:r>
    </w:p>
  </w:comment>
  <w:comment w:id="1" w:author="hqjyzx" w:date="2025-09-10T09:36:57Z" w:initials="h">
    <w:p w14:paraId="DFBDD124">
      <w:pPr>
        <w:pStyle w:val="3"/>
        <w:rPr>
          <w:rFonts w:hint="eastAsia" w:eastAsia="宋体"/>
          <w:lang w:eastAsia="zh-CN"/>
        </w:rPr>
      </w:pPr>
      <w:r>
        <w:rPr>
          <w:rFonts w:hint="eastAsia" w:eastAsia="宋体"/>
          <w:lang w:eastAsia="zh-CN"/>
        </w:rPr>
        <w:t>保证金金额</w:t>
      </w:r>
    </w:p>
  </w:comment>
  <w:comment w:id="2" w:author="hqjyzx" w:date="2025-09-10T09:39:56Z" w:initials="h">
    <w:p w14:paraId="EC1FC6F3">
      <w:pPr>
        <w:pStyle w:val="3"/>
        <w:rPr>
          <w:rFonts w:hint="eastAsia" w:eastAsia="宋体"/>
          <w:lang w:val="en-US" w:eastAsia="zh-CN"/>
        </w:rPr>
      </w:pPr>
      <w:r>
        <w:rPr>
          <w:rFonts w:hint="eastAsia" w:eastAsia="宋体"/>
          <w:lang w:val="en-US" w:eastAsia="zh-CN"/>
        </w:rPr>
        <w:t>3名</w:t>
      </w:r>
    </w:p>
  </w:comment>
  <w:comment w:id="3" w:author="Administrator" w:date="2025-09-09T18:43:47Z" w:initials="A">
    <w:p w14:paraId="EEFA82BF">
      <w:pPr>
        <w:keepNext w:val="0"/>
        <w:keepLines w:val="0"/>
        <w:pageBreakBefore w:val="0"/>
        <w:widowControl w:val="0"/>
        <w:kinsoku/>
        <w:wordWrap w:val="0"/>
        <w:overflowPunct/>
        <w:topLinePunct/>
        <w:autoSpaceDE w:val="0"/>
        <w:autoSpaceDN/>
        <w:bidi w:val="0"/>
        <w:adjustRightInd/>
        <w:snapToGrid/>
        <w:spacing w:line="560" w:lineRule="exact"/>
        <w:ind w:left="0" w:right="0" w:hanging="5"/>
        <w:jc w:val="left"/>
        <w:textAlignment w:val="baseline"/>
        <w:outlineLvl w:val="9"/>
      </w:pPr>
      <w:r>
        <w:rPr>
          <w:rFonts w:ascii="宋体" w:hAnsi="宋体" w:eastAsia="宋体" w:cs="宋体"/>
          <w:snapToGrid/>
          <w:spacing w:val="0"/>
          <w:w w:val="100"/>
          <w:kern w:val="21"/>
          <w:position w:val="0"/>
          <w:sz w:val="17"/>
          <w:szCs w:val="17"/>
        </w:rPr>
        <w:t xml:space="preserve">各评分因素权重分值范围如下：资信业绩部分 </w:t>
      </w:r>
      <w:r>
        <w:rPr>
          <w:rFonts w:ascii="Times New Roman" w:hAnsi="Times New Roman" w:eastAsia="Times New Roman" w:cs="Times New Roman"/>
          <w:snapToGrid/>
          <w:spacing w:val="0"/>
          <w:w w:val="100"/>
          <w:kern w:val="21"/>
          <w:position w:val="0"/>
          <w:sz w:val="17"/>
          <w:szCs w:val="17"/>
        </w:rPr>
        <w:t xml:space="preserve">5~25 </w:t>
      </w:r>
      <w:r>
        <w:rPr>
          <w:rFonts w:ascii="宋体" w:hAnsi="宋体" w:eastAsia="宋体" w:cs="宋体"/>
          <w:snapToGrid/>
          <w:spacing w:val="0"/>
          <w:w w:val="100"/>
          <w:kern w:val="21"/>
          <w:position w:val="0"/>
          <w:sz w:val="17"/>
          <w:szCs w:val="17"/>
        </w:rPr>
        <w:t xml:space="preserve">分；施工组织设计部分 </w:t>
      </w:r>
      <w:r>
        <w:rPr>
          <w:rFonts w:ascii="Times New Roman" w:hAnsi="Times New Roman" w:eastAsia="Times New Roman" w:cs="Times New Roman"/>
          <w:snapToGrid/>
          <w:spacing w:val="0"/>
          <w:w w:val="100"/>
          <w:kern w:val="21"/>
          <w:position w:val="0"/>
          <w:sz w:val="17"/>
          <w:szCs w:val="17"/>
        </w:rPr>
        <w:t xml:space="preserve">0~10 </w:t>
      </w:r>
      <w:r>
        <w:rPr>
          <w:rFonts w:ascii="宋体" w:hAnsi="宋体" w:eastAsia="宋体" w:cs="宋体"/>
          <w:snapToGrid/>
          <w:spacing w:val="0"/>
          <w:w w:val="100"/>
          <w:kern w:val="21"/>
          <w:position w:val="0"/>
          <w:sz w:val="17"/>
          <w:szCs w:val="17"/>
        </w:rPr>
        <w:t>分；投标报价不应低于</w:t>
      </w:r>
      <w:r>
        <w:rPr>
          <w:rFonts w:ascii="Times New Roman" w:hAnsi="Times New Roman" w:eastAsia="Times New Roman" w:cs="Times New Roman"/>
          <w:snapToGrid/>
          <w:spacing w:val="0"/>
          <w:w w:val="100"/>
          <w:kern w:val="21"/>
          <w:position w:val="0"/>
          <w:sz w:val="17"/>
          <w:szCs w:val="17"/>
        </w:rPr>
        <w:t xml:space="preserve">60 </w:t>
      </w:r>
      <w:r>
        <w:rPr>
          <w:rFonts w:ascii="宋体" w:hAnsi="宋体" w:eastAsia="宋体" w:cs="宋体"/>
          <w:snapToGrid/>
          <w:spacing w:val="0"/>
          <w:w w:val="100"/>
          <w:kern w:val="21"/>
          <w:position w:val="0"/>
          <w:sz w:val="17"/>
          <w:szCs w:val="17"/>
        </w:rPr>
        <w:t xml:space="preserve">分，其他评分因素 </w:t>
      </w:r>
      <w:r>
        <w:rPr>
          <w:rFonts w:ascii="Times New Roman" w:hAnsi="Times New Roman" w:eastAsia="Times New Roman" w:cs="Times New Roman"/>
          <w:snapToGrid/>
          <w:spacing w:val="0"/>
          <w:w w:val="100"/>
          <w:kern w:val="21"/>
          <w:position w:val="0"/>
          <w:sz w:val="17"/>
          <w:szCs w:val="17"/>
        </w:rPr>
        <w:t xml:space="preserve">0~5 </w:t>
      </w:r>
      <w:r>
        <w:rPr>
          <w:rFonts w:ascii="宋体" w:hAnsi="宋体" w:eastAsia="宋体" w:cs="宋体"/>
          <w:snapToGrid/>
          <w:spacing w:val="0"/>
          <w:w w:val="100"/>
          <w:kern w:val="21"/>
          <w:position w:val="0"/>
          <w:sz w:val="17"/>
          <w:szCs w:val="17"/>
        </w:rPr>
        <w:t>分。</w:t>
      </w:r>
    </w:p>
  </w:comment>
  <w:comment w:id="4" w:author="hqjyzx" w:date="2025-09-10T10:35:03Z" w:initials="h">
    <w:p w14:paraId="7BFF9E31">
      <w:pPr>
        <w:pStyle w:val="3"/>
        <w:rPr>
          <w:rFonts w:hint="eastAsia" w:eastAsia="宋体"/>
          <w:lang w:eastAsia="zh-CN"/>
        </w:rPr>
      </w:pPr>
      <w:r>
        <w:rPr>
          <w:rFonts w:hint="eastAsia" w:eastAsia="宋体"/>
          <w:lang w:eastAsia="zh-CN"/>
        </w:rPr>
        <w:t>暂列金不参与投标报价计算</w:t>
      </w:r>
    </w:p>
  </w:comment>
  <w:comment w:id="5" w:author="hqjyzx" w:date="2025-09-10T10:14:04Z" w:initials="h">
    <w:p w14:paraId="6EFDB9F6">
      <w:pPr>
        <w:pStyle w:val="3"/>
        <w:rPr>
          <w:rFonts w:hint="eastAsia" w:eastAsia="宋体"/>
          <w:lang w:eastAsia="zh-CN"/>
        </w:rPr>
      </w:pPr>
      <w:r>
        <w:rPr>
          <w:rFonts w:hint="eastAsia" w:eastAsia="宋体"/>
          <w:lang w:eastAsia="zh-CN"/>
        </w:rPr>
        <w:t>安徽内省市是否有奖项。</w:t>
      </w:r>
    </w:p>
  </w:comment>
  <w:comment w:id="6" w:author="hqjyzx" w:date="2025-09-10T10:22:13Z" w:initials="h">
    <w:p w14:paraId="6DDD7BC6">
      <w:pPr>
        <w:pStyle w:val="3"/>
        <w:rPr>
          <w:rFonts w:hint="eastAsia" w:eastAsia="宋体"/>
          <w:lang w:eastAsia="zh-CN"/>
        </w:rPr>
      </w:pPr>
      <w:r>
        <w:rPr>
          <w:rFonts w:hint="eastAsia" w:eastAsia="宋体"/>
          <w:lang w:eastAsia="zh-CN"/>
        </w:rPr>
        <w:t>两个业绩</w:t>
      </w:r>
    </w:p>
  </w:comment>
  <w:comment w:id="7" w:author="hqjyzx" w:date="2025-09-10T10:33:46Z" w:initials="h">
    <w:p w14:paraId="FD9C0716">
      <w:pPr>
        <w:pStyle w:val="3"/>
        <w:rPr>
          <w:rFonts w:hint="default" w:eastAsia="宋体"/>
          <w:lang w:val="en-US" w:eastAsia="zh-CN"/>
        </w:rPr>
      </w:pPr>
      <w:r>
        <w:rPr>
          <w:rFonts w:hint="eastAsia" w:eastAsia="宋体"/>
          <w:lang w:eastAsia="zh-CN"/>
        </w:rPr>
        <w:t>设置暂列金</w:t>
      </w:r>
      <w:r>
        <w:rPr>
          <w:rFonts w:hint="eastAsia" w:eastAsia="宋体"/>
          <w:lang w:val="en-US" w:eastAsia="zh-CN"/>
        </w:rPr>
        <w:t>2%，</w:t>
      </w:r>
    </w:p>
  </w:comment>
  <w:comment w:id="8" w:author="hqjyzx" w:date="2025-09-10T09:59:39Z" w:initials="h">
    <w:p w14:paraId="CFF7E876">
      <w:pPr>
        <w:pStyle w:val="3"/>
        <w:rPr>
          <w:rFonts w:hint="default" w:eastAsia="宋体"/>
          <w:lang w:val="en-US" w:eastAsia="zh-CN"/>
        </w:rPr>
      </w:pPr>
      <w:r>
        <w:rPr>
          <w:rFonts w:hint="eastAsia" w:eastAsia="宋体"/>
          <w:lang w:eastAsia="zh-CN"/>
        </w:rPr>
        <w:t>招标人设置，</w:t>
      </w:r>
      <w:r>
        <w:rPr>
          <w:rFonts w:hint="eastAsia" w:eastAsia="宋体"/>
          <w:lang w:val="en-US" w:eastAsia="zh-CN"/>
        </w:rPr>
        <w:t>85%、95%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7EA9CD" w15:done="0"/>
  <w15:commentEx w15:paraId="DFBDD124" w15:done="0"/>
  <w15:commentEx w15:paraId="EC1FC6F3" w15:done="0"/>
  <w15:commentEx w15:paraId="EEFA82BF" w15:done="0"/>
  <w15:commentEx w15:paraId="7BFF9E31" w15:done="0"/>
  <w15:commentEx w15:paraId="6EFDB9F6" w15:done="0"/>
  <w15:commentEx w15:paraId="6DDD7BC6" w15:done="0"/>
  <w15:commentEx w15:paraId="FD9C0716" w15:done="0"/>
  <w15:commentEx w15:paraId="CFF7E8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9B541E-E333-432C-827F-F64B741249B7}"/>
  </w:font>
  <w:font w:name="黑体">
    <w:panose1 w:val="02010609060101010101"/>
    <w:charset w:val="86"/>
    <w:family w:val="auto"/>
    <w:pitch w:val="default"/>
    <w:sig w:usb0="800002BF" w:usb1="38CF7CFA" w:usb2="00000016" w:usb3="00000000" w:csb0="00040001" w:csb1="00000000"/>
    <w:embedRegular r:id="rId2" w:fontKey="{E8836AC1-4AE2-455F-A019-6DFBCC1506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86100AEF-30C8-4153-97FB-0E54532207A7}"/>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4" w:fontKey="{27E3A4F5-C3A9-4F9D-822F-966986534209}"/>
  </w:font>
  <w:font w:name="微软雅黑">
    <w:panose1 w:val="020B0503020204020204"/>
    <w:charset w:val="86"/>
    <w:family w:val="auto"/>
    <w:pitch w:val="default"/>
    <w:sig w:usb0="80000287" w:usb1="2ACF3C50" w:usb2="00000016" w:usb3="00000000" w:csb0="0004001F" w:csb1="00000000"/>
    <w:embedRegular r:id="rId5" w:fontKey="{C38608FE-2A60-4BB8-A3B7-0746B6D3C5E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29BF">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23A4">
    <w:pPr>
      <w:spacing w:line="226" w:lineRule="exact"/>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4AA8D">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84AA8D">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69ED">
    <w:pPr>
      <w:spacing w:line="226" w:lineRule="exact"/>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6E196">
                          <w:pPr>
                            <w:pStyle w:val="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546E196">
                    <w:pPr>
                      <w:pStyle w:val="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9596E">
    <w:pPr>
      <w:spacing w:line="226" w:lineRule="exact"/>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54E7A">
                          <w:pPr>
                            <w:pStyle w:val="6"/>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A54E7A">
                    <w:pPr>
                      <w:pStyle w:val="6"/>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320D">
    <w:pPr>
      <w:spacing w:line="226" w:lineRule="exact"/>
      <w:ind w:left="441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24992">
                          <w:pPr>
                            <w:pStyle w:val="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7824992">
                    <w:pPr>
                      <w:pStyle w:val="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EB01">
    <w:pPr>
      <w:spacing w:line="226" w:lineRule="exact"/>
      <w:ind w:left="44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67756">
                          <w:pPr>
                            <w:pStyle w:val="6"/>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067756">
                    <w:pPr>
                      <w:pStyle w:val="6"/>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FD00">
    <w:pPr>
      <w:spacing w:line="226" w:lineRule="exact"/>
      <w:ind w:left="44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1D77">
                          <w:pPr>
                            <w:pStyle w:val="6"/>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E401D77">
                    <w:pPr>
                      <w:pStyle w:val="6"/>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9FD5">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C93E9">
                          <w:pPr>
                            <w:pStyle w:val="6"/>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9C93E9">
                    <w:pPr>
                      <w:pStyle w:val="6"/>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A45F">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9C665">
                          <w:pPr>
                            <w:pStyle w:val="6"/>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E59C665">
                    <w:pPr>
                      <w:pStyle w:val="6"/>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D96D">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03773">
                          <w:pPr>
                            <w:pStyle w:val="6"/>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B03773">
                    <w:pPr>
                      <w:pStyle w:val="6"/>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3AA6">
    <w:pPr>
      <w:spacing w:line="226" w:lineRule="exact"/>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1811">
                          <w:pPr>
                            <w:pStyle w:val="6"/>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881811">
                    <w:pPr>
                      <w:pStyle w:val="6"/>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E423">
    <w:pPr>
      <w:spacing w:line="181" w:lineRule="auto"/>
      <w:ind w:left="44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01087">
                          <w:pPr>
                            <w:pStyle w:val="6"/>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F01087">
                    <w:pPr>
                      <w:pStyle w:val="6"/>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3BC1">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7C203">
                          <w:pPr>
                            <w:pStyle w:val="6"/>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3B7C203">
                    <w:pPr>
                      <w:pStyle w:val="6"/>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3B834">
    <w:pPr>
      <w:spacing w:line="226" w:lineRule="exact"/>
      <w:ind w:left="45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1F3E3">
                          <w:pPr>
                            <w:pStyle w:val="6"/>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FE1F3E3">
                    <w:pPr>
                      <w:pStyle w:val="6"/>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61AE">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70746">
                          <w:pPr>
                            <w:pStyle w:val="6"/>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AE70746">
                    <w:pPr>
                      <w:pStyle w:val="6"/>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B7685">
    <w:pPr>
      <w:spacing w:line="226" w:lineRule="exact"/>
      <w:ind w:left="44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43B21">
                          <w:pPr>
                            <w:pStyle w:val="6"/>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7743B21">
                    <w:pPr>
                      <w:pStyle w:val="6"/>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F8CE">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C1EC1">
                          <w:pPr>
                            <w:pStyle w:val="6"/>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2EC1EC1">
                    <w:pPr>
                      <w:pStyle w:val="6"/>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76A0">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63701">
                          <w:pPr>
                            <w:pStyle w:val="6"/>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8863701">
                    <w:pPr>
                      <w:pStyle w:val="6"/>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4CBD">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3E217">
                          <w:pPr>
                            <w:pStyle w:val="6"/>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E83E217">
                    <w:pPr>
                      <w:pStyle w:val="6"/>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3E31">
    <w:pPr>
      <w:spacing w:line="226" w:lineRule="exact"/>
      <w:ind w:left="43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67C3">
                          <w:pPr>
                            <w:pStyle w:val="6"/>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B067C3">
                    <w:pPr>
                      <w:pStyle w:val="6"/>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4C78">
    <w:pPr>
      <w:spacing w:line="226" w:lineRule="exact"/>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0FF75">
                          <w:pPr>
                            <w:pStyle w:val="6"/>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300FF75">
                    <w:pPr>
                      <w:pStyle w:val="6"/>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805">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A57B3">
                          <w:pPr>
                            <w:pStyle w:val="6"/>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A7A57B3">
                    <w:pPr>
                      <w:pStyle w:val="6"/>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EB8A">
    <w:pPr>
      <w:spacing w:line="226" w:lineRule="exact"/>
      <w:ind w:left="46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F6F5">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E2F6F5">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1701">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C9C0C">
                          <w:pPr>
                            <w:pStyle w:val="6"/>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1C9C0C">
                    <w:pPr>
                      <w:pStyle w:val="6"/>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A92A">
    <w:pPr>
      <w:spacing w:line="226" w:lineRule="exact"/>
      <w:ind w:left="45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4589C">
                          <w:pPr>
                            <w:pStyle w:val="6"/>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C04589C">
                    <w:pPr>
                      <w:pStyle w:val="6"/>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14C7">
    <w:pPr>
      <w:spacing w:line="226" w:lineRule="exact"/>
      <w:ind w:left="45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ABC04">
                          <w:pPr>
                            <w:pStyle w:val="6"/>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BCABC04">
                    <w:pPr>
                      <w:pStyle w:val="6"/>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512">
    <w:pPr>
      <w:spacing w:line="226" w:lineRule="exact"/>
      <w:ind w:left="44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C463F">
                          <w:pPr>
                            <w:pStyle w:val="6"/>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44C463F">
                    <w:pPr>
                      <w:pStyle w:val="6"/>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9D8E">
    <w:pPr>
      <w:spacing w:line="14" w:lineRule="auto"/>
      <w:rPr>
        <w:rFonts w:ascii="Arial"/>
        <w:sz w:val="2"/>
      </w:rPr>
    </w:pPr>
    <w:r>
      <w:rPr>
        <w:sz w:val="2"/>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0D8DB">
                          <w:pPr>
                            <w:pStyle w:val="6"/>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EF0D8DB">
                    <w:pPr>
                      <w:pStyle w:val="6"/>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E6F6">
    <w:pPr>
      <w:spacing w:line="226" w:lineRule="exact"/>
      <w:ind w:left="40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21F06">
                          <w:pPr>
                            <w:pStyle w:val="6"/>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021F06">
                    <w:pPr>
                      <w:pStyle w:val="6"/>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DADE">
    <w:pPr>
      <w:spacing w:line="226" w:lineRule="exact"/>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E3718">
                          <w:pPr>
                            <w:pStyle w:val="6"/>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4E3718">
                    <w:pPr>
                      <w:pStyle w:val="6"/>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B8D7">
    <w:pPr>
      <w:spacing w:line="226" w:lineRule="exact"/>
      <w:ind w:left="43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CCCAC">
                          <w:pPr>
                            <w:pStyle w:val="6"/>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ECCCCAC">
                    <w:pPr>
                      <w:pStyle w:val="6"/>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805B">
    <w:pPr>
      <w:spacing w:line="226" w:lineRule="exact"/>
      <w:ind w:left="45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6CEAC">
                          <w:pPr>
                            <w:pStyle w:val="6"/>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FC6CEAC">
                    <w:pPr>
                      <w:pStyle w:val="6"/>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D5E1">
    <w:pPr>
      <w:spacing w:line="226" w:lineRule="exact"/>
      <w:ind w:left="45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E2C80">
                          <w:pPr>
                            <w:pStyle w:val="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A7E2C80">
                    <w:pPr>
                      <w:pStyle w:val="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5E78">
    <w:pPr>
      <w:spacing w:line="226" w:lineRule="exact"/>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5DEA5">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15DEA5">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6D09">
    <w:pPr>
      <w:spacing w:line="226" w:lineRule="exact"/>
      <w:ind w:left="44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C2BB2">
                          <w:pPr>
                            <w:pStyle w:val="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F6C2BB2">
                    <w:pPr>
                      <w:pStyle w:val="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E802">
    <w:pPr>
      <w:spacing w:line="226" w:lineRule="exact"/>
      <w:ind w:left="42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3FB59">
                          <w:pPr>
                            <w:pStyle w:val="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2C3FB59">
                    <w:pPr>
                      <w:pStyle w:val="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A181">
    <w:pPr>
      <w:spacing w:line="226" w:lineRule="exact"/>
      <w:ind w:left="45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61190">
                          <w:pPr>
                            <w:pStyle w:val="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0461190">
                    <w:pPr>
                      <w:pStyle w:val="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7DA4">
    <w:pPr>
      <w:spacing w:line="226" w:lineRule="exact"/>
      <w:ind w:left="44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E4B6">
                          <w:pPr>
                            <w:pStyle w:val="6"/>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660E4B6">
                    <w:pPr>
                      <w:pStyle w:val="6"/>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0AB2">
    <w:pPr>
      <w:spacing w:line="226" w:lineRule="exact"/>
      <w:ind w:left="441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D4CAE">
                          <w:pPr>
                            <w:pStyle w:val="6"/>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BCD4CAE">
                    <w:pPr>
                      <w:pStyle w:val="6"/>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6626">
    <w:pPr>
      <w:spacing w:line="226" w:lineRule="exact"/>
      <w:ind w:left="44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6FAD5">
                          <w:pPr>
                            <w:pStyle w:val="6"/>
                          </w:pPr>
                          <w:r>
                            <w:fldChar w:fldCharType="begin"/>
                          </w:r>
                          <w:r>
                            <w:instrText xml:space="preserve"> PAGE  \* MERGEFORMAT </w:instrText>
                          </w:r>
                          <w:r>
                            <w:fldChar w:fldCharType="separate"/>
                          </w:r>
                          <w:r>
                            <w:t>164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006FAD5">
                    <w:pPr>
                      <w:pStyle w:val="6"/>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4B16">
    <w:pPr>
      <w:spacing w:line="14" w:lineRule="auto"/>
      <w:rPr>
        <w:rFonts w:ascii="Arial"/>
        <w:sz w:val="2"/>
      </w:rPr>
    </w:pPr>
    <w:r>
      <w:rPr>
        <w:sz w:val="2"/>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BB6B">
                          <w:pPr>
                            <w:pStyle w:val="6"/>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7BCBB6B">
                    <w:pPr>
                      <w:pStyle w:val="6"/>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B9E6">
    <w:pPr>
      <w:spacing w:line="226" w:lineRule="exact"/>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B019C">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4B019C">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23E0">
    <w:pPr>
      <w:spacing w:line="226" w:lineRule="exact"/>
      <w:ind w:left="44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8F44C">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08F44C">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2C4E">
    <w:pPr>
      <w:spacing w:line="226" w:lineRule="exact"/>
      <w:ind w:left="441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B6565">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9B6565">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A019">
    <w:pPr>
      <w:spacing w:line="226" w:lineRule="exact"/>
      <w:ind w:left="456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2D32F">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02D32F">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7AE1">
    <w:pPr>
      <w:spacing w:line="226" w:lineRule="exact"/>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9DAFB">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89DAFB">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3393B"/>
    <w:multiLevelType w:val="singleLevel"/>
    <w:tmpl w:val="9843393B"/>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qjyzx">
    <w15:presenceInfo w15:providerId="None" w15:userId="hqjyzx"/>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F72395"/>
    <w:rsid w:val="079A613C"/>
    <w:rsid w:val="11E15093"/>
    <w:rsid w:val="129A0AFD"/>
    <w:rsid w:val="1A2F0966"/>
    <w:rsid w:val="1ADC6D40"/>
    <w:rsid w:val="27695F9F"/>
    <w:rsid w:val="28206D23"/>
    <w:rsid w:val="283E6303"/>
    <w:rsid w:val="2BB67139"/>
    <w:rsid w:val="2E121326"/>
    <w:rsid w:val="2EE6563F"/>
    <w:rsid w:val="2FD66E69"/>
    <w:rsid w:val="344C0295"/>
    <w:rsid w:val="35074561"/>
    <w:rsid w:val="35EF0025"/>
    <w:rsid w:val="47807760"/>
    <w:rsid w:val="4CA76A93"/>
    <w:rsid w:val="4D643256"/>
    <w:rsid w:val="548C2EA0"/>
    <w:rsid w:val="5DFE3565"/>
    <w:rsid w:val="5EEA44D4"/>
    <w:rsid w:val="5FFEE714"/>
    <w:rsid w:val="60E6745F"/>
    <w:rsid w:val="63873AA7"/>
    <w:rsid w:val="64C5571C"/>
    <w:rsid w:val="6AA25674"/>
    <w:rsid w:val="6BB524D2"/>
    <w:rsid w:val="6F89118C"/>
    <w:rsid w:val="72B01818"/>
    <w:rsid w:val="744523D5"/>
    <w:rsid w:val="78773D19"/>
    <w:rsid w:val="79FE7354"/>
    <w:rsid w:val="7AFACB65"/>
    <w:rsid w:val="7D4C3F98"/>
    <w:rsid w:val="7F2F1270"/>
    <w:rsid w:val="7F8B34BE"/>
    <w:rsid w:val="7FFD5912"/>
    <w:rsid w:val="CC6F6B57"/>
    <w:rsid w:val="DEDF49AC"/>
    <w:rsid w:val="FDEEA053"/>
    <w:rsid w:val="FF5F1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360"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仿宋" w:hAnsi="仿宋" w:eastAsia="仿宋" w:cs="仿宋"/>
      <w:sz w:val="31"/>
      <w:szCs w:val="31"/>
      <w:lang w:val="en-US" w:eastAsia="en-US" w:bidi="ar-SA"/>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First Indent"/>
    <w:basedOn w:val="4"/>
    <w:next w:val="1"/>
    <w:unhideWhenUsed/>
    <w:qFormat/>
    <w:uiPriority w:val="99"/>
    <w:pPr>
      <w:spacing w:line="400" w:lineRule="atLeast"/>
      <w:ind w:firstLine="426"/>
    </w:pPr>
    <w:rPr>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dr w:val="single" w:color="D6D6D6" w:sz="6" w:space="0"/>
      <w:shd w:val="clear" w:fill="FFFFFF"/>
    </w:rPr>
  </w:style>
  <w:style w:type="character" w:styleId="15">
    <w:name w:val="FollowedHyperlink"/>
    <w:basedOn w:val="13"/>
    <w:qFormat/>
    <w:uiPriority w:val="0"/>
    <w:rPr>
      <w:color w:val="5C5C5C"/>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5C5C5C"/>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character" w:customStyle="1" w:styleId="28">
    <w:name w:val="hover1"/>
    <w:basedOn w:val="13"/>
    <w:qFormat/>
    <w:uiPriority w:val="0"/>
    <w:rPr>
      <w:color w:val="2590EB"/>
    </w:rPr>
  </w:style>
  <w:style w:type="character" w:customStyle="1" w:styleId="29">
    <w:name w:val="hover2"/>
    <w:basedOn w:val="13"/>
    <w:qFormat/>
    <w:uiPriority w:val="0"/>
    <w:rPr>
      <w:color w:val="2590EB"/>
      <w:shd w:val="clear" w:fill="E9F4FD"/>
    </w:rPr>
  </w:style>
  <w:style w:type="character" w:customStyle="1" w:styleId="30">
    <w:name w:val="hover3"/>
    <w:basedOn w:val="13"/>
    <w:uiPriority w:val="0"/>
    <w:rPr>
      <w:color w:val="2590EB"/>
    </w:rPr>
  </w:style>
  <w:style w:type="character" w:customStyle="1" w:styleId="31">
    <w:name w:val="hover4"/>
    <w:basedOn w:val="13"/>
    <w:qFormat/>
    <w:uiPriority w:val="0"/>
  </w:style>
  <w:style w:type="character" w:customStyle="1" w:styleId="32">
    <w:name w:val="mini-outputtext1"/>
    <w:basedOn w:val="13"/>
    <w:qFormat/>
    <w:uiPriority w:val="0"/>
  </w:style>
  <w:style w:type="character" w:customStyle="1" w:styleId="33">
    <w:name w:val="hover"/>
    <w:basedOn w:val="13"/>
    <w:qFormat/>
    <w:uiPriority w:val="0"/>
    <w:rPr>
      <w:color w:val="2590EB"/>
      <w:shd w:val="clear" w:fill="E9F4FD"/>
    </w:rPr>
  </w:style>
  <w:style w:type="paragraph" w:customStyle="1" w:styleId="34">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1" Type="http://schemas.microsoft.com/office/2011/relationships/people" Target="people.xml"/><Relationship Id="rId60" Type="http://schemas.openxmlformats.org/officeDocument/2006/relationships/fontTable" Target="fontTable.xml"/><Relationship Id="rId6" Type="http://schemas.openxmlformats.org/officeDocument/2006/relationships/endnotes" Target="endnotes.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notes" Target="footnotes.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microsoft.com/office/2011/relationships/commentsExtended" Target="commentsExtended.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comments" Target="comment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1"/>
    <customShpInfo spid="_x0000_s1046"/>
    <customShpInfo spid="_x0000_s1047"/>
    <customShpInfo spid="_x0000_s1048"/>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167</Pages>
  <Words>20833</Words>
  <Characters>22535</Characters>
  <TotalTime>32</TotalTime>
  <ScaleCrop>false</ScaleCrop>
  <LinksUpToDate>false</LinksUpToDate>
  <CharactersWithSpaces>23470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2024-12-17T01:22:00Z</dcterms:created>
  <dc:creator>snwf</dc:creator>
  <cp:lastModifiedBy>Administrator</cp:lastModifiedBy>
  <dcterms:modified xsi:type="dcterms:W3CDTF">2025-09-16T01:37:25Z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2025-08-28T15:29:06Z</vt:filetime>
  </property>
  <property fmtid="{D5CDD505-2E9C-101B-9397-08002B2CF9AE}" pid="4" name="KSOTemplateDocerSaveRecord">
    <vt:lpwstr>eyJoZGlkIjoiODg4N2IyMDNlZDI1OGYyMDdjMDFkYTYwMWQwNzI3OTEiLCJ1c2VySWQiOiIxMDIxNDY4NjU2In0=</vt:lpwstr>
  </property>
  <property fmtid="{D5CDD505-2E9C-101B-9397-08002B2CF9AE}" pid="5" name="KSOProductBuildVer">
    <vt:lpwstr>2052-12.1.0.22529</vt:lpwstr>
  </property>
  <property fmtid="{D5CDD505-2E9C-101B-9397-08002B2CF9AE}" pid="6" name="ICV">
    <vt:lpwstr>59AB785101BC485493C07B2C6D928241_13</vt:lpwstr>
  </property>
</Properties>
</file>