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1CD15">
      <w:pPr>
        <w:keepNext/>
        <w:keepLines/>
        <w:widowControl w:val="0"/>
        <w:adjustRightInd w:val="0"/>
        <w:spacing w:before="120" w:beforeLines="50" w:after="120" w:afterLines="50" w:line="560" w:lineRule="exact"/>
        <w:jc w:val="center"/>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采购需求</w:t>
      </w:r>
    </w:p>
    <w:p w14:paraId="56935C36">
      <w:pPr>
        <w:widowControl w:val="0"/>
        <w:numPr>
          <w:ilvl w:val="0"/>
          <w:numId w:val="0"/>
        </w:numPr>
        <w:ind w:leftChars="0" w:firstLine="562" w:firstLineChars="200"/>
        <w:jc w:val="both"/>
        <w:rPr>
          <w:rFonts w:hint="eastAsia" w:ascii="Times New Roman" w:hAnsi="Times New Roman" w:eastAsia="宋体" w:cs="Times New Roman"/>
          <w:b/>
          <w:bCs/>
          <w:kern w:val="2"/>
          <w:sz w:val="28"/>
          <w:szCs w:val="24"/>
          <w:lang w:val="en-US" w:eastAsia="zh-CN" w:bidi="ar-SA"/>
        </w:rPr>
      </w:pPr>
      <w:bookmarkStart w:id="0" w:name="_Hlt509716920"/>
      <w:bookmarkEnd w:id="0"/>
      <w:r>
        <w:rPr>
          <w:rFonts w:hint="eastAsia" w:ascii="Times New Roman" w:hAnsi="Times New Roman" w:eastAsia="宋体" w:cs="Times New Roman"/>
          <w:b/>
          <w:bCs/>
          <w:kern w:val="2"/>
          <w:sz w:val="28"/>
          <w:szCs w:val="24"/>
          <w:lang w:val="en-US" w:eastAsia="zh-CN" w:bidi="ar-SA"/>
        </w:rPr>
        <w:t>第一包：米油类</w:t>
      </w:r>
    </w:p>
    <w:tbl>
      <w:tblPr>
        <w:tblStyle w:val="3"/>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1188"/>
        <w:gridCol w:w="4948"/>
        <w:gridCol w:w="940"/>
        <w:gridCol w:w="929"/>
      </w:tblGrid>
      <w:tr w14:paraId="3C20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CB60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4CD2A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4948" w:type="dxa"/>
            <w:tcBorders>
              <w:top w:val="single" w:color="000000" w:sz="4" w:space="0"/>
              <w:left w:val="single" w:color="000000" w:sz="4" w:space="0"/>
              <w:bottom w:val="single" w:color="000000" w:sz="4" w:space="0"/>
              <w:right w:val="single" w:color="000000" w:sz="4" w:space="0"/>
            </w:tcBorders>
            <w:noWrap w:val="0"/>
            <w:vAlign w:val="center"/>
          </w:tcPr>
          <w:p w14:paraId="0489EF4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参数</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866E03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单位</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EF4EF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r>
      <w:tr w14:paraId="6BB7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E3C6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A645C96">
            <w:pPr>
              <w:jc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kern w:val="2"/>
                <w:sz w:val="24"/>
                <w:szCs w:val="24"/>
                <w:lang w:val="en-US" w:eastAsia="zh-CN" w:bidi="ar-SA"/>
              </w:rPr>
              <w:t>大米</w:t>
            </w:r>
          </w:p>
        </w:tc>
        <w:tc>
          <w:tcPr>
            <w:tcW w:w="4948" w:type="dxa"/>
            <w:tcBorders>
              <w:top w:val="single" w:color="000000" w:sz="4" w:space="0"/>
              <w:left w:val="single" w:color="000000" w:sz="4" w:space="0"/>
              <w:bottom w:val="single" w:color="000000" w:sz="4" w:space="0"/>
              <w:right w:val="single" w:color="000000" w:sz="4" w:space="0"/>
            </w:tcBorders>
            <w:noWrap w:val="0"/>
            <w:vAlign w:val="center"/>
          </w:tcPr>
          <w:p w14:paraId="6D09A8CB">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1、大米符合GB/T1354-2018标准（一级或以上籼米，稻谷成熟至大米出厂在两年内），并拥有 SC 编码。</w:t>
            </w:r>
          </w:p>
          <w:p w14:paraId="5825D9CF">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2、每袋≥25kg。</w:t>
            </w:r>
          </w:p>
          <w:p w14:paraId="63CBBFD4">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3、加工精度：籼米要求背沟基本无皮、或有皮不成线，米胚和粒面皮层去净的占 80%-90%，或留皮度在 2.0% 以下。</w:t>
            </w:r>
          </w:p>
          <w:p w14:paraId="1B1052FB">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4、碎米含量：总量≤15%，其中小碎米≤1%。</w:t>
            </w:r>
          </w:p>
          <w:p w14:paraId="1EBB4EC6">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5、不完善粒含量：≤3%，包括未成熟粒、虫蚀粒、病斑粒、生霉粒、糙米粒等。</w:t>
            </w:r>
          </w:p>
          <w:p w14:paraId="19822CF9">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6、杂质含量：杂质总量≤0.25%，其中无机杂质含量≤0.02%。</w:t>
            </w:r>
          </w:p>
          <w:p w14:paraId="380932C8">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7、营养成分：每 100 克大米蛋白质不低于 7.5 克。</w:t>
            </w:r>
          </w:p>
          <w:p w14:paraId="67CB7680">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8、色泽与气味：无异常色泽和气味。</w:t>
            </w:r>
          </w:p>
          <w:p w14:paraId="332AE499">
            <w:pPr>
              <w:numPr>
                <w:ilvl w:val="0"/>
                <w:numId w:val="0"/>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9、溯源要求：供应链必须明确，提供生产大米所用稻谷原产地及收获时间相关证明。</w:t>
            </w:r>
          </w:p>
          <w:p w14:paraId="78D9A764">
            <w:pPr>
              <w:numPr>
                <w:ilvl w:val="0"/>
                <w:numId w:val="0"/>
              </w:numPr>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10、须符合食品安全国家标准的规定，标明产品名称、品牌、净含量、生产者名称和地址、生产日期、保质期、产品标准号、质量等级、生产许可证号等内容。</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AD3E8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2"/>
                <w:sz w:val="24"/>
                <w:szCs w:val="24"/>
                <w:lang w:val="en-US" w:eastAsia="zh-CN" w:bidi="ar-SA"/>
              </w:rPr>
              <w:t>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86C66CF">
            <w:pPr>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876</w:t>
            </w:r>
          </w:p>
        </w:tc>
      </w:tr>
      <w:tr w14:paraId="602B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E2CB1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23869FE">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食用油</w:t>
            </w:r>
          </w:p>
        </w:tc>
        <w:tc>
          <w:tcPr>
            <w:tcW w:w="4948" w:type="dxa"/>
            <w:tcBorders>
              <w:top w:val="single" w:color="000000" w:sz="4" w:space="0"/>
              <w:left w:val="single" w:color="000000" w:sz="4" w:space="0"/>
              <w:bottom w:val="single" w:color="000000" w:sz="4" w:space="0"/>
              <w:right w:val="single" w:color="000000" w:sz="4" w:space="0"/>
            </w:tcBorders>
            <w:noWrap w:val="0"/>
            <w:vAlign w:val="center"/>
          </w:tcPr>
          <w:p w14:paraId="3E85C662">
            <w:pPr>
              <w:numPr>
                <w:ilvl w:val="0"/>
                <w:numId w:val="1"/>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食用调和油符合GB/T40851-2021标准。</w:t>
            </w:r>
          </w:p>
          <w:p w14:paraId="3C4D93D2">
            <w:pPr>
              <w:numPr>
                <w:ilvl w:val="0"/>
                <w:numId w:val="1"/>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原料为非转基因食用植物油。</w:t>
            </w:r>
          </w:p>
          <w:p w14:paraId="40F4541C">
            <w:pPr>
              <w:numPr>
                <w:ilvl w:val="0"/>
                <w:numId w:val="1"/>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每桶≥5升。</w:t>
            </w:r>
          </w:p>
          <w:p w14:paraId="57B1CCE0">
            <w:pPr>
              <w:numPr>
                <w:ilvl w:val="0"/>
                <w:numId w:val="1"/>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等级：一级油。</w:t>
            </w:r>
          </w:p>
          <w:p w14:paraId="1D259621">
            <w:pPr>
              <w:numPr>
                <w:ilvl w:val="0"/>
                <w:numId w:val="1"/>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过氧化值：≤0.25g/100g。</w:t>
            </w:r>
          </w:p>
          <w:p w14:paraId="32DA822C">
            <w:pPr>
              <w:numPr>
                <w:ilvl w:val="0"/>
                <w:numId w:val="1"/>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烟点：≥190℃。</w:t>
            </w:r>
          </w:p>
          <w:p w14:paraId="7FA9FB0B">
            <w:pPr>
              <w:numPr>
                <w:ilvl w:val="0"/>
                <w:numId w:val="1"/>
              </w:num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标签标识：须符合食品安全国家标准的规定，标明产品名称、配料表、净含量、生产日期、保质期、储存条件、生产者名称和地址、产品标准号、质量等级等内容。</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EA12C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2"/>
                <w:sz w:val="24"/>
                <w:szCs w:val="24"/>
                <w:lang w:val="en-US" w:eastAsia="zh-CN" w:bidi="ar-SA"/>
              </w:rPr>
              <w:t>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B217C2A">
            <w:pPr>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lang w:val="en-US" w:eastAsia="zh-CN" w:bidi="ar-SA"/>
              </w:rPr>
              <w:t>730</w:t>
            </w:r>
          </w:p>
        </w:tc>
      </w:tr>
    </w:tbl>
    <w:p w14:paraId="51C62C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（1）投标人在供货时依据产品执行标准，提供产品质量合格证明、检验报告。 </w:t>
      </w:r>
    </w:p>
    <w:p w14:paraId="01DE1F1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（2）投标人应保证所提供的产品是合格安全的产品，一旦发现伪劣假冒产品、以次充好产品或替代产品，由投标人承担一切责任，并赔偿所造成的损失；若造成刑事责任，移送司法机关处理。</w:t>
      </w:r>
    </w:p>
    <w:p w14:paraId="029AF3C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3）投标人提供的产品须经过采购人验收人员的感官、外观查验和试用，若产品感官、外观、包装、形式不符合采购标准要求或不能达到食品安全要求，当即拒收；投标人不能满足食品的质量、安全及售后服务要求时，投标人应承担全部责任。采购人将每季度组织有关部门不定期对大米和食用调和油进行不少于1次抽样检测，如检测不符合国家有关标准和投标样品要求将对投标人进行处罚，并建议监管部门进行处理。</w:t>
      </w:r>
    </w:p>
    <w:p w14:paraId="23DAA98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（4）投标人必须按照采购人通知的时间、数量、品种、规格要求准时送货，经验收合格后签字确认，不能以任何理由推托，一旦影响到福利院人员的正常生活，投标人应承担相应的经济赔偿。</w:t>
      </w:r>
    </w:p>
    <w:p w14:paraId="71B4048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（5）所有食品送到采购人时，保质期不得过半。</w:t>
      </w:r>
    </w:p>
    <w:p w14:paraId="11FB06A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（6）接受采购人等相关部门随机抽样检查。</w:t>
      </w:r>
    </w:p>
    <w:p w14:paraId="3F0BB01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（7）采购人提出的质量异议，保证在 20 分钟以内作出答复，并妥善商处。无法在 20 分钟内解决的，应在 1 个小时内提供备用产品，使采购人能够正常使用。</w:t>
      </w:r>
    </w:p>
    <w:p w14:paraId="487BEE9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（8）因产品质量问题发生的食物中毒等事故，由中标人承担经济赔偿责任以及其他法律责任。</w:t>
      </w:r>
    </w:p>
    <w:p w14:paraId="0D59049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 xml:space="preserve">（二）流通环节食品供配要求 </w:t>
      </w:r>
    </w:p>
    <w:p w14:paraId="4595241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 xml:space="preserve">（1）食品供货配送必须具备食品经营的法定条件，所配送的食品必须符合《中华人民共和国食品安全法》、《中华人民共和国产品质量法》的规定，对社会和公众负责，保证食品安全，承担社会责任，接受社会监督。 </w:t>
      </w:r>
    </w:p>
    <w:p w14:paraId="06EF7DC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 xml:space="preserve">（2）食品供货配送必须建立完善的质量承诺制度，并具有与该承诺相适应的财务保障。 </w:t>
      </w:r>
    </w:p>
    <w:p w14:paraId="440EB4A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（3）配备有一定食品安全法律知识及食品管理技能的专职或者兼职食品安全管理人员。</w:t>
      </w:r>
    </w:p>
    <w:p w14:paraId="58D52BB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（4）建立健全食品安全管理制度和从业人员健康管理制度。</w:t>
      </w:r>
    </w:p>
    <w:p w14:paraId="4DDE85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（5）具有与所供应配送的食品品种、数量相适应的仓储设备及相关条件；保持仓库环境整洁，同时仓库内食品应摆放有序并与有毒、有害物品以及其他污染源保持规定的距离。</w:t>
      </w:r>
    </w:p>
    <w:p w14:paraId="134522C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（6）配送车辆上必须粘贴配送标识，车辆要保持清洁，在食品配送过程中不得与其他产品混装，特别是不能与有毒、有害物品混装运输。</w:t>
      </w:r>
    </w:p>
    <w:p w14:paraId="20E6F1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（7）配送的预包装食品上的标签必须符合《中华人民共和国食品安全法》第六十七条中关于预包装食品标签的相关规定。</w:t>
      </w:r>
    </w:p>
    <w:p w14:paraId="17E6315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Times New Roman" w:hAnsi="Times New Roman" w:eastAsia="宋体" w:cs="Times New Roman"/>
          <w:szCs w:val="20"/>
        </w:rPr>
      </w:pPr>
      <w:r>
        <w:rPr>
          <w:rFonts w:hint="eastAsia" w:ascii="宋体" w:hAnsi="宋体" w:eastAsia="宋体" w:cs="宋体"/>
          <w:color w:val="000000"/>
          <w:kern w:val="0"/>
          <w:sz w:val="24"/>
          <w:szCs w:val="24"/>
          <w:lang w:val="en-US" w:eastAsia="zh-CN" w:bidi="ar"/>
        </w:rPr>
        <w:t>（8）食品配送单位每次向采购人送货时必须出具食品进销货凭证，如实记录食品名称、生产日期、保质期、有关食品合格证明、型号、单位、规格、数量、价格、金额等信息，且应妥善保管，保存期限不得少于 2 年。</w:t>
      </w:r>
    </w:p>
    <w:p w14:paraId="67CC35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（9）所配送的每个批次的食品必须附有产品出厂的检验合格报告、合格证。</w:t>
      </w:r>
    </w:p>
    <w:p w14:paraId="4FE845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注：本项目采购需求中所有参数必须完全响应，以供应商响应文件中“标书响应情况”为评审依据。不满足要求的按不实质性响应采购文件处理。其中：标“▲”为核心产品。</w:t>
      </w:r>
    </w:p>
    <w:p w14:paraId="2361117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000000"/>
          <w:kern w:val="0"/>
          <w:sz w:val="24"/>
          <w:szCs w:val="24"/>
          <w:lang w:val="en-US" w:eastAsia="zh-CN" w:bidi="ar"/>
        </w:rPr>
      </w:pPr>
    </w:p>
    <w:p w14:paraId="652E57D7">
      <w:pPr>
        <w:rPr>
          <w:rFonts w:hint="eastAsia" w:ascii="宋体" w:hAnsi="宋体" w:eastAsia="宋体" w:cs="Arial"/>
          <w:b/>
          <w:bCs/>
          <w:sz w:val="28"/>
          <w:szCs w:val="28"/>
          <w:lang w:val="en-US" w:eastAsia="zh-CN"/>
        </w:rPr>
      </w:pPr>
      <w:r>
        <w:rPr>
          <w:rFonts w:hint="eastAsia" w:ascii="宋体" w:hAnsi="宋体" w:eastAsia="宋体" w:cs="Arial"/>
          <w:b/>
          <w:bCs/>
          <w:sz w:val="28"/>
          <w:szCs w:val="28"/>
          <w:lang w:val="en-US" w:eastAsia="zh-CN"/>
        </w:rPr>
        <w:br w:type="page"/>
      </w:r>
    </w:p>
    <w:p w14:paraId="513DA1AD">
      <w:pPr>
        <w:spacing w:line="360" w:lineRule="auto"/>
        <w:ind w:left="-567" w:leftChars="-270" w:firstLine="422" w:firstLineChars="150"/>
        <w:jc w:val="left"/>
        <w:rPr>
          <w:rFonts w:hint="default" w:ascii="Times New Roman" w:hAnsi="Times New Roman" w:eastAsia="宋体" w:cs="Times New Roman"/>
          <w:szCs w:val="20"/>
          <w:lang w:val="en-US"/>
        </w:rPr>
      </w:pPr>
      <w:r>
        <w:rPr>
          <w:rFonts w:hint="eastAsia" w:ascii="宋体" w:hAnsi="宋体" w:eastAsia="宋体" w:cs="Arial"/>
          <w:b/>
          <w:bCs/>
          <w:sz w:val="28"/>
          <w:szCs w:val="28"/>
          <w:lang w:val="en-US" w:eastAsia="zh-CN"/>
        </w:rPr>
        <w:t>第二包：奶粉、酸奶、米粉类</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716"/>
        <w:gridCol w:w="3103"/>
        <w:gridCol w:w="1014"/>
        <w:gridCol w:w="2058"/>
      </w:tblGrid>
      <w:tr w14:paraId="3F25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68" w:type="pct"/>
            <w:noWrap w:val="0"/>
            <w:vAlign w:val="center"/>
          </w:tcPr>
          <w:p w14:paraId="17C71E5D">
            <w:pPr>
              <w:spacing w:line="40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1007" w:type="pct"/>
            <w:noWrap w:val="0"/>
            <w:vAlign w:val="center"/>
          </w:tcPr>
          <w:p w14:paraId="066AEDBC">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名</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称</w:t>
            </w:r>
          </w:p>
        </w:tc>
        <w:tc>
          <w:tcPr>
            <w:tcW w:w="1821" w:type="pct"/>
            <w:noWrap w:val="0"/>
            <w:vAlign w:val="center"/>
          </w:tcPr>
          <w:p w14:paraId="0E34E247">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参数</w:t>
            </w:r>
          </w:p>
        </w:tc>
        <w:tc>
          <w:tcPr>
            <w:tcW w:w="595" w:type="pct"/>
            <w:noWrap w:val="0"/>
            <w:vAlign w:val="center"/>
          </w:tcPr>
          <w:p w14:paraId="735B2B94">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单位</w:t>
            </w:r>
          </w:p>
        </w:tc>
        <w:tc>
          <w:tcPr>
            <w:tcW w:w="1208" w:type="pct"/>
            <w:noWrap w:val="0"/>
            <w:vAlign w:val="center"/>
          </w:tcPr>
          <w:p w14:paraId="4277F414">
            <w:pPr>
              <w:jc w:val="center"/>
              <w:rPr>
                <w:rFonts w:hint="eastAsia" w:ascii="宋体" w:hAnsi="宋体" w:eastAsia="宋体" w:cs="宋体"/>
                <w:b/>
                <w:sz w:val="24"/>
                <w:szCs w:val="24"/>
              </w:rPr>
            </w:pPr>
            <w:r>
              <w:rPr>
                <w:rFonts w:hint="eastAsia" w:ascii="宋体" w:hAnsi="宋体" w:eastAsia="宋体" w:cs="宋体"/>
                <w:b/>
                <w:sz w:val="24"/>
                <w:szCs w:val="24"/>
              </w:rPr>
              <w:t>数</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量</w:t>
            </w:r>
          </w:p>
        </w:tc>
      </w:tr>
      <w:tr w14:paraId="463E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4EC62E90">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007" w:type="pct"/>
            <w:noWrap w:val="0"/>
            <w:vAlign w:val="center"/>
          </w:tcPr>
          <w:p w14:paraId="30C4D2DE">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lang w:val="en-US" w:eastAsia="zh-CN"/>
              </w:rPr>
              <w:t>幼儿奶粉</w:t>
            </w:r>
          </w:p>
        </w:tc>
        <w:tc>
          <w:tcPr>
            <w:tcW w:w="1821" w:type="pct"/>
            <w:noWrap w:val="0"/>
            <w:vAlign w:val="center"/>
          </w:tcPr>
          <w:p w14:paraId="79928F5C">
            <w:pPr>
              <w:numPr>
                <w:ilvl w:val="0"/>
                <w:numId w:val="2"/>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 《食品安全国家标准婴儿配方食品》、《食品安全国家标准较大婴儿配方食品》、《食品安全国家标准 幼儿配方食品》，拥有 SC 编码。</w:t>
            </w:r>
          </w:p>
          <w:p w14:paraId="7BEE38B0">
            <w:pPr>
              <w:numPr>
                <w:ilvl w:val="0"/>
                <w:numId w:val="2"/>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营养成分：蛋白质、脂肪、碳水化合物的比例要合理，如蛋白质含量应符合相应年龄段国家标准。同时，需含有丰富的维生素（如维生素 A、D、E、B 族等）和矿物质（如钙、铁、锌等），且含量应达到国家标准要求。</w:t>
            </w:r>
          </w:p>
          <w:p w14:paraId="6083E93A">
            <w:pPr>
              <w:numPr>
                <w:ilvl w:val="0"/>
                <w:numId w:val="2"/>
              </w:numPr>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规格：≥800g/听</w:t>
            </w:r>
            <w:r>
              <w:rPr>
                <w:rFonts w:hint="eastAsia" w:ascii="宋体" w:hAnsi="宋体" w:eastAsia="宋体" w:cs="宋体"/>
                <w:color w:val="auto"/>
                <w:sz w:val="24"/>
                <w:szCs w:val="24"/>
                <w:highlight w:val="none"/>
                <w:lang w:eastAsia="zh-CN"/>
              </w:rPr>
              <w:t>；</w:t>
            </w:r>
          </w:p>
          <w:p w14:paraId="7571ECB8">
            <w:pPr>
              <w:numPr>
                <w:ilvl w:val="0"/>
                <w:numId w:val="2"/>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外包装需密封防潮，标明生产日期、保质期、批号及贮存条件。</w:t>
            </w:r>
          </w:p>
        </w:tc>
        <w:tc>
          <w:tcPr>
            <w:tcW w:w="595" w:type="pct"/>
            <w:noWrap w:val="0"/>
            <w:vAlign w:val="center"/>
          </w:tcPr>
          <w:p w14:paraId="4DFF9F83">
            <w:pPr>
              <w:widowControl w:val="0"/>
              <w:numPr>
                <w:ilvl w:val="0"/>
                <w:numId w:val="0"/>
              </w:numPr>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听</w:t>
            </w:r>
          </w:p>
        </w:tc>
        <w:tc>
          <w:tcPr>
            <w:tcW w:w="1208" w:type="pct"/>
            <w:noWrap w:val="0"/>
            <w:vAlign w:val="center"/>
          </w:tcPr>
          <w:p w14:paraId="1804375B">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lang w:val="en-US" w:eastAsia="zh-CN"/>
              </w:rPr>
              <w:t>240</w:t>
            </w:r>
          </w:p>
        </w:tc>
      </w:tr>
      <w:tr w14:paraId="4B2D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noWrap w:val="0"/>
            <w:vAlign w:val="center"/>
          </w:tcPr>
          <w:p w14:paraId="526CAEF8">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07" w:type="pct"/>
            <w:noWrap w:val="0"/>
            <w:vAlign w:val="center"/>
          </w:tcPr>
          <w:p w14:paraId="219658AB">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▲青少年成长奶粉</w:t>
            </w:r>
          </w:p>
        </w:tc>
        <w:tc>
          <w:tcPr>
            <w:tcW w:w="1821" w:type="pct"/>
            <w:noWrap w:val="0"/>
            <w:vAlign w:val="center"/>
          </w:tcPr>
          <w:p w14:paraId="63AD828E">
            <w:pPr>
              <w:numPr>
                <w:ilvl w:val="0"/>
                <w:numId w:val="0"/>
              </w:numPr>
              <w:spacing w:line="360" w:lineRule="auto"/>
              <w:ind w:left="0" w:leftChars="0"/>
              <w:rPr>
                <w:rFonts w:hint="eastAsia" w:ascii="Segoe UI" w:hAnsi="Segoe UI" w:eastAsia="宋体" w:cs="Segoe UI"/>
                <w:i w:val="0"/>
                <w:iCs w:val="0"/>
                <w:caps w:val="0"/>
                <w:spacing w:val="0"/>
                <w:sz w:val="24"/>
                <w:szCs w:val="24"/>
                <w:shd w:val="clear" w:color="auto" w:fill="FFFFFF"/>
                <w:lang w:eastAsia="zh-CN"/>
              </w:rPr>
            </w:pPr>
            <w:r>
              <w:rPr>
                <w:rFonts w:hint="eastAsia" w:ascii="Segoe UI" w:hAnsi="Segoe UI" w:eastAsia="宋体" w:cs="Segoe UI"/>
                <w:i w:val="0"/>
                <w:iCs w:val="0"/>
                <w:caps w:val="0"/>
                <w:spacing w:val="0"/>
                <w:kern w:val="2"/>
                <w:sz w:val="24"/>
                <w:szCs w:val="24"/>
                <w:shd w:val="clear" w:color="auto" w:fill="FFFFFF"/>
                <w:lang w:val="en-US" w:eastAsia="zh-CN" w:bidi="ar-SA"/>
              </w:rPr>
              <w:t>1、</w:t>
            </w:r>
            <w:r>
              <w:rPr>
                <w:rFonts w:ascii="Segoe UI" w:hAnsi="Segoe UI" w:eastAsia="Segoe UI" w:cs="Segoe UI"/>
                <w:i w:val="0"/>
                <w:iCs w:val="0"/>
                <w:caps w:val="0"/>
                <w:spacing w:val="0"/>
                <w:sz w:val="24"/>
                <w:szCs w:val="24"/>
                <w:shd w:val="clear" w:color="auto" w:fill="FFFFFF"/>
              </w:rPr>
              <w:t>符合相关食品安全国家标准，拥有 SC 编码</w:t>
            </w:r>
            <w:r>
              <w:rPr>
                <w:rFonts w:hint="eastAsia" w:ascii="Segoe UI" w:hAnsi="Segoe UI" w:eastAsia="宋体" w:cs="Segoe UI"/>
                <w:i w:val="0"/>
                <w:iCs w:val="0"/>
                <w:caps w:val="0"/>
                <w:spacing w:val="0"/>
                <w:sz w:val="24"/>
                <w:szCs w:val="24"/>
                <w:shd w:val="clear" w:color="auto" w:fill="FFFFFF"/>
                <w:lang w:eastAsia="zh-CN"/>
              </w:rPr>
              <w:t>。</w:t>
            </w:r>
          </w:p>
          <w:p w14:paraId="50034219">
            <w:pPr>
              <w:numPr>
                <w:ilvl w:val="0"/>
                <w:numId w:val="0"/>
              </w:numPr>
              <w:spacing w:line="360" w:lineRule="auto"/>
              <w:rPr>
                <w:rFonts w:hint="eastAsia" w:ascii="Segoe UI" w:hAnsi="Segoe UI" w:eastAsia="宋体" w:cs="Segoe UI"/>
                <w:i w:val="0"/>
                <w:iCs w:val="0"/>
                <w:caps w:val="0"/>
                <w:spacing w:val="0"/>
                <w:sz w:val="24"/>
                <w:szCs w:val="24"/>
                <w:shd w:val="clear" w:color="auto" w:fill="FFFFFF"/>
                <w:lang w:val="en-US" w:eastAsia="zh-CN"/>
              </w:rPr>
            </w:pPr>
            <w:r>
              <w:rPr>
                <w:rFonts w:hint="eastAsia" w:ascii="Segoe UI" w:hAnsi="Segoe UI" w:eastAsia="宋体" w:cs="Segoe UI"/>
                <w:i w:val="0"/>
                <w:iCs w:val="0"/>
                <w:caps w:val="0"/>
                <w:spacing w:val="0"/>
                <w:sz w:val="24"/>
                <w:szCs w:val="24"/>
                <w:shd w:val="clear" w:color="auto" w:fill="FFFFFF"/>
                <w:lang w:val="en-US" w:eastAsia="zh-CN"/>
              </w:rPr>
              <w:t>2、营养：每 100 克奶粉中钙含量不低于 1000mg，铁含量不低于 5mg，锌含量不低于 5mg。</w:t>
            </w:r>
          </w:p>
          <w:p w14:paraId="3FCDB96D">
            <w:pPr>
              <w:numPr>
                <w:ilvl w:val="0"/>
                <w:numId w:val="0"/>
              </w:numPr>
              <w:spacing w:line="360" w:lineRule="auto"/>
              <w:rPr>
                <w:rFonts w:hint="eastAsia" w:ascii="Segoe UI" w:hAnsi="Segoe UI" w:eastAsia="宋体" w:cs="Segoe UI"/>
                <w:i w:val="0"/>
                <w:iCs w:val="0"/>
                <w:caps w:val="0"/>
                <w:spacing w:val="0"/>
                <w:sz w:val="24"/>
                <w:szCs w:val="24"/>
                <w:shd w:val="clear" w:color="auto" w:fill="FFFFFF"/>
                <w:lang w:val="en-US" w:eastAsia="zh-CN"/>
              </w:rPr>
            </w:pPr>
            <w:r>
              <w:rPr>
                <w:rFonts w:hint="eastAsia" w:ascii="Segoe UI" w:hAnsi="Segoe UI" w:eastAsia="宋体" w:cs="Segoe UI"/>
                <w:i w:val="0"/>
                <w:iCs w:val="0"/>
                <w:caps w:val="0"/>
                <w:spacing w:val="0"/>
                <w:sz w:val="24"/>
                <w:szCs w:val="24"/>
                <w:shd w:val="clear" w:color="auto" w:fill="FFFFFF"/>
                <w:lang w:val="en-US" w:eastAsia="zh-CN"/>
              </w:rPr>
              <w:t>3、蛋白质含量：每 100 克奶粉中蛋白质含量不低于 20 克，且优质蛋白质（如乳清蛋白）占比应较高。</w:t>
            </w:r>
          </w:p>
          <w:p w14:paraId="6FA25C6C">
            <w:pPr>
              <w:numPr>
                <w:ilvl w:val="0"/>
                <w:numId w:val="0"/>
              </w:numPr>
              <w:spacing w:line="360" w:lineRule="auto"/>
              <w:rPr>
                <w:rFonts w:hint="eastAsia" w:ascii="Segoe UI" w:hAnsi="Segoe UI" w:eastAsia="宋体" w:cs="Segoe UI"/>
                <w:i w:val="0"/>
                <w:iCs w:val="0"/>
                <w:caps w:val="0"/>
                <w:spacing w:val="0"/>
                <w:sz w:val="24"/>
                <w:szCs w:val="24"/>
                <w:shd w:val="clear" w:color="auto" w:fill="FFFFFF"/>
                <w:lang w:val="en-US" w:eastAsia="zh-CN"/>
              </w:rPr>
            </w:pPr>
            <w:r>
              <w:rPr>
                <w:rFonts w:hint="eastAsia" w:ascii="Segoe UI" w:hAnsi="Segoe UI" w:eastAsia="宋体" w:cs="Segoe UI"/>
                <w:i w:val="0"/>
                <w:iCs w:val="0"/>
                <w:caps w:val="0"/>
                <w:spacing w:val="0"/>
                <w:sz w:val="24"/>
                <w:szCs w:val="24"/>
                <w:shd w:val="clear" w:color="auto" w:fill="FFFFFF"/>
                <w:lang w:val="en-US" w:eastAsia="zh-CN"/>
              </w:rPr>
              <w:t>4、脂肪与糖分：脂肪含量每 100 克不超过 30 克，糖分含量每 100 克不超过 50 克。</w:t>
            </w:r>
          </w:p>
          <w:p w14:paraId="71555684">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Segoe UI" w:hAnsi="Segoe UI" w:eastAsia="宋体" w:cs="Segoe UI"/>
                <w:i w:val="0"/>
                <w:iCs w:val="0"/>
                <w:caps w:val="0"/>
                <w:spacing w:val="0"/>
                <w:sz w:val="24"/>
                <w:szCs w:val="24"/>
                <w:shd w:val="clear" w:color="auto" w:fill="FFFFFF"/>
                <w:lang w:val="en-US" w:eastAsia="zh-CN"/>
              </w:rPr>
              <w:t>5、</w:t>
            </w:r>
            <w:r>
              <w:rPr>
                <w:rFonts w:hint="eastAsia" w:ascii="宋体" w:hAnsi="宋体" w:eastAsia="宋体" w:cs="宋体"/>
                <w:color w:val="auto"/>
                <w:sz w:val="24"/>
                <w:szCs w:val="24"/>
                <w:highlight w:val="none"/>
                <w:lang w:val="en-US" w:eastAsia="zh-CN"/>
              </w:rPr>
              <w:t>规格：≥800g/听；</w:t>
            </w:r>
          </w:p>
          <w:p w14:paraId="4D015B34">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6、外包装需密封防潮，标明生产日期、保质期、批号及贮存条件。</w:t>
            </w:r>
          </w:p>
        </w:tc>
        <w:tc>
          <w:tcPr>
            <w:tcW w:w="595" w:type="pct"/>
            <w:noWrap w:val="0"/>
            <w:vAlign w:val="center"/>
          </w:tcPr>
          <w:p w14:paraId="7BF2E8F8">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听</w:t>
            </w:r>
          </w:p>
        </w:tc>
        <w:tc>
          <w:tcPr>
            <w:tcW w:w="1208" w:type="pct"/>
            <w:noWrap w:val="0"/>
            <w:vAlign w:val="center"/>
          </w:tcPr>
          <w:p w14:paraId="383DC0CB">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552</w:t>
            </w:r>
          </w:p>
        </w:tc>
      </w:tr>
      <w:tr w14:paraId="6482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3725DD7B">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07" w:type="pct"/>
            <w:noWrap w:val="0"/>
            <w:vAlign w:val="center"/>
          </w:tcPr>
          <w:p w14:paraId="469D20A0">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米粉</w:t>
            </w:r>
          </w:p>
        </w:tc>
        <w:tc>
          <w:tcPr>
            <w:tcW w:w="1821" w:type="pct"/>
            <w:noWrap w:val="0"/>
            <w:vAlign w:val="center"/>
          </w:tcPr>
          <w:p w14:paraId="17171353">
            <w:pPr>
              <w:numPr>
                <w:ilvl w:val="0"/>
                <w:numId w:val="3"/>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符合《食品安全国家标准婴幼儿谷类辅助食品》，拥有 SC 编码。</w:t>
            </w:r>
          </w:p>
          <w:p w14:paraId="361F7C9C">
            <w:pPr>
              <w:numPr>
                <w:ilvl w:val="0"/>
                <w:numId w:val="3"/>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原料要求：以优质大米为主要原料，优先选择非转基因大米。原料应新鲜、无污染、无霉变。</w:t>
            </w:r>
          </w:p>
          <w:p w14:paraId="5EF702FB">
            <w:pPr>
              <w:numPr>
                <w:ilvl w:val="0"/>
                <w:numId w:val="3"/>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营养强化：每 100 克米粉中铁含量不低于 4mg，锌含量不低于 3mg，钙含量不低于 200mg。</w:t>
            </w:r>
          </w:p>
          <w:p w14:paraId="77495DA5">
            <w:pPr>
              <w:numPr>
                <w:ilvl w:val="0"/>
                <w:numId w:val="3"/>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细腻度：米粉应质地细腻，易于溶解和消化，无颗粒感。</w:t>
            </w:r>
          </w:p>
          <w:p w14:paraId="67C928E0">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5、规格：≧250 克/听</w:t>
            </w:r>
          </w:p>
        </w:tc>
        <w:tc>
          <w:tcPr>
            <w:tcW w:w="595" w:type="pct"/>
            <w:noWrap w:val="0"/>
            <w:vAlign w:val="center"/>
          </w:tcPr>
          <w:p w14:paraId="0F95CB4B">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听</w:t>
            </w:r>
          </w:p>
        </w:tc>
        <w:tc>
          <w:tcPr>
            <w:tcW w:w="1208" w:type="pct"/>
            <w:noWrap w:val="0"/>
            <w:vAlign w:val="center"/>
          </w:tcPr>
          <w:p w14:paraId="7F3C0251">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1080</w:t>
            </w:r>
          </w:p>
        </w:tc>
      </w:tr>
      <w:tr w14:paraId="7794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2146E365">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07" w:type="pct"/>
            <w:noWrap w:val="0"/>
            <w:vAlign w:val="center"/>
          </w:tcPr>
          <w:p w14:paraId="1094D224">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纯牛奶</w:t>
            </w:r>
          </w:p>
        </w:tc>
        <w:tc>
          <w:tcPr>
            <w:tcW w:w="1821" w:type="pct"/>
            <w:noWrap w:val="0"/>
            <w:vAlign w:val="center"/>
          </w:tcPr>
          <w:p w14:paraId="22078760">
            <w:pPr>
              <w:numPr>
                <w:ilvl w:val="0"/>
                <w:numId w:val="4"/>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符合《食品安全国家标准灭菌乳》或《食品安全国家标准生乳》，拥有 SC 编码。</w:t>
            </w:r>
          </w:p>
          <w:p w14:paraId="6EC7897B">
            <w:pPr>
              <w:numPr>
                <w:ilvl w:val="0"/>
                <w:numId w:val="4"/>
              </w:numPr>
              <w:spacing w:line="360" w:lineRule="auto"/>
              <w:ind w:leftChars="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奶源：优先选择来自优质牧场的奶源</w:t>
            </w:r>
            <w:r>
              <w:rPr>
                <w:rFonts w:hint="eastAsia" w:ascii="宋体" w:hAnsi="宋体" w:eastAsia="宋体" w:cs="宋体"/>
                <w:color w:val="auto"/>
                <w:sz w:val="24"/>
                <w:szCs w:val="24"/>
                <w:highlight w:val="none"/>
                <w:lang w:val="en-US" w:eastAsia="zh-CN"/>
              </w:rPr>
              <w:t>，原料奶生牛乳，不使用、不添加复原乳。</w:t>
            </w:r>
          </w:p>
          <w:p w14:paraId="1C7065EC">
            <w:pPr>
              <w:numPr>
                <w:ilvl w:val="0"/>
                <w:numId w:val="4"/>
              </w:numPr>
              <w:spacing w:line="360" w:lineRule="auto"/>
              <w:ind w:leftChars="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营养成分：蛋白质含量≥2.9g/100g，脂肪≥3.1g/100g，钙含量每 100ml 不低于 100mg</w:t>
            </w:r>
            <w:r>
              <w:rPr>
                <w:rFonts w:hint="eastAsia" w:ascii="宋体" w:hAnsi="宋体" w:eastAsia="宋体" w:cs="宋体"/>
                <w:color w:val="auto"/>
                <w:sz w:val="24"/>
                <w:szCs w:val="24"/>
                <w:highlight w:val="none"/>
                <w:lang w:val="en-US" w:eastAsia="zh-CN"/>
              </w:rPr>
              <w:t>。</w:t>
            </w:r>
          </w:p>
          <w:p w14:paraId="507D9286">
            <w:pPr>
              <w:numPr>
                <w:ilvl w:val="0"/>
                <w:numId w:val="4"/>
              </w:numPr>
              <w:spacing w:line="360" w:lineRule="auto"/>
              <w:ind w:leftChars="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杀菌方式：可选择巴氏杀菌或超高温灭菌，巴氏杀菌奶需低温冷藏，保质期较短，但营养和风味保留较好；超高温灭菌奶保质期较长，便于储存和运输</w:t>
            </w:r>
            <w:r>
              <w:rPr>
                <w:rFonts w:hint="eastAsia" w:ascii="宋体" w:hAnsi="宋体" w:eastAsia="宋体" w:cs="宋体"/>
                <w:color w:val="auto"/>
                <w:sz w:val="24"/>
                <w:szCs w:val="24"/>
                <w:highlight w:val="none"/>
                <w:lang w:val="en-US" w:eastAsia="zh-CN"/>
              </w:rPr>
              <w:t>。</w:t>
            </w:r>
          </w:p>
          <w:p w14:paraId="57BBC938">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5、≧250ml/瓶</w:t>
            </w:r>
          </w:p>
        </w:tc>
        <w:tc>
          <w:tcPr>
            <w:tcW w:w="595" w:type="pct"/>
            <w:noWrap w:val="0"/>
            <w:vAlign w:val="center"/>
          </w:tcPr>
          <w:p w14:paraId="4125BADA">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c>
          <w:tcPr>
            <w:tcW w:w="1208" w:type="pct"/>
            <w:noWrap w:val="0"/>
            <w:vAlign w:val="center"/>
          </w:tcPr>
          <w:p w14:paraId="104573D0">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9600</w:t>
            </w:r>
          </w:p>
        </w:tc>
      </w:tr>
      <w:tr w14:paraId="7268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noWrap w:val="0"/>
            <w:vAlign w:val="center"/>
          </w:tcPr>
          <w:p w14:paraId="45CCF8D2">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07" w:type="pct"/>
            <w:noWrap w:val="0"/>
            <w:vAlign w:val="center"/>
          </w:tcPr>
          <w:p w14:paraId="1E21120A">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酸奶</w:t>
            </w:r>
          </w:p>
        </w:tc>
        <w:tc>
          <w:tcPr>
            <w:tcW w:w="1821" w:type="pct"/>
            <w:noWrap w:val="0"/>
            <w:vAlign w:val="center"/>
          </w:tcPr>
          <w:p w14:paraId="0AD7B6E8">
            <w:pPr>
              <w:numPr>
                <w:ilvl w:val="0"/>
                <w:numId w:val="5"/>
              </w:numPr>
              <w:spacing w:line="360" w:lineRule="auto"/>
              <w:ind w:leftChars="0"/>
              <w:rPr>
                <w:rFonts w:hint="eastAsia" w:ascii="Segoe UI" w:hAnsi="Segoe UI" w:eastAsia="宋体" w:cs="Segoe UI"/>
                <w:i w:val="0"/>
                <w:iCs w:val="0"/>
                <w:caps w:val="0"/>
                <w:spacing w:val="0"/>
                <w:sz w:val="24"/>
                <w:szCs w:val="24"/>
                <w:shd w:val="clear" w:color="auto" w:fill="FFFFFF"/>
                <w:lang w:eastAsia="zh-CN"/>
              </w:rPr>
            </w:pPr>
            <w:r>
              <w:rPr>
                <w:rFonts w:ascii="Segoe UI" w:hAnsi="Segoe UI" w:eastAsia="Segoe UI" w:cs="Segoe UI"/>
                <w:i w:val="0"/>
                <w:iCs w:val="0"/>
                <w:caps w:val="0"/>
                <w:spacing w:val="0"/>
                <w:sz w:val="24"/>
                <w:szCs w:val="24"/>
                <w:shd w:val="clear" w:color="auto" w:fill="FFFFFF"/>
              </w:rPr>
              <w:t>符合 《食品安全国家标准生乳》和《食品安全国家标准发酵乳》，拥有 SC 编码</w:t>
            </w:r>
            <w:r>
              <w:rPr>
                <w:rFonts w:hint="eastAsia" w:ascii="Segoe UI" w:hAnsi="Segoe UI" w:eastAsia="宋体" w:cs="Segoe UI"/>
                <w:i w:val="0"/>
                <w:iCs w:val="0"/>
                <w:caps w:val="0"/>
                <w:spacing w:val="0"/>
                <w:sz w:val="24"/>
                <w:szCs w:val="24"/>
                <w:shd w:val="clear" w:color="auto" w:fill="FFFFFF"/>
                <w:lang w:eastAsia="zh-CN"/>
              </w:rPr>
              <w:t>。</w:t>
            </w:r>
          </w:p>
          <w:p w14:paraId="256A58D5">
            <w:pPr>
              <w:numPr>
                <w:ilvl w:val="0"/>
                <w:numId w:val="5"/>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以生牛乳为主要原料，不添加或少量添加复原乳。</w:t>
            </w:r>
          </w:p>
          <w:p w14:paraId="76C9EE58">
            <w:pPr>
              <w:numPr>
                <w:ilvl w:val="0"/>
                <w:numId w:val="5"/>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益生菌种类和数量：含有活性益生菌，如双歧杆菌、嗜酸乳杆菌等，益生菌含量每 100 克不少于 10^6CFU。</w:t>
            </w:r>
          </w:p>
          <w:p w14:paraId="0DA0E53B">
            <w:pPr>
              <w:numPr>
                <w:ilvl w:val="0"/>
                <w:numId w:val="5"/>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营养成分：蛋白质含量≥2.9g/100g，脂肪含量可根据需求选择，如全脂酸奶脂肪含量≥3.1g/100g，低脂酸奶脂肪含量≤1.0g/100g，同时含有丰富的钙等矿物质</w:t>
            </w:r>
          </w:p>
          <w:p w14:paraId="78DCAD3C">
            <w:pPr>
              <w:numPr>
                <w:ilvl w:val="0"/>
                <w:numId w:val="5"/>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≥200g/瓶</w:t>
            </w:r>
          </w:p>
        </w:tc>
        <w:tc>
          <w:tcPr>
            <w:tcW w:w="595" w:type="pct"/>
            <w:noWrap w:val="0"/>
            <w:vAlign w:val="center"/>
          </w:tcPr>
          <w:p w14:paraId="6E028ABE">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瓶</w:t>
            </w:r>
          </w:p>
        </w:tc>
        <w:tc>
          <w:tcPr>
            <w:tcW w:w="1208" w:type="pct"/>
            <w:noWrap w:val="0"/>
            <w:vAlign w:val="center"/>
          </w:tcPr>
          <w:p w14:paraId="64508ED5">
            <w:pPr>
              <w:numPr>
                <w:ilvl w:val="0"/>
                <w:numId w:val="0"/>
              </w:numPr>
              <w:spacing w:line="360" w:lineRule="auto"/>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7200</w:t>
            </w:r>
          </w:p>
        </w:tc>
      </w:tr>
    </w:tbl>
    <w:p w14:paraId="5FD45FA5">
      <w:pPr>
        <w:spacing w:line="360" w:lineRule="auto"/>
        <w:ind w:firstLine="437"/>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1、中标人在合同签订后供货前向采购人提供上述物品的样品</w:t>
      </w:r>
      <w:r>
        <w:rPr>
          <w:rFonts w:hint="eastAsia" w:ascii="宋体" w:hAnsi="宋体" w:eastAsia="宋体" w:cs="宋体"/>
          <w:bCs/>
          <w:color w:val="auto"/>
          <w:sz w:val="24"/>
          <w:szCs w:val="24"/>
          <w:highlight w:val="none"/>
          <w:lang w:val="en-US" w:eastAsia="zh-CN"/>
        </w:rPr>
        <w:t>各一份</w:t>
      </w:r>
      <w:r>
        <w:rPr>
          <w:rFonts w:hint="eastAsia" w:ascii="宋体" w:hAnsi="宋体" w:eastAsia="宋体" w:cs="宋体"/>
          <w:bCs/>
          <w:color w:val="auto"/>
          <w:sz w:val="24"/>
          <w:szCs w:val="24"/>
          <w:highlight w:val="none"/>
        </w:rPr>
        <w:t>，由采购人进行封存作为履约验收的标准。</w:t>
      </w:r>
      <w:r>
        <w:rPr>
          <w:rFonts w:hint="eastAsia" w:ascii="宋体" w:hAnsi="宋体" w:eastAsia="宋体" w:cs="宋体"/>
          <w:bCs/>
          <w:color w:val="auto"/>
          <w:sz w:val="24"/>
          <w:szCs w:val="24"/>
          <w:highlight w:val="none"/>
          <w:lang w:val="en-US" w:eastAsia="zh-CN"/>
        </w:rPr>
        <w:t>采购人有权对供货产品进行随机抽检，检测不合格有权拒收货物。</w:t>
      </w:r>
    </w:p>
    <w:p w14:paraId="27FE2618">
      <w:pPr>
        <w:spacing w:line="360" w:lineRule="auto"/>
        <w:ind w:firstLine="43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2.送货时纸箱包装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如有破损或质量问题应予以退换</w:t>
      </w:r>
      <w:r>
        <w:rPr>
          <w:rFonts w:hint="eastAsia" w:ascii="宋体" w:hAnsi="宋体" w:eastAsia="宋体" w:cs="宋体"/>
          <w:bCs/>
          <w:color w:val="auto"/>
          <w:sz w:val="24"/>
          <w:szCs w:val="24"/>
          <w:highlight w:val="none"/>
        </w:rPr>
        <w:t>。</w:t>
      </w:r>
    </w:p>
    <w:p w14:paraId="03D93AF3">
      <w:pPr>
        <w:spacing w:line="360" w:lineRule="auto"/>
        <w:ind w:firstLine="43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3.中标人必须负责送至指定</w:t>
      </w:r>
      <w:r>
        <w:rPr>
          <w:rFonts w:hint="eastAsia" w:ascii="宋体" w:hAnsi="宋体" w:eastAsia="宋体" w:cs="宋体"/>
          <w:bCs/>
          <w:color w:val="auto"/>
          <w:sz w:val="24"/>
          <w:szCs w:val="24"/>
          <w:highlight w:val="none"/>
          <w:lang w:val="en-US" w:eastAsia="zh-CN"/>
        </w:rPr>
        <w:t>地</w:t>
      </w:r>
      <w:r>
        <w:rPr>
          <w:rFonts w:hint="eastAsia" w:ascii="宋体" w:hAnsi="宋体" w:eastAsia="宋体" w:cs="宋体"/>
          <w:bCs/>
          <w:color w:val="auto"/>
          <w:sz w:val="24"/>
          <w:szCs w:val="24"/>
          <w:highlight w:val="none"/>
        </w:rPr>
        <w:t xml:space="preserve">点。 </w:t>
      </w:r>
    </w:p>
    <w:p w14:paraId="63A9938D">
      <w:pPr>
        <w:spacing w:line="360" w:lineRule="auto"/>
        <w:ind w:firstLine="43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4.每批货物供货时中标人需携带本批货物与厂家的订货清单和购货合同的复印件，</w:t>
      </w:r>
      <w:bookmarkStart w:id="1" w:name="OLE_LINK4"/>
      <w:r>
        <w:rPr>
          <w:rFonts w:hint="eastAsia" w:ascii="宋体" w:hAnsi="宋体" w:eastAsia="宋体" w:cs="宋体"/>
          <w:bCs/>
          <w:color w:val="auto"/>
          <w:sz w:val="24"/>
          <w:szCs w:val="24"/>
          <w:highlight w:val="none"/>
          <w:lang w:val="en-US" w:eastAsia="zh-CN"/>
        </w:rPr>
        <w:t>及</w:t>
      </w:r>
      <w:bookmarkEnd w:id="1"/>
      <w:r>
        <w:rPr>
          <w:rFonts w:hint="eastAsia" w:ascii="宋体" w:hAnsi="宋体" w:eastAsia="宋体" w:cs="宋体"/>
          <w:b/>
          <w:bCs/>
          <w:color w:val="auto"/>
          <w:sz w:val="24"/>
          <w:szCs w:val="24"/>
          <w:highlight w:val="none"/>
          <w:lang w:val="en-US" w:eastAsia="zh-CN"/>
        </w:rPr>
        <w:t>第三方有权检测机构</w:t>
      </w:r>
      <w:r>
        <w:rPr>
          <w:rFonts w:hint="eastAsia" w:ascii="宋体" w:hAnsi="宋体" w:eastAsia="宋体" w:cs="宋体"/>
          <w:bCs/>
          <w:color w:val="auto"/>
          <w:sz w:val="24"/>
          <w:szCs w:val="24"/>
          <w:highlight w:val="none"/>
        </w:rPr>
        <w:t>出具的货物检测</w:t>
      </w:r>
      <w:r>
        <w:rPr>
          <w:rFonts w:hint="eastAsia" w:ascii="宋体" w:hAnsi="宋体" w:eastAsia="宋体" w:cs="宋体"/>
          <w:bCs/>
          <w:color w:val="auto"/>
          <w:sz w:val="24"/>
          <w:szCs w:val="24"/>
          <w:highlight w:val="none"/>
          <w:lang w:val="en-US" w:eastAsia="zh-CN"/>
        </w:rPr>
        <w:t>合格</w:t>
      </w:r>
      <w:r>
        <w:rPr>
          <w:rFonts w:hint="eastAsia" w:ascii="宋体" w:hAnsi="宋体" w:eastAsia="宋体" w:cs="宋体"/>
          <w:bCs/>
          <w:color w:val="auto"/>
          <w:sz w:val="24"/>
          <w:szCs w:val="24"/>
          <w:highlight w:val="none"/>
        </w:rPr>
        <w:t>报告。</w:t>
      </w:r>
    </w:p>
    <w:p w14:paraId="3F401E9A">
      <w:pPr>
        <w:spacing w:line="360" w:lineRule="auto"/>
        <w:ind w:firstLine="43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5.投标人须在投标文件中做出以下承诺：“我公司在</w:t>
      </w:r>
      <w:r>
        <w:rPr>
          <w:rFonts w:hint="eastAsia" w:ascii="宋体" w:hAnsi="宋体" w:eastAsia="宋体" w:cs="宋体"/>
          <w:b/>
          <w:bCs/>
          <w:color w:val="auto"/>
          <w:sz w:val="24"/>
          <w:szCs w:val="24"/>
          <w:highlight w:val="none"/>
          <w:lang w:val="en-US" w:eastAsia="zh-CN"/>
        </w:rPr>
        <w:t>合同签订后</w:t>
      </w:r>
      <w:r>
        <w:rPr>
          <w:rFonts w:hint="eastAsia" w:ascii="宋体" w:hAnsi="宋体" w:eastAsia="宋体" w:cs="宋体"/>
          <w:b/>
          <w:bCs/>
          <w:color w:val="auto"/>
          <w:sz w:val="24"/>
          <w:szCs w:val="24"/>
          <w:highlight w:val="none"/>
        </w:rPr>
        <w:t>供货</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b/>
          <w:bCs/>
          <w:color w:val="auto"/>
          <w:sz w:val="24"/>
          <w:szCs w:val="24"/>
          <w:highlight w:val="none"/>
        </w:rPr>
        <w:t>向采购人提供每批货物与厂家的订货清单和购货合同的复印件，并提供</w:t>
      </w:r>
      <w:r>
        <w:rPr>
          <w:rFonts w:hint="eastAsia" w:ascii="宋体" w:hAnsi="宋体" w:eastAsia="宋体" w:cs="宋体"/>
          <w:b/>
          <w:bCs/>
          <w:color w:val="auto"/>
          <w:sz w:val="24"/>
          <w:szCs w:val="24"/>
          <w:highlight w:val="none"/>
          <w:lang w:val="en-US" w:eastAsia="zh-CN"/>
        </w:rPr>
        <w:t>国家认可的第三方检测机构</w:t>
      </w:r>
      <w:r>
        <w:rPr>
          <w:rFonts w:hint="eastAsia" w:ascii="宋体" w:hAnsi="宋体" w:eastAsia="宋体" w:cs="宋体"/>
          <w:b/>
          <w:bCs/>
          <w:color w:val="auto"/>
          <w:sz w:val="24"/>
          <w:szCs w:val="24"/>
          <w:highlight w:val="none"/>
        </w:rPr>
        <w:t>出具的针对</w:t>
      </w:r>
      <w:r>
        <w:rPr>
          <w:rFonts w:hint="eastAsia" w:ascii="宋体" w:hAnsi="宋体" w:eastAsia="宋体" w:cs="宋体"/>
          <w:b/>
          <w:bCs/>
          <w:color w:val="auto"/>
          <w:sz w:val="24"/>
          <w:szCs w:val="24"/>
          <w:highlight w:val="none"/>
          <w:lang w:val="en-US" w:eastAsia="zh-CN"/>
        </w:rPr>
        <w:t>该批次</w:t>
      </w:r>
      <w:r>
        <w:rPr>
          <w:rFonts w:hint="eastAsia" w:ascii="宋体" w:hAnsi="宋体" w:eastAsia="宋体" w:cs="宋体"/>
          <w:b/>
          <w:bCs/>
          <w:color w:val="auto"/>
          <w:sz w:val="24"/>
          <w:szCs w:val="24"/>
          <w:highlight w:val="none"/>
        </w:rPr>
        <w:t>货物的检测报告，未提供的采购人有权拒绝接收货物。如孩子食用我公司提供的奶粉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米粉、酸奶、纯牛奶</w:t>
      </w:r>
      <w:r>
        <w:rPr>
          <w:rFonts w:hint="eastAsia" w:ascii="宋体" w:hAnsi="宋体" w:eastAsia="宋体" w:cs="宋体"/>
          <w:b/>
          <w:bCs/>
          <w:color w:val="auto"/>
          <w:sz w:val="24"/>
          <w:szCs w:val="24"/>
          <w:highlight w:val="none"/>
        </w:rPr>
        <w:t>出现严重不适，由此产生的一切相关责任均由我公司承担”。未提供此承诺的，投标无效。</w:t>
      </w:r>
    </w:p>
    <w:p w14:paraId="22282BC7">
      <w:pPr>
        <w:keepNext w:val="0"/>
        <w:keepLines w:val="0"/>
        <w:pageBreakBefore w:val="0"/>
        <w:widowControl w:val="0"/>
        <w:kinsoku/>
        <w:wordWrap/>
        <w:overflowPunct/>
        <w:topLinePunct w:val="0"/>
        <w:autoSpaceDE/>
        <w:autoSpaceDN/>
        <w:bidi w:val="0"/>
        <w:adjustRightInd/>
        <w:snapToGrid/>
        <w:spacing w:line="520" w:lineRule="exact"/>
        <w:ind w:firstLine="241" w:firstLineChars="100"/>
        <w:textAlignment w:val="auto"/>
        <w:rPr>
          <w:rFonts w:hint="eastAsia" w:ascii="宋体" w:hAnsi="宋体" w:eastAsia="宋体" w:cs="Times New Roman"/>
          <w:sz w:val="24"/>
          <w:szCs w:val="24"/>
        </w:rPr>
      </w:pPr>
      <w:r>
        <w:rPr>
          <w:rFonts w:hint="eastAsia" w:ascii="宋体" w:hAnsi="宋体" w:eastAsia="宋体" w:cs="宋体"/>
          <w:b/>
          <w:bCs/>
          <w:color w:val="auto"/>
          <w:sz w:val="24"/>
          <w:szCs w:val="24"/>
          <w:highlight w:val="none"/>
        </w:rPr>
        <w:t>6.供货产品生产日期（或产品出厂日期）之日起到中标人供货之日的时间间隔不超过180日历日，否则采购</w:t>
      </w:r>
      <w:r>
        <w:rPr>
          <w:rFonts w:hint="eastAsia" w:ascii="宋体" w:hAnsi="宋体" w:eastAsia="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rPr>
        <w:t>有权拒收产品。</w:t>
      </w:r>
    </w:p>
    <w:p w14:paraId="26AB6C75">
      <w:pPr>
        <w:keepNext w:val="0"/>
        <w:keepLines w:val="0"/>
        <w:pageBreakBefore w:val="0"/>
        <w:widowControl w:val="0"/>
        <w:kinsoku/>
        <w:wordWrap/>
        <w:overflowPunct/>
        <w:topLinePunct w:val="0"/>
        <w:autoSpaceDE/>
        <w:autoSpaceDN/>
        <w:bidi w:val="0"/>
        <w:adjustRightInd/>
        <w:snapToGrid/>
        <w:spacing w:line="520" w:lineRule="exact"/>
        <w:ind w:firstLine="241" w:firstLineChars="100"/>
        <w:textAlignment w:val="auto"/>
        <w:rPr>
          <w:rFonts w:hint="eastAsia" w:ascii="宋体" w:hAnsi="宋体" w:eastAsia="宋体" w:cs="宋体"/>
          <w:b/>
          <w:bCs/>
          <w:color w:val="auto"/>
          <w:sz w:val="24"/>
          <w:szCs w:val="24"/>
          <w:highlight w:val="none"/>
          <w:lang w:val="en-US" w:eastAsia="zh-CN"/>
        </w:rPr>
      </w:pPr>
    </w:p>
    <w:p w14:paraId="4D79AC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jc w:val="both"/>
        <w:textAlignment w:val="auto"/>
        <w:rPr>
          <w:rFonts w:hint="default" w:ascii="宋体" w:hAnsi="宋体" w:cs="宋体" w:eastAsiaTheme="minorEastAsia"/>
          <w:b/>
          <w:bCs/>
          <w:color w:val="auto"/>
          <w:kern w:val="44"/>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注：本项目采购需求中所有参数必须完全响应，以供应商响应文件中“响应情况表”为评审依据。不满足要求的按不实质性响应采购文件处理。其中：标“▲”为核心产品。</w:t>
      </w:r>
    </w:p>
    <w:p w14:paraId="3BA8AB14">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ABF8">
    <w:pPr>
      <w:spacing w:line="176" w:lineRule="auto"/>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63C4F8">
                          <w:pPr>
                            <w:pStyle w:val="2"/>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63C4F8">
                    <w:pPr>
                      <w:pStyle w:val="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E949F"/>
    <w:multiLevelType w:val="singleLevel"/>
    <w:tmpl w:val="924E949F"/>
    <w:lvl w:ilvl="0" w:tentative="0">
      <w:start w:val="1"/>
      <w:numFmt w:val="decimal"/>
      <w:suff w:val="nothing"/>
      <w:lvlText w:val="%1、"/>
      <w:lvlJc w:val="left"/>
    </w:lvl>
  </w:abstractNum>
  <w:abstractNum w:abstractNumId="1">
    <w:nsid w:val="9D2950D2"/>
    <w:multiLevelType w:val="singleLevel"/>
    <w:tmpl w:val="9D2950D2"/>
    <w:lvl w:ilvl="0" w:tentative="0">
      <w:start w:val="1"/>
      <w:numFmt w:val="decimal"/>
      <w:suff w:val="nothing"/>
      <w:lvlText w:val="%1、"/>
      <w:lvlJc w:val="left"/>
    </w:lvl>
  </w:abstractNum>
  <w:abstractNum w:abstractNumId="2">
    <w:nsid w:val="D04C073D"/>
    <w:multiLevelType w:val="singleLevel"/>
    <w:tmpl w:val="D04C073D"/>
    <w:lvl w:ilvl="0" w:tentative="0">
      <w:start w:val="1"/>
      <w:numFmt w:val="decimal"/>
      <w:suff w:val="nothing"/>
      <w:lvlText w:val="%1、"/>
      <w:lvlJc w:val="left"/>
    </w:lvl>
  </w:abstractNum>
  <w:abstractNum w:abstractNumId="3">
    <w:nsid w:val="EA91BFCB"/>
    <w:multiLevelType w:val="singleLevel"/>
    <w:tmpl w:val="EA91BFCB"/>
    <w:lvl w:ilvl="0" w:tentative="0">
      <w:start w:val="1"/>
      <w:numFmt w:val="decimal"/>
      <w:suff w:val="nothing"/>
      <w:lvlText w:val="%1、"/>
      <w:lvlJc w:val="left"/>
    </w:lvl>
  </w:abstractNum>
  <w:abstractNum w:abstractNumId="4">
    <w:nsid w:val="5ADDA68F"/>
    <w:multiLevelType w:val="singleLevel"/>
    <w:tmpl w:val="5ADDA68F"/>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8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2025-09-25T06:35:22Z</dcterms:created>
  <dc:creator>Administrator</dc:creator>
  <cp:lastModifiedBy>李健</cp:lastModifiedBy>
  <dcterms:modified xsi:type="dcterms:W3CDTF">2025-09-25T06:35:25Z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eyJoZGlkIjoiZTk2ZWNhZTQyMjUzNGQzOTE5M2FiYmVkYjM0ODA5OTEiLCJ1c2VySWQiOiIyNTg1ODEyNyJ9</vt:lpwstr>
  </property>
  <property fmtid="{D5CDD505-2E9C-101B-9397-08002B2CF9AE}" pid="4" name="ICV">
    <vt:lpwstr>0F248D55B3B94A0CB69A545957C77C90_12</vt:lpwstr>
  </property>
</Properties>
</file>