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911B0">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基因测序仪及配套设备采购项目参数</w:t>
      </w:r>
    </w:p>
    <w:p w14:paraId="1152869F">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1.仪器尺寸：≤1200mm×700mm×700mm</w:t>
      </w:r>
    </w:p>
    <w:p w14:paraId="2443106F">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2.仪器重量：≤300kg</w:t>
      </w:r>
    </w:p>
    <w:p w14:paraId="492707B0">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3.电源（电压、频率、额定功率）：100-240V；50/60Hz；</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1000VA</w:t>
      </w:r>
    </w:p>
    <w:p w14:paraId="5997CD38">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4.运行环境要求：温度19℃-30℃；湿度20%RH-80%RH；大气压70kPa-106kPa；海拔小于3000m</w:t>
      </w:r>
    </w:p>
    <w:p w14:paraId="7A944C48">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5.显示屏：</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21.5英寸触控屏，中英文界面，分辨率</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1920×1080</w:t>
      </w:r>
    </w:p>
    <w:p w14:paraId="66687394">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6.控制电脑：</w:t>
      </w:r>
    </w:p>
    <w:p w14:paraId="562AD910">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1）CPU：不低于Intel I9-10900/10900E配置</w:t>
      </w:r>
    </w:p>
    <w:p w14:paraId="3BE88DA6">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2）内存：</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64G</w:t>
      </w:r>
    </w:p>
    <w:p w14:paraId="503F7FBC">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3）硬盘：</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6T</w:t>
      </w:r>
    </w:p>
    <w:p w14:paraId="68343664">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性能参数</w:t>
      </w:r>
    </w:p>
    <w:p w14:paraId="4970ED41">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扩增原理：每轮扩增均以原始文库分子为模板，有效减少由PCR引入的错误累积的影响。</w:t>
      </w:r>
    </w:p>
    <w:p w14:paraId="6A7839EA">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功能范围：可完成样本序列信息的收集、序列信息的识别与初步分析。</w:t>
      </w:r>
    </w:p>
    <w:p w14:paraId="6915192E">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下机数据：该产品输出的数据格式为带有质量打分的FASTQ通用格式。</w:t>
      </w:r>
    </w:p>
    <w:p w14:paraId="0879D157">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所有扩增反应（包括文库拷贝数扩增）均需在测序载片加载文库操作之前，</w:t>
      </w:r>
      <w:r>
        <w:rPr>
          <w:rFonts w:hint="eastAsia" w:ascii="宋体" w:hAnsi="宋体" w:eastAsia="宋体" w:cs="宋体"/>
          <w:bCs/>
          <w:color w:val="auto"/>
          <w:sz w:val="24"/>
          <w:szCs w:val="24"/>
          <w:highlight w:val="none"/>
        </w:rPr>
        <w:t>测序载片加载文库后，不进行任何扩增操作，有效减少文库之间的交叉污染。</w:t>
      </w:r>
    </w:p>
    <w:p w14:paraId="1F2660C6">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cs="宋体"/>
          <w:b w:val="0"/>
          <w:bCs w:val="0"/>
          <w:color w:val="auto"/>
          <w:kern w:val="0"/>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color w:val="auto"/>
          <w:sz w:val="24"/>
          <w:szCs w:val="24"/>
          <w:highlight w:val="none"/>
        </w:rPr>
        <w:t>测序方式：</w:t>
      </w:r>
      <w:r>
        <w:rPr>
          <w:rFonts w:hint="eastAsia" w:ascii="宋体" w:hAnsi="宋体" w:eastAsia="宋体" w:cs="宋体"/>
          <w:snapToGrid w:val="0"/>
          <w:color w:val="auto"/>
          <w:spacing w:val="0"/>
          <w:kern w:val="0"/>
          <w:sz w:val="24"/>
          <w:szCs w:val="24"/>
          <w:highlight w:val="none"/>
          <w:lang w:val="en-US" w:eastAsia="en-US" w:bidi="ar-SA"/>
        </w:rPr>
        <w:t>自动化单端和自动化双端读取序列，读长≥600bp；可支持 1*100bp、2*150bp、2*300bp等多种读长，并支持以上读长范围内自定义读取长度。</w:t>
      </w:r>
    </w:p>
    <w:p w14:paraId="3836CD81">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操作模式：配置双载片平台，支持</w:t>
      </w:r>
      <w:r>
        <w:rPr>
          <w:rFonts w:hint="eastAsia" w:ascii="宋体" w:hAnsi="宋体" w:eastAsia="宋体" w:cs="宋体"/>
          <w:bCs/>
          <w:color w:val="auto"/>
          <w:sz w:val="24"/>
          <w:szCs w:val="24"/>
          <w:highlight w:val="none"/>
          <w:lang w:val="en-US" w:eastAsia="zh-CN"/>
        </w:rPr>
        <w:t>单载片测序、双载片同时测序、双载片滚动上机测序，以及混合读长的双载片混动上机测序。</w:t>
      </w:r>
    </w:p>
    <w:p w14:paraId="16DA2A1D">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13.</w:t>
      </w:r>
      <w:r>
        <w:rPr>
          <w:rFonts w:hint="eastAsia" w:ascii="宋体" w:hAnsi="宋体" w:eastAsia="宋体" w:cs="宋体"/>
          <w:bCs/>
          <w:color w:val="auto"/>
          <w:sz w:val="24"/>
          <w:szCs w:val="24"/>
          <w:highlight w:val="none"/>
        </w:rPr>
        <w:t>采用试剂预置设计</w:t>
      </w:r>
      <w:r>
        <w:rPr>
          <w:rFonts w:hint="eastAsia" w:ascii="宋体" w:hAnsi="宋体" w:eastAsia="宋体" w:cs="宋体"/>
          <w:bCs/>
          <w:color w:val="auto"/>
          <w:sz w:val="24"/>
          <w:szCs w:val="24"/>
          <w:highlight w:val="none"/>
          <w:lang w:eastAsia="zh-CN"/>
        </w:rPr>
        <w:t>，单端读长无需额外加入液体进试剂槽。</w:t>
      </w:r>
    </w:p>
    <w:p w14:paraId="0E817EAD">
      <w:pPr>
        <w:pStyle w:val="4"/>
        <w:keepNext w:val="0"/>
        <w:keepLines w:val="0"/>
        <w:pageBreakBefore w:val="0"/>
        <w:widowControl/>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加载系统：满足外置样本加载系统的功能，完成载片制备及样本加载。</w:t>
      </w:r>
    </w:p>
    <w:p w14:paraId="7AE1F24B">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数据准确性：测序结果给出严格的Q30的数据质量评判，读长≤100bp时，测序Q30值≥90%。100&lt;读长≤300bp时，测序Q30值≥90%。</w:t>
      </w:r>
    </w:p>
    <w:p w14:paraId="675961A9">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Cs/>
          <w:color w:val="auto"/>
          <w:sz w:val="24"/>
          <w:szCs w:val="24"/>
          <w:highlight w:val="none"/>
          <w:lang w:val="en-US" w:eastAsia="zh-CN"/>
        </w:rPr>
        <w:t>16.</w:t>
      </w:r>
      <w:r>
        <w:rPr>
          <w:rFonts w:hint="eastAsia" w:ascii="宋体" w:hAnsi="宋体" w:eastAsia="宋体" w:cs="宋体"/>
          <w:bCs/>
          <w:color w:val="auto"/>
          <w:sz w:val="24"/>
          <w:szCs w:val="24"/>
          <w:highlight w:val="none"/>
        </w:rPr>
        <w:t>数据准确性：测序结果给出严格的Q40的数据质量评判，读长≤300bp时，测序Q40值≥85%。</w:t>
      </w:r>
    </w:p>
    <w:p w14:paraId="2A870ADD">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数据通量：每次运行可产生≥</w:t>
      </w:r>
      <w:r>
        <w:rPr>
          <w:rFonts w:hint="eastAsia" w:ascii="宋体" w:hAnsi="宋体" w:cs="宋体"/>
          <w:bCs/>
          <w:color w:val="auto"/>
          <w:sz w:val="24"/>
          <w:szCs w:val="24"/>
          <w:highlight w:val="none"/>
          <w:lang w:val="en-US" w:eastAsia="zh-CN"/>
        </w:rPr>
        <w:t>100</w:t>
      </w:r>
      <w:r>
        <w:rPr>
          <w:rFonts w:hint="eastAsia" w:ascii="宋体" w:hAnsi="宋体" w:eastAsia="宋体" w:cs="宋体"/>
          <w:bCs/>
          <w:color w:val="auto"/>
          <w:sz w:val="24"/>
          <w:szCs w:val="24"/>
          <w:highlight w:val="none"/>
        </w:rPr>
        <w:t>G碱基数据。</w:t>
      </w:r>
    </w:p>
    <w:p w14:paraId="2B89FBB5">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标签长度：样本标签序列≥9个碱基（bp），可提高样本识别的精确度。</w:t>
      </w:r>
    </w:p>
    <w:p w14:paraId="252A28D8">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Cs/>
          <w:color w:val="auto"/>
          <w:sz w:val="24"/>
          <w:szCs w:val="24"/>
          <w:highlight w:val="none"/>
          <w:lang w:val="en-US" w:eastAsia="zh-CN"/>
        </w:rPr>
        <w:t>19.</w:t>
      </w:r>
      <w:r>
        <w:rPr>
          <w:rFonts w:hint="eastAsia" w:ascii="宋体" w:hAnsi="宋体" w:eastAsia="宋体" w:cs="宋体"/>
          <w:bCs/>
          <w:color w:val="auto"/>
          <w:sz w:val="24"/>
          <w:szCs w:val="24"/>
          <w:highlight w:val="none"/>
        </w:rPr>
        <w:t>运行时间： SE100模式下，单次运行时间≤5小时，PE150模式下，单次运行时间≤12小时，包括：样本加载、测序、碱基识别和数据处理时间。</w:t>
      </w:r>
    </w:p>
    <w:p w14:paraId="417944CE">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信息分析：测序同时能进行初步数据分析，并产生有质量打分的碱基序列。</w:t>
      </w:r>
    </w:p>
    <w:p w14:paraId="5A1021F4">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仪器维护：测序流程运行结束后可直接进行自动清洗，无需手动干预。</w:t>
      </w:r>
    </w:p>
    <w:p w14:paraId="66162C90">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操作便利性：嵌入式操作系统，无需外部电脑即可独立工作</w:t>
      </w:r>
    </w:p>
    <w:p w14:paraId="378268AD">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23.可</w:t>
      </w:r>
      <w:r>
        <w:rPr>
          <w:rFonts w:hint="eastAsia" w:ascii="宋体" w:hAnsi="宋体" w:eastAsia="宋体" w:cs="宋体"/>
          <w:color w:val="auto"/>
          <w:kern w:val="0"/>
          <w:sz w:val="24"/>
          <w:szCs w:val="24"/>
          <w:highlight w:val="none"/>
        </w:rPr>
        <w:t>提供原厂生产的全套样本处理及测序解决方案（提取试剂盒、文库构建试剂盒、杂交捕获试剂盒、多重PCR 试剂盒、测序试剂盒及测序仪等），为常规应用方向提供标准化方案。</w:t>
      </w:r>
    </w:p>
    <w:p w14:paraId="0ED007FB">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color w:val="auto"/>
          <w:kern w:val="0"/>
          <w:sz w:val="24"/>
          <w:szCs w:val="24"/>
          <w:highlight w:val="none"/>
          <w:lang w:val="en-US" w:eastAsia="zh-CN"/>
        </w:rPr>
        <w:t>24.提供百日咳鉴定分型及耐药免疫监测整体解决方案，包括完成百日咳的5种MLST分型鉴定,标准的7基因MLST分型,pertactin等抗原表位突变,转运蛋白分型以及23S耐药相关的分型。</w:t>
      </w:r>
    </w:p>
    <w:p w14:paraId="789B6020">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color w:val="auto"/>
          <w:kern w:val="0"/>
          <w:sz w:val="24"/>
          <w:szCs w:val="24"/>
          <w:highlight w:val="none"/>
          <w:lang w:val="en-US" w:eastAsia="zh-CN"/>
        </w:rPr>
        <w:t>25.配套细菌鉴定药敏分析系统一套。</w:t>
      </w:r>
    </w:p>
    <w:p w14:paraId="23C854E8">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25.1判读原理：比色/比浊法，实时光纤检测肉汤中细菌浊度及颜色变化，生成标准读数值，仪器自动转化判定各药物 MIC 值结果，每个药物至少检测 2-12 个浓度范围。 </w:t>
      </w:r>
    </w:p>
    <w:p w14:paraId="5F5176A3">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25.2鉴定范围：包括肠杆菌、非发酵菌、弧菌、嗜血杆菌、奈瑟菌、葡萄球菌、链球菌、芽孢杆菌、棒状杆菌（含自定义数据库）。菌种库鉴定菌种数≥2000；</w:t>
      </w:r>
    </w:p>
    <w:p w14:paraId="7B2D0A04">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25.3生化数量：单个细菌鉴定生化反应数量：≥47 个生化反应，不需辅助实验或添加石蜡油、靛基质试剂、VP 试剂、硝酸盐还原试剂等补充试剂。</w:t>
      </w:r>
    </w:p>
    <w:p w14:paraId="342FD6BF">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新宋体" w:hAnsi="新宋体" w:eastAsia="新宋体" w:cs="新宋体"/>
          <w:color w:val="auto"/>
          <w:sz w:val="24"/>
          <w:szCs w:val="24"/>
          <w:highlight w:val="none"/>
          <w:lang w:eastAsia="zh-CN"/>
        </w:rPr>
      </w:pPr>
      <w:r>
        <w:rPr>
          <w:rFonts w:hint="eastAsia" w:ascii="宋体" w:hAnsi="宋体" w:cs="宋体"/>
          <w:color w:val="auto"/>
          <w:kern w:val="0"/>
          <w:sz w:val="24"/>
          <w:szCs w:val="24"/>
          <w:highlight w:val="none"/>
          <w:lang w:val="en-US" w:eastAsia="zh-CN"/>
        </w:rPr>
        <w:t>25.4</w:t>
      </w:r>
      <w:r>
        <w:rPr>
          <w:rFonts w:ascii="新宋体" w:hAnsi="新宋体" w:eastAsia="新宋体" w:cs="新宋体"/>
          <w:color w:val="auto"/>
          <w:sz w:val="24"/>
          <w:szCs w:val="24"/>
          <w:highlight w:val="none"/>
        </w:rPr>
        <w:t>厂家质量控制模块通过实验室的系统认证和室内质控,并提供</w:t>
      </w:r>
      <w:r>
        <w:rPr>
          <w:rFonts w:hint="eastAsia" w:ascii="新宋体" w:hAnsi="新宋体" w:eastAsia="新宋体" w:cs="新宋体"/>
          <w:color w:val="auto"/>
          <w:sz w:val="24"/>
          <w:szCs w:val="24"/>
          <w:highlight w:val="none"/>
        </w:rPr>
        <w:t>国家卫生健康委临床检验中心</w:t>
      </w:r>
      <w:r>
        <w:rPr>
          <w:rFonts w:ascii="新宋体" w:hAnsi="新宋体" w:eastAsia="新宋体" w:cs="新宋体"/>
          <w:color w:val="auto"/>
          <w:sz w:val="24"/>
          <w:szCs w:val="24"/>
          <w:highlight w:val="none"/>
        </w:rPr>
        <w:t>颁发的室间质评证书</w:t>
      </w:r>
      <w:r>
        <w:rPr>
          <w:rFonts w:hint="eastAsia" w:ascii="新宋体" w:hAnsi="新宋体" w:eastAsia="新宋体" w:cs="新宋体"/>
          <w:color w:val="auto"/>
          <w:sz w:val="24"/>
          <w:szCs w:val="24"/>
          <w:highlight w:val="none"/>
          <w:lang w:eastAsia="zh-CN"/>
        </w:rPr>
        <w:t>。</w:t>
      </w:r>
    </w:p>
    <w:p w14:paraId="0C3C1139">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25.5菌液接种仪：液体定量分配装置，采用直接将配套玻璃管中样品（菌液或其它液体）定量加样至96孔微孔反应板中，无需吸样。加样模式可选延X轴、Y轴进行整行、整列、隔行、隔列、半板。并且可自定义加样模式：全板及5种用户自定义加样模式，可自定义A1/A12/H1/H12为阴性对照孔位。</w:t>
      </w:r>
    </w:p>
    <w:p w14:paraId="2371B1FD">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新宋体" w:hAnsi="新宋体" w:eastAsia="新宋体" w:cs="新宋体"/>
          <w:color w:val="auto"/>
          <w:sz w:val="24"/>
          <w:szCs w:val="24"/>
          <w:highlight w:val="none"/>
          <w:lang w:val="en-US" w:eastAsia="zh-CN"/>
        </w:rPr>
      </w:pPr>
      <w:r>
        <w:rPr>
          <w:rFonts w:hint="eastAsia" w:ascii="宋体" w:hAnsi="宋体" w:eastAsia="宋体" w:cs="宋体"/>
          <w:b w:val="0"/>
          <w:bCs w:val="0"/>
          <w:color w:val="auto"/>
          <w:sz w:val="21"/>
          <w:szCs w:val="21"/>
          <w:highlight w:val="none"/>
        </w:rPr>
        <w:t>★</w:t>
      </w:r>
      <w:r>
        <w:rPr>
          <w:rFonts w:hint="eastAsia" w:ascii="新宋体" w:hAnsi="新宋体" w:eastAsia="新宋体" w:cs="新宋体"/>
          <w:color w:val="auto"/>
          <w:sz w:val="24"/>
          <w:szCs w:val="24"/>
          <w:highlight w:val="none"/>
          <w:lang w:val="en-US" w:eastAsia="zh-CN"/>
        </w:rPr>
        <w:t>26.配套222纳米紫外杀菌模块一套，产品具备第二类消毒产品备案证。</w:t>
      </w:r>
    </w:p>
    <w:p w14:paraId="723E6A68">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26.1提供第三方检测机构出具的包含紫外线波长图谱、紫外线照度、臭氧泄露量、空气消毒模拟现场试验、空气消毒现场试验等内容的检测报告。</w:t>
      </w:r>
    </w:p>
    <w:p w14:paraId="063E0FA6">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firstLine="0"/>
        <w:jc w:val="both"/>
        <w:textAlignment w:val="auto"/>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26.2紫外线杀菌模块安装方式需包括吸顶和支架2种安装模式（提供支架款设备照片或者产品彩页等）</w:t>
      </w:r>
    </w:p>
    <w:p w14:paraId="51519C12">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配置清单</w:t>
      </w:r>
    </w:p>
    <w:p w14:paraId="0F2CE884">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基因测序仪</w:t>
      </w:r>
      <w:r>
        <w:rPr>
          <w:rFonts w:hint="eastAsia" w:ascii="宋体" w:hAnsi="宋体" w:eastAsia="宋体" w:cs="宋体"/>
          <w:b w:val="0"/>
          <w:bCs w:val="0"/>
          <w:color w:val="auto"/>
          <w:kern w:val="0"/>
          <w:sz w:val="24"/>
          <w:szCs w:val="24"/>
          <w:highlight w:val="none"/>
          <w:lang w:val="en-US" w:eastAsia="zh-CN"/>
        </w:rPr>
        <w:t>：</w:t>
      </w:r>
      <w:r>
        <w:rPr>
          <w:rFonts w:hint="default"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套</w:t>
      </w:r>
    </w:p>
    <w:p w14:paraId="12E6CFC5">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.稳压电源：1台（功率3KVA）</w:t>
      </w:r>
    </w:p>
    <w:p w14:paraId="1B230B4E">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val="en-US" w:eastAsia="zh-CN"/>
        </w:rPr>
        <w:t>.建库及测序试剂套装：3套</w:t>
      </w:r>
    </w:p>
    <w:p w14:paraId="28AE61D8">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30.</w:t>
      </w:r>
      <w:r>
        <w:rPr>
          <w:rFonts w:hint="eastAsia" w:ascii="宋体" w:hAnsi="宋体" w:eastAsia="宋体" w:cs="宋体"/>
          <w:b w:val="0"/>
          <w:bCs w:val="0"/>
          <w:color w:val="auto"/>
          <w:kern w:val="0"/>
          <w:sz w:val="24"/>
          <w:szCs w:val="24"/>
          <w:highlight w:val="none"/>
          <w:lang w:val="en-US" w:eastAsia="zh-CN"/>
        </w:rPr>
        <w:t>细菌鉴定药敏</w:t>
      </w:r>
      <w:r>
        <w:rPr>
          <w:rFonts w:hint="eastAsia" w:ascii="宋体" w:hAnsi="宋体" w:cs="宋体"/>
          <w:b w:val="0"/>
          <w:bCs w:val="0"/>
          <w:color w:val="auto"/>
          <w:kern w:val="0"/>
          <w:sz w:val="24"/>
          <w:szCs w:val="24"/>
          <w:highlight w:val="none"/>
          <w:lang w:val="en-US" w:eastAsia="zh-CN"/>
        </w:rPr>
        <w:t>分析系统：1套</w:t>
      </w:r>
    </w:p>
    <w:p w14:paraId="34A60C85">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31.细菌鉴定药敏分析软件：1套</w:t>
      </w:r>
    </w:p>
    <w:p w14:paraId="60D91178">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32.222纳米紫外杀菌模块：1套</w:t>
      </w:r>
    </w:p>
    <w:p w14:paraId="7AA427F6">
      <w:pPr>
        <w:keepNext w:val="0"/>
        <w:keepLines w:val="0"/>
        <w:pageBreakBefore w:val="0"/>
        <w:shd w:val="clea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售后服务</w:t>
      </w:r>
    </w:p>
    <w:p w14:paraId="7EF56EE6">
      <w:pPr>
        <w:keepNext w:val="0"/>
        <w:keepLines w:val="0"/>
        <w:pageBreakBefore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lang w:val="en-US" w:eastAsia="zh-CN"/>
        </w:rPr>
        <w:t>.质保期</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p>
    <w:p w14:paraId="4A23B25C">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lang w:val="en-US" w:eastAsia="zh-CN"/>
        </w:rPr>
        <w:t>.成交后需提供原厂针对该项目的质量保证承诺书和售后服务。在质量保证期内设备发</w:t>
      </w:r>
      <w:r>
        <w:rPr>
          <w:rFonts w:hint="eastAsia" w:ascii="宋体" w:hAnsi="宋体" w:eastAsia="宋体" w:cs="宋体"/>
          <w:b w:val="0"/>
          <w:bCs w:val="0"/>
          <w:color w:val="auto"/>
          <w:kern w:val="0"/>
          <w:sz w:val="24"/>
          <w:szCs w:val="24"/>
          <w:highlight w:val="none"/>
          <w:lang w:val="en-US" w:eastAsia="zh-CN"/>
        </w:rPr>
        <w:t>生故障，成交人应提供原厂商售后维修和更换零件服务。</w:t>
      </w:r>
    </w:p>
    <w:p w14:paraId="2F526D8E">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35.现场培训：仪器在安装调试同时，成交人负责派工程师对用户就仪器原理和基本操作进行现场培训，使采购人正常操作；</w:t>
      </w:r>
    </w:p>
    <w:p w14:paraId="6BE0DB37">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36.技术培训：成交人提供采购人技术人员到厂家在国内的培训中心培训；</w:t>
      </w:r>
    </w:p>
    <w:p w14:paraId="3D9EB523">
      <w:pPr>
        <w:pStyle w:val="4"/>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37.成交人在接到故障处理请求和电话咨询，提供工作日2小时内响应和48小时内派人到现场维修的售后服务。</w:t>
      </w:r>
    </w:p>
    <w:p w14:paraId="31DE52E9">
      <w:pPr>
        <w:shd w:val="clear"/>
        <w:rPr>
          <w:rFonts w:hint="eastAsia" w:ascii="宋体" w:hAnsi="宋体" w:eastAsia="宋体" w:cs="宋体"/>
          <w:color w:val="auto"/>
          <w:sz w:val="24"/>
          <w:szCs w:val="24"/>
          <w:highlight w:val="none"/>
          <w:lang w:val="en-US" w:eastAsia="zh-CN"/>
        </w:rPr>
      </w:pPr>
    </w:p>
    <w:p w14:paraId="210A0C42">
      <w:pPr>
        <w:pStyle w:val="4"/>
        <w:widowControl/>
        <w:numPr>
          <w:ilvl w:val="0"/>
          <w:numId w:val="0"/>
        </w:numPr>
        <w:shd w:val="clear"/>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注</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本项目采购需求中所有参数必须完全响应，其中:(1)采购需求中标</w:t>
      </w:r>
      <w:r>
        <w:rPr>
          <w:rFonts w:hint="eastAsia" w:ascii="宋体" w:hAnsi="宋体" w:eastAsia="宋体" w:cs="宋体"/>
          <w:color w:val="auto"/>
          <w:kern w:val="0"/>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参数供应商须在响应文件中提供产品彩页或功能截图或技术白皮书或检测报告等相关证明材料,以供应商提供的相应证明材料及响应文件中"响应情况表"为评审依据</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(2)采购需求中非标</w:t>
      </w:r>
      <w:r>
        <w:rPr>
          <w:rFonts w:hint="eastAsia" w:ascii="宋体" w:hAnsi="宋体" w:eastAsia="宋体" w:cs="宋体"/>
          <w:color w:val="auto"/>
          <w:kern w:val="0"/>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参数，以供应商响应文件中"响应情况表"为评审依据。不满足要求的按不实质性响应采购文件处理。</w:t>
      </w:r>
    </w:p>
    <w:p w14:paraId="205001C2">
      <w:pPr>
        <w:pStyle w:val="4"/>
        <w:widowControl/>
        <w:numPr>
          <w:ilvl w:val="0"/>
          <w:numId w:val="0"/>
        </w:numPr>
        <w:shd w:val="clear"/>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rPr>
        <w:t>供应商须在响应文件中提供所投产品对应且有效的“医疗器械生产许可证”或“医疗器械经营许可证”</w:t>
      </w:r>
      <w:r>
        <w:rPr>
          <w:rFonts w:hint="eastAsia" w:ascii="宋体" w:hAnsi="宋体" w:eastAsia="宋体" w:cs="宋体"/>
          <w:color w:val="auto"/>
          <w:kern w:val="0"/>
          <w:sz w:val="24"/>
          <w:szCs w:val="24"/>
          <w:highlight w:val="none"/>
        </w:rPr>
        <w:t>。</w:t>
      </w:r>
    </w:p>
    <w:p w14:paraId="66FA7CF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05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2026-02-24T00:59:03Z</dcterms:created>
  <dc:creator>Administrator</dc:creator>
  <cp:lastModifiedBy>℡可乐雪碧</cp:lastModifiedBy>
  <dcterms:modified xsi:type="dcterms:W3CDTF">2026-02-24T00:59:50Z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eyJoZGlkIjoiZDI4NGU0OGMzNDQ5ZGY0YzNiMTUyNzAxYmNjNDJhNGUiLCJ1c2VySWQiOiI1NjU5NzEwMzQifQ==</vt:lpwstr>
  </property>
  <property fmtid="{D5CDD505-2E9C-101B-9397-08002B2CF9AE}" pid="4" name="ICV">
    <vt:lpwstr>8F406363589744C3A7FA4A6379927BFF_12</vt:lpwstr>
  </property>
</Properties>
</file>