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29D97">
      <w:pPr>
        <w:pStyle w:val="2"/>
        <w:shd w:val="clear" w:color="auto" w:fill="auto"/>
        <w:spacing w:before="120" w:beforeLines="50" w:after="120" w:afterLines="50" w:line="560" w:lineRule="exact"/>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采购需求</w:t>
      </w:r>
    </w:p>
    <w:p w14:paraId="06403DF2">
      <w:pPr>
        <w:shd w:val="clear" w:color="auto" w:fill="auto"/>
        <w:spacing w:line="360" w:lineRule="auto"/>
        <w:ind w:firstLine="0" w:firstLineChars="0"/>
        <w:rPr>
          <w:rFonts w:hint="eastAsia" w:ascii="宋体" w:hAnsi="宋体"/>
          <w:b/>
          <w:bCs/>
          <w:sz w:val="24"/>
          <w:szCs w:val="24"/>
          <w:highlight w:val="none"/>
          <w:lang w:val="en-US" w:eastAsia="zh-CN"/>
        </w:rPr>
      </w:pPr>
      <w:bookmarkStart w:id="0" w:name="_Hlt509716920"/>
      <w:bookmarkEnd w:id="0"/>
      <w:r>
        <w:rPr>
          <w:rFonts w:hint="eastAsia" w:ascii="宋体" w:hAnsi="宋体"/>
          <w:b/>
          <w:bCs/>
          <w:sz w:val="24"/>
          <w:szCs w:val="24"/>
          <w:highlight w:val="none"/>
          <w:lang w:val="en-US" w:eastAsia="zh-CN"/>
        </w:rPr>
        <w:t>一、服务内容</w:t>
      </w:r>
    </w:p>
    <w:p w14:paraId="7BC18392">
      <w:pPr>
        <w:shd w:val="clear" w:color="auto" w:fill="auto"/>
        <w:spacing w:line="360" w:lineRule="auto"/>
        <w:ind w:firstLine="480" w:firstLineChars="200"/>
        <w:rPr>
          <w:rFonts w:hint="eastAsia" w:ascii="宋体" w:hAnsi="宋体"/>
          <w:b w:val="0"/>
          <w:bCs w:val="0"/>
          <w:sz w:val="24"/>
          <w:szCs w:val="24"/>
          <w:highlight w:val="none"/>
          <w:lang w:val="en-US" w:eastAsia="zh-CN"/>
        </w:rPr>
      </w:pPr>
      <w:r>
        <w:rPr>
          <w:rFonts w:hint="eastAsia" w:ascii="宋体" w:hAnsi="宋体"/>
          <w:b w:val="0"/>
          <w:bCs w:val="0"/>
          <w:sz w:val="24"/>
          <w:szCs w:val="24"/>
          <w:highlight w:val="none"/>
          <w:lang w:val="en-US" w:eastAsia="zh-CN"/>
        </w:rPr>
        <w:t>六安市第四人民医院检验试剂及配套耗材配送服务项目，本项目共划分4个包段，第一包采购总胆红素测定试剂盒(化学氧化法)、直接胆红素测定试剂盒(化学氧化法)等试剂及配套耗材配送服务，第二包采购瑞氏-姬姆萨染色液、A群轮状病毒抗原检测试剂盒等试剂及配套耗材配送服务，第三包采购葡萄球菌鉴定药敏板（比色/比浊法）、非发酵菌/氧化酶阳性革兰阴性杆菌鉴定药敏板（比色/比浊法）等试剂及配套耗材配送服务，第四包采购氯化钙试剂盒STA-CaCl2 0.025 M、STA-I型一次性塑料反应杯等试剂及配套耗材配送服务,,配送清单详见附件。</w:t>
      </w:r>
    </w:p>
    <w:p w14:paraId="56BC0C93">
      <w:pPr>
        <w:shd w:val="clear" w:color="auto" w:fill="auto"/>
        <w:spacing w:line="360" w:lineRule="auto"/>
        <w:ind w:firstLine="0" w:firstLineChars="0"/>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二、服务要求</w:t>
      </w:r>
    </w:p>
    <w:p w14:paraId="55A7AC6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b w:val="0"/>
          <w:bCs w:val="0"/>
          <w:sz w:val="24"/>
          <w:szCs w:val="24"/>
          <w:highlight w:val="none"/>
          <w:lang w:val="en-US" w:eastAsia="zh-CN"/>
        </w:rPr>
        <w:t>1、耗材配送服务：配送商具备完成本项目基本的物流及仓储能力，配送商须承诺接到医疗机构采购计划后,在规定时间内完成配送（一般耗材配送不超过72小时；急救耗材配送不超过1小时响应，2小时送达，节假日照常配送；特别紧急的必须按采购人要求及时送到）</w:t>
      </w:r>
      <w:r>
        <w:rPr>
          <w:rFonts w:hint="eastAsia" w:ascii="宋体" w:hAnsi="宋体"/>
          <w:b/>
          <w:bCs/>
          <w:sz w:val="24"/>
          <w:szCs w:val="24"/>
          <w:highlight w:val="none"/>
          <w:lang w:val="en-US" w:eastAsia="zh-CN"/>
        </w:rPr>
        <w:t>（投标文件中须提供承诺函，格式自拟）。</w:t>
      </w:r>
    </w:p>
    <w:p w14:paraId="7CB1D1A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b w:val="0"/>
          <w:bCs w:val="0"/>
          <w:sz w:val="24"/>
          <w:szCs w:val="24"/>
          <w:highlight w:val="none"/>
          <w:lang w:val="en-US" w:eastAsia="zh-CN"/>
        </w:rPr>
      </w:pPr>
      <w:r>
        <w:rPr>
          <w:rFonts w:hint="eastAsia" w:ascii="宋体" w:hAnsi="宋体"/>
          <w:b w:val="0"/>
          <w:bCs w:val="0"/>
          <w:sz w:val="24"/>
          <w:szCs w:val="24"/>
          <w:highlight w:val="none"/>
          <w:lang w:val="en-US" w:eastAsia="zh-CN"/>
        </w:rPr>
        <w:t>2、配送商须在配送服务方案中明确落实及时送达的具体安排及应急预案和响应措施。</w:t>
      </w:r>
    </w:p>
    <w:p w14:paraId="1D860DB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highlight w:val="none"/>
          <w:lang w:val="en-US" w:eastAsia="zh-CN"/>
        </w:rPr>
      </w:pPr>
      <w:r>
        <w:rPr>
          <w:rFonts w:hint="eastAsia" w:ascii="宋体" w:hAnsi="宋体"/>
          <w:b w:val="0"/>
          <w:bCs w:val="0"/>
          <w:sz w:val="24"/>
          <w:szCs w:val="24"/>
          <w:highlight w:val="none"/>
          <w:lang w:val="en-US" w:eastAsia="zh-CN"/>
        </w:rPr>
        <w:t>3、服务团队：配送商应有完善且固定的配送及售后服务人员，安排专人负责本项目。</w:t>
      </w:r>
    </w:p>
    <w:p w14:paraId="3EDFED5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b w:val="0"/>
          <w:bCs w:val="0"/>
          <w:sz w:val="24"/>
          <w:szCs w:val="24"/>
          <w:highlight w:val="none"/>
          <w:lang w:val="en-US" w:eastAsia="zh-CN"/>
        </w:rPr>
        <w:t>4、耗材效期管理服务：配送试剂及耗材剩余有效期不少于总有效期的三分之二时间。</w:t>
      </w:r>
    </w:p>
    <w:p w14:paraId="4D9D6A2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b w:val="0"/>
          <w:bCs w:val="0"/>
          <w:sz w:val="24"/>
          <w:szCs w:val="24"/>
          <w:highlight w:val="none"/>
          <w:lang w:val="en-US" w:eastAsia="zh-CN"/>
        </w:rPr>
        <w:t>5、耗材退换服务：采购人使用前如发现产品损坏或因质量问题不能正常使用等情况，配送商应提供免费退换服务。</w:t>
      </w:r>
    </w:p>
    <w:p w14:paraId="6D28725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b w:val="0"/>
          <w:bCs w:val="0"/>
          <w:sz w:val="24"/>
          <w:szCs w:val="24"/>
          <w:highlight w:val="none"/>
          <w:lang w:val="en-US" w:eastAsia="zh-CN"/>
        </w:rPr>
      </w:pPr>
      <w:r>
        <w:rPr>
          <w:rFonts w:hint="eastAsia" w:ascii="宋体" w:hAnsi="宋体"/>
          <w:b w:val="0"/>
          <w:bCs w:val="0"/>
          <w:sz w:val="24"/>
          <w:szCs w:val="24"/>
          <w:highlight w:val="none"/>
          <w:lang w:val="en-US" w:eastAsia="zh-CN"/>
        </w:rPr>
        <w:t>6、原合同未到期的部分耗材由原供应商配送至原合同期满后，再由本次成交供应商配送。</w:t>
      </w:r>
    </w:p>
    <w:p w14:paraId="76BF0A4D">
      <w:pPr>
        <w:shd w:val="clear" w:color="auto" w:fill="auto"/>
        <w:spacing w:line="360" w:lineRule="auto"/>
        <w:ind w:firstLine="480" w:firstLineChars="200"/>
        <w:rPr>
          <w:rFonts w:hint="eastAsia" w:ascii="宋体" w:hAnsi="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★7、投标人所投产品优于采购需求的，投标人须承诺提供优于产品的配套设备在配送服务期内租赁使用，本次报价包含优于采购需求配套设备的租赁、维保、维修、质保等一切服务费用</w:t>
      </w:r>
      <w:r>
        <w:rPr>
          <w:rFonts w:hint="eastAsia" w:ascii="宋体" w:hAnsi="宋体"/>
          <w:b/>
          <w:bCs/>
          <w:sz w:val="24"/>
          <w:szCs w:val="24"/>
          <w:highlight w:val="none"/>
          <w:lang w:val="en-US" w:eastAsia="zh-CN"/>
        </w:rPr>
        <w:t>。</w:t>
      </w:r>
    </w:p>
    <w:p w14:paraId="73819C88">
      <w:pPr>
        <w:shd w:val="clear" w:color="auto" w:fill="auto"/>
        <w:spacing w:line="360" w:lineRule="auto"/>
        <w:ind w:firstLine="482" w:firstLineChars="200"/>
        <w:rPr>
          <w:rFonts w:hint="default" w:ascii="宋体" w:hAnsi="宋体"/>
          <w:b/>
          <w:bCs/>
          <w:sz w:val="24"/>
          <w:szCs w:val="24"/>
          <w:highlight w:val="none"/>
          <w:lang w:val="en-US" w:eastAsia="zh-CN"/>
        </w:rPr>
      </w:pPr>
      <w:r>
        <w:rPr>
          <w:rFonts w:hint="eastAsia" w:ascii="宋体" w:hAnsi="宋体"/>
          <w:b/>
          <w:bCs/>
          <w:sz w:val="24"/>
          <w:szCs w:val="24"/>
          <w:highlight w:val="none"/>
          <w:lang w:val="en-US" w:eastAsia="zh-CN"/>
        </w:rPr>
        <w:t>8、投标人室内质控须稳定达标，室间质评须检测合格，服务期内发现上述任一项不合格、不达标，采购人有权终止服务合同。</w:t>
      </w:r>
    </w:p>
    <w:p w14:paraId="3864F6D4">
      <w:pPr>
        <w:shd w:val="clear" w:color="auto" w:fill="auto"/>
        <w:spacing w:line="360" w:lineRule="auto"/>
        <w:ind w:firstLine="0" w:firstLineChars="0"/>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三、报价要求</w:t>
      </w:r>
    </w:p>
    <w:p w14:paraId="74A8E0B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highlight w:val="none"/>
          <w:lang w:val="en-US" w:eastAsia="zh-CN"/>
        </w:rPr>
      </w:pPr>
      <w:r>
        <w:rPr>
          <w:rFonts w:hint="eastAsia" w:ascii="宋体" w:hAnsi="宋体"/>
          <w:b w:val="0"/>
          <w:bCs w:val="0"/>
          <w:sz w:val="24"/>
          <w:szCs w:val="24"/>
          <w:highlight w:val="none"/>
          <w:lang w:val="en-US" w:eastAsia="zh-CN"/>
        </w:rPr>
        <w:t>1、本项目采用整体下浮率报价，所报整体下浮率为配送清单目录内单项产品的下浮率，即耗材成交单价=单价限价*（1-整体下浮率）。结算时以耗材成交单价为计算基础，根据实际供货量据实结算。</w:t>
      </w:r>
    </w:p>
    <w:p w14:paraId="7E35349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b w:val="0"/>
          <w:bCs w:val="0"/>
          <w:sz w:val="24"/>
          <w:szCs w:val="24"/>
          <w:highlight w:val="none"/>
          <w:lang w:val="en-US" w:eastAsia="zh-CN"/>
        </w:rPr>
        <w:t>2、配送商需服从医院物资精细化管理系统（SPD）管理，SPD管理费用按医院现有规定执行，按实际结算金额的2%计算，以上费用包含在投标总价中。</w:t>
      </w:r>
    </w:p>
    <w:p w14:paraId="07097B8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b w:val="0"/>
          <w:bCs w:val="0"/>
          <w:sz w:val="24"/>
          <w:szCs w:val="24"/>
          <w:highlight w:val="none"/>
          <w:lang w:val="en-US" w:eastAsia="zh-CN"/>
        </w:rPr>
        <w:t>3、配送商应充分理解采购人因招标周期内预计的需求变化而导致包内部分产品无法使用以及使用量增减的情况。</w:t>
      </w:r>
    </w:p>
    <w:p w14:paraId="3744DA8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highlight w:val="none"/>
          <w:lang w:val="en-US" w:eastAsia="zh-CN"/>
        </w:rPr>
      </w:pPr>
      <w:r>
        <w:rPr>
          <w:rFonts w:hint="eastAsia" w:ascii="宋体" w:hAnsi="宋体"/>
          <w:b w:val="0"/>
          <w:bCs w:val="0"/>
          <w:sz w:val="24"/>
          <w:szCs w:val="24"/>
          <w:highlight w:val="none"/>
          <w:lang w:val="en-US" w:eastAsia="zh-CN"/>
        </w:rPr>
        <w:t>注：1、采购周期内如遇国家省市相关部门政策调整，以调整后的政策为准。采购周期内一切产品如遇国家、省、市带量采购的，均执行国家、省、市带量采购，采购期自动终止。采购周期内一切产品如遇医院组织医用耗材带量采购，采购期自动终止。</w:t>
      </w:r>
    </w:p>
    <w:p w14:paraId="5B5758D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b w:val="0"/>
          <w:bCs w:val="0"/>
          <w:sz w:val="24"/>
          <w:szCs w:val="24"/>
          <w:highlight w:val="none"/>
          <w:lang w:val="en-US" w:eastAsia="zh-CN"/>
        </w:rPr>
      </w:pPr>
      <w:r>
        <w:rPr>
          <w:rFonts w:hint="eastAsia" w:ascii="宋体" w:hAnsi="宋体"/>
          <w:b w:val="0"/>
          <w:bCs w:val="0"/>
          <w:kern w:val="2"/>
          <w:sz w:val="24"/>
          <w:szCs w:val="24"/>
          <w:lang w:val="en-US" w:eastAsia="zh-CN" w:bidi="ar-SA"/>
        </w:rPr>
        <w:t>2</w:t>
      </w:r>
      <w:r>
        <w:rPr>
          <w:rFonts w:hint="default" w:ascii="宋体" w:hAnsi="宋体"/>
          <w:b w:val="0"/>
          <w:bCs w:val="0"/>
          <w:kern w:val="2"/>
          <w:sz w:val="24"/>
          <w:szCs w:val="24"/>
          <w:lang w:val="en-US" w:eastAsia="zh-CN" w:bidi="ar-SA"/>
        </w:rPr>
        <w:t>、</w:t>
      </w:r>
      <w:r>
        <w:rPr>
          <w:rFonts w:hint="eastAsia" w:ascii="宋体" w:hAnsi="宋体"/>
          <w:b w:val="0"/>
          <w:bCs w:val="0"/>
          <w:sz w:val="24"/>
          <w:szCs w:val="24"/>
          <w:highlight w:val="none"/>
          <w:lang w:val="en-US" w:eastAsia="zh-CN"/>
        </w:rPr>
        <w:t>投标人供货前须提供投标产品所对应的且有效的“医疗器械生产许可证”或“医疗器械生产备案凭证”或“医疗器械经营备案凭证” 或“医疗器械经营许可证”或国家法律法规规定的其他资格要求。</w:t>
      </w:r>
    </w:p>
    <w:p w14:paraId="5EBF1C2F">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四、附件：</w:t>
      </w:r>
    </w:p>
    <w:p w14:paraId="1E7AFED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b w:val="0"/>
          <w:bCs w:val="0"/>
          <w:sz w:val="24"/>
          <w:szCs w:val="24"/>
          <w:highlight w:val="none"/>
          <w:lang w:val="en-US" w:eastAsia="zh-CN"/>
        </w:rPr>
        <w:sectPr>
          <w:footerReference r:id="rId3" w:type="default"/>
          <w:pgSz w:w="11907" w:h="16840"/>
          <w:pgMar w:top="1440" w:right="1247" w:bottom="1440" w:left="1247" w:header="851" w:footer="992" w:gutter="0"/>
          <w:pgNumType w:fmt="decimal"/>
          <w:cols w:space="720" w:num="1"/>
          <w:docGrid w:linePitch="303" w:charSpace="0"/>
        </w:sectPr>
      </w:pPr>
      <w:r>
        <w:rPr>
          <w:rFonts w:hint="eastAsia" w:ascii="宋体" w:hAnsi="宋体" w:eastAsia="宋体" w:cs="宋体"/>
          <w:color w:val="auto"/>
          <w:kern w:val="0"/>
          <w:sz w:val="24"/>
          <w:szCs w:val="24"/>
          <w:lang w:val="en-US" w:eastAsia="zh-CN" w:bidi="ar"/>
        </w:rPr>
        <w:t>产品配送清单第一包、产品配送清单第二包、产品配送清单第三包、产品配送清单第四包</w:t>
      </w:r>
      <w:r>
        <w:rPr>
          <w:rFonts w:hint="eastAsia" w:ascii="宋体" w:hAnsi="宋体" w:cs="宋体"/>
          <w:color w:val="auto"/>
          <w:kern w:val="0"/>
          <w:sz w:val="24"/>
          <w:szCs w:val="24"/>
          <w:lang w:val="en-US" w:eastAsia="zh-CN" w:bidi="ar"/>
        </w:rPr>
        <w:t>。</w:t>
      </w:r>
      <w:bookmarkStart w:id="1" w:name="_GoBack"/>
      <w:bookmarkEnd w:id="1"/>
    </w:p>
    <w:p w14:paraId="4941DF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64778">
    <w:pPr>
      <w:spacing w:line="176" w:lineRule="auto"/>
      <w:ind w:left="44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2054CC">
                          <w:pPr>
                            <w:pStyle w:val="3"/>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E2054CC">
                    <w:pPr>
                      <w:pStyle w:val="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Yjc0M2ZiNWQ2ZmZiYzNiMzMxZGZkOWE3Mjg4YzcifQ=="/>
  </w:docVars>
  <w:rsids>
    <w:rsidRoot w:val="00000000"/>
    <w:rsid w:val="3DFF5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30"/>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2024-11-08T06:48:22Z</dcterms:created>
  <dc:creator>Administrator</dc:creator>
  <cp:lastModifiedBy>李健</cp:lastModifiedBy>
  <dcterms:modified xsi:type="dcterms:W3CDTF">2024-11-08T06:48:45Z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428030039F2C40D983F2B84244C573A2_12</vt:lpwstr>
  </property>
</Properties>
</file>