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8205E8">
      <w:pPr>
        <w:pStyle w:val="2"/>
        <w:pageBreakBefore w:val="0"/>
        <w:widowControl w:val="0"/>
        <w:kinsoku/>
        <w:wordWrap/>
        <w:overflowPunct/>
        <w:topLinePunct w:val="0"/>
        <w:autoSpaceDE/>
        <w:autoSpaceDN/>
        <w:bidi w:val="0"/>
        <w:adjustRightInd w:val="0"/>
        <w:snapToGrid/>
        <w:spacing w:before="0" w:after="0" w:line="600" w:lineRule="exact"/>
        <w:jc w:val="both"/>
        <w:textAlignment w:val="auto"/>
        <w:rPr>
          <w:rFonts w:hint="eastAsia" w:ascii="宋体" w:hAnsi="宋体" w:cs="宋体"/>
          <w:b/>
          <w:bCs/>
          <w:color w:val="auto"/>
          <w:sz w:val="24"/>
          <w:szCs w:val="24"/>
          <w:highlight w:val="none"/>
          <w:lang w:val="en-US" w:eastAsia="zh-CN"/>
        </w:rPr>
      </w:pPr>
      <w:bookmarkStart w:id="0" w:name="_Toc18135"/>
      <w:r>
        <w:rPr>
          <w:rFonts w:hint="eastAsia" w:ascii="宋体" w:hAnsi="宋体" w:cs="宋体"/>
          <w:b/>
          <w:bCs/>
          <w:color w:val="auto"/>
          <w:sz w:val="24"/>
          <w:szCs w:val="24"/>
          <w:highlight w:val="none"/>
          <w:lang w:val="en-US" w:eastAsia="zh-CN"/>
        </w:rPr>
        <w:t>项目名称：</w:t>
      </w:r>
      <w:r>
        <w:rPr>
          <w:rFonts w:hint="eastAsia" w:ascii="宋体" w:hAnsi="宋体" w:cs="宋体"/>
          <w:b w:val="0"/>
          <w:bCs w:val="0"/>
          <w:color w:val="auto"/>
          <w:sz w:val="24"/>
          <w:szCs w:val="24"/>
          <w:highlight w:val="none"/>
          <w:lang w:val="en-US" w:eastAsia="zh-CN"/>
        </w:rPr>
        <w:t>六安市公安局警务站配套家具采购项目</w:t>
      </w:r>
    </w:p>
    <w:p w14:paraId="4538AF69">
      <w:pPr>
        <w:pageBreakBefore w:val="0"/>
        <w:widowControl w:val="0"/>
        <w:kinsoku/>
        <w:wordWrap/>
        <w:overflowPunct/>
        <w:topLinePunct w:val="0"/>
        <w:autoSpaceDE/>
        <w:autoSpaceDN/>
        <w:bidi w:val="0"/>
        <w:snapToGrid/>
        <w:spacing w:line="600" w:lineRule="exact"/>
        <w:textAlignment w:val="auto"/>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采购单位：</w:t>
      </w:r>
      <w:r>
        <w:rPr>
          <w:rFonts w:hint="eastAsia" w:ascii="宋体" w:hAnsi="宋体" w:cs="宋体"/>
          <w:b w:val="0"/>
          <w:bCs w:val="0"/>
          <w:color w:val="auto"/>
          <w:sz w:val="24"/>
          <w:szCs w:val="24"/>
          <w:highlight w:val="none"/>
          <w:lang w:val="en-US" w:eastAsia="zh-CN"/>
        </w:rPr>
        <w:t>六安市公安局</w:t>
      </w:r>
    </w:p>
    <w:p w14:paraId="780B6C77">
      <w:pPr>
        <w:pageBreakBefore w:val="0"/>
        <w:widowControl w:val="0"/>
        <w:kinsoku/>
        <w:wordWrap/>
        <w:overflowPunct/>
        <w:topLinePunct w:val="0"/>
        <w:autoSpaceDE/>
        <w:autoSpaceDN/>
        <w:bidi w:val="0"/>
        <w:snapToGrid/>
        <w:spacing w:line="600" w:lineRule="exact"/>
        <w:textAlignment w:val="auto"/>
        <w:rPr>
          <w:rFonts w:hint="default"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公示时间：</w:t>
      </w:r>
      <w:r>
        <w:rPr>
          <w:rFonts w:hint="eastAsia" w:ascii="宋体" w:hAnsi="宋体" w:cs="宋体"/>
          <w:b w:val="0"/>
          <w:bCs w:val="0"/>
          <w:color w:val="auto"/>
          <w:sz w:val="24"/>
          <w:szCs w:val="24"/>
          <w:highlight w:val="none"/>
          <w:lang w:val="en-US" w:eastAsia="zh-CN"/>
        </w:rPr>
        <w:t>2025年10月 17 日</w:t>
      </w:r>
    </w:p>
    <w:p w14:paraId="16216C36">
      <w:pPr>
        <w:rPr>
          <w:rFonts w:hint="eastAsia" w:ascii="宋体" w:hAnsi="宋体" w:cs="宋体"/>
          <w:b w:val="0"/>
          <w:bCs w:val="0"/>
          <w:color w:val="auto"/>
          <w:sz w:val="24"/>
          <w:szCs w:val="24"/>
          <w:highlight w:val="none"/>
          <w:lang w:val="en-US" w:eastAsia="zh-CN"/>
        </w:rPr>
      </w:pPr>
    </w:p>
    <w:p w14:paraId="55E9F5B2">
      <w:pPr>
        <w:rPr>
          <w:rFonts w:hint="eastAsia" w:ascii="宋体" w:hAnsi="宋体" w:cs="宋体"/>
          <w:b w:val="0"/>
          <w:bCs w:val="0"/>
          <w:color w:val="auto"/>
          <w:sz w:val="24"/>
          <w:szCs w:val="24"/>
          <w:highlight w:val="none"/>
          <w:lang w:val="en-US" w:eastAsia="zh-CN"/>
        </w:rPr>
      </w:pPr>
    </w:p>
    <w:p w14:paraId="77D36A8B">
      <w:pPr>
        <w:pStyle w:val="2"/>
        <w:adjustRightInd w:val="0"/>
        <w:spacing w:before="120" w:beforeLines="50" w:after="120" w:afterLines="50" w:line="560" w:lineRule="exact"/>
        <w:jc w:val="center"/>
        <w:rPr>
          <w:rFonts w:hint="eastAsia" w:ascii="宋体" w:hAnsi="宋体" w:cs="宋体"/>
          <w:color w:val="auto"/>
          <w:sz w:val="36"/>
          <w:szCs w:val="36"/>
          <w:highlight w:val="none"/>
        </w:rPr>
      </w:pPr>
      <w:r>
        <w:rPr>
          <w:rFonts w:hint="eastAsia" w:ascii="宋体" w:hAnsi="宋体" w:cs="宋体"/>
          <w:color w:val="auto"/>
          <w:sz w:val="36"/>
          <w:szCs w:val="36"/>
          <w:highlight w:val="none"/>
        </w:rPr>
        <w:t>采购需求</w:t>
      </w:r>
      <w:bookmarkEnd w:id="0"/>
      <w:bookmarkStart w:id="1" w:name="_Hlt509716920"/>
      <w:bookmarkEnd w:id="1"/>
    </w:p>
    <w:tbl>
      <w:tblPr>
        <w:tblStyle w:val="11"/>
        <w:tblW w:w="14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718"/>
        <w:gridCol w:w="5852"/>
        <w:gridCol w:w="1616"/>
        <w:gridCol w:w="4805"/>
        <w:gridCol w:w="493"/>
        <w:gridCol w:w="508"/>
      </w:tblGrid>
      <w:tr w14:paraId="47579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46" w:type="dxa"/>
            <w:shd w:val="clear" w:color="auto" w:fill="D9D9D9"/>
            <w:noWrap/>
            <w:vAlign w:val="center"/>
          </w:tcPr>
          <w:p w14:paraId="4D61259A">
            <w:pPr>
              <w:keepNext w:val="0"/>
              <w:keepLines w:val="0"/>
              <w:widowControl/>
              <w:suppressLineNumbers w:val="0"/>
              <w:jc w:val="center"/>
              <w:textAlignment w:val="center"/>
              <w:rPr>
                <w:rFonts w:hint="eastAsia" w:ascii="黑体" w:hAnsi="黑体" w:eastAsia="黑体" w:cs="黑体"/>
                <w:b w:val="0"/>
                <w:bCs w:val="0"/>
                <w:i w:val="0"/>
                <w:iCs w:val="0"/>
                <w:color w:val="000000"/>
                <w:sz w:val="24"/>
                <w:szCs w:val="24"/>
                <w:highlight w:val="none"/>
                <w:u w:val="none"/>
              </w:rPr>
            </w:pPr>
            <w:r>
              <w:rPr>
                <w:rFonts w:hint="eastAsia" w:ascii="黑体" w:hAnsi="黑体" w:eastAsia="黑体" w:cs="黑体"/>
                <w:b w:val="0"/>
                <w:bCs w:val="0"/>
                <w:i w:val="0"/>
                <w:iCs w:val="0"/>
                <w:color w:val="000000"/>
                <w:kern w:val="0"/>
                <w:sz w:val="24"/>
                <w:szCs w:val="24"/>
                <w:highlight w:val="none"/>
                <w:u w:val="none"/>
                <w:lang w:val="en-US" w:eastAsia="zh-CN" w:bidi="ar"/>
              </w:rPr>
              <w:t>序号</w:t>
            </w:r>
          </w:p>
        </w:tc>
        <w:tc>
          <w:tcPr>
            <w:tcW w:w="718" w:type="dxa"/>
            <w:shd w:val="clear" w:color="auto" w:fill="D9D9D9"/>
            <w:noWrap/>
            <w:vAlign w:val="center"/>
          </w:tcPr>
          <w:p w14:paraId="3953AF42">
            <w:pPr>
              <w:keepNext w:val="0"/>
              <w:keepLines w:val="0"/>
              <w:widowControl/>
              <w:suppressLineNumbers w:val="0"/>
              <w:jc w:val="center"/>
              <w:textAlignment w:val="center"/>
              <w:rPr>
                <w:rFonts w:hint="eastAsia" w:ascii="黑体" w:hAnsi="黑体" w:eastAsia="黑体" w:cs="黑体"/>
                <w:b w:val="0"/>
                <w:bCs w:val="0"/>
                <w:i w:val="0"/>
                <w:iCs w:val="0"/>
                <w:color w:val="000000"/>
                <w:sz w:val="24"/>
                <w:szCs w:val="24"/>
                <w:highlight w:val="none"/>
                <w:u w:val="none"/>
              </w:rPr>
            </w:pPr>
            <w:r>
              <w:rPr>
                <w:rFonts w:hint="eastAsia" w:ascii="黑体" w:hAnsi="黑体" w:eastAsia="黑体" w:cs="黑体"/>
                <w:b w:val="0"/>
                <w:bCs w:val="0"/>
                <w:i w:val="0"/>
                <w:iCs w:val="0"/>
                <w:color w:val="000000"/>
                <w:kern w:val="0"/>
                <w:sz w:val="24"/>
                <w:szCs w:val="24"/>
                <w:highlight w:val="none"/>
                <w:u w:val="none"/>
                <w:lang w:val="en-US" w:eastAsia="zh-CN" w:bidi="ar"/>
              </w:rPr>
              <w:t>名称</w:t>
            </w:r>
          </w:p>
        </w:tc>
        <w:tc>
          <w:tcPr>
            <w:tcW w:w="5852" w:type="dxa"/>
            <w:shd w:val="clear" w:color="auto" w:fill="D9D9D9"/>
            <w:noWrap w:val="0"/>
            <w:vAlign w:val="center"/>
          </w:tcPr>
          <w:p w14:paraId="7770A33C">
            <w:pPr>
              <w:keepNext w:val="0"/>
              <w:keepLines w:val="0"/>
              <w:widowControl/>
              <w:suppressLineNumbers w:val="0"/>
              <w:jc w:val="center"/>
              <w:textAlignment w:val="center"/>
              <w:rPr>
                <w:rFonts w:hint="eastAsia" w:ascii="黑体" w:hAnsi="黑体" w:eastAsia="黑体" w:cs="黑体"/>
                <w:b w:val="0"/>
                <w:bCs w:val="0"/>
                <w:i w:val="0"/>
                <w:iCs w:val="0"/>
                <w:color w:val="000000"/>
                <w:sz w:val="24"/>
                <w:szCs w:val="24"/>
                <w:highlight w:val="none"/>
                <w:u w:val="none"/>
              </w:rPr>
            </w:pPr>
            <w:r>
              <w:rPr>
                <w:rFonts w:hint="eastAsia" w:ascii="黑体" w:hAnsi="黑体" w:eastAsia="黑体" w:cs="黑体"/>
                <w:b w:val="0"/>
                <w:bCs w:val="0"/>
                <w:i w:val="0"/>
                <w:iCs w:val="0"/>
                <w:color w:val="000000"/>
                <w:kern w:val="0"/>
                <w:sz w:val="24"/>
                <w:szCs w:val="24"/>
                <w:highlight w:val="none"/>
                <w:u w:val="none"/>
                <w:lang w:val="en-US" w:eastAsia="zh-CN" w:bidi="ar"/>
              </w:rPr>
              <w:t>材质说明</w:t>
            </w:r>
          </w:p>
        </w:tc>
        <w:tc>
          <w:tcPr>
            <w:tcW w:w="1616" w:type="dxa"/>
            <w:shd w:val="clear" w:color="auto" w:fill="D9D9D9"/>
            <w:noWrap w:val="0"/>
            <w:vAlign w:val="center"/>
          </w:tcPr>
          <w:p w14:paraId="5473AFA4">
            <w:pPr>
              <w:keepNext w:val="0"/>
              <w:keepLines w:val="0"/>
              <w:widowControl/>
              <w:suppressLineNumbers w:val="0"/>
              <w:jc w:val="center"/>
              <w:textAlignment w:val="center"/>
              <w:rPr>
                <w:rFonts w:hint="eastAsia" w:ascii="黑体" w:hAnsi="黑体" w:eastAsia="黑体" w:cs="黑体"/>
                <w:b w:val="0"/>
                <w:bCs w:val="0"/>
                <w:i w:val="0"/>
                <w:iCs w:val="0"/>
                <w:color w:val="000000"/>
                <w:sz w:val="24"/>
                <w:szCs w:val="24"/>
                <w:highlight w:val="none"/>
                <w:u w:val="none"/>
              </w:rPr>
            </w:pPr>
            <w:r>
              <w:rPr>
                <w:rFonts w:hint="eastAsia" w:ascii="黑体" w:hAnsi="黑体" w:eastAsia="黑体" w:cs="黑体"/>
                <w:b w:val="0"/>
                <w:bCs w:val="0"/>
                <w:i w:val="0"/>
                <w:iCs w:val="0"/>
                <w:color w:val="000000"/>
                <w:kern w:val="0"/>
                <w:sz w:val="24"/>
                <w:szCs w:val="24"/>
                <w:highlight w:val="none"/>
                <w:u w:val="none"/>
                <w:lang w:val="en-US" w:eastAsia="zh-CN" w:bidi="ar"/>
              </w:rPr>
              <w:t>规格及尺寸</w:t>
            </w:r>
          </w:p>
        </w:tc>
        <w:tc>
          <w:tcPr>
            <w:tcW w:w="4805" w:type="dxa"/>
            <w:shd w:val="clear" w:color="auto" w:fill="D9D9D9"/>
            <w:noWrap/>
            <w:vAlign w:val="center"/>
          </w:tcPr>
          <w:p w14:paraId="5B122F7D">
            <w:pPr>
              <w:keepNext w:val="0"/>
              <w:keepLines w:val="0"/>
              <w:widowControl/>
              <w:suppressLineNumbers w:val="0"/>
              <w:jc w:val="center"/>
              <w:textAlignment w:val="center"/>
              <w:rPr>
                <w:rFonts w:hint="eastAsia" w:ascii="黑体" w:hAnsi="黑体" w:eastAsia="黑体" w:cs="黑体"/>
                <w:b w:val="0"/>
                <w:bCs w:val="0"/>
                <w:i w:val="0"/>
                <w:iCs w:val="0"/>
                <w:color w:val="000000"/>
                <w:sz w:val="24"/>
                <w:szCs w:val="24"/>
                <w:highlight w:val="none"/>
                <w:u w:val="none"/>
              </w:rPr>
            </w:pPr>
            <w:r>
              <w:rPr>
                <w:rFonts w:hint="eastAsia" w:ascii="黑体" w:hAnsi="黑体" w:eastAsia="黑体" w:cs="黑体"/>
                <w:b w:val="0"/>
                <w:bCs w:val="0"/>
                <w:i w:val="0"/>
                <w:iCs w:val="0"/>
                <w:color w:val="000000"/>
                <w:kern w:val="0"/>
                <w:sz w:val="24"/>
                <w:szCs w:val="24"/>
                <w:highlight w:val="none"/>
                <w:u w:val="none"/>
                <w:lang w:val="en-US" w:eastAsia="zh-CN" w:bidi="ar"/>
              </w:rPr>
              <w:t>产品图片</w:t>
            </w:r>
          </w:p>
        </w:tc>
        <w:tc>
          <w:tcPr>
            <w:tcW w:w="493" w:type="dxa"/>
            <w:shd w:val="clear" w:color="auto" w:fill="D9D9D9"/>
            <w:noWrap/>
            <w:vAlign w:val="center"/>
          </w:tcPr>
          <w:p w14:paraId="490F7146">
            <w:pPr>
              <w:keepNext w:val="0"/>
              <w:keepLines w:val="0"/>
              <w:widowControl/>
              <w:suppressLineNumbers w:val="0"/>
              <w:jc w:val="center"/>
              <w:textAlignment w:val="center"/>
              <w:rPr>
                <w:rFonts w:hint="eastAsia" w:ascii="黑体" w:hAnsi="黑体" w:eastAsia="黑体" w:cs="黑体"/>
                <w:b w:val="0"/>
                <w:bCs w:val="0"/>
                <w:i w:val="0"/>
                <w:iCs w:val="0"/>
                <w:color w:val="000000"/>
                <w:sz w:val="24"/>
                <w:szCs w:val="24"/>
                <w:highlight w:val="none"/>
                <w:u w:val="none"/>
              </w:rPr>
            </w:pPr>
            <w:r>
              <w:rPr>
                <w:rFonts w:hint="eastAsia" w:ascii="黑体" w:hAnsi="黑体" w:eastAsia="黑体" w:cs="黑体"/>
                <w:b w:val="0"/>
                <w:bCs w:val="0"/>
                <w:i w:val="0"/>
                <w:iCs w:val="0"/>
                <w:color w:val="000000"/>
                <w:kern w:val="0"/>
                <w:sz w:val="24"/>
                <w:szCs w:val="24"/>
                <w:highlight w:val="none"/>
                <w:u w:val="none"/>
                <w:lang w:val="en-US" w:eastAsia="zh-CN" w:bidi="ar"/>
              </w:rPr>
              <w:t>单位</w:t>
            </w:r>
          </w:p>
        </w:tc>
        <w:tc>
          <w:tcPr>
            <w:tcW w:w="508" w:type="dxa"/>
            <w:shd w:val="clear" w:color="auto" w:fill="D9D9D9"/>
            <w:noWrap/>
            <w:vAlign w:val="center"/>
          </w:tcPr>
          <w:p w14:paraId="3F899B43">
            <w:pPr>
              <w:keepNext w:val="0"/>
              <w:keepLines w:val="0"/>
              <w:widowControl/>
              <w:suppressLineNumbers w:val="0"/>
              <w:jc w:val="center"/>
              <w:textAlignment w:val="center"/>
              <w:rPr>
                <w:rFonts w:hint="eastAsia" w:ascii="黑体" w:hAnsi="黑体" w:eastAsia="黑体" w:cs="黑体"/>
                <w:b w:val="0"/>
                <w:bCs w:val="0"/>
                <w:i w:val="0"/>
                <w:iCs w:val="0"/>
                <w:color w:val="000000"/>
                <w:sz w:val="24"/>
                <w:szCs w:val="24"/>
                <w:highlight w:val="none"/>
                <w:u w:val="none"/>
              </w:rPr>
            </w:pPr>
            <w:r>
              <w:rPr>
                <w:rFonts w:hint="eastAsia" w:ascii="黑体" w:hAnsi="黑体" w:eastAsia="黑体" w:cs="黑体"/>
                <w:b w:val="0"/>
                <w:bCs w:val="0"/>
                <w:i w:val="0"/>
                <w:iCs w:val="0"/>
                <w:color w:val="000000"/>
                <w:kern w:val="0"/>
                <w:sz w:val="24"/>
                <w:szCs w:val="24"/>
                <w:highlight w:val="none"/>
                <w:u w:val="none"/>
                <w:lang w:val="en-US" w:eastAsia="zh-CN" w:bidi="ar"/>
              </w:rPr>
              <w:t>数量</w:t>
            </w:r>
          </w:p>
        </w:tc>
      </w:tr>
      <w:tr w14:paraId="0506A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6" w:type="dxa"/>
            <w:noWrap/>
            <w:vAlign w:val="center"/>
          </w:tcPr>
          <w:p w14:paraId="469C877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718" w:type="dxa"/>
            <w:noWrap w:val="0"/>
            <w:vAlign w:val="center"/>
          </w:tcPr>
          <w:p w14:paraId="474DF72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办公桌</w:t>
            </w:r>
          </w:p>
        </w:tc>
        <w:tc>
          <w:tcPr>
            <w:tcW w:w="5852" w:type="dxa"/>
            <w:noWrap w:val="0"/>
            <w:vAlign w:val="center"/>
          </w:tcPr>
          <w:p w14:paraId="6BA8450D">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1、贴面材料：采用三聚氰胺饰面纸贴面甲醛释放量符合标准GB/T 39600-2021《人造板及其制品甲醛释放量分级》；苯含量符合标准HJ 571-2010《环境标志产品技术要求人造板及其制品》；甲苯含量符合标准HJ 571-2010《环境标志产品技术要求人造板及其制品》 ；二甲苯含量符合标准HJ 571-2010《环境标志产品技术要求人造板及其制品》；总挥发性有机化合物（TVOC）符合HJ 571-2010《环境标志产品技术要求人造板及其制品》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2、基材：采用实木多层板，静曲强度顺纹符合标准：GB/T 9846-2015 、GB 18580-2017苯符合标准GB/T 35601-2024。 甲苯符合标准GB/T 35601-2024。 二甲苯符合标准GB/T 35601-2024。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3、封边用材：采用PVC封边条符合QB/T 4463-2013《家具用封边条技术要求》标准要求耐开裂性符合QB/T 4463-2013《家具用封边条技术要求》标准要求。 可迁移元素：铅、镉、铬、汞、砷、钡、锑、硒符合要求，符合QB/T 4463-2013《家具用封边条技术要求》标准要求。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4、热熔胶：总挥发性有机物符合GB 18583-2008《室内装饰装修材料胶粘剂中有害物质限量》标准要求；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5、五金配件：采用五金配件（包括螺丝、三合一连接件等），所有五金件作防锈、防腐处理。</w:t>
            </w:r>
          </w:p>
        </w:tc>
        <w:tc>
          <w:tcPr>
            <w:tcW w:w="1616" w:type="dxa"/>
            <w:noWrap w:val="0"/>
            <w:vAlign w:val="center"/>
          </w:tcPr>
          <w:p w14:paraId="13C6CD5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1600*750*760</w:t>
            </w:r>
          </w:p>
        </w:tc>
        <w:tc>
          <w:tcPr>
            <w:tcW w:w="4805" w:type="dxa"/>
            <w:noWrap w:val="0"/>
            <w:vAlign w:val="center"/>
          </w:tcPr>
          <w:p w14:paraId="7EC934C2">
            <w:pPr>
              <w:keepNext w:val="0"/>
              <w:keepLines w:val="0"/>
              <w:widowControl/>
              <w:suppressLineNumbers w:val="0"/>
              <w:jc w:val="center"/>
              <w:textAlignment w:val="center"/>
              <w:rPr>
                <w:rFonts w:hint="eastAsia" w:ascii="宋体" w:hAnsi="宋体" w:eastAsia="宋体" w:cs="宋体"/>
                <w:i w:val="0"/>
                <w:iCs w:val="0"/>
                <w:color w:val="000000"/>
                <w:sz w:val="28"/>
                <w:szCs w:val="28"/>
                <w:highlight w:val="none"/>
                <w:u w:val="none"/>
              </w:rPr>
            </w:pPr>
            <w:r>
              <w:rPr>
                <w:rFonts w:hint="eastAsia" w:ascii="宋体" w:hAnsi="宋体" w:eastAsia="宋体" w:cs="宋体"/>
                <w:i w:val="0"/>
                <w:iCs w:val="0"/>
                <w:color w:val="000000"/>
                <w:kern w:val="0"/>
                <w:sz w:val="28"/>
                <w:szCs w:val="2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26035</wp:posOffset>
                  </wp:positionH>
                  <wp:positionV relativeFrom="paragraph">
                    <wp:posOffset>272415</wp:posOffset>
                  </wp:positionV>
                  <wp:extent cx="2863215" cy="1890395"/>
                  <wp:effectExtent l="0" t="0" r="13335" b="14605"/>
                  <wp:wrapNone/>
                  <wp:docPr id="1" name="图片_9"/>
                  <wp:cNvGraphicFramePr/>
                  <a:graphic xmlns:a="http://schemas.openxmlformats.org/drawingml/2006/main">
                    <a:graphicData uri="http://schemas.openxmlformats.org/drawingml/2006/picture">
                      <pic:pic xmlns:pic="http://schemas.openxmlformats.org/drawingml/2006/picture">
                        <pic:nvPicPr>
                          <pic:cNvPr id="1" name="图片_9"/>
                          <pic:cNvPicPr/>
                        </pic:nvPicPr>
                        <pic:blipFill>
                          <a:blip r:embed="rId5"/>
                          <a:stretch>
                            <a:fillRect/>
                          </a:stretch>
                        </pic:blipFill>
                        <pic:spPr>
                          <a:xfrm>
                            <a:off x="0" y="0"/>
                            <a:ext cx="2863215" cy="1890395"/>
                          </a:xfrm>
                          <a:prstGeom prst="rect">
                            <a:avLst/>
                          </a:prstGeom>
                          <a:noFill/>
                          <a:ln>
                            <a:noFill/>
                          </a:ln>
                        </pic:spPr>
                      </pic:pic>
                    </a:graphicData>
                  </a:graphic>
                </wp:anchor>
              </w:drawing>
            </w:r>
          </w:p>
        </w:tc>
        <w:tc>
          <w:tcPr>
            <w:tcW w:w="493" w:type="dxa"/>
            <w:noWrap w:val="0"/>
            <w:vAlign w:val="center"/>
          </w:tcPr>
          <w:p w14:paraId="1FC2B6B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位</w:t>
            </w:r>
          </w:p>
        </w:tc>
        <w:tc>
          <w:tcPr>
            <w:tcW w:w="508" w:type="dxa"/>
            <w:noWrap/>
            <w:vAlign w:val="center"/>
          </w:tcPr>
          <w:p w14:paraId="2EAFEEA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9</w:t>
            </w:r>
          </w:p>
        </w:tc>
      </w:tr>
      <w:tr w14:paraId="54ADF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6" w:type="dxa"/>
            <w:noWrap/>
            <w:vAlign w:val="center"/>
          </w:tcPr>
          <w:p w14:paraId="5DB0ECC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718" w:type="dxa"/>
            <w:noWrap w:val="0"/>
            <w:vAlign w:val="center"/>
          </w:tcPr>
          <w:p w14:paraId="323D766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办公椅</w:t>
            </w:r>
          </w:p>
        </w:tc>
        <w:tc>
          <w:tcPr>
            <w:tcW w:w="5852" w:type="dxa"/>
            <w:noWrap w:val="0"/>
            <w:vAlign w:val="center"/>
          </w:tcPr>
          <w:p w14:paraId="487EA43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面料：采用头层牛皮覆面，技术参数满足：撕裂力、PH、气味、耐折牢度、禁用偶氮染料、游离甲醛、VOC、可萃取重金属（铅、镉）、领苯基苯酚（OPP）、五氯苯酚（PCP）、防霉性能测试、抗细菌性能测试均符合GB/T 16799-2018、GB/T 22808-2021、GB/T 19941.2-2019、GB 20400-2006、QB/T 5067-2017、QB/T 4341-2012、QB/T 4199-2011 标准。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2、海绵：技术参数满足：甲醛释放量、TVOC、回弹率、表观密度、香烟抗引燃特性试验、模拟火柴火焰抗引燃特性试验均符合GB/T 10802-2023、QB/T 2280-2016、QB/T 1952.1-2023、GB 17927-2024标准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3、气压棒：技术参数满足：循环寿命：6万次循环寿命无损；中性盐雾试验 100h，金属表面耐腐蚀等级均符合GB/T 29525-2013、QB/T 3826-1999、</w:t>
            </w:r>
            <w:r>
              <w:rPr>
                <w:rFonts w:hint="eastAsia" w:ascii="仿宋" w:hAnsi="仿宋" w:eastAsia="仿宋" w:cs="仿宋"/>
                <w:color w:val="000000"/>
                <w:kern w:val="0"/>
                <w:szCs w:val="21"/>
                <w:highlight w:val="none"/>
                <w:lang w:bidi="ar"/>
              </w:rPr>
              <w:t>QB/T 3832-1999</w:t>
            </w:r>
            <w:r>
              <w:rPr>
                <w:rFonts w:hint="eastAsia" w:ascii="仿宋" w:hAnsi="仿宋" w:eastAsia="仿宋" w:cs="仿宋"/>
                <w:i w:val="0"/>
                <w:iCs w:val="0"/>
                <w:color w:val="000000"/>
                <w:kern w:val="0"/>
                <w:sz w:val="21"/>
                <w:szCs w:val="21"/>
                <w:highlight w:val="none"/>
                <w:u w:val="none"/>
                <w:lang w:val="en-US" w:eastAsia="zh-CN" w:bidi="ar"/>
              </w:rPr>
              <w:t>标准。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4、机构：采用人体工程学倾仰机构，座背分体同步倾仰、四级锁定、背压解锁功能。</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5、脚架：采用半径≥350铝合金五星脚，技术参数满足：力学性能底座静载荷、金属表面耐腐蚀测试均符合QB/</w:t>
            </w:r>
            <w:r>
              <w:rPr>
                <w:rFonts w:hint="eastAsia" w:ascii="仿宋" w:hAnsi="仿宋" w:eastAsia="仿宋" w:cs="仿宋"/>
                <w:i w:val="0"/>
                <w:iCs w:val="0"/>
                <w:color w:val="auto"/>
                <w:kern w:val="0"/>
                <w:sz w:val="21"/>
                <w:szCs w:val="21"/>
                <w:highlight w:val="none"/>
                <w:u w:val="none"/>
                <w:lang w:val="en-US" w:eastAsia="zh-CN" w:bidi="ar"/>
              </w:rPr>
              <w:t>T</w:t>
            </w:r>
            <w:r>
              <w:rPr>
                <w:rFonts w:hint="eastAsia" w:ascii="仿宋" w:hAnsi="仿宋" w:eastAsia="仿宋" w:cs="仿宋"/>
                <w:i w:val="0"/>
                <w:iCs w:val="0"/>
                <w:color w:val="000000"/>
                <w:kern w:val="0"/>
                <w:sz w:val="21"/>
                <w:szCs w:val="21"/>
                <w:highlight w:val="none"/>
                <w:u w:val="none"/>
                <w:lang w:val="en-US" w:eastAsia="zh-CN" w:bidi="ar"/>
              </w:rPr>
              <w:t xml:space="preserve"> 2280-2016、QB/T 3832-1999、QB/T 3826-1999、QB/T 3827-1999。</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6、脚轮：采用尼龙塑料加纤维制成万向轮，技术参数满足：脚轮往复磨损试验符合QB/T 2280-2016标准。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7、功能结构：双层靠背，腰部车线工艺，3D PU面扶手。</w:t>
            </w:r>
          </w:p>
        </w:tc>
        <w:tc>
          <w:tcPr>
            <w:tcW w:w="1616" w:type="dxa"/>
            <w:noWrap w:val="0"/>
            <w:vAlign w:val="center"/>
          </w:tcPr>
          <w:p w14:paraId="50EDE2C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700*700*1160-1250</w:t>
            </w:r>
          </w:p>
        </w:tc>
        <w:tc>
          <w:tcPr>
            <w:tcW w:w="4805" w:type="dxa"/>
            <w:noWrap/>
            <w:vAlign w:val="center"/>
          </w:tcPr>
          <w:p w14:paraId="78E5203A">
            <w:pPr>
              <w:keepNext w:val="0"/>
              <w:keepLines w:val="0"/>
              <w:widowControl/>
              <w:suppressLineNumbers w:val="0"/>
              <w:jc w:val="center"/>
              <w:textAlignment w:val="center"/>
              <w:rPr>
                <w:rFonts w:hint="eastAsia" w:ascii="宋体" w:hAnsi="宋体" w:eastAsia="宋体" w:cs="宋体"/>
                <w:i w:val="0"/>
                <w:iCs w:val="0"/>
                <w:color w:val="000000"/>
                <w:sz w:val="28"/>
                <w:szCs w:val="28"/>
                <w:highlight w:val="none"/>
                <w:u w:val="none"/>
              </w:rPr>
            </w:pPr>
            <w:r>
              <w:rPr>
                <w:rFonts w:hint="eastAsia" w:ascii="宋体" w:hAnsi="宋体" w:eastAsia="宋体" w:cs="宋体"/>
                <w:i w:val="0"/>
                <w:iCs w:val="0"/>
                <w:color w:val="000000"/>
                <w:kern w:val="0"/>
                <w:sz w:val="28"/>
                <w:szCs w:val="28"/>
                <w:highlight w:val="none"/>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693420</wp:posOffset>
                  </wp:positionH>
                  <wp:positionV relativeFrom="paragraph">
                    <wp:posOffset>308610</wp:posOffset>
                  </wp:positionV>
                  <wp:extent cx="1778635" cy="2534920"/>
                  <wp:effectExtent l="0" t="0" r="12065" b="17780"/>
                  <wp:wrapNone/>
                  <wp:docPr id="2" name="图片_12"/>
                  <wp:cNvGraphicFramePr/>
                  <a:graphic xmlns:a="http://schemas.openxmlformats.org/drawingml/2006/main">
                    <a:graphicData uri="http://schemas.openxmlformats.org/drawingml/2006/picture">
                      <pic:pic xmlns:pic="http://schemas.openxmlformats.org/drawingml/2006/picture">
                        <pic:nvPicPr>
                          <pic:cNvPr id="2" name="图片_12"/>
                          <pic:cNvPicPr/>
                        </pic:nvPicPr>
                        <pic:blipFill>
                          <a:blip r:embed="rId6"/>
                          <a:stretch>
                            <a:fillRect/>
                          </a:stretch>
                        </pic:blipFill>
                        <pic:spPr>
                          <a:xfrm>
                            <a:off x="0" y="0"/>
                            <a:ext cx="1778635" cy="2534920"/>
                          </a:xfrm>
                          <a:prstGeom prst="rect">
                            <a:avLst/>
                          </a:prstGeom>
                          <a:noFill/>
                          <a:ln>
                            <a:noFill/>
                          </a:ln>
                        </pic:spPr>
                      </pic:pic>
                    </a:graphicData>
                  </a:graphic>
                </wp:anchor>
              </w:drawing>
            </w:r>
          </w:p>
        </w:tc>
        <w:tc>
          <w:tcPr>
            <w:tcW w:w="493" w:type="dxa"/>
            <w:noWrap/>
            <w:vAlign w:val="center"/>
          </w:tcPr>
          <w:p w14:paraId="642BAEA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把</w:t>
            </w:r>
          </w:p>
        </w:tc>
        <w:tc>
          <w:tcPr>
            <w:tcW w:w="508" w:type="dxa"/>
            <w:noWrap/>
            <w:vAlign w:val="center"/>
          </w:tcPr>
          <w:p w14:paraId="1EB33AD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9</w:t>
            </w:r>
          </w:p>
        </w:tc>
      </w:tr>
      <w:tr w14:paraId="7754F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6" w:type="dxa"/>
            <w:noWrap/>
            <w:vAlign w:val="center"/>
          </w:tcPr>
          <w:p w14:paraId="09072A8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718" w:type="dxa"/>
            <w:noWrap w:val="0"/>
            <w:vAlign w:val="center"/>
          </w:tcPr>
          <w:p w14:paraId="6FE8B47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木质文件柜</w:t>
            </w:r>
          </w:p>
        </w:tc>
        <w:tc>
          <w:tcPr>
            <w:tcW w:w="5852" w:type="dxa"/>
            <w:noWrap w:val="0"/>
            <w:vAlign w:val="center"/>
          </w:tcPr>
          <w:p w14:paraId="02AF870E">
            <w:pPr>
              <w:keepNext w:val="0"/>
              <w:keepLines w:val="0"/>
              <w:widowControl/>
              <w:numPr>
                <w:ilvl w:val="0"/>
                <w:numId w:val="1"/>
              </w:numPr>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贴面材料：采用三聚氰胺饰面纸贴面甲醛释放量符合标准GB/T 39600-2021《人造板及其制品甲醛释放量分级》；苯含量符合标准HJ 571-2010《环境标志产品技术要求人造板及其制品》，甲苯含量符合标准HJ 571-2010《环境标志产品技术要求人造板及其制品》，二甲苯含量符合标准HJ 571-2010《环境标志产品技术要求人造板及其制品》，总挥发性有机化合物（TVOC）符合HJ 571-2010《环境标志产品技术要求人造板及其制品》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2、基材：采用实木多层板，静曲强度顺纹符合标准：GB/T 9846-2015 、GB 18580-2017，苯符合标准GB/T 35601-2024， 甲苯符合标准GB/T 35601-2024， 二甲苯符合标准GB/T 35601-2024。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3、封边用材：采用PVC封边条符合QB/T 4463-2013《家具用封边条技术要求》标准要求，耐开裂性符合QB/T 4463-2013《家具用封边条技术要求》标准要求。可迁移元素：铅、镉、铬、汞、砷、钡、锑、硒符合要求，符合QB/T 4463-2013《家具用封边条技术要求》标准要求。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4、热熔胶：总挥发性有机物符合GB 18583-2008《室内装饰装修材料 胶粘剂中有害物质限量》标准要求；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5、五金配件：采用五金配件（包括螺丝、三合一连接件等），所有五金件作防锈、防腐处理；</w:t>
            </w:r>
          </w:p>
          <w:p w14:paraId="61ED3C7E">
            <w:pPr>
              <w:keepNext w:val="0"/>
              <w:keepLines w:val="0"/>
              <w:widowControl/>
              <w:numPr>
                <w:ilvl w:val="0"/>
                <w:numId w:val="0"/>
              </w:numPr>
              <w:suppressLineNumbers w:val="0"/>
              <w:jc w:val="left"/>
              <w:textAlignment w:val="center"/>
              <w:rPr>
                <w:rFonts w:hint="eastAsia" w:ascii="仿宋" w:hAnsi="仿宋" w:eastAsia="仿宋" w:cs="仿宋"/>
                <w:sz w:val="21"/>
                <w:szCs w:val="21"/>
                <w:highlight w:val="none"/>
                <w:lang w:val="en-US" w:eastAsia="zh-CN"/>
              </w:rPr>
            </w:pPr>
            <w:r>
              <w:rPr>
                <w:rFonts w:hint="eastAsia" w:ascii="仿宋" w:hAnsi="仿宋" w:eastAsia="仿宋" w:cs="仿宋"/>
                <w:i w:val="0"/>
                <w:iCs w:val="0"/>
                <w:color w:val="000000"/>
                <w:kern w:val="0"/>
                <w:sz w:val="21"/>
                <w:szCs w:val="21"/>
                <w:highlight w:val="none"/>
                <w:u w:val="none"/>
                <w:lang w:val="en-US" w:eastAsia="zh-CN" w:bidi="ar"/>
              </w:rPr>
              <w:t>6、磨砂玻璃：厚度≥5mm。采用一级浮法玻璃，符合 GB 11614-2022《平板玻璃》一级品要求，无气泡、结石、线道等缺陷，磨砂层采用</w:t>
            </w:r>
            <w:bookmarkStart w:id="2" w:name="_GoBack"/>
            <w:bookmarkEnd w:id="2"/>
            <w:r>
              <w:rPr>
                <w:rFonts w:hint="eastAsia" w:ascii="仿宋" w:hAnsi="仿宋" w:eastAsia="仿宋" w:cs="仿宋"/>
                <w:i w:val="0"/>
                <w:iCs w:val="0"/>
                <w:color w:val="000000"/>
                <w:kern w:val="0"/>
                <w:sz w:val="21"/>
                <w:szCs w:val="21"/>
                <w:highlight w:val="none"/>
                <w:u w:val="none"/>
                <w:lang w:val="en-US" w:eastAsia="zh-CN" w:bidi="ar"/>
              </w:rPr>
              <w:t>物理喷砂工艺（禁止使用化学腐蚀工艺，避免残留有害物质），磨砂层均匀覆盖玻璃表面，无局部漏砂、过砂现象，砂粒细腻度一致。</w:t>
            </w:r>
          </w:p>
        </w:tc>
        <w:tc>
          <w:tcPr>
            <w:tcW w:w="1616" w:type="dxa"/>
            <w:noWrap w:val="0"/>
            <w:vAlign w:val="center"/>
          </w:tcPr>
          <w:p w14:paraId="03240238">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800*400*2000</w:t>
            </w:r>
          </w:p>
        </w:tc>
        <w:tc>
          <w:tcPr>
            <w:tcW w:w="4805" w:type="dxa"/>
            <w:noWrap w:val="0"/>
            <w:vAlign w:val="center"/>
          </w:tcPr>
          <w:p w14:paraId="34F558D5">
            <w:pPr>
              <w:keepNext w:val="0"/>
              <w:keepLines w:val="0"/>
              <w:widowControl/>
              <w:suppressLineNumbers w:val="0"/>
              <w:jc w:val="center"/>
              <w:textAlignment w:val="center"/>
              <w:rPr>
                <w:rFonts w:hint="eastAsia" w:ascii="宋体" w:hAnsi="宋体" w:eastAsia="宋体" w:cs="宋体"/>
                <w:i w:val="0"/>
                <w:iCs w:val="0"/>
                <w:color w:val="000000"/>
                <w:sz w:val="28"/>
                <w:szCs w:val="28"/>
                <w:highlight w:val="none"/>
                <w:u w:val="none"/>
              </w:rPr>
            </w:pPr>
            <w:r>
              <w:rPr>
                <w:rFonts w:hint="eastAsia" w:ascii="宋体" w:hAnsi="宋体" w:eastAsia="宋体" w:cs="宋体"/>
                <w:i w:val="0"/>
                <w:iCs w:val="0"/>
                <w:color w:val="000000"/>
                <w:kern w:val="0"/>
                <w:sz w:val="28"/>
                <w:szCs w:val="28"/>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951865</wp:posOffset>
                  </wp:positionH>
                  <wp:positionV relativeFrom="paragraph">
                    <wp:posOffset>1219200</wp:posOffset>
                  </wp:positionV>
                  <wp:extent cx="1094105" cy="2186940"/>
                  <wp:effectExtent l="0" t="0" r="10795" b="3810"/>
                  <wp:wrapNone/>
                  <wp:docPr id="3" name="图片_1"/>
                  <wp:cNvGraphicFramePr/>
                  <a:graphic xmlns:a="http://schemas.openxmlformats.org/drawingml/2006/main">
                    <a:graphicData uri="http://schemas.openxmlformats.org/drawingml/2006/picture">
                      <pic:pic xmlns:pic="http://schemas.openxmlformats.org/drawingml/2006/picture">
                        <pic:nvPicPr>
                          <pic:cNvPr id="3" name="图片_1"/>
                          <pic:cNvPicPr/>
                        </pic:nvPicPr>
                        <pic:blipFill>
                          <a:blip r:embed="rId7"/>
                          <a:srcRect l="49043" t="3419"/>
                          <a:stretch>
                            <a:fillRect/>
                          </a:stretch>
                        </pic:blipFill>
                        <pic:spPr>
                          <a:xfrm>
                            <a:off x="0" y="0"/>
                            <a:ext cx="1094105" cy="2186940"/>
                          </a:xfrm>
                          <a:prstGeom prst="rect">
                            <a:avLst/>
                          </a:prstGeom>
                          <a:noFill/>
                          <a:ln>
                            <a:noFill/>
                          </a:ln>
                        </pic:spPr>
                      </pic:pic>
                    </a:graphicData>
                  </a:graphic>
                </wp:anchor>
              </w:drawing>
            </w:r>
          </w:p>
        </w:tc>
        <w:tc>
          <w:tcPr>
            <w:tcW w:w="493" w:type="dxa"/>
            <w:noWrap w:val="0"/>
            <w:vAlign w:val="center"/>
          </w:tcPr>
          <w:p w14:paraId="6538D7C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组</w:t>
            </w:r>
          </w:p>
        </w:tc>
        <w:tc>
          <w:tcPr>
            <w:tcW w:w="508" w:type="dxa"/>
            <w:noWrap/>
            <w:vAlign w:val="center"/>
          </w:tcPr>
          <w:p w14:paraId="1BB8F0B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21</w:t>
            </w:r>
          </w:p>
        </w:tc>
      </w:tr>
      <w:tr w14:paraId="06310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646" w:type="dxa"/>
            <w:noWrap/>
            <w:vAlign w:val="center"/>
          </w:tcPr>
          <w:p w14:paraId="33ABCEF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718" w:type="dxa"/>
            <w:noWrap w:val="0"/>
            <w:vAlign w:val="center"/>
          </w:tcPr>
          <w:p w14:paraId="57340D4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办公工位（核心产品）</w:t>
            </w:r>
          </w:p>
        </w:tc>
        <w:tc>
          <w:tcPr>
            <w:tcW w:w="5852" w:type="dxa"/>
            <w:noWrap w:val="0"/>
            <w:vAlign w:val="center"/>
          </w:tcPr>
          <w:p w14:paraId="282E2A47">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1、贴面材料：采用三聚氰胺饰面纸贴面甲醛释放量依据标准GB/T 39600-2021《人造板及其制品甲醛释放量分级》；苯含量依据标准HJ 571-2010《环境标志产品技术要求人造板及其制品》甲苯含量依据标准HJ 571-2010《环境标志产品技术要求人造板及其制品》 二甲苯含量依据标准HJ 571-2010《环境标志产品技术要求人造板及其制品》 总挥发性有机化合物（TVOC）符合HJ 571-2010《环境标志产品技术要求人造板及其制品》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2、基材：采用实木多层板，静曲强度依据标准：GB/T 9846-2015 、GB 18580-2017苯依据标准GB/T 35601-2024。 甲苯依据标准GB/T 35601-2024。 二甲苯依据标准GB/T 35601-2024。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3、封边用材：采用PVC封边条符合QB/T 4463-2013《家具用封边条技术要求》标准要求耐开裂性符合QB/T 4463-2013《家具用封边条技术要求》标准要求。可迁移元素：铅、镉、铬、汞、砷、钡、锑、硒符合QB/T 4463-2013《家具用封边条技术要求》标准要求。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4、热熔胶：采用环保热熔胶，游离甲醛依据标准HJ/T 432-2008《环境标志产品技术要求厨柜》； 苯、甲苯+二甲苯据标准HJ/T 432-2008《环境标志产品技术要求厨柜》；总挥发性有机物符合GB 18583-2008《室内装饰装修材料 胶粘剂中有害物质限量》标准要求；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5、五金配件：采用五金配件（包括螺丝、三合一连接件等），所有五金件作防锈、防腐处理。                                    </w:t>
            </w:r>
          </w:p>
        </w:tc>
        <w:tc>
          <w:tcPr>
            <w:tcW w:w="1616" w:type="dxa"/>
            <w:noWrap w:val="0"/>
            <w:vAlign w:val="center"/>
          </w:tcPr>
          <w:p w14:paraId="0D14D7E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1200*600*1100</w:t>
            </w:r>
          </w:p>
        </w:tc>
        <w:tc>
          <w:tcPr>
            <w:tcW w:w="4805" w:type="dxa"/>
            <w:noWrap/>
            <w:vAlign w:val="center"/>
          </w:tcPr>
          <w:p w14:paraId="6B5FDE7D">
            <w:pPr>
              <w:keepNext w:val="0"/>
              <w:keepLines w:val="0"/>
              <w:widowControl/>
              <w:suppressLineNumbers w:val="0"/>
              <w:jc w:val="center"/>
              <w:textAlignment w:val="bottom"/>
              <w:rPr>
                <w:rFonts w:hint="eastAsia" w:ascii="宋体" w:hAnsi="宋体" w:eastAsia="宋体" w:cs="宋体"/>
                <w:i w:val="0"/>
                <w:iCs w:val="0"/>
                <w:color w:val="000000"/>
                <w:sz w:val="28"/>
                <w:szCs w:val="28"/>
                <w:highlight w:val="none"/>
                <w:u w:val="none"/>
              </w:rPr>
            </w:pPr>
            <w:r>
              <w:rPr>
                <w:rFonts w:hint="eastAsia" w:ascii="宋体" w:hAnsi="宋体" w:eastAsia="宋体" w:cs="宋体"/>
                <w:i w:val="0"/>
                <w:iCs w:val="0"/>
                <w:color w:val="000000"/>
                <w:kern w:val="0"/>
                <w:sz w:val="28"/>
                <w:szCs w:val="28"/>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34925</wp:posOffset>
                  </wp:positionH>
                  <wp:positionV relativeFrom="paragraph">
                    <wp:posOffset>874395</wp:posOffset>
                  </wp:positionV>
                  <wp:extent cx="2731770" cy="2174240"/>
                  <wp:effectExtent l="0" t="0" r="11430" b="16510"/>
                  <wp:wrapNone/>
                  <wp:docPr id="5" name="ID_5247BCCCC3274A0F8C85432B94E4972D"/>
                  <wp:cNvGraphicFramePr/>
                  <a:graphic xmlns:a="http://schemas.openxmlformats.org/drawingml/2006/main">
                    <a:graphicData uri="http://schemas.openxmlformats.org/drawingml/2006/picture">
                      <pic:pic xmlns:pic="http://schemas.openxmlformats.org/drawingml/2006/picture">
                        <pic:nvPicPr>
                          <pic:cNvPr id="5" name="ID_5247BCCCC3274A0F8C85432B94E4972D"/>
                          <pic:cNvPicPr/>
                        </pic:nvPicPr>
                        <pic:blipFill>
                          <a:blip r:embed="rId8"/>
                          <a:stretch>
                            <a:fillRect/>
                          </a:stretch>
                        </pic:blipFill>
                        <pic:spPr>
                          <a:xfrm>
                            <a:off x="0" y="0"/>
                            <a:ext cx="2731770" cy="2174240"/>
                          </a:xfrm>
                          <a:prstGeom prst="rect">
                            <a:avLst/>
                          </a:prstGeom>
                          <a:noFill/>
                          <a:ln>
                            <a:noFill/>
                          </a:ln>
                        </pic:spPr>
                      </pic:pic>
                    </a:graphicData>
                  </a:graphic>
                </wp:anchor>
              </w:drawing>
            </w:r>
            <w:r>
              <w:rPr>
                <w:rFonts w:hint="eastAsia" w:ascii="宋体" w:hAnsi="宋体" w:eastAsia="宋体" w:cs="宋体"/>
                <w:i w:val="0"/>
                <w:iCs w:val="0"/>
                <w:color w:val="000000"/>
                <w:kern w:val="0"/>
                <w:sz w:val="28"/>
                <w:szCs w:val="28"/>
                <w:highlight w:val="none"/>
                <w:u w:val="none"/>
                <w:lang w:val="en-US" w:eastAsia="zh-CN" w:bidi="ar"/>
              </w:rPr>
              <w:t>如图定制</w:t>
            </w:r>
          </w:p>
        </w:tc>
        <w:tc>
          <w:tcPr>
            <w:tcW w:w="493" w:type="dxa"/>
            <w:noWrap/>
            <w:vAlign w:val="center"/>
          </w:tcPr>
          <w:p w14:paraId="638185C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位</w:t>
            </w:r>
          </w:p>
        </w:tc>
        <w:tc>
          <w:tcPr>
            <w:tcW w:w="508" w:type="dxa"/>
            <w:noWrap/>
            <w:vAlign w:val="center"/>
          </w:tcPr>
          <w:p w14:paraId="348757B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28</w:t>
            </w:r>
          </w:p>
        </w:tc>
      </w:tr>
      <w:tr w14:paraId="3A878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7" w:hRule="atLeast"/>
          <w:jc w:val="center"/>
        </w:trPr>
        <w:tc>
          <w:tcPr>
            <w:tcW w:w="646" w:type="dxa"/>
            <w:noWrap/>
            <w:vAlign w:val="center"/>
          </w:tcPr>
          <w:p w14:paraId="50360A7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718" w:type="dxa"/>
            <w:noWrap w:val="0"/>
            <w:vAlign w:val="center"/>
          </w:tcPr>
          <w:p w14:paraId="6D28081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工位椅</w:t>
            </w:r>
          </w:p>
        </w:tc>
        <w:tc>
          <w:tcPr>
            <w:tcW w:w="5852" w:type="dxa"/>
            <w:noWrap w:val="0"/>
            <w:vAlign w:val="center"/>
          </w:tcPr>
          <w:p w14:paraId="6EFCF3A9">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1、面料：采用网布面料，技术参数满足：甲醛含量、PH值、可萃取的重金属、可分解致癌芳香胺染料、富马酸二甲酯均符合GB 18401-2010、HJ 2546-2016标准。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2、海绵：技术参数满足：甲醛释放量、TVOC、回弹率、表观密度、香烟抗引燃特性试验、模拟火柴火焰抗引燃特性试验均符合GB/T 10802-2023、QB/T 2280-2016、QB/T 1952.1-2023、GB 17927-2024标准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3、气压棒：技术参数满足：循环寿命：6万次循环寿命无损；中性盐雾试验 100h，金属表面耐腐蚀等级均符合GB/T 29525-2013、QB/T 3826-1999、</w:t>
            </w:r>
            <w:r>
              <w:rPr>
                <w:rFonts w:hint="eastAsia" w:ascii="仿宋" w:hAnsi="仿宋" w:eastAsia="仿宋" w:cs="仿宋"/>
                <w:color w:val="000000"/>
                <w:kern w:val="0"/>
                <w:szCs w:val="21"/>
                <w:highlight w:val="none"/>
                <w:lang w:bidi="ar"/>
              </w:rPr>
              <w:t>QB/T 3832-1999</w:t>
            </w:r>
            <w:r>
              <w:rPr>
                <w:rFonts w:hint="eastAsia" w:ascii="仿宋" w:hAnsi="仿宋" w:eastAsia="仿宋" w:cs="仿宋"/>
                <w:i w:val="0"/>
                <w:iCs w:val="0"/>
                <w:color w:val="000000"/>
                <w:kern w:val="0"/>
                <w:sz w:val="21"/>
                <w:szCs w:val="21"/>
                <w:highlight w:val="none"/>
                <w:u w:val="none"/>
                <w:lang w:val="en-US" w:eastAsia="zh-CN" w:bidi="ar"/>
              </w:rPr>
              <w:t>标准。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4、机构：采用人体工程学倾仰机构，带座塑壳，初级锁定，背压解锁功能。</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5、脚架：采用半径≥350尼龙五星脚，技术参数满足：力学性能底座静载荷、耐老化性、邻苯二甲酸酯、重金属、多环芳烃多溴联苯均符合QB/T 2280-2016、GB/T 32487-2016标准。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6、脚轮：采用尼龙塑料加纤维制成万向轮，技术参数满足：脚轮往复磨损试验符合QB/T 2280-2016标准。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7、功能结构：配可升降腰靠、升降可旋转头枕、ABS固定扶手、靠背带挂衣架功能。</w:t>
            </w:r>
          </w:p>
        </w:tc>
        <w:tc>
          <w:tcPr>
            <w:tcW w:w="1616" w:type="dxa"/>
            <w:noWrap w:val="0"/>
            <w:vAlign w:val="center"/>
          </w:tcPr>
          <w:p w14:paraId="55107E01">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645*595*1100-1275</w:t>
            </w:r>
          </w:p>
        </w:tc>
        <w:tc>
          <w:tcPr>
            <w:tcW w:w="4805" w:type="dxa"/>
            <w:noWrap/>
            <w:vAlign w:val="center"/>
          </w:tcPr>
          <w:p w14:paraId="27C17AF4">
            <w:pPr>
              <w:keepNext w:val="0"/>
              <w:keepLines w:val="0"/>
              <w:widowControl/>
              <w:suppressLineNumbers w:val="0"/>
              <w:jc w:val="center"/>
              <w:textAlignment w:val="center"/>
              <w:rPr>
                <w:rFonts w:hint="eastAsia" w:ascii="宋体" w:hAnsi="宋体" w:eastAsia="宋体" w:cs="宋体"/>
                <w:i w:val="0"/>
                <w:iCs w:val="0"/>
                <w:color w:val="000000"/>
                <w:sz w:val="28"/>
                <w:szCs w:val="28"/>
                <w:highlight w:val="none"/>
                <w:u w:val="none"/>
              </w:rPr>
            </w:pPr>
            <w:r>
              <w:rPr>
                <w:rFonts w:hint="eastAsia" w:ascii="宋体" w:hAnsi="宋体" w:eastAsia="宋体" w:cs="宋体"/>
                <w:i w:val="0"/>
                <w:iCs w:val="0"/>
                <w:color w:val="000000"/>
                <w:kern w:val="0"/>
                <w:sz w:val="28"/>
                <w:szCs w:val="28"/>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541655</wp:posOffset>
                  </wp:positionH>
                  <wp:positionV relativeFrom="paragraph">
                    <wp:posOffset>600710</wp:posOffset>
                  </wp:positionV>
                  <wp:extent cx="2060575" cy="2827655"/>
                  <wp:effectExtent l="0" t="0" r="15875" b="10795"/>
                  <wp:wrapNone/>
                  <wp:docPr id="6" name="图片_10"/>
                  <wp:cNvGraphicFramePr/>
                  <a:graphic xmlns:a="http://schemas.openxmlformats.org/drawingml/2006/main">
                    <a:graphicData uri="http://schemas.openxmlformats.org/drawingml/2006/picture">
                      <pic:pic xmlns:pic="http://schemas.openxmlformats.org/drawingml/2006/picture">
                        <pic:nvPicPr>
                          <pic:cNvPr id="6" name="图片_10"/>
                          <pic:cNvPicPr/>
                        </pic:nvPicPr>
                        <pic:blipFill>
                          <a:blip r:embed="rId9"/>
                          <a:stretch>
                            <a:fillRect/>
                          </a:stretch>
                        </pic:blipFill>
                        <pic:spPr>
                          <a:xfrm>
                            <a:off x="0" y="0"/>
                            <a:ext cx="2060575" cy="2827655"/>
                          </a:xfrm>
                          <a:prstGeom prst="rect">
                            <a:avLst/>
                          </a:prstGeom>
                          <a:noFill/>
                          <a:ln>
                            <a:noFill/>
                          </a:ln>
                        </pic:spPr>
                      </pic:pic>
                    </a:graphicData>
                  </a:graphic>
                </wp:anchor>
              </w:drawing>
            </w:r>
          </w:p>
        </w:tc>
        <w:tc>
          <w:tcPr>
            <w:tcW w:w="493" w:type="dxa"/>
            <w:noWrap/>
            <w:vAlign w:val="center"/>
          </w:tcPr>
          <w:p w14:paraId="26701C6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把</w:t>
            </w:r>
          </w:p>
        </w:tc>
        <w:tc>
          <w:tcPr>
            <w:tcW w:w="508" w:type="dxa"/>
            <w:noWrap/>
            <w:vAlign w:val="center"/>
          </w:tcPr>
          <w:p w14:paraId="7177A3B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43</w:t>
            </w:r>
          </w:p>
        </w:tc>
      </w:tr>
      <w:tr w14:paraId="2300F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3" w:hRule="atLeast"/>
          <w:jc w:val="center"/>
        </w:trPr>
        <w:tc>
          <w:tcPr>
            <w:tcW w:w="646" w:type="dxa"/>
            <w:noWrap/>
            <w:vAlign w:val="center"/>
          </w:tcPr>
          <w:p w14:paraId="6DFDDE9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718" w:type="dxa"/>
            <w:noWrap w:val="0"/>
            <w:vAlign w:val="center"/>
          </w:tcPr>
          <w:p w14:paraId="1B1FA79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档案柜</w:t>
            </w:r>
          </w:p>
        </w:tc>
        <w:tc>
          <w:tcPr>
            <w:tcW w:w="5852" w:type="dxa"/>
            <w:noWrap w:val="0"/>
            <w:vAlign w:val="center"/>
          </w:tcPr>
          <w:p w14:paraId="32CBC5F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b w:val="0"/>
                <w:bCs w:val="0"/>
                <w:kern w:val="2"/>
                <w:sz w:val="21"/>
                <w:szCs w:val="21"/>
                <w:highlight w:val="none"/>
                <w:lang w:eastAsia="zh-CN"/>
              </w:rPr>
              <w:t>▲</w:t>
            </w:r>
            <w:r>
              <w:rPr>
                <w:rFonts w:hint="eastAsia" w:ascii="仿宋" w:hAnsi="仿宋" w:eastAsia="仿宋" w:cs="仿宋"/>
                <w:i w:val="0"/>
                <w:iCs w:val="0"/>
                <w:color w:val="000000"/>
                <w:kern w:val="0"/>
                <w:sz w:val="21"/>
                <w:szCs w:val="21"/>
                <w:highlight w:val="none"/>
                <w:u w:val="none"/>
                <w:lang w:val="en-US" w:eastAsia="zh-CN" w:bidi="ar"/>
              </w:rPr>
              <w:t>1、基材：主体采用一级冷轧钢板。中标后提供第三方检测机构出具的冷轧钢板检测报告，内容含：依据GB/T 3325-2024《金属家具通用技术条件》项目：外观（符合标准要求）、GB/T 6739-2022《色漆和清漆铅笔法测定漆膜硬度》项目：铅笔划痕硬度≥H；GB/T 9286-2021《色漆和清漆 划格试验》≥2级；GB/T 13237-2013《碳素结构钢冷轧钢板和钢带》、GB/T 228.1-2021《金属材料拉伸试验 第1部分：室温试验方法》抗拉强度Rm275~410MPa，断后伸长率≥27%。</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2、钢柜烤漆工艺：产品经过十道防锈前处理，隧道型喷淋式涂装生产线；静电碟式自动喷漆使油漆层均匀，附着力强，不仅具有防锈能力且增加美观；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3、工艺结构：上玻璃，内带2件活动层板，下掩门，内带1件活动层板。</w:t>
            </w:r>
          </w:p>
        </w:tc>
        <w:tc>
          <w:tcPr>
            <w:tcW w:w="1616" w:type="dxa"/>
            <w:noWrap w:val="0"/>
            <w:vAlign w:val="center"/>
          </w:tcPr>
          <w:p w14:paraId="32A8D260">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W900*D400*</w:t>
            </w:r>
          </w:p>
          <w:p w14:paraId="0F82E63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H1850</w:t>
            </w:r>
          </w:p>
        </w:tc>
        <w:tc>
          <w:tcPr>
            <w:tcW w:w="4805" w:type="dxa"/>
            <w:noWrap/>
            <w:vAlign w:val="center"/>
          </w:tcPr>
          <w:p w14:paraId="35AB7A30">
            <w:pPr>
              <w:keepNext w:val="0"/>
              <w:keepLines w:val="0"/>
              <w:widowControl/>
              <w:suppressLineNumbers w:val="0"/>
              <w:jc w:val="center"/>
              <w:textAlignment w:val="center"/>
              <w:rPr>
                <w:rFonts w:hint="eastAsia" w:ascii="宋体" w:hAnsi="宋体" w:eastAsia="宋体" w:cs="宋体"/>
                <w:i w:val="0"/>
                <w:iCs w:val="0"/>
                <w:color w:val="000000"/>
                <w:sz w:val="28"/>
                <w:szCs w:val="28"/>
                <w:highlight w:val="none"/>
                <w:u w:val="none"/>
              </w:rPr>
            </w:pPr>
            <w:r>
              <w:rPr>
                <w:rFonts w:hint="eastAsia" w:ascii="宋体" w:hAnsi="宋体" w:eastAsia="宋体" w:cs="宋体"/>
                <w:i w:val="0"/>
                <w:iCs w:val="0"/>
                <w:color w:val="000000"/>
                <w:kern w:val="0"/>
                <w:sz w:val="28"/>
                <w:szCs w:val="28"/>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1062990</wp:posOffset>
                  </wp:positionH>
                  <wp:positionV relativeFrom="paragraph">
                    <wp:posOffset>497205</wp:posOffset>
                  </wp:positionV>
                  <wp:extent cx="1021715" cy="1953895"/>
                  <wp:effectExtent l="0" t="0" r="6985" b="8255"/>
                  <wp:wrapNone/>
                  <wp:docPr id="4" name="Picture_4"/>
                  <wp:cNvGraphicFramePr/>
                  <a:graphic xmlns:a="http://schemas.openxmlformats.org/drawingml/2006/main">
                    <a:graphicData uri="http://schemas.openxmlformats.org/drawingml/2006/picture">
                      <pic:pic xmlns:pic="http://schemas.openxmlformats.org/drawingml/2006/picture">
                        <pic:nvPicPr>
                          <pic:cNvPr id="4" name="Picture_4"/>
                          <pic:cNvPicPr/>
                        </pic:nvPicPr>
                        <pic:blipFill>
                          <a:blip r:embed="rId10"/>
                          <a:srcRect t="-1660" r="51999"/>
                          <a:stretch>
                            <a:fillRect/>
                          </a:stretch>
                        </pic:blipFill>
                        <pic:spPr>
                          <a:xfrm>
                            <a:off x="0" y="0"/>
                            <a:ext cx="1021715" cy="1953895"/>
                          </a:xfrm>
                          <a:prstGeom prst="rect">
                            <a:avLst/>
                          </a:prstGeom>
                          <a:noFill/>
                          <a:ln>
                            <a:noFill/>
                          </a:ln>
                        </pic:spPr>
                      </pic:pic>
                    </a:graphicData>
                  </a:graphic>
                </wp:anchor>
              </w:drawing>
            </w:r>
          </w:p>
        </w:tc>
        <w:tc>
          <w:tcPr>
            <w:tcW w:w="493" w:type="dxa"/>
            <w:noWrap/>
            <w:vAlign w:val="center"/>
          </w:tcPr>
          <w:p w14:paraId="4D8C08D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组</w:t>
            </w:r>
          </w:p>
        </w:tc>
        <w:tc>
          <w:tcPr>
            <w:tcW w:w="508" w:type="dxa"/>
            <w:noWrap/>
            <w:vAlign w:val="center"/>
          </w:tcPr>
          <w:p w14:paraId="3A3AF63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33</w:t>
            </w:r>
          </w:p>
        </w:tc>
      </w:tr>
      <w:tr w14:paraId="3D8F9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3" w:hRule="atLeast"/>
          <w:jc w:val="center"/>
        </w:trPr>
        <w:tc>
          <w:tcPr>
            <w:tcW w:w="646" w:type="dxa"/>
            <w:noWrap/>
            <w:vAlign w:val="center"/>
          </w:tcPr>
          <w:p w14:paraId="3767CB9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718" w:type="dxa"/>
            <w:noWrap w:val="0"/>
            <w:vAlign w:val="center"/>
          </w:tcPr>
          <w:p w14:paraId="287D63D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备勤上下铺床</w:t>
            </w:r>
          </w:p>
        </w:tc>
        <w:tc>
          <w:tcPr>
            <w:tcW w:w="5852" w:type="dxa"/>
            <w:noWrap w:val="0"/>
            <w:vAlign w:val="center"/>
          </w:tcPr>
          <w:p w14:paraId="4538295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黑色/深灰色</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1、上铺必须配备加高加厚防护栏，高度不低于250mm，有效防止人员跌落。所有棱角及焊接点必须经过打磨处理，光滑无毛刺，避免刮伤。</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2、成人睡在床上翻身应无明显晃动感和摩擦声。</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主体框架应选用优质冷轧钢板，主要受力部件（如立柱、横梁）的材料厚度不低于1.2mm，立柱:采用优质冷轧钢板经特制成型线轧制而成，其立面为中空异形（方便双面喷涂，不能用方管或圆管），立柱正面为斜边形设计，起到防撞作用，并有4条加强筋，立面成型后尺寸为78mm*78mm,材料厚度为1.2mm，长横梁采用优质冷轧钢板经特制成型线轧制而成，其立面为中空异形（方便双面喷涂，不能用方管），正面有两条加强筋，底部为圆弧形设计，起到防撞作用，立面成型后尺寸为106mm*41mm,材料厚度为1.2mm，短横梁采用优质冷轧钢板经特制成型线轧制而成，其立面为中空异形，方便双面喷涂，不能用方管），正面有两条加强筋，底部为圆弧形设计，起到防撞作用，立面成型后尺寸为106mm*41mm,材料厚度为1.1mm，楼梯支架采用20*40*1.0mm旦管数控成型焊接而成，脚踏板采用1.2mm厚优质冷轧钢板经冲压而成，大小为65mm*300mm,踏板下面需加一根25*25*1.0mm厚优质方管，需与楼梯支架焊接，表面需有凹凸纹路，可以起到防滑作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4、整张床连接部份采用挂件连接，不采用螺丝连接，每张床可承重400kg。</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5、金属双层床，应符合GB/T 3325-2024《金属家具通用技术条件》及其他相关国家/行业标准。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6、产品应结构稳定，安全可靠，长期使用无剧烈晃动及异常响声，表面耐腐蚀、易清洁。</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7、提供铺位下方储物柜鞋架；</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8、提供配套的优质床上四件套。</w:t>
            </w:r>
          </w:p>
        </w:tc>
        <w:tc>
          <w:tcPr>
            <w:tcW w:w="1616" w:type="dxa"/>
            <w:noWrap w:val="0"/>
            <w:vAlign w:val="center"/>
          </w:tcPr>
          <w:p w14:paraId="5569012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2000*903*1800</w:t>
            </w:r>
          </w:p>
        </w:tc>
        <w:tc>
          <w:tcPr>
            <w:tcW w:w="4805" w:type="dxa"/>
            <w:noWrap w:val="0"/>
            <w:vAlign w:val="center"/>
          </w:tcPr>
          <w:p w14:paraId="49115FC8">
            <w:pPr>
              <w:keepNext w:val="0"/>
              <w:keepLines w:val="0"/>
              <w:widowControl/>
              <w:suppressLineNumbers w:val="0"/>
              <w:jc w:val="center"/>
              <w:textAlignment w:val="center"/>
              <w:rPr>
                <w:rFonts w:hint="eastAsia" w:ascii="宋体" w:hAnsi="宋体" w:eastAsia="宋体" w:cs="宋体"/>
                <w:i w:val="0"/>
                <w:iCs w:val="0"/>
                <w:color w:val="000000"/>
                <w:sz w:val="28"/>
                <w:szCs w:val="28"/>
                <w:highlight w:val="none"/>
                <w:u w:val="none"/>
              </w:rPr>
            </w:pPr>
            <w:r>
              <w:rPr>
                <w:rFonts w:hint="eastAsia" w:ascii="宋体" w:hAnsi="宋体" w:eastAsia="宋体" w:cs="宋体"/>
                <w:i w:val="0"/>
                <w:iCs w:val="0"/>
                <w:color w:val="000000"/>
                <w:kern w:val="0"/>
                <w:sz w:val="28"/>
                <w:szCs w:val="28"/>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549910</wp:posOffset>
                  </wp:positionH>
                  <wp:positionV relativeFrom="paragraph">
                    <wp:posOffset>147320</wp:posOffset>
                  </wp:positionV>
                  <wp:extent cx="2125345" cy="1978660"/>
                  <wp:effectExtent l="0" t="0" r="8255" b="2540"/>
                  <wp:wrapNone/>
                  <wp:docPr id="8" name="图片_5"/>
                  <wp:cNvGraphicFramePr/>
                  <a:graphic xmlns:a="http://schemas.openxmlformats.org/drawingml/2006/main">
                    <a:graphicData uri="http://schemas.openxmlformats.org/drawingml/2006/picture">
                      <pic:pic xmlns:pic="http://schemas.openxmlformats.org/drawingml/2006/picture">
                        <pic:nvPicPr>
                          <pic:cNvPr id="8" name="图片_5"/>
                          <pic:cNvPicPr/>
                        </pic:nvPicPr>
                        <pic:blipFill>
                          <a:blip r:embed="rId11"/>
                          <a:stretch>
                            <a:fillRect/>
                          </a:stretch>
                        </pic:blipFill>
                        <pic:spPr>
                          <a:xfrm>
                            <a:off x="0" y="0"/>
                            <a:ext cx="2125345" cy="1978660"/>
                          </a:xfrm>
                          <a:prstGeom prst="rect">
                            <a:avLst/>
                          </a:prstGeom>
                          <a:noFill/>
                          <a:ln>
                            <a:noFill/>
                          </a:ln>
                        </pic:spPr>
                      </pic:pic>
                    </a:graphicData>
                  </a:graphic>
                </wp:anchor>
              </w:drawing>
            </w:r>
          </w:p>
        </w:tc>
        <w:tc>
          <w:tcPr>
            <w:tcW w:w="493" w:type="dxa"/>
            <w:noWrap w:val="0"/>
            <w:vAlign w:val="center"/>
          </w:tcPr>
          <w:p w14:paraId="507E767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张</w:t>
            </w:r>
          </w:p>
        </w:tc>
        <w:tc>
          <w:tcPr>
            <w:tcW w:w="508" w:type="dxa"/>
            <w:noWrap/>
            <w:vAlign w:val="center"/>
          </w:tcPr>
          <w:p w14:paraId="1822A43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w:t>
            </w:r>
          </w:p>
        </w:tc>
      </w:tr>
      <w:tr w14:paraId="61063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1" w:hRule="atLeast"/>
          <w:jc w:val="center"/>
        </w:trPr>
        <w:tc>
          <w:tcPr>
            <w:tcW w:w="646" w:type="dxa"/>
            <w:noWrap/>
            <w:vAlign w:val="center"/>
          </w:tcPr>
          <w:p w14:paraId="30931D4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718" w:type="dxa"/>
            <w:noWrap w:val="0"/>
            <w:vAlign w:val="center"/>
          </w:tcPr>
          <w:p w14:paraId="732EED8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床头柜</w:t>
            </w:r>
          </w:p>
        </w:tc>
        <w:tc>
          <w:tcPr>
            <w:tcW w:w="5852" w:type="dxa"/>
            <w:noWrap w:val="0"/>
            <w:vAlign w:val="center"/>
          </w:tcPr>
          <w:p w14:paraId="697C6ACA">
            <w:pPr>
              <w:keepNext w:val="0"/>
              <w:keepLines w:val="0"/>
              <w:widowControl/>
              <w:numPr>
                <w:ilvl w:val="0"/>
                <w:numId w:val="2"/>
              </w:numPr>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基材：采用实木多层板，甲醛释放量达到国标E0级及以上。</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2、饰面：胡桃木木皮贴面，木皮厚度为0.6-0.8mm，无节疤、腐朽、裂纹、虫眼、夹皮、变色等缺陷，用于同一件产品的木皮纹理协调一致，无色差。</w:t>
            </w:r>
          </w:p>
          <w:p w14:paraId="5FA705C5">
            <w:pPr>
              <w:keepNext w:val="0"/>
              <w:keepLines w:val="0"/>
              <w:widowControl/>
              <w:numPr>
                <w:ilvl w:val="0"/>
                <w:numId w:val="0"/>
              </w:numPr>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3、油漆：采用无苯PU环保漆，标准厚度为0.5mm，有害物质释放量符合国家环保标准；油漆硬度为2H，尘粒数每平方不大于2；油漆表面饱满，手感柔和。</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4、胶粘剂：选用白乳胶，甲醛≤0.10g/kg。</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5、五金配件：采用三节无声滚珠滑轨导轨，锌合金锁具。采用拉手五金配件，无锈蚀，具有足够的承载能力、耐腐蚀能力。    </w:t>
            </w:r>
          </w:p>
        </w:tc>
        <w:tc>
          <w:tcPr>
            <w:tcW w:w="1616" w:type="dxa"/>
            <w:noWrap w:val="0"/>
            <w:vAlign w:val="center"/>
          </w:tcPr>
          <w:p w14:paraId="27B3B6F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600*400*700</w:t>
            </w:r>
          </w:p>
        </w:tc>
        <w:tc>
          <w:tcPr>
            <w:tcW w:w="4805" w:type="dxa"/>
            <w:noWrap w:val="0"/>
            <w:vAlign w:val="center"/>
          </w:tcPr>
          <w:p w14:paraId="27FBAC64">
            <w:pPr>
              <w:keepNext w:val="0"/>
              <w:keepLines w:val="0"/>
              <w:widowControl/>
              <w:suppressLineNumbers w:val="0"/>
              <w:jc w:val="center"/>
              <w:textAlignment w:val="center"/>
              <w:rPr>
                <w:rFonts w:hint="eastAsia" w:ascii="宋体" w:hAnsi="宋体" w:eastAsia="宋体" w:cs="宋体"/>
                <w:i w:val="0"/>
                <w:iCs w:val="0"/>
                <w:color w:val="000000"/>
                <w:sz w:val="28"/>
                <w:szCs w:val="28"/>
                <w:highlight w:val="none"/>
                <w:u w:val="none"/>
              </w:rPr>
            </w:pPr>
            <w:r>
              <w:rPr>
                <w:rFonts w:hint="eastAsia" w:ascii="宋体" w:hAnsi="宋体" w:eastAsia="宋体" w:cs="宋体"/>
                <w:i w:val="0"/>
                <w:iCs w:val="0"/>
                <w:color w:val="000000"/>
                <w:kern w:val="0"/>
                <w:sz w:val="28"/>
                <w:szCs w:val="28"/>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668020</wp:posOffset>
                  </wp:positionH>
                  <wp:positionV relativeFrom="paragraph">
                    <wp:posOffset>51435</wp:posOffset>
                  </wp:positionV>
                  <wp:extent cx="1653540" cy="1667510"/>
                  <wp:effectExtent l="0" t="0" r="3810" b="8890"/>
                  <wp:wrapNone/>
                  <wp:docPr id="7" name="图片_7"/>
                  <wp:cNvGraphicFramePr/>
                  <a:graphic xmlns:a="http://schemas.openxmlformats.org/drawingml/2006/main">
                    <a:graphicData uri="http://schemas.openxmlformats.org/drawingml/2006/picture">
                      <pic:pic xmlns:pic="http://schemas.openxmlformats.org/drawingml/2006/picture">
                        <pic:nvPicPr>
                          <pic:cNvPr id="7" name="图片_7"/>
                          <pic:cNvPicPr/>
                        </pic:nvPicPr>
                        <pic:blipFill>
                          <a:blip r:embed="rId12"/>
                          <a:stretch>
                            <a:fillRect/>
                          </a:stretch>
                        </pic:blipFill>
                        <pic:spPr>
                          <a:xfrm>
                            <a:off x="0" y="0"/>
                            <a:ext cx="1653540" cy="1667510"/>
                          </a:xfrm>
                          <a:prstGeom prst="rect">
                            <a:avLst/>
                          </a:prstGeom>
                          <a:noFill/>
                          <a:ln>
                            <a:noFill/>
                          </a:ln>
                        </pic:spPr>
                      </pic:pic>
                    </a:graphicData>
                  </a:graphic>
                </wp:anchor>
              </w:drawing>
            </w:r>
          </w:p>
        </w:tc>
        <w:tc>
          <w:tcPr>
            <w:tcW w:w="493" w:type="dxa"/>
            <w:noWrap w:val="0"/>
            <w:vAlign w:val="center"/>
          </w:tcPr>
          <w:p w14:paraId="39C2475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个</w:t>
            </w:r>
          </w:p>
        </w:tc>
        <w:tc>
          <w:tcPr>
            <w:tcW w:w="508" w:type="dxa"/>
            <w:noWrap/>
            <w:vAlign w:val="center"/>
          </w:tcPr>
          <w:p w14:paraId="65FD743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14</w:t>
            </w:r>
          </w:p>
        </w:tc>
      </w:tr>
      <w:tr w14:paraId="07E9E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7" w:hRule="atLeast"/>
          <w:jc w:val="center"/>
        </w:trPr>
        <w:tc>
          <w:tcPr>
            <w:tcW w:w="646" w:type="dxa"/>
            <w:noWrap/>
            <w:vAlign w:val="center"/>
          </w:tcPr>
          <w:p w14:paraId="5B34004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718" w:type="dxa"/>
            <w:noWrap w:val="0"/>
            <w:vAlign w:val="center"/>
          </w:tcPr>
          <w:p w14:paraId="2F55C1B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备勤储物柜（衣柜）（核心产品）</w:t>
            </w:r>
          </w:p>
        </w:tc>
        <w:tc>
          <w:tcPr>
            <w:tcW w:w="5852" w:type="dxa"/>
            <w:noWrap w:val="0"/>
            <w:vAlign w:val="center"/>
          </w:tcPr>
          <w:p w14:paraId="53E23C27">
            <w:pPr>
              <w:keepNext w:val="0"/>
              <w:keepLines w:val="0"/>
              <w:widowControl/>
              <w:numPr>
                <w:ilvl w:val="0"/>
                <w:numId w:val="3"/>
              </w:numPr>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基材：采用实木多层板，甲醛释放量达到国标E0级及以上。</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2、饰面：胡桃木木皮贴面，木皮厚度为0.6-0.8mm，无节疤、腐朽、裂纹、虫眼、夹皮、变色等缺陷，用于同一件产品的木皮纹理协调一致，无色差。</w:t>
            </w:r>
          </w:p>
          <w:p w14:paraId="016287F0">
            <w:pPr>
              <w:keepNext w:val="0"/>
              <w:keepLines w:val="0"/>
              <w:widowControl/>
              <w:numPr>
                <w:ilvl w:val="0"/>
                <w:numId w:val="0"/>
              </w:numPr>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3、油漆：采用无苯PU环保漆，标准厚度为0.5mm，有害物质释放量符合国家环保标准；油漆硬度为2H，尘粒数每平方不大于2；油漆表面饱满，手感柔和。柜子门板加固不变形。</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b w:val="0"/>
                <w:bCs w:val="0"/>
                <w:kern w:val="2"/>
                <w:sz w:val="21"/>
                <w:szCs w:val="21"/>
                <w:highlight w:val="none"/>
                <w:lang w:eastAsia="zh-CN"/>
              </w:rPr>
              <w:t>▲</w:t>
            </w:r>
            <w:r>
              <w:rPr>
                <w:rFonts w:hint="eastAsia" w:ascii="仿宋" w:hAnsi="仿宋" w:eastAsia="仿宋" w:cs="仿宋"/>
                <w:i w:val="0"/>
                <w:iCs w:val="0"/>
                <w:color w:val="000000"/>
                <w:kern w:val="0"/>
                <w:sz w:val="21"/>
                <w:szCs w:val="21"/>
                <w:highlight w:val="none"/>
                <w:u w:val="none"/>
                <w:lang w:val="en-US" w:eastAsia="zh-CN" w:bidi="ar"/>
              </w:rPr>
              <w:t>4、胶粘剂：甲醛≤0.10g/kg。中标后提供第三方检测机构出具的水溶性胶粘剂检测报告，内容含：依据GB 33372-2020、GB 18583-2008、HJ 2541-2016标准要求，检测内容：游离甲醛≤1.0g/kg、苯≤0.20g/kg、甲苯+二甲苯≤10g/kg、VOC含量≤50g/L、总挥发性有机化合物未检出等。</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b w:val="0"/>
                <w:bCs w:val="0"/>
                <w:kern w:val="2"/>
                <w:sz w:val="21"/>
                <w:szCs w:val="21"/>
                <w:highlight w:val="none"/>
                <w:lang w:eastAsia="zh-CN"/>
              </w:rPr>
              <w:t>▲</w:t>
            </w:r>
            <w:r>
              <w:rPr>
                <w:rFonts w:hint="eastAsia" w:ascii="仿宋" w:hAnsi="仿宋" w:eastAsia="仿宋" w:cs="仿宋"/>
                <w:i w:val="0"/>
                <w:iCs w:val="0"/>
                <w:color w:val="000000"/>
                <w:kern w:val="0"/>
                <w:sz w:val="21"/>
                <w:szCs w:val="21"/>
                <w:highlight w:val="none"/>
                <w:u w:val="none"/>
                <w:lang w:val="en-US" w:eastAsia="zh-CN" w:bidi="ar"/>
              </w:rPr>
              <w:t>5、五金配件：采用缓冲铰链。采用五金配件，无锈蚀，具有足够的承载能力、耐腐蚀能力。中标后提供第三方检测机构出具的铰链检测报告，内容含：依据QB/T 2189-2013、QB/T 4371-2012标准要求，检测内容：过载--垂直静载荷，过载--水平静载荷，功能--操作力，功能--垂直静载荷，功能--水平静载荷，功能--耐久性（商用型）100000次无损，功能--下沉量，耐腐蚀：18h，1.5mm以下锈点≤20点/dm2,其中≥1.0mm锈点不超过5点( 距离边缘棱角2mm以内不计 )，镀（涂）层对基体的保护等级9级或10级，镀(涂)层本身的耐腐蚀等级9级或10级，抗菌性能（金黄色葡萄球菌 、大肠杆菌抑菌率≥99%）。</w:t>
            </w:r>
          </w:p>
        </w:tc>
        <w:tc>
          <w:tcPr>
            <w:tcW w:w="1616" w:type="dxa"/>
            <w:noWrap w:val="0"/>
            <w:vAlign w:val="center"/>
          </w:tcPr>
          <w:p w14:paraId="2C79A48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600*550*3500</w:t>
            </w:r>
          </w:p>
        </w:tc>
        <w:tc>
          <w:tcPr>
            <w:tcW w:w="4805" w:type="dxa"/>
            <w:noWrap/>
            <w:vAlign w:val="center"/>
          </w:tcPr>
          <w:p w14:paraId="3929EE05">
            <w:pPr>
              <w:keepNext w:val="0"/>
              <w:keepLines w:val="0"/>
              <w:widowControl/>
              <w:suppressLineNumbers w:val="0"/>
              <w:jc w:val="center"/>
              <w:textAlignment w:val="center"/>
              <w:rPr>
                <w:rFonts w:hint="eastAsia" w:ascii="宋体" w:hAnsi="宋体" w:eastAsia="宋体" w:cs="宋体"/>
                <w:i w:val="0"/>
                <w:iCs w:val="0"/>
                <w:color w:val="000000"/>
                <w:sz w:val="28"/>
                <w:szCs w:val="28"/>
                <w:highlight w:val="none"/>
                <w:u w:val="none"/>
              </w:rPr>
            </w:pPr>
            <w:r>
              <w:rPr>
                <w:rFonts w:hint="eastAsia" w:ascii="宋体" w:hAnsi="宋体" w:eastAsia="宋体" w:cs="宋体"/>
                <w:i w:val="0"/>
                <w:iCs w:val="0"/>
                <w:color w:val="000000"/>
                <w:kern w:val="0"/>
                <w:sz w:val="28"/>
                <w:szCs w:val="28"/>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1063625</wp:posOffset>
                  </wp:positionH>
                  <wp:positionV relativeFrom="paragraph">
                    <wp:posOffset>666115</wp:posOffset>
                  </wp:positionV>
                  <wp:extent cx="1212215" cy="3056255"/>
                  <wp:effectExtent l="0" t="0" r="6985" b="10795"/>
                  <wp:wrapNone/>
                  <wp:docPr id="9" name="图片_2"/>
                  <wp:cNvGraphicFramePr/>
                  <a:graphic xmlns:a="http://schemas.openxmlformats.org/drawingml/2006/main">
                    <a:graphicData uri="http://schemas.openxmlformats.org/drawingml/2006/picture">
                      <pic:pic xmlns:pic="http://schemas.openxmlformats.org/drawingml/2006/picture">
                        <pic:nvPicPr>
                          <pic:cNvPr id="9" name="图片_2"/>
                          <pic:cNvPicPr/>
                        </pic:nvPicPr>
                        <pic:blipFill>
                          <a:blip r:embed="rId13"/>
                          <a:stretch>
                            <a:fillRect/>
                          </a:stretch>
                        </pic:blipFill>
                        <pic:spPr>
                          <a:xfrm>
                            <a:off x="0" y="0"/>
                            <a:ext cx="1212215" cy="3056255"/>
                          </a:xfrm>
                          <a:prstGeom prst="rect">
                            <a:avLst/>
                          </a:prstGeom>
                          <a:noFill/>
                          <a:ln>
                            <a:noFill/>
                          </a:ln>
                        </pic:spPr>
                      </pic:pic>
                    </a:graphicData>
                  </a:graphic>
                </wp:anchor>
              </w:drawing>
            </w:r>
          </w:p>
        </w:tc>
        <w:tc>
          <w:tcPr>
            <w:tcW w:w="493" w:type="dxa"/>
            <w:noWrap/>
            <w:vAlign w:val="center"/>
          </w:tcPr>
          <w:p w14:paraId="3E4B55F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w:t>
            </w:r>
          </w:p>
        </w:tc>
        <w:tc>
          <w:tcPr>
            <w:tcW w:w="508" w:type="dxa"/>
            <w:noWrap/>
            <w:vAlign w:val="center"/>
          </w:tcPr>
          <w:p w14:paraId="3FD2341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160</w:t>
            </w:r>
          </w:p>
        </w:tc>
      </w:tr>
      <w:tr w14:paraId="5657D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4" w:hRule="atLeast"/>
          <w:jc w:val="center"/>
        </w:trPr>
        <w:tc>
          <w:tcPr>
            <w:tcW w:w="646" w:type="dxa"/>
            <w:noWrap/>
            <w:vAlign w:val="center"/>
          </w:tcPr>
          <w:p w14:paraId="1609970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718" w:type="dxa"/>
            <w:noWrap w:val="0"/>
            <w:vAlign w:val="center"/>
          </w:tcPr>
          <w:p w14:paraId="6DA25B2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前台接待椅子</w:t>
            </w:r>
          </w:p>
        </w:tc>
        <w:tc>
          <w:tcPr>
            <w:tcW w:w="5852" w:type="dxa"/>
            <w:noWrap w:val="0"/>
            <w:vAlign w:val="center"/>
          </w:tcPr>
          <w:p w14:paraId="5C63E35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1、面料:采用环保西皮，游离甲醛符合GB/T 16799-2018《家具用皮革》标准要求。禁用偶氮染料符合GB/T 16799-2018《家具用皮革》标准要求。挥发性有机物（VOC）符合GB/T 16799-2018《家具用皮革》标准要求。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2、海绵：采用高弹海棉，抗引燃特性的评定，拉伸强度，伸长率，撕裂强度，干热老化后拉伸强度，回弹率，甲醛释放量，TVOC，符合GB 17927-2024《软体家具床垫和沙发 抗引燃特性的评定 第2部分 模拟火柴火焰》、QB/T 2280-2016《办公家具办公椅》标准要求，其他;具体高度需结合现场实际要求。</w:t>
            </w:r>
          </w:p>
        </w:tc>
        <w:tc>
          <w:tcPr>
            <w:tcW w:w="1616" w:type="dxa"/>
            <w:noWrap w:val="0"/>
            <w:vAlign w:val="center"/>
          </w:tcPr>
          <w:p w14:paraId="2D56E04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Φ370*410</w:t>
            </w:r>
          </w:p>
        </w:tc>
        <w:tc>
          <w:tcPr>
            <w:tcW w:w="4805" w:type="dxa"/>
            <w:noWrap/>
            <w:vAlign w:val="center"/>
          </w:tcPr>
          <w:p w14:paraId="2E3D0BB3">
            <w:pPr>
              <w:keepNext w:val="0"/>
              <w:keepLines w:val="0"/>
              <w:widowControl/>
              <w:suppressLineNumbers w:val="0"/>
              <w:jc w:val="center"/>
              <w:textAlignment w:val="center"/>
              <w:rPr>
                <w:rFonts w:hint="eastAsia" w:ascii="宋体" w:hAnsi="宋体" w:eastAsia="宋体" w:cs="宋体"/>
                <w:i w:val="0"/>
                <w:iCs w:val="0"/>
                <w:color w:val="000000"/>
                <w:sz w:val="28"/>
                <w:szCs w:val="28"/>
                <w:highlight w:val="none"/>
                <w:u w:val="none"/>
              </w:rPr>
            </w:pPr>
            <w:r>
              <w:rPr>
                <w:rFonts w:hint="eastAsia" w:ascii="宋体" w:hAnsi="宋体" w:eastAsia="宋体" w:cs="宋体"/>
                <w:i w:val="0"/>
                <w:iCs w:val="0"/>
                <w:color w:val="000000"/>
                <w:kern w:val="0"/>
                <w:sz w:val="28"/>
                <w:szCs w:val="28"/>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755650</wp:posOffset>
                  </wp:positionH>
                  <wp:positionV relativeFrom="paragraph">
                    <wp:posOffset>184150</wp:posOffset>
                  </wp:positionV>
                  <wp:extent cx="1428115" cy="1705610"/>
                  <wp:effectExtent l="0" t="0" r="635" b="8890"/>
                  <wp:wrapNone/>
                  <wp:docPr id="10" name="ID_3F05B86C6492417A94AA1A3104636A3F"/>
                  <wp:cNvGraphicFramePr/>
                  <a:graphic xmlns:a="http://schemas.openxmlformats.org/drawingml/2006/main">
                    <a:graphicData uri="http://schemas.openxmlformats.org/drawingml/2006/picture">
                      <pic:pic xmlns:pic="http://schemas.openxmlformats.org/drawingml/2006/picture">
                        <pic:nvPicPr>
                          <pic:cNvPr id="10" name="ID_3F05B86C6492417A94AA1A3104636A3F"/>
                          <pic:cNvPicPr/>
                        </pic:nvPicPr>
                        <pic:blipFill>
                          <a:blip r:embed="rId14"/>
                          <a:stretch>
                            <a:fillRect/>
                          </a:stretch>
                        </pic:blipFill>
                        <pic:spPr>
                          <a:xfrm>
                            <a:off x="0" y="0"/>
                            <a:ext cx="1428115" cy="1705610"/>
                          </a:xfrm>
                          <a:prstGeom prst="rect">
                            <a:avLst/>
                          </a:prstGeom>
                          <a:noFill/>
                          <a:ln>
                            <a:noFill/>
                          </a:ln>
                        </pic:spPr>
                      </pic:pic>
                    </a:graphicData>
                  </a:graphic>
                </wp:anchor>
              </w:drawing>
            </w:r>
          </w:p>
        </w:tc>
        <w:tc>
          <w:tcPr>
            <w:tcW w:w="493" w:type="dxa"/>
            <w:noWrap/>
            <w:vAlign w:val="center"/>
          </w:tcPr>
          <w:p w14:paraId="7D0D1E7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把</w:t>
            </w:r>
          </w:p>
        </w:tc>
        <w:tc>
          <w:tcPr>
            <w:tcW w:w="508" w:type="dxa"/>
            <w:noWrap/>
            <w:vAlign w:val="center"/>
          </w:tcPr>
          <w:p w14:paraId="102AA14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14</w:t>
            </w:r>
          </w:p>
        </w:tc>
      </w:tr>
      <w:tr w14:paraId="0EF74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646" w:type="dxa"/>
            <w:vMerge w:val="restart"/>
            <w:noWrap/>
            <w:vAlign w:val="center"/>
          </w:tcPr>
          <w:p w14:paraId="6E8433B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718" w:type="dxa"/>
            <w:vMerge w:val="restart"/>
            <w:noWrap w:val="0"/>
            <w:vAlign w:val="center"/>
          </w:tcPr>
          <w:p w14:paraId="11F6D94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会议桌</w:t>
            </w:r>
          </w:p>
        </w:tc>
        <w:tc>
          <w:tcPr>
            <w:tcW w:w="5852" w:type="dxa"/>
            <w:vMerge w:val="restart"/>
            <w:noWrap w:val="0"/>
            <w:vAlign w:val="center"/>
          </w:tcPr>
          <w:p w14:paraId="54EF579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1、基材：采用实木多层板，甲醛释放量达到国标E0级及以上。</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2、饰面：胡桃木木皮贴面，木皮厚度为0.6-0.8mm，无节疤、腐朽、裂纹、虫眼、夹皮、变色等缺陷，用于同一件产品的木皮纹理协调一致，无色差。</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3、框架：采用实木框架，经过防虫、防腐特殊处理，含水率≤10%，确保坚固可靠，长期使用不松动、不腐朽。</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4、油漆：采用无苯PU环保漆，标准厚度为0.5mm，有害物质释放量符合国家环保标准；油漆硬度为2H，尘粒数每平方不大于2；油漆表面饱满，手感柔和。</w:t>
            </w:r>
          </w:p>
        </w:tc>
        <w:tc>
          <w:tcPr>
            <w:tcW w:w="1616" w:type="dxa"/>
            <w:noWrap w:val="0"/>
            <w:vAlign w:val="center"/>
          </w:tcPr>
          <w:p w14:paraId="52879E5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3200*1400*760</w:t>
            </w:r>
          </w:p>
        </w:tc>
        <w:tc>
          <w:tcPr>
            <w:tcW w:w="4805" w:type="dxa"/>
            <w:vMerge w:val="restart"/>
            <w:noWrap w:val="0"/>
            <w:vAlign w:val="center"/>
          </w:tcPr>
          <w:p w14:paraId="1DEEAA55">
            <w:pPr>
              <w:keepNext w:val="0"/>
              <w:keepLines w:val="0"/>
              <w:widowControl/>
              <w:suppressLineNumbers w:val="0"/>
              <w:jc w:val="center"/>
              <w:textAlignment w:val="center"/>
              <w:rPr>
                <w:rFonts w:hint="eastAsia" w:ascii="宋体" w:hAnsi="宋体" w:eastAsia="宋体" w:cs="宋体"/>
                <w:i w:val="0"/>
                <w:iCs w:val="0"/>
                <w:color w:val="000000"/>
                <w:sz w:val="28"/>
                <w:szCs w:val="28"/>
                <w:highlight w:val="none"/>
                <w:u w:val="none"/>
              </w:rPr>
            </w:pPr>
            <w:r>
              <w:rPr>
                <w:rFonts w:hint="eastAsia" w:ascii="宋体" w:hAnsi="宋体" w:eastAsia="宋体" w:cs="宋体"/>
                <w:i w:val="0"/>
                <w:iCs w:val="0"/>
                <w:color w:val="000000"/>
                <w:kern w:val="0"/>
                <w:sz w:val="28"/>
                <w:szCs w:val="28"/>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635</wp:posOffset>
                  </wp:positionH>
                  <wp:positionV relativeFrom="paragraph">
                    <wp:posOffset>254635</wp:posOffset>
                  </wp:positionV>
                  <wp:extent cx="2850515" cy="1391920"/>
                  <wp:effectExtent l="0" t="0" r="6985" b="17780"/>
                  <wp:wrapNone/>
                  <wp:docPr id="14" name="图片_3"/>
                  <wp:cNvGraphicFramePr/>
                  <a:graphic xmlns:a="http://schemas.openxmlformats.org/drawingml/2006/main">
                    <a:graphicData uri="http://schemas.openxmlformats.org/drawingml/2006/picture">
                      <pic:pic xmlns:pic="http://schemas.openxmlformats.org/drawingml/2006/picture">
                        <pic:nvPicPr>
                          <pic:cNvPr id="14" name="图片_3"/>
                          <pic:cNvPicPr/>
                        </pic:nvPicPr>
                        <pic:blipFill>
                          <a:blip r:embed="rId15"/>
                          <a:stretch>
                            <a:fillRect/>
                          </a:stretch>
                        </pic:blipFill>
                        <pic:spPr>
                          <a:xfrm>
                            <a:off x="0" y="0"/>
                            <a:ext cx="2850515" cy="1391920"/>
                          </a:xfrm>
                          <a:prstGeom prst="rect">
                            <a:avLst/>
                          </a:prstGeom>
                          <a:noFill/>
                          <a:ln>
                            <a:noFill/>
                          </a:ln>
                        </pic:spPr>
                      </pic:pic>
                    </a:graphicData>
                  </a:graphic>
                </wp:anchor>
              </w:drawing>
            </w:r>
          </w:p>
        </w:tc>
        <w:tc>
          <w:tcPr>
            <w:tcW w:w="493" w:type="dxa"/>
            <w:noWrap w:val="0"/>
            <w:vAlign w:val="center"/>
          </w:tcPr>
          <w:p w14:paraId="7661BD4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张</w:t>
            </w:r>
          </w:p>
        </w:tc>
        <w:tc>
          <w:tcPr>
            <w:tcW w:w="508" w:type="dxa"/>
            <w:noWrap/>
            <w:vAlign w:val="center"/>
          </w:tcPr>
          <w:p w14:paraId="0BBAA67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w:t>
            </w:r>
          </w:p>
        </w:tc>
      </w:tr>
      <w:tr w14:paraId="208FD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jc w:val="center"/>
        </w:trPr>
        <w:tc>
          <w:tcPr>
            <w:tcW w:w="646" w:type="dxa"/>
            <w:vMerge w:val="continue"/>
            <w:noWrap/>
            <w:vAlign w:val="center"/>
          </w:tcPr>
          <w:p w14:paraId="06361B1C">
            <w:pPr>
              <w:jc w:val="center"/>
              <w:rPr>
                <w:rFonts w:hint="eastAsia" w:ascii="仿宋" w:hAnsi="仿宋" w:eastAsia="仿宋" w:cs="仿宋"/>
                <w:i w:val="0"/>
                <w:iCs w:val="0"/>
                <w:color w:val="auto"/>
                <w:sz w:val="24"/>
                <w:szCs w:val="24"/>
                <w:highlight w:val="none"/>
                <w:u w:val="none"/>
              </w:rPr>
            </w:pPr>
          </w:p>
        </w:tc>
        <w:tc>
          <w:tcPr>
            <w:tcW w:w="718" w:type="dxa"/>
            <w:vMerge w:val="continue"/>
            <w:noWrap w:val="0"/>
            <w:vAlign w:val="center"/>
          </w:tcPr>
          <w:p w14:paraId="415BD358">
            <w:pPr>
              <w:jc w:val="center"/>
              <w:rPr>
                <w:rFonts w:hint="eastAsia" w:ascii="仿宋" w:hAnsi="仿宋" w:eastAsia="仿宋" w:cs="仿宋"/>
                <w:i w:val="0"/>
                <w:iCs w:val="0"/>
                <w:color w:val="auto"/>
                <w:sz w:val="24"/>
                <w:szCs w:val="24"/>
                <w:highlight w:val="none"/>
                <w:u w:val="none"/>
              </w:rPr>
            </w:pPr>
          </w:p>
        </w:tc>
        <w:tc>
          <w:tcPr>
            <w:tcW w:w="5852" w:type="dxa"/>
            <w:vMerge w:val="continue"/>
            <w:noWrap w:val="0"/>
            <w:vAlign w:val="center"/>
          </w:tcPr>
          <w:p w14:paraId="2CBEEE04">
            <w:pPr>
              <w:jc w:val="left"/>
              <w:rPr>
                <w:rFonts w:hint="eastAsia" w:ascii="仿宋" w:hAnsi="仿宋" w:eastAsia="仿宋" w:cs="仿宋"/>
                <w:i w:val="0"/>
                <w:iCs w:val="0"/>
                <w:color w:val="000000"/>
                <w:sz w:val="21"/>
                <w:szCs w:val="21"/>
                <w:highlight w:val="none"/>
                <w:u w:val="none"/>
              </w:rPr>
            </w:pPr>
          </w:p>
        </w:tc>
        <w:tc>
          <w:tcPr>
            <w:tcW w:w="1616" w:type="dxa"/>
            <w:noWrap w:val="0"/>
            <w:vAlign w:val="center"/>
          </w:tcPr>
          <w:p w14:paraId="5B4FD626">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5000*1600*760</w:t>
            </w:r>
          </w:p>
        </w:tc>
        <w:tc>
          <w:tcPr>
            <w:tcW w:w="4805" w:type="dxa"/>
            <w:vMerge w:val="continue"/>
            <w:noWrap w:val="0"/>
            <w:vAlign w:val="center"/>
          </w:tcPr>
          <w:p w14:paraId="25D09F5B">
            <w:pPr>
              <w:jc w:val="center"/>
              <w:rPr>
                <w:rFonts w:hint="eastAsia" w:ascii="宋体" w:hAnsi="宋体" w:eastAsia="宋体" w:cs="宋体"/>
                <w:i w:val="0"/>
                <w:iCs w:val="0"/>
                <w:color w:val="000000"/>
                <w:sz w:val="28"/>
                <w:szCs w:val="28"/>
                <w:highlight w:val="none"/>
                <w:u w:val="none"/>
              </w:rPr>
            </w:pPr>
          </w:p>
        </w:tc>
        <w:tc>
          <w:tcPr>
            <w:tcW w:w="493" w:type="dxa"/>
            <w:noWrap w:val="0"/>
            <w:vAlign w:val="center"/>
          </w:tcPr>
          <w:p w14:paraId="608718D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张</w:t>
            </w:r>
          </w:p>
        </w:tc>
        <w:tc>
          <w:tcPr>
            <w:tcW w:w="508" w:type="dxa"/>
            <w:noWrap/>
            <w:vAlign w:val="center"/>
          </w:tcPr>
          <w:p w14:paraId="6B6D483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r>
      <w:tr w14:paraId="619AB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8" w:hRule="atLeast"/>
          <w:jc w:val="center"/>
        </w:trPr>
        <w:tc>
          <w:tcPr>
            <w:tcW w:w="646" w:type="dxa"/>
            <w:noWrap/>
            <w:vAlign w:val="center"/>
          </w:tcPr>
          <w:p w14:paraId="70A8EEB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718" w:type="dxa"/>
            <w:noWrap w:val="0"/>
            <w:vAlign w:val="center"/>
          </w:tcPr>
          <w:p w14:paraId="57FCBD7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待候椅</w:t>
            </w:r>
          </w:p>
        </w:tc>
        <w:tc>
          <w:tcPr>
            <w:tcW w:w="5852" w:type="dxa"/>
            <w:noWrap w:val="0"/>
            <w:vAlign w:val="center"/>
          </w:tcPr>
          <w:p w14:paraId="791F9746">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1、扶手，脚：采用一级冷扎钢板，金属喷涂涂层理化性能，依据标准GB/T 3325-2024《金属家具通用技术条件》标准；耐腐蚀依据GB/T 3325-2024《金属家具通用技术条件》，标准；附着力依据GB/T 3325-2024《金属家具通用技术条件》标准；硬度依据GB/T 3325-2024《金属家具通用技术条件》标准；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2、边条：采用1.2mm异型冷管冷压成型,表面抛光电镀铬。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3、座背板：座背椅板为PU材质，一体模具成型，座板内置铁架+铁板，冷压成型后再与铁架焊接为一整体。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4、横梁：采用热轧钢厚度1.5mm八角钢管钻孔加工成型，除油除锈后表面静电喷粉处理。</w:t>
            </w:r>
          </w:p>
        </w:tc>
        <w:tc>
          <w:tcPr>
            <w:tcW w:w="1616" w:type="dxa"/>
            <w:noWrap w:val="0"/>
            <w:vAlign w:val="center"/>
          </w:tcPr>
          <w:p w14:paraId="504C3CE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1756*710*790</w:t>
            </w:r>
          </w:p>
        </w:tc>
        <w:tc>
          <w:tcPr>
            <w:tcW w:w="4805" w:type="dxa"/>
            <w:noWrap/>
            <w:vAlign w:val="center"/>
          </w:tcPr>
          <w:p w14:paraId="45BCF1FC">
            <w:pPr>
              <w:keepNext w:val="0"/>
              <w:keepLines w:val="0"/>
              <w:widowControl/>
              <w:suppressLineNumbers w:val="0"/>
              <w:jc w:val="center"/>
              <w:textAlignment w:val="center"/>
              <w:rPr>
                <w:rFonts w:hint="eastAsia" w:ascii="宋体" w:hAnsi="宋体" w:eastAsia="宋体" w:cs="宋体"/>
                <w:i w:val="0"/>
                <w:iCs w:val="0"/>
                <w:color w:val="000000"/>
                <w:sz w:val="28"/>
                <w:szCs w:val="28"/>
                <w:highlight w:val="none"/>
                <w:u w:val="none"/>
              </w:rPr>
            </w:pPr>
            <w:r>
              <w:rPr>
                <w:rFonts w:hint="eastAsia" w:ascii="宋体" w:hAnsi="宋体" w:eastAsia="宋体" w:cs="宋体"/>
                <w:i w:val="0"/>
                <w:iCs w:val="0"/>
                <w:color w:val="000000"/>
                <w:kern w:val="0"/>
                <w:sz w:val="28"/>
                <w:szCs w:val="28"/>
                <w:highlight w:val="none"/>
                <w:u w:val="none"/>
                <w:lang w:val="en-US" w:eastAsia="zh-CN" w:bidi="ar"/>
              </w:rPr>
              <w:fldChar w:fldCharType="begin"/>
            </w:r>
            <w:r>
              <w:rPr>
                <w:rFonts w:hint="eastAsia" w:ascii="宋体" w:hAnsi="宋体" w:eastAsia="宋体" w:cs="宋体"/>
                <w:i w:val="0"/>
                <w:iCs w:val="0"/>
                <w:color w:val="000000"/>
                <w:kern w:val="0"/>
                <w:sz w:val="28"/>
                <w:szCs w:val="28"/>
                <w:highlight w:val="none"/>
                <w:u w:val="none"/>
                <w:lang w:val="en-US" w:eastAsia="zh-CN" w:bidi="ar"/>
              </w:rPr>
              <w:instrText xml:space="preserve">INCLUDEPICTURE \d "C:\\Users\\杨小艳\\AppData\\Local\\Temp\\ksohtml\\clip_cell_image17.png" \* MERGEFORMATINET </w:instrText>
            </w:r>
            <w:r>
              <w:rPr>
                <w:rFonts w:hint="eastAsia" w:ascii="宋体" w:hAnsi="宋体" w:eastAsia="宋体" w:cs="宋体"/>
                <w:i w:val="0"/>
                <w:iCs w:val="0"/>
                <w:color w:val="000000"/>
                <w:kern w:val="0"/>
                <w:sz w:val="28"/>
                <w:szCs w:val="28"/>
                <w:highlight w:val="none"/>
                <w:u w:val="none"/>
                <w:lang w:val="en-US" w:eastAsia="zh-CN" w:bidi="ar"/>
              </w:rPr>
              <w:fldChar w:fldCharType="separate"/>
            </w:r>
            <w:r>
              <w:rPr>
                <w:rFonts w:hint="eastAsia" w:ascii="宋体" w:hAnsi="宋体" w:eastAsia="宋体" w:cs="宋体"/>
                <w:i w:val="0"/>
                <w:iCs w:val="0"/>
                <w:color w:val="000000"/>
                <w:kern w:val="0"/>
                <w:sz w:val="28"/>
                <w:szCs w:val="28"/>
                <w:highlight w:val="none"/>
                <w:u w:val="none"/>
                <w:lang w:val="en-US" w:eastAsia="zh-CN" w:bidi="ar"/>
              </w:rPr>
              <w:drawing>
                <wp:inline distT="0" distB="0" distL="114300" distR="114300">
                  <wp:extent cx="3079750" cy="2124075"/>
                  <wp:effectExtent l="0" t="0" r="6350" b="9525"/>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16"/>
                          <a:stretch>
                            <a:fillRect/>
                          </a:stretch>
                        </pic:blipFill>
                        <pic:spPr>
                          <a:xfrm>
                            <a:off x="0" y="0"/>
                            <a:ext cx="3079750" cy="2124075"/>
                          </a:xfrm>
                          <a:prstGeom prst="rect">
                            <a:avLst/>
                          </a:prstGeom>
                          <a:noFill/>
                          <a:ln>
                            <a:noFill/>
                          </a:ln>
                        </pic:spPr>
                      </pic:pic>
                    </a:graphicData>
                  </a:graphic>
                </wp:inline>
              </w:drawing>
            </w:r>
            <w:r>
              <w:rPr>
                <w:rFonts w:hint="eastAsia" w:ascii="宋体" w:hAnsi="宋体" w:eastAsia="宋体" w:cs="宋体"/>
                <w:i w:val="0"/>
                <w:iCs w:val="0"/>
                <w:color w:val="000000"/>
                <w:kern w:val="0"/>
                <w:sz w:val="28"/>
                <w:szCs w:val="28"/>
                <w:highlight w:val="none"/>
                <w:u w:val="none"/>
                <w:lang w:val="en-US" w:eastAsia="zh-CN" w:bidi="ar"/>
              </w:rPr>
              <w:fldChar w:fldCharType="end"/>
            </w:r>
          </w:p>
        </w:tc>
        <w:tc>
          <w:tcPr>
            <w:tcW w:w="493" w:type="dxa"/>
            <w:noWrap/>
            <w:vAlign w:val="center"/>
          </w:tcPr>
          <w:p w14:paraId="45FB671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张</w:t>
            </w:r>
          </w:p>
        </w:tc>
        <w:tc>
          <w:tcPr>
            <w:tcW w:w="508" w:type="dxa"/>
            <w:noWrap/>
            <w:vAlign w:val="center"/>
          </w:tcPr>
          <w:p w14:paraId="206947B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w:t>
            </w:r>
          </w:p>
        </w:tc>
      </w:tr>
      <w:tr w14:paraId="34EF2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2" w:hRule="atLeast"/>
          <w:jc w:val="center"/>
        </w:trPr>
        <w:tc>
          <w:tcPr>
            <w:tcW w:w="646" w:type="dxa"/>
            <w:noWrap/>
            <w:vAlign w:val="center"/>
          </w:tcPr>
          <w:p w14:paraId="5758974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718" w:type="dxa"/>
            <w:noWrap w:val="0"/>
            <w:vAlign w:val="center"/>
          </w:tcPr>
          <w:p w14:paraId="3B06093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条桌 </w:t>
            </w:r>
          </w:p>
        </w:tc>
        <w:tc>
          <w:tcPr>
            <w:tcW w:w="5852" w:type="dxa"/>
            <w:noWrap w:val="0"/>
            <w:vAlign w:val="center"/>
          </w:tcPr>
          <w:p w14:paraId="22910517">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1、贴面材料：采用三聚氰胺饰面纸贴面甲醛释放量依据标准GB/T 39600-2021《人造板及其制品甲醛释放量分级》；苯含量依据标准HJ 571-2010《环境标志产品技术要求人造板及其制品》 甲苯含量依据标准HJ 571-2010《环境标志产品技术要求人造板及其制品》 二甲苯含量依据标准HJ 571-2010《环境标志产品技术要求人造板及其制品》。总挥发性有机化合物(TVOC)符合HJ 571-2010《环境标志产品技术要求人造板及其制品》</w:t>
            </w:r>
          </w:p>
          <w:p w14:paraId="2F9D67AB">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2、基材:采用实木多层板，静曲强度依据标准:GB/T9846-2015、GB 18580-2017苯依据标准 GB/T 35601-2024。</w:t>
            </w:r>
          </w:p>
          <w:p w14:paraId="44AE4723">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甲苯依据标准 GB/T 35601-2024。二甲苯依据标准GB/T 35601-2024。</w:t>
            </w:r>
          </w:p>
          <w:p w14:paraId="60258787">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3、封边用材:采用PVC封边条符合QB/T 4463-2013《家具用封边条技术要求》标准要求</w:t>
            </w:r>
          </w:p>
          <w:p w14:paraId="694BF9F1">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耐开裂性符合QB/T 4463-2013《家具用封边条技术要求》标准要求。可迁移元素:铅、镉、铬、汞、砷、钡、锑、硒符合 QB/T 4463-2013《家具用封边条技术要求》标准要求。</w:t>
            </w:r>
          </w:p>
          <w:p w14:paraId="47E30E38">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4、热熔胶:采用环保热熔胶，游离甲醛依据标准HJ/T 432-2008《环境标志产品技术要求厨柜》:</w:t>
            </w:r>
          </w:p>
          <w:p w14:paraId="726BF382">
            <w:pPr>
              <w:keepNext w:val="0"/>
              <w:keepLines w:val="0"/>
              <w:widowControl/>
              <w:suppressLineNumbers w:val="0"/>
              <w:jc w:val="left"/>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苯、甲苯+二甲苯据标准HJ/T 432-2008《环境标志产品技术要求厨柜》:总挥发性有机物符合GB 18583-2008《室内装饰装修材料胶剂中有害物质限量》标准要求:</w:t>
            </w:r>
          </w:p>
          <w:p w14:paraId="3E5310E5">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5、五金配件:采用五金配件(包括螺丝、三合一连接件等)，所有五金件作防锈防腐处理。</w:t>
            </w:r>
          </w:p>
        </w:tc>
        <w:tc>
          <w:tcPr>
            <w:tcW w:w="1616" w:type="dxa"/>
            <w:noWrap w:val="0"/>
            <w:vAlign w:val="center"/>
          </w:tcPr>
          <w:p w14:paraId="04BD8BA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1300*450*750</w:t>
            </w:r>
          </w:p>
        </w:tc>
        <w:tc>
          <w:tcPr>
            <w:tcW w:w="4805" w:type="dxa"/>
            <w:noWrap w:val="0"/>
            <w:vAlign w:val="center"/>
          </w:tcPr>
          <w:p w14:paraId="69EC779F">
            <w:pPr>
              <w:keepNext w:val="0"/>
              <w:keepLines w:val="0"/>
              <w:widowControl/>
              <w:suppressLineNumbers w:val="0"/>
              <w:jc w:val="center"/>
              <w:textAlignment w:val="center"/>
              <w:rPr>
                <w:rFonts w:hint="eastAsia" w:ascii="宋体" w:hAnsi="宋体" w:eastAsia="宋体" w:cs="宋体"/>
                <w:i w:val="0"/>
                <w:iCs w:val="0"/>
                <w:color w:val="000000"/>
                <w:sz w:val="28"/>
                <w:szCs w:val="28"/>
                <w:highlight w:val="none"/>
                <w:u w:val="none"/>
              </w:rPr>
            </w:pPr>
            <w:r>
              <w:rPr>
                <w:rFonts w:hint="eastAsia" w:ascii="宋体" w:hAnsi="宋体" w:eastAsia="宋体" w:cs="宋体"/>
                <w:i w:val="0"/>
                <w:iCs w:val="0"/>
                <w:color w:val="000000"/>
                <w:kern w:val="0"/>
                <w:sz w:val="28"/>
                <w:szCs w:val="28"/>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128270</wp:posOffset>
                  </wp:positionH>
                  <wp:positionV relativeFrom="paragraph">
                    <wp:posOffset>851535</wp:posOffset>
                  </wp:positionV>
                  <wp:extent cx="2954655" cy="958215"/>
                  <wp:effectExtent l="0" t="0" r="17145" b="13335"/>
                  <wp:wrapNone/>
                  <wp:docPr id="11" name="图片_13"/>
                  <wp:cNvGraphicFramePr/>
                  <a:graphic xmlns:a="http://schemas.openxmlformats.org/drawingml/2006/main">
                    <a:graphicData uri="http://schemas.openxmlformats.org/drawingml/2006/picture">
                      <pic:pic xmlns:pic="http://schemas.openxmlformats.org/drawingml/2006/picture">
                        <pic:nvPicPr>
                          <pic:cNvPr id="11" name="图片_13"/>
                          <pic:cNvPicPr/>
                        </pic:nvPicPr>
                        <pic:blipFill>
                          <a:blip r:embed="rId17"/>
                          <a:stretch>
                            <a:fillRect/>
                          </a:stretch>
                        </pic:blipFill>
                        <pic:spPr>
                          <a:xfrm>
                            <a:off x="0" y="0"/>
                            <a:ext cx="2954655" cy="958215"/>
                          </a:xfrm>
                          <a:prstGeom prst="rect">
                            <a:avLst/>
                          </a:prstGeom>
                          <a:noFill/>
                          <a:ln>
                            <a:noFill/>
                          </a:ln>
                        </pic:spPr>
                      </pic:pic>
                    </a:graphicData>
                  </a:graphic>
                </wp:anchor>
              </w:drawing>
            </w:r>
          </w:p>
        </w:tc>
        <w:tc>
          <w:tcPr>
            <w:tcW w:w="493" w:type="dxa"/>
            <w:noWrap w:val="0"/>
            <w:vAlign w:val="center"/>
          </w:tcPr>
          <w:p w14:paraId="1E68394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张</w:t>
            </w:r>
          </w:p>
        </w:tc>
        <w:tc>
          <w:tcPr>
            <w:tcW w:w="508" w:type="dxa"/>
            <w:noWrap/>
            <w:vAlign w:val="center"/>
          </w:tcPr>
          <w:p w14:paraId="4E8C7C7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w:t>
            </w:r>
          </w:p>
        </w:tc>
      </w:tr>
      <w:tr w14:paraId="534C0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6" w:type="dxa"/>
            <w:noWrap/>
            <w:vAlign w:val="center"/>
          </w:tcPr>
          <w:p w14:paraId="7BCED7C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718" w:type="dxa"/>
            <w:noWrap w:val="0"/>
            <w:vAlign w:val="center"/>
          </w:tcPr>
          <w:p w14:paraId="5136158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调解室会议椅</w:t>
            </w:r>
          </w:p>
        </w:tc>
        <w:tc>
          <w:tcPr>
            <w:tcW w:w="5852" w:type="dxa"/>
            <w:noWrap w:val="0"/>
            <w:vAlign w:val="center"/>
          </w:tcPr>
          <w:p w14:paraId="72A5FBA3">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▲1、面料:采用网布甲醛释放量符合GB 18401-2010《国家纺织产品基本安全技术规范》标准要求。耐唾液符合GB 18401-2010《国家纺织产品基本安全技术规范》标准要求。 无异味符合GB 18401-2010《国家纺织产品基本安全技术规范》标准要求。可分解致癌芳香胺染料符合GB 18401-2010《国家纺织产品基本安全技术规范》标准要求。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▲2、海绵：采用高弹海棉，抗引燃特性的评定，热老化后拉伸强度符合GB/T 10802-2023《通用软质聚醚型聚胺酯泡沫塑料》标准；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回弹率符合GB/T 10802-2023《通用软质聚醚型聚胺酯泡沫塑料》标准；甲醛释放量符合QB/T 2280-2016《办公家具办公椅》标准要求，TVOC符合QB/T 2280-2016《办公家具办公椅》标准要求，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▲3、骨架：采用环保曲木板，其中甲醛释放量符合HJ 571-2010《环境标志产品技术要求人造板及其制品》标准。浸渍剥离性能符合GB/T 22350-2017《成型胶合板》标准。抗压性能，点抗压性能符合GB/T 22350-2017《成型胶合板》标准。 </w:t>
            </w:r>
          </w:p>
        </w:tc>
        <w:tc>
          <w:tcPr>
            <w:tcW w:w="1616" w:type="dxa"/>
            <w:noWrap w:val="0"/>
            <w:vAlign w:val="center"/>
          </w:tcPr>
          <w:p w14:paraId="54DD4BB7">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655*620*915</w:t>
            </w:r>
          </w:p>
        </w:tc>
        <w:tc>
          <w:tcPr>
            <w:tcW w:w="4805" w:type="dxa"/>
            <w:noWrap/>
            <w:vAlign w:val="center"/>
          </w:tcPr>
          <w:p w14:paraId="3C7D3B65">
            <w:pPr>
              <w:keepNext w:val="0"/>
              <w:keepLines w:val="0"/>
              <w:widowControl/>
              <w:suppressLineNumbers w:val="0"/>
              <w:jc w:val="center"/>
              <w:textAlignment w:val="center"/>
              <w:rPr>
                <w:rFonts w:hint="eastAsia" w:ascii="宋体" w:hAnsi="宋体" w:eastAsia="宋体" w:cs="宋体"/>
                <w:i w:val="0"/>
                <w:iCs w:val="0"/>
                <w:color w:val="000000"/>
                <w:sz w:val="28"/>
                <w:szCs w:val="28"/>
                <w:highlight w:val="none"/>
                <w:u w:val="none"/>
              </w:rPr>
            </w:pPr>
            <w:r>
              <w:rPr>
                <w:rFonts w:hint="eastAsia" w:ascii="宋体" w:hAnsi="宋体" w:eastAsia="宋体" w:cs="宋体"/>
                <w:i w:val="0"/>
                <w:iCs w:val="0"/>
                <w:color w:val="000000"/>
                <w:kern w:val="0"/>
                <w:sz w:val="28"/>
                <w:szCs w:val="28"/>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922655</wp:posOffset>
                  </wp:positionH>
                  <wp:positionV relativeFrom="paragraph">
                    <wp:posOffset>1095375</wp:posOffset>
                  </wp:positionV>
                  <wp:extent cx="1477645" cy="1679575"/>
                  <wp:effectExtent l="0" t="0" r="8255" b="15875"/>
                  <wp:wrapNone/>
                  <wp:docPr id="15" name="图片_14"/>
                  <wp:cNvGraphicFramePr/>
                  <a:graphic xmlns:a="http://schemas.openxmlformats.org/drawingml/2006/main">
                    <a:graphicData uri="http://schemas.openxmlformats.org/drawingml/2006/picture">
                      <pic:pic xmlns:pic="http://schemas.openxmlformats.org/drawingml/2006/picture">
                        <pic:nvPicPr>
                          <pic:cNvPr id="15" name="图片_14"/>
                          <pic:cNvPicPr/>
                        </pic:nvPicPr>
                        <pic:blipFill>
                          <a:blip r:embed="rId18"/>
                          <a:stretch>
                            <a:fillRect/>
                          </a:stretch>
                        </pic:blipFill>
                        <pic:spPr>
                          <a:xfrm>
                            <a:off x="0" y="0"/>
                            <a:ext cx="1477645" cy="1679575"/>
                          </a:xfrm>
                          <a:prstGeom prst="rect">
                            <a:avLst/>
                          </a:prstGeom>
                          <a:noFill/>
                          <a:ln>
                            <a:noFill/>
                          </a:ln>
                        </pic:spPr>
                      </pic:pic>
                    </a:graphicData>
                  </a:graphic>
                </wp:anchor>
              </w:drawing>
            </w:r>
          </w:p>
        </w:tc>
        <w:tc>
          <w:tcPr>
            <w:tcW w:w="493" w:type="dxa"/>
            <w:noWrap/>
            <w:vAlign w:val="center"/>
          </w:tcPr>
          <w:p w14:paraId="6F3FB21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把</w:t>
            </w:r>
          </w:p>
        </w:tc>
        <w:tc>
          <w:tcPr>
            <w:tcW w:w="508" w:type="dxa"/>
            <w:noWrap/>
            <w:vAlign w:val="center"/>
          </w:tcPr>
          <w:p w14:paraId="6863EC6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73</w:t>
            </w:r>
          </w:p>
        </w:tc>
      </w:tr>
      <w:tr w14:paraId="11676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8" w:hRule="atLeast"/>
          <w:jc w:val="center"/>
        </w:trPr>
        <w:tc>
          <w:tcPr>
            <w:tcW w:w="646" w:type="dxa"/>
            <w:noWrap/>
            <w:vAlign w:val="center"/>
          </w:tcPr>
          <w:p w14:paraId="772BC64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718" w:type="dxa"/>
            <w:noWrap w:val="0"/>
            <w:vAlign w:val="center"/>
          </w:tcPr>
          <w:p w14:paraId="40DE3EB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茶水柜</w:t>
            </w:r>
          </w:p>
        </w:tc>
        <w:tc>
          <w:tcPr>
            <w:tcW w:w="5852" w:type="dxa"/>
            <w:noWrap w:val="0"/>
            <w:vAlign w:val="center"/>
          </w:tcPr>
          <w:p w14:paraId="3DA1B9D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1、贴面材料：采用三聚氰胺饰面纸贴面甲醛释放量依据标准GB/T 39600-2021《人造板及其制品甲醛释放量分级》；苯含量依据标准HJ 571-2010《环境标志产品技术要求人造板及其制品》 甲苯含量依据标准HJ 571-2010《环境标志产品技术要求人造板及其制品》 二甲苯含量依据标准HJ 571-2010《环境标志产品技术要求人造板及其制品》总挥发性有机化合物（TVOC）符合HJ 571-2010《环境标志产品技术要求人造板及其制品》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2、基材：采用实木多层板，静曲强度依据标准：GB/T 9846-2015 、GB 18580-2017苯依据标准GB/T 35601-2024。甲苯依据标准GB/T 35601-2024。二甲苯依据标准GB/T 35601-2024。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3、封边用材：采用PVC封边条符合QB/T 4463-2013《家具用封边条技术要求》标准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要求耐开裂性符合QB/T 4463-2013《家具用封边条技术要求》标准要求。可迁移元素：铅、镉、铬、汞、砷、钡、锑、硒符合QB/T 4463-2013《家具用封边条技术要求》标准要求。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4、热熔胶：采用环保热熔胶，游离甲醛依据标准HJ/T 432-2008《环境标志产品技术要求厨柜》；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苯、甲苯+二甲苯据标准HJ/T 432-2008《环境标志产品技术要求厨柜》； 总挥发性有机物符合GB 18583-2008《室内装饰装修材料 胶粘剂中有害物质限量》标准要求；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5、五金配件：采用五金配件（包括螺丝、三合一连接件等），所有五金件作防锈、防腐处理；</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6、功能结构：中间3抽屉，左右为木掩门结构。</w:t>
            </w:r>
          </w:p>
        </w:tc>
        <w:tc>
          <w:tcPr>
            <w:tcW w:w="1616" w:type="dxa"/>
            <w:noWrap w:val="0"/>
            <w:vAlign w:val="center"/>
          </w:tcPr>
          <w:p w14:paraId="148D89D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1200*420*860</w:t>
            </w:r>
          </w:p>
        </w:tc>
        <w:tc>
          <w:tcPr>
            <w:tcW w:w="4805" w:type="dxa"/>
            <w:noWrap w:val="0"/>
            <w:vAlign w:val="center"/>
          </w:tcPr>
          <w:p w14:paraId="2D0A07DC">
            <w:pPr>
              <w:keepNext w:val="0"/>
              <w:keepLines w:val="0"/>
              <w:widowControl/>
              <w:suppressLineNumbers w:val="0"/>
              <w:jc w:val="center"/>
              <w:textAlignment w:val="center"/>
              <w:rPr>
                <w:rFonts w:hint="eastAsia" w:ascii="宋体" w:hAnsi="宋体" w:eastAsia="宋体" w:cs="宋体"/>
                <w:i w:val="0"/>
                <w:iCs w:val="0"/>
                <w:color w:val="000000"/>
                <w:sz w:val="28"/>
                <w:szCs w:val="28"/>
                <w:highlight w:val="none"/>
                <w:u w:val="none"/>
              </w:rPr>
            </w:pPr>
            <w:r>
              <w:rPr>
                <w:rFonts w:hint="eastAsia" w:ascii="宋体" w:hAnsi="宋体" w:eastAsia="宋体" w:cs="宋体"/>
                <w:i w:val="0"/>
                <w:iCs w:val="0"/>
                <w:color w:val="000000"/>
                <w:kern w:val="0"/>
                <w:sz w:val="28"/>
                <w:szCs w:val="28"/>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321310</wp:posOffset>
                  </wp:positionH>
                  <wp:positionV relativeFrom="paragraph">
                    <wp:posOffset>1082040</wp:posOffset>
                  </wp:positionV>
                  <wp:extent cx="2531745" cy="2006600"/>
                  <wp:effectExtent l="0" t="0" r="1905" b="12700"/>
                  <wp:wrapNone/>
                  <wp:docPr id="16" name="图片_4"/>
                  <wp:cNvGraphicFramePr/>
                  <a:graphic xmlns:a="http://schemas.openxmlformats.org/drawingml/2006/main">
                    <a:graphicData uri="http://schemas.openxmlformats.org/drawingml/2006/picture">
                      <pic:pic xmlns:pic="http://schemas.openxmlformats.org/drawingml/2006/picture">
                        <pic:nvPicPr>
                          <pic:cNvPr id="16" name="图片_4"/>
                          <pic:cNvPicPr/>
                        </pic:nvPicPr>
                        <pic:blipFill>
                          <a:blip r:embed="rId19"/>
                          <a:stretch>
                            <a:fillRect/>
                          </a:stretch>
                        </pic:blipFill>
                        <pic:spPr>
                          <a:xfrm>
                            <a:off x="0" y="0"/>
                            <a:ext cx="2531745" cy="2006600"/>
                          </a:xfrm>
                          <a:prstGeom prst="rect">
                            <a:avLst/>
                          </a:prstGeom>
                          <a:noFill/>
                          <a:ln>
                            <a:noFill/>
                          </a:ln>
                        </pic:spPr>
                      </pic:pic>
                    </a:graphicData>
                  </a:graphic>
                </wp:anchor>
              </w:drawing>
            </w:r>
          </w:p>
        </w:tc>
        <w:tc>
          <w:tcPr>
            <w:tcW w:w="493" w:type="dxa"/>
            <w:noWrap w:val="0"/>
            <w:vAlign w:val="center"/>
          </w:tcPr>
          <w:p w14:paraId="0573153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组</w:t>
            </w:r>
          </w:p>
        </w:tc>
        <w:tc>
          <w:tcPr>
            <w:tcW w:w="508" w:type="dxa"/>
            <w:noWrap/>
            <w:vAlign w:val="center"/>
          </w:tcPr>
          <w:p w14:paraId="3AA84FB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9</w:t>
            </w:r>
          </w:p>
        </w:tc>
      </w:tr>
    </w:tbl>
    <w:p w14:paraId="539D9D9F">
      <w:pPr>
        <w:pStyle w:val="18"/>
        <w:keepNext/>
        <w:keepLines/>
        <w:pageBreakBefore w:val="0"/>
        <w:widowControl w:val="0"/>
        <w:numPr>
          <w:ilvl w:val="0"/>
          <w:numId w:val="0"/>
        </w:numPr>
        <w:kinsoku/>
        <w:wordWrap/>
        <w:overflowPunct/>
        <w:topLinePunct w:val="0"/>
        <w:autoSpaceDE/>
        <w:autoSpaceDN/>
        <w:bidi w:val="0"/>
        <w:adjustRightInd w:val="0"/>
        <w:snapToGrid/>
        <w:spacing w:before="140" w:after="140" w:line="560" w:lineRule="exact"/>
        <w:jc w:val="left"/>
        <w:textAlignment w:val="baseline"/>
        <w:rPr>
          <w:rFonts w:hint="eastAsia" w:ascii="宋体" w:hAnsi="宋体" w:eastAsia="宋体" w:cs="宋体"/>
          <w:b w:val="0"/>
          <w:bCs w:val="0"/>
          <w:kern w:val="2"/>
          <w:sz w:val="28"/>
          <w:szCs w:val="28"/>
          <w:highlight w:val="none"/>
          <w:lang w:val="en-US" w:eastAsia="zh-CN"/>
        </w:rPr>
      </w:pPr>
      <w:r>
        <w:rPr>
          <w:rFonts w:hint="eastAsia" w:ascii="宋体" w:hAnsi="宋体" w:eastAsia="宋体" w:cs="宋体"/>
          <w:b w:val="0"/>
          <w:bCs w:val="0"/>
          <w:kern w:val="2"/>
          <w:sz w:val="28"/>
          <w:szCs w:val="28"/>
          <w:highlight w:val="none"/>
          <w:lang w:val="en-US" w:eastAsia="zh-CN"/>
        </w:rPr>
        <w:t>注：</w:t>
      </w:r>
    </w:p>
    <w:p w14:paraId="1412486B">
      <w:pPr>
        <w:pStyle w:val="18"/>
        <w:keepNext/>
        <w:keepLines/>
        <w:pageBreakBefore w:val="0"/>
        <w:widowControl w:val="0"/>
        <w:numPr>
          <w:ilvl w:val="0"/>
          <w:numId w:val="0"/>
        </w:numPr>
        <w:kinsoku/>
        <w:wordWrap/>
        <w:overflowPunct/>
        <w:topLinePunct w:val="0"/>
        <w:autoSpaceDE/>
        <w:autoSpaceDN/>
        <w:bidi w:val="0"/>
        <w:adjustRightInd w:val="0"/>
        <w:snapToGrid/>
        <w:spacing w:before="140" w:after="140" w:line="560" w:lineRule="exact"/>
        <w:jc w:val="left"/>
        <w:textAlignment w:val="baseline"/>
        <w:outlineLvl w:val="1"/>
        <w:rPr>
          <w:rFonts w:hint="default" w:ascii="宋体" w:hAnsi="宋体" w:eastAsia="宋体" w:cs="宋体"/>
          <w:b w:val="0"/>
          <w:bCs w:val="0"/>
          <w:kern w:val="2"/>
          <w:sz w:val="28"/>
          <w:szCs w:val="28"/>
          <w:highlight w:val="none"/>
          <w:lang w:val="en-US" w:eastAsia="zh-CN"/>
        </w:rPr>
      </w:pPr>
      <w:r>
        <w:rPr>
          <w:rFonts w:hint="eastAsia" w:ascii="宋体" w:hAnsi="宋体" w:eastAsia="宋体" w:cs="宋体"/>
          <w:b w:val="0"/>
          <w:bCs w:val="0"/>
          <w:kern w:val="2"/>
          <w:sz w:val="28"/>
          <w:szCs w:val="28"/>
          <w:highlight w:val="none"/>
          <w:lang w:eastAsia="zh-CN"/>
        </w:rPr>
        <w:t>1、</w:t>
      </w:r>
      <w:r>
        <w:rPr>
          <w:rFonts w:hint="eastAsia" w:ascii="宋体" w:hAnsi="宋体" w:eastAsia="宋体" w:cs="宋体"/>
          <w:b w:val="0"/>
          <w:bCs w:val="0"/>
          <w:kern w:val="2"/>
          <w:sz w:val="28"/>
          <w:szCs w:val="28"/>
          <w:highlight w:val="none"/>
          <w:lang w:val="en-US" w:eastAsia="zh-CN"/>
        </w:rPr>
        <w:t>第4项“办公工位”、</w:t>
      </w:r>
      <w:r>
        <w:rPr>
          <w:rFonts w:hint="eastAsia" w:cs="宋体"/>
          <w:b w:val="0"/>
          <w:bCs w:val="0"/>
          <w:kern w:val="2"/>
          <w:sz w:val="28"/>
          <w:szCs w:val="28"/>
          <w:highlight w:val="none"/>
          <w:lang w:val="en-US" w:eastAsia="zh-CN"/>
        </w:rPr>
        <w:t>第</w:t>
      </w:r>
      <w:r>
        <w:rPr>
          <w:rFonts w:hint="eastAsia" w:ascii="宋体" w:hAnsi="宋体" w:eastAsia="宋体" w:cs="宋体"/>
          <w:b w:val="0"/>
          <w:bCs w:val="0"/>
          <w:kern w:val="2"/>
          <w:sz w:val="28"/>
          <w:szCs w:val="28"/>
          <w:highlight w:val="none"/>
          <w:lang w:val="en-US" w:eastAsia="zh-CN"/>
        </w:rPr>
        <w:t>9</w:t>
      </w:r>
      <w:r>
        <w:rPr>
          <w:rFonts w:hint="eastAsia" w:cs="宋体"/>
          <w:b w:val="0"/>
          <w:bCs w:val="0"/>
          <w:kern w:val="2"/>
          <w:sz w:val="28"/>
          <w:szCs w:val="28"/>
          <w:highlight w:val="none"/>
          <w:lang w:val="en-US" w:eastAsia="zh-CN"/>
        </w:rPr>
        <w:t>项</w:t>
      </w:r>
      <w:r>
        <w:rPr>
          <w:rFonts w:hint="eastAsia" w:ascii="宋体" w:hAnsi="宋体" w:eastAsia="宋体" w:cs="宋体"/>
          <w:b w:val="0"/>
          <w:bCs w:val="0"/>
          <w:kern w:val="2"/>
          <w:sz w:val="28"/>
          <w:szCs w:val="28"/>
          <w:highlight w:val="none"/>
          <w:lang w:val="en-US" w:eastAsia="zh-CN"/>
        </w:rPr>
        <w:t>“备勤储物柜（衣柜）”为本项目核心产品；</w:t>
      </w:r>
    </w:p>
    <w:p w14:paraId="498ABF45">
      <w:pPr>
        <w:pStyle w:val="18"/>
        <w:keepNext/>
        <w:keepLines/>
        <w:pageBreakBefore w:val="0"/>
        <w:widowControl w:val="0"/>
        <w:numPr>
          <w:ilvl w:val="0"/>
          <w:numId w:val="0"/>
        </w:numPr>
        <w:kinsoku/>
        <w:wordWrap/>
        <w:overflowPunct/>
        <w:topLinePunct w:val="0"/>
        <w:autoSpaceDE/>
        <w:autoSpaceDN/>
        <w:bidi w:val="0"/>
        <w:adjustRightInd w:val="0"/>
        <w:snapToGrid/>
        <w:spacing w:before="140" w:after="140" w:line="560" w:lineRule="exact"/>
        <w:jc w:val="left"/>
        <w:textAlignment w:val="baseline"/>
        <w:outlineLvl w:val="1"/>
        <w:rPr>
          <w:rFonts w:hint="default" w:ascii="宋体" w:hAnsi="宋体" w:eastAsia="宋体" w:cs="宋体"/>
          <w:b w:val="0"/>
          <w:bCs w:val="0"/>
          <w:kern w:val="2"/>
          <w:sz w:val="28"/>
          <w:szCs w:val="28"/>
          <w:highlight w:val="none"/>
          <w:lang w:val="en-US" w:eastAsia="zh-CN"/>
        </w:rPr>
      </w:pPr>
      <w:r>
        <w:rPr>
          <w:rFonts w:hint="eastAsia" w:ascii="宋体" w:hAnsi="宋体" w:eastAsia="宋体" w:cs="宋体"/>
          <w:b w:val="0"/>
          <w:bCs w:val="0"/>
          <w:kern w:val="2"/>
          <w:sz w:val="28"/>
          <w:szCs w:val="28"/>
          <w:highlight w:val="none"/>
          <w:lang w:val="en-US" w:eastAsia="zh-CN"/>
        </w:rPr>
        <w:t>2、</w:t>
      </w:r>
      <w:r>
        <w:rPr>
          <w:rFonts w:hint="eastAsia" w:ascii="宋体" w:hAnsi="宋体" w:eastAsia="宋体" w:cs="宋体"/>
          <w:b w:val="0"/>
          <w:bCs w:val="0"/>
          <w:kern w:val="2"/>
          <w:sz w:val="28"/>
          <w:szCs w:val="28"/>
          <w:highlight w:val="none"/>
          <w:lang w:eastAsia="zh-CN"/>
        </w:rPr>
        <w:t>以上参数带“▲”符号，供应商</w:t>
      </w:r>
      <w:r>
        <w:rPr>
          <w:rFonts w:hint="eastAsia" w:ascii="宋体" w:hAnsi="宋体" w:eastAsia="宋体" w:cs="宋体"/>
          <w:b w:val="0"/>
          <w:bCs w:val="0"/>
          <w:kern w:val="2"/>
          <w:sz w:val="28"/>
          <w:szCs w:val="28"/>
          <w:highlight w:val="none"/>
          <w:lang w:val="en-US" w:eastAsia="zh-CN"/>
        </w:rPr>
        <w:t>须在</w:t>
      </w:r>
      <w:r>
        <w:rPr>
          <w:rFonts w:hint="eastAsia" w:ascii="宋体" w:hAnsi="宋体" w:eastAsia="宋体" w:cs="宋体"/>
          <w:b w:val="0"/>
          <w:bCs w:val="0"/>
          <w:kern w:val="2"/>
          <w:sz w:val="28"/>
          <w:szCs w:val="28"/>
          <w:highlight w:val="none"/>
          <w:lang w:eastAsia="zh-CN"/>
        </w:rPr>
        <w:t>响应</w:t>
      </w:r>
      <w:r>
        <w:rPr>
          <w:rFonts w:hint="eastAsia" w:ascii="宋体" w:hAnsi="宋体" w:eastAsia="宋体" w:cs="宋体"/>
          <w:b w:val="0"/>
          <w:bCs w:val="0"/>
          <w:kern w:val="2"/>
          <w:sz w:val="28"/>
          <w:szCs w:val="28"/>
          <w:highlight w:val="none"/>
          <w:lang w:val="en-US" w:eastAsia="zh-CN"/>
        </w:rPr>
        <w:t>文件中</w:t>
      </w:r>
      <w:r>
        <w:rPr>
          <w:rFonts w:hint="eastAsia" w:ascii="宋体" w:hAnsi="宋体" w:eastAsia="宋体" w:cs="宋体"/>
          <w:b w:val="0"/>
          <w:bCs w:val="0"/>
          <w:kern w:val="2"/>
          <w:sz w:val="28"/>
          <w:szCs w:val="28"/>
          <w:highlight w:val="none"/>
          <w:lang w:eastAsia="zh-CN"/>
        </w:rPr>
        <w:t>承诺，在供货时提供满足要求的检测报告核査。需符合</w:t>
      </w:r>
      <w:r>
        <w:rPr>
          <w:rFonts w:hint="eastAsia" w:ascii="宋体" w:hAnsi="宋体" w:eastAsia="宋体" w:cs="宋体"/>
          <w:b w:val="0"/>
          <w:bCs w:val="0"/>
          <w:kern w:val="2"/>
          <w:sz w:val="28"/>
          <w:szCs w:val="28"/>
          <w:highlight w:val="none"/>
          <w:lang w:val="en-US" w:eastAsia="zh-CN"/>
        </w:rPr>
        <w:t>询价</w:t>
      </w:r>
      <w:r>
        <w:rPr>
          <w:rFonts w:hint="eastAsia" w:ascii="宋体" w:hAnsi="宋体" w:eastAsia="宋体" w:cs="宋体"/>
          <w:b w:val="0"/>
          <w:bCs w:val="0"/>
          <w:kern w:val="2"/>
          <w:sz w:val="28"/>
          <w:szCs w:val="28"/>
          <w:highlight w:val="none"/>
          <w:lang w:eastAsia="zh-CN"/>
        </w:rPr>
        <w:t>文件要求，如果有一项不符合，则采购方有权终止合同。</w:t>
      </w:r>
      <w:r>
        <w:rPr>
          <w:rFonts w:hint="eastAsia" w:ascii="宋体" w:hAnsi="宋体" w:eastAsia="宋体" w:cs="宋体"/>
          <w:b/>
          <w:bCs/>
          <w:kern w:val="2"/>
          <w:sz w:val="28"/>
          <w:szCs w:val="28"/>
          <w:highlight w:val="none"/>
          <w:lang w:val="en-US" w:eastAsia="zh-CN"/>
        </w:rPr>
        <w:t>响应文件中须提供包含上述内容的承诺函（格式自拟）。</w:t>
      </w:r>
      <w:r>
        <w:rPr>
          <w:rFonts w:hint="eastAsia" w:ascii="宋体" w:hAnsi="宋体" w:eastAsia="宋体" w:cs="宋体"/>
          <w:b/>
          <w:bCs/>
          <w:kern w:val="2"/>
          <w:sz w:val="28"/>
          <w:szCs w:val="28"/>
          <w:highlight w:val="none"/>
          <w:u w:val="single"/>
          <w:lang w:val="en-US" w:eastAsia="zh-CN"/>
        </w:rPr>
        <w:t>该项为实质性响应条款，不响应将导致投标无效；</w:t>
      </w:r>
    </w:p>
    <w:p w14:paraId="2DDE608A">
      <w:pPr>
        <w:pStyle w:val="18"/>
        <w:keepNext/>
        <w:keepLines/>
        <w:pageBreakBefore w:val="0"/>
        <w:widowControl w:val="0"/>
        <w:numPr>
          <w:ilvl w:val="0"/>
          <w:numId w:val="0"/>
        </w:numPr>
        <w:kinsoku/>
        <w:wordWrap/>
        <w:overflowPunct/>
        <w:topLinePunct w:val="0"/>
        <w:autoSpaceDE/>
        <w:autoSpaceDN/>
        <w:bidi w:val="0"/>
        <w:adjustRightInd w:val="0"/>
        <w:snapToGrid/>
        <w:spacing w:before="140" w:after="140" w:line="560" w:lineRule="exact"/>
        <w:jc w:val="left"/>
        <w:textAlignment w:val="baseline"/>
        <w:outlineLvl w:val="1"/>
        <w:rPr>
          <w:rFonts w:hint="eastAsia" w:ascii="宋体" w:hAnsi="宋体" w:eastAsia="宋体" w:cs="宋体"/>
          <w:b w:val="0"/>
          <w:bCs w:val="0"/>
          <w:kern w:val="2"/>
          <w:sz w:val="28"/>
          <w:szCs w:val="28"/>
          <w:highlight w:val="none"/>
          <w:lang w:eastAsia="zh-CN"/>
        </w:rPr>
      </w:pPr>
      <w:r>
        <w:rPr>
          <w:rFonts w:hint="eastAsia" w:ascii="宋体" w:hAnsi="宋体" w:eastAsia="宋体" w:cs="宋体"/>
          <w:b w:val="0"/>
          <w:bCs w:val="0"/>
          <w:kern w:val="2"/>
          <w:sz w:val="28"/>
          <w:szCs w:val="28"/>
          <w:highlight w:val="none"/>
          <w:lang w:val="en-US" w:eastAsia="zh-CN"/>
        </w:rPr>
        <w:t>3、</w:t>
      </w:r>
      <w:r>
        <w:rPr>
          <w:rFonts w:hint="eastAsia" w:ascii="宋体" w:hAnsi="宋体" w:eastAsia="宋体" w:cs="宋体"/>
          <w:b w:val="0"/>
          <w:bCs w:val="0"/>
          <w:kern w:val="2"/>
          <w:sz w:val="28"/>
          <w:szCs w:val="28"/>
          <w:highlight w:val="none"/>
          <w:lang w:eastAsia="zh-CN"/>
        </w:rPr>
        <w:t>供应商</w:t>
      </w:r>
      <w:r>
        <w:rPr>
          <w:rFonts w:hint="eastAsia" w:ascii="宋体" w:hAnsi="宋体" w:eastAsia="宋体" w:cs="宋体"/>
          <w:b w:val="0"/>
          <w:bCs w:val="0"/>
          <w:kern w:val="2"/>
          <w:sz w:val="28"/>
          <w:szCs w:val="28"/>
          <w:highlight w:val="none"/>
          <w:lang w:val="en-US" w:eastAsia="zh-CN"/>
        </w:rPr>
        <w:t>成交</w:t>
      </w:r>
      <w:r>
        <w:rPr>
          <w:rFonts w:hint="eastAsia" w:ascii="宋体" w:hAnsi="宋体" w:eastAsia="宋体" w:cs="宋体"/>
          <w:b w:val="0"/>
          <w:bCs w:val="0"/>
          <w:kern w:val="2"/>
          <w:sz w:val="28"/>
          <w:szCs w:val="28"/>
          <w:highlight w:val="none"/>
          <w:lang w:eastAsia="zh-CN"/>
        </w:rPr>
        <w:t>后须立即与采购单位联系勘察现场，</w:t>
      </w:r>
      <w:r>
        <w:rPr>
          <w:rFonts w:hint="eastAsia" w:ascii="宋体" w:hAnsi="宋体" w:eastAsia="宋体" w:cs="宋体"/>
          <w:b w:val="0"/>
          <w:bCs w:val="0"/>
          <w:kern w:val="2"/>
          <w:sz w:val="28"/>
          <w:szCs w:val="28"/>
          <w:highlight w:val="none"/>
          <w:lang w:val="en-US" w:eastAsia="zh-CN"/>
        </w:rPr>
        <w:t>同时提供询价</w:t>
      </w:r>
      <w:r>
        <w:rPr>
          <w:rFonts w:hint="eastAsia" w:ascii="宋体" w:hAnsi="宋体" w:eastAsia="宋体" w:cs="宋体"/>
          <w:b w:val="0"/>
          <w:bCs w:val="0"/>
          <w:kern w:val="2"/>
          <w:sz w:val="28"/>
          <w:szCs w:val="28"/>
          <w:highlight w:val="none"/>
          <w:lang w:eastAsia="zh-CN"/>
        </w:rPr>
        <w:t>文件采购清单中规定的成套或部分设备、物品的样品，</w:t>
      </w:r>
      <w:r>
        <w:rPr>
          <w:rFonts w:hint="eastAsia" w:ascii="宋体" w:hAnsi="宋体" w:eastAsia="宋体" w:cs="宋体"/>
          <w:b w:val="0"/>
          <w:bCs w:val="0"/>
          <w:kern w:val="2"/>
          <w:sz w:val="28"/>
          <w:szCs w:val="28"/>
          <w:highlight w:val="none"/>
          <w:lang w:val="en-US" w:eastAsia="zh-CN"/>
        </w:rPr>
        <w:t>通过对样品的</w:t>
      </w:r>
      <w:r>
        <w:rPr>
          <w:rFonts w:hint="eastAsia" w:ascii="宋体" w:hAnsi="宋体" w:eastAsia="宋体" w:cs="宋体"/>
          <w:b w:val="0"/>
          <w:bCs w:val="0"/>
          <w:kern w:val="2"/>
          <w:sz w:val="28"/>
          <w:szCs w:val="28"/>
          <w:highlight w:val="none"/>
          <w:lang w:eastAsia="zh-CN"/>
        </w:rPr>
        <w:t>尺寸、样式、材质以及安全性能等</w:t>
      </w:r>
      <w:r>
        <w:rPr>
          <w:rFonts w:hint="eastAsia" w:ascii="宋体" w:hAnsi="宋体" w:eastAsia="宋体" w:cs="宋体"/>
          <w:b w:val="0"/>
          <w:bCs w:val="0"/>
          <w:kern w:val="2"/>
          <w:sz w:val="28"/>
          <w:szCs w:val="28"/>
          <w:highlight w:val="none"/>
          <w:lang w:val="en-US" w:eastAsia="zh-CN"/>
        </w:rPr>
        <w:t>进行确认</w:t>
      </w:r>
      <w:r>
        <w:rPr>
          <w:rFonts w:hint="eastAsia" w:ascii="宋体" w:hAnsi="宋体" w:eastAsia="宋体" w:cs="宋体"/>
          <w:b w:val="0"/>
          <w:bCs w:val="0"/>
          <w:kern w:val="2"/>
          <w:sz w:val="28"/>
          <w:szCs w:val="28"/>
          <w:highlight w:val="none"/>
          <w:lang w:eastAsia="zh-CN"/>
        </w:rPr>
        <w:t>，经采购单位同意后方可供货；</w:t>
      </w:r>
    </w:p>
    <w:p w14:paraId="23FA392A">
      <w:pPr>
        <w:pStyle w:val="18"/>
        <w:keepNext/>
        <w:keepLines/>
        <w:pageBreakBefore w:val="0"/>
        <w:widowControl w:val="0"/>
        <w:numPr>
          <w:ilvl w:val="0"/>
          <w:numId w:val="0"/>
        </w:numPr>
        <w:kinsoku/>
        <w:wordWrap/>
        <w:overflowPunct/>
        <w:topLinePunct w:val="0"/>
        <w:autoSpaceDE/>
        <w:autoSpaceDN/>
        <w:bidi w:val="0"/>
        <w:adjustRightInd w:val="0"/>
        <w:snapToGrid/>
        <w:spacing w:before="140" w:after="140" w:line="560" w:lineRule="exact"/>
        <w:jc w:val="left"/>
        <w:textAlignment w:val="baseline"/>
        <w:outlineLvl w:val="1"/>
        <w:rPr>
          <w:rFonts w:hint="eastAsia" w:ascii="宋体" w:hAnsi="宋体" w:eastAsia="宋体" w:cs="宋体"/>
          <w:b w:val="0"/>
          <w:bCs w:val="0"/>
          <w:kern w:val="2"/>
          <w:sz w:val="28"/>
          <w:szCs w:val="28"/>
          <w:highlight w:val="none"/>
          <w:lang w:eastAsia="zh-CN"/>
        </w:rPr>
      </w:pPr>
      <w:r>
        <w:rPr>
          <w:rFonts w:hint="eastAsia" w:ascii="宋体" w:hAnsi="宋体" w:eastAsia="宋体" w:cs="宋体"/>
          <w:b w:val="0"/>
          <w:bCs w:val="0"/>
          <w:kern w:val="2"/>
          <w:sz w:val="28"/>
          <w:szCs w:val="28"/>
          <w:highlight w:val="none"/>
          <w:lang w:val="en-US" w:eastAsia="zh-CN"/>
        </w:rPr>
        <w:t>4</w:t>
      </w:r>
      <w:r>
        <w:rPr>
          <w:rFonts w:hint="eastAsia" w:ascii="宋体" w:hAnsi="宋体" w:eastAsia="宋体" w:cs="宋体"/>
          <w:b w:val="0"/>
          <w:bCs w:val="0"/>
          <w:kern w:val="2"/>
          <w:sz w:val="28"/>
          <w:szCs w:val="28"/>
          <w:highlight w:val="none"/>
          <w:lang w:eastAsia="zh-CN"/>
        </w:rPr>
        <w:t>、</w:t>
      </w:r>
      <w:r>
        <w:rPr>
          <w:rFonts w:hint="eastAsia" w:ascii="宋体" w:hAnsi="宋体" w:eastAsia="宋体" w:cs="宋体"/>
          <w:b w:val="0"/>
          <w:bCs w:val="0"/>
          <w:kern w:val="2"/>
          <w:sz w:val="28"/>
          <w:szCs w:val="28"/>
          <w:highlight w:val="none"/>
          <w:lang w:val="en-US" w:eastAsia="zh-CN"/>
        </w:rPr>
        <w:t>以上</w:t>
      </w:r>
      <w:r>
        <w:rPr>
          <w:rFonts w:hint="eastAsia" w:ascii="宋体" w:hAnsi="宋体" w:eastAsia="宋体" w:cs="宋体"/>
          <w:b w:val="0"/>
          <w:bCs w:val="0"/>
          <w:kern w:val="2"/>
          <w:sz w:val="28"/>
          <w:szCs w:val="28"/>
          <w:highlight w:val="none"/>
          <w:lang w:eastAsia="zh-CN"/>
        </w:rPr>
        <w:t>图片仅供参考,规格尺寸可以适当调整，供应商在供货前须经环保抽样检测合格并征得采购人同意，各项因素均综合考虑在报价中，成交后造价均不做调整；</w:t>
      </w:r>
    </w:p>
    <w:p w14:paraId="676D1E57">
      <w:pPr>
        <w:pStyle w:val="18"/>
        <w:keepNext/>
        <w:keepLines/>
        <w:pageBreakBefore w:val="0"/>
        <w:widowControl w:val="0"/>
        <w:numPr>
          <w:ilvl w:val="0"/>
          <w:numId w:val="0"/>
        </w:numPr>
        <w:kinsoku/>
        <w:wordWrap/>
        <w:overflowPunct/>
        <w:topLinePunct w:val="0"/>
        <w:autoSpaceDE/>
        <w:autoSpaceDN/>
        <w:bidi w:val="0"/>
        <w:adjustRightInd w:val="0"/>
        <w:snapToGrid/>
        <w:spacing w:before="140" w:after="140" w:line="560" w:lineRule="exact"/>
        <w:jc w:val="left"/>
        <w:textAlignment w:val="baseline"/>
        <w:outlineLvl w:val="1"/>
        <w:rPr>
          <w:rFonts w:hint="eastAsia" w:ascii="宋体" w:hAnsi="宋体" w:eastAsia="宋体" w:cs="宋体"/>
          <w:b w:val="0"/>
          <w:bCs w:val="0"/>
          <w:kern w:val="2"/>
          <w:sz w:val="28"/>
          <w:szCs w:val="28"/>
          <w:highlight w:val="none"/>
          <w:lang w:eastAsia="zh-CN"/>
        </w:rPr>
      </w:pPr>
      <w:r>
        <w:rPr>
          <w:rFonts w:hint="eastAsia" w:ascii="宋体" w:hAnsi="宋体" w:eastAsia="宋体" w:cs="宋体"/>
          <w:b w:val="0"/>
          <w:bCs w:val="0"/>
          <w:kern w:val="2"/>
          <w:sz w:val="28"/>
          <w:szCs w:val="28"/>
          <w:highlight w:val="none"/>
          <w:lang w:val="en-US" w:eastAsia="zh-CN"/>
        </w:rPr>
        <w:t>5</w:t>
      </w:r>
      <w:r>
        <w:rPr>
          <w:rFonts w:hint="eastAsia" w:ascii="宋体" w:hAnsi="宋体" w:eastAsia="宋体" w:cs="宋体"/>
          <w:b w:val="0"/>
          <w:bCs w:val="0"/>
          <w:kern w:val="2"/>
          <w:sz w:val="28"/>
          <w:szCs w:val="28"/>
          <w:highlight w:val="none"/>
          <w:lang w:eastAsia="zh-CN"/>
        </w:rPr>
        <w:t>、甲醛及有害气体释放量需符合国家规定要求和按采购需求执行，供货安装后需承诺通过二次环保抽检合格；</w:t>
      </w:r>
    </w:p>
    <w:p w14:paraId="70D171F8">
      <w:pPr>
        <w:pStyle w:val="18"/>
        <w:keepNext/>
        <w:keepLines/>
        <w:pageBreakBefore w:val="0"/>
        <w:widowControl w:val="0"/>
        <w:numPr>
          <w:ilvl w:val="0"/>
          <w:numId w:val="0"/>
        </w:numPr>
        <w:kinsoku/>
        <w:wordWrap/>
        <w:overflowPunct/>
        <w:topLinePunct w:val="0"/>
        <w:autoSpaceDE/>
        <w:autoSpaceDN/>
        <w:bidi w:val="0"/>
        <w:adjustRightInd w:val="0"/>
        <w:snapToGrid/>
        <w:spacing w:before="140" w:after="140" w:line="560" w:lineRule="exact"/>
        <w:jc w:val="left"/>
        <w:textAlignment w:val="baseline"/>
        <w:outlineLvl w:val="1"/>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b w:val="0"/>
          <w:bCs w:val="0"/>
          <w:kern w:val="2"/>
          <w:sz w:val="28"/>
          <w:szCs w:val="28"/>
          <w:highlight w:val="none"/>
          <w:lang w:val="en-US" w:eastAsia="zh-CN"/>
        </w:rPr>
        <w:t>6、</w:t>
      </w:r>
      <w:r>
        <w:rPr>
          <w:rFonts w:hint="eastAsia" w:ascii="宋体" w:hAnsi="宋体" w:eastAsia="宋体" w:cs="宋体"/>
          <w:b w:val="0"/>
          <w:kern w:val="2"/>
          <w:sz w:val="28"/>
          <w:szCs w:val="28"/>
          <w:highlight w:val="none"/>
        </w:rPr>
        <w:t>本采购需求中材质说明要求标准参照国家与行业及地方现行有关规范、规定及标准执行，如遇更新以最新文件要求为准</w:t>
      </w:r>
      <w:r>
        <w:rPr>
          <w:rFonts w:hint="eastAsia" w:cs="宋体"/>
          <w:b w:val="0"/>
          <w:kern w:val="2"/>
          <w:sz w:val="28"/>
          <w:szCs w:val="28"/>
          <w:highlight w:val="none"/>
          <w:lang w:eastAsia="zh-CN"/>
        </w:rPr>
        <w:t>。</w:t>
      </w:r>
    </w:p>
    <w:sectPr>
      <w:footerReference r:id="rId3" w:type="default"/>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635C0">
    <w:pPr>
      <w:pStyle w:val="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C60DD3D">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rrjO8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lLShy3OPHzj+/nn7/Pv74R&#10;9KFAfYAa8x4DZqbhxg+YPPsBnZn3oKLNX2REMI7yni7yyiERkR+tlqtVhSGBsfmC+OzpeYiQ7qS3&#10;JBsNjTi/Iis/3kMaU+eUXM35W21MmaFxfzkQM3tY7n3sMVtp2A0ToZ1vT8inx9E31OGmU2I+OlQ2&#10;b8lsxNnYzcYhRL3vyhrlehA+HBI2UXrLFUbYqTDOrLCb9isvxfN7yXr6pz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uuuM7yQEAAJsDAAAOAAAAAAAAAAEAIAAAAB4BAABkcnMvZTJvRG9j&#10;LnhtbFBLBQYAAAAABgAGAFkBAABZBQAAAAA=&#10;">
              <v:fill on="f" focussize="0,0"/>
              <v:stroke on="f"/>
              <v:imagedata o:title=""/>
              <o:lock v:ext="edit" aspectratio="f"/>
              <v:textbox inset="0mm,0mm,0mm,0mm" style="mso-fit-shape-to-text:t;">
                <w:txbxContent>
                  <w:p w14:paraId="0C60DD3D">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p w14:paraId="333F4919"/>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E511EB"/>
    <w:multiLevelType w:val="singleLevel"/>
    <w:tmpl w:val="B1E511EB"/>
    <w:lvl w:ilvl="0" w:tentative="0">
      <w:start w:val="1"/>
      <w:numFmt w:val="decimal"/>
      <w:suff w:val="nothing"/>
      <w:lvlText w:val="%1、"/>
      <w:lvlJc w:val="left"/>
    </w:lvl>
  </w:abstractNum>
  <w:abstractNum w:abstractNumId="1">
    <w:nsid w:val="F993066B"/>
    <w:multiLevelType w:val="singleLevel"/>
    <w:tmpl w:val="F993066B"/>
    <w:lvl w:ilvl="0" w:tentative="0">
      <w:start w:val="1"/>
      <w:numFmt w:val="decimal"/>
      <w:suff w:val="nothing"/>
      <w:lvlText w:val="%1、"/>
      <w:lvlJc w:val="left"/>
    </w:lvl>
  </w:abstractNum>
  <w:abstractNum w:abstractNumId="2">
    <w:nsid w:val="78C19B46"/>
    <w:multiLevelType w:val="singleLevel"/>
    <w:tmpl w:val="78C19B46"/>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zOTY4N2M3MjM1MGZjN2U0OGFmZTViMDE2YWY5ZWIifQ=="/>
  </w:docVars>
  <w:rsids>
    <w:rsidRoot w:val="581D01BC"/>
    <w:rsid w:val="0C3E4266"/>
    <w:rsid w:val="0F9A4CD3"/>
    <w:rsid w:val="360F52F8"/>
    <w:rsid w:val="39D652BB"/>
    <w:rsid w:val="3BCB56FF"/>
    <w:rsid w:val="43D56DE9"/>
    <w:rsid w:val="44773790"/>
    <w:rsid w:val="453168C3"/>
    <w:rsid w:val="581D01BC"/>
    <w:rsid w:val="5FA76B8F"/>
    <w:rsid w:val="64881F21"/>
    <w:rsid w:val="6F3D3A0D"/>
    <w:rsid w:val="7DB37B8D"/>
    <w:rsid w:val="7F744BD0"/>
    <w:rsid w:val="7F7E4E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30"/>
      <w:szCs w:val="44"/>
    </w:rPr>
  </w:style>
  <w:style w:type="paragraph" w:styleId="3">
    <w:name w:val="heading 2"/>
    <w:basedOn w:val="1"/>
    <w:next w:val="1"/>
    <w:qFormat/>
    <w:uiPriority w:val="99"/>
    <w:pPr>
      <w:keepNext/>
      <w:keepLines/>
      <w:adjustRightInd w:val="0"/>
      <w:spacing w:before="260" w:after="260" w:line="416" w:lineRule="atLeast"/>
      <w:jc w:val="left"/>
      <w:textAlignment w:val="baseline"/>
      <w:outlineLvl w:val="1"/>
    </w:pPr>
    <w:rPr>
      <w:rFonts w:ascii="Arial" w:hAnsi="Arial" w:eastAsia="黑体"/>
      <w:b/>
      <w:kern w:val="0"/>
      <w:sz w:val="32"/>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4">
    <w:name w:val="Normal Indent"/>
    <w:basedOn w:val="1"/>
    <w:unhideWhenUsed/>
    <w:qFormat/>
    <w:uiPriority w:val="99"/>
    <w:pPr>
      <w:widowControl/>
      <w:ind w:firstLine="420"/>
      <w:jc w:val="left"/>
    </w:pPr>
    <w:rPr>
      <w:kern w:val="0"/>
      <w:sz w:val="20"/>
      <w:szCs w:val="20"/>
    </w:rPr>
  </w:style>
  <w:style w:type="paragraph" w:styleId="5">
    <w:name w:val="annotation text"/>
    <w:basedOn w:val="1"/>
    <w:semiHidden/>
    <w:qFormat/>
    <w:uiPriority w:val="0"/>
    <w:pPr>
      <w:jc w:val="left"/>
    </w:pPr>
  </w:style>
  <w:style w:type="paragraph" w:styleId="6">
    <w:name w:val="Body Text Indent"/>
    <w:basedOn w:val="1"/>
    <w:next w:val="7"/>
    <w:qFormat/>
    <w:uiPriority w:val="0"/>
    <w:pPr>
      <w:ind w:firstLine="645"/>
    </w:pPr>
    <w:rPr>
      <w:rFonts w:ascii="楷体_GB2312" w:eastAsia="楷体_GB2312"/>
      <w:sz w:val="32"/>
    </w:rPr>
  </w:style>
  <w:style w:type="paragraph" w:styleId="7">
    <w:name w:val="envelope return"/>
    <w:basedOn w:val="1"/>
    <w:qFormat/>
    <w:uiPriority w:val="0"/>
    <w:pPr>
      <w:snapToGrid w:val="0"/>
    </w:pPr>
    <w:rPr>
      <w:rFonts w:ascii="Arial" w:hAnsi="Arial"/>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Body Text First Indent 2"/>
    <w:basedOn w:val="6"/>
    <w:next w:val="4"/>
    <w:qFormat/>
    <w:uiPriority w:val="0"/>
    <w:pPr>
      <w:ind w:firstLine="420" w:firstLineChars="200"/>
    </w:pPr>
  </w:style>
  <w:style w:type="table" w:styleId="12">
    <w:name w:val="Table Grid"/>
    <w:basedOn w:val="11"/>
    <w:qFormat/>
    <w:uiPriority w:val="3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Table Paragraph"/>
    <w:basedOn w:val="1"/>
    <w:qFormat/>
    <w:uiPriority w:val="1"/>
    <w:rPr>
      <w:rFonts w:ascii="宋体" w:hAnsi="宋体" w:eastAsia="宋体" w:cs="宋体"/>
      <w:lang w:val="zh-CN" w:eastAsia="zh-CN" w:bidi="zh-CN"/>
    </w:rPr>
  </w:style>
  <w:style w:type="character" w:customStyle="1" w:styleId="15">
    <w:name w:val="font21"/>
    <w:basedOn w:val="13"/>
    <w:qFormat/>
    <w:uiPriority w:val="0"/>
    <w:rPr>
      <w:rFonts w:ascii="宋体" w:hAnsi="宋体" w:eastAsia="宋体" w:cs="宋体"/>
      <w:color w:val="000000"/>
      <w:sz w:val="12"/>
      <w:szCs w:val="12"/>
      <w:u w:val="none"/>
    </w:rPr>
  </w:style>
  <w:style w:type="character" w:customStyle="1" w:styleId="16">
    <w:name w:val="font11"/>
    <w:basedOn w:val="13"/>
    <w:qFormat/>
    <w:uiPriority w:val="0"/>
    <w:rPr>
      <w:rFonts w:hint="default" w:ascii="Arial" w:hAnsi="Arial" w:cs="Arial"/>
      <w:color w:val="000000"/>
      <w:sz w:val="12"/>
      <w:szCs w:val="12"/>
      <w:u w:val="none"/>
    </w:rPr>
  </w:style>
  <w:style w:type="paragraph" w:customStyle="1" w:styleId="17">
    <w:name w:val="Table Text"/>
    <w:basedOn w:val="1"/>
    <w:semiHidden/>
    <w:qFormat/>
    <w:uiPriority w:val="0"/>
    <w:rPr>
      <w:rFonts w:ascii="仿宋" w:hAnsi="仿宋" w:eastAsia="仿宋" w:cs="仿宋"/>
      <w:sz w:val="22"/>
      <w:szCs w:val="22"/>
      <w:lang w:val="en-US" w:eastAsia="en-US" w:bidi="ar-SA"/>
    </w:rPr>
  </w:style>
  <w:style w:type="paragraph" w:customStyle="1" w:styleId="18">
    <w:name w:val="样式 标题 2 + 宋体 五号 行距: 单倍行距"/>
    <w:basedOn w:val="3"/>
    <w:qFormat/>
    <w:uiPriority w:val="99"/>
    <w:pPr>
      <w:spacing w:line="240" w:lineRule="auto"/>
    </w:pPr>
    <w:rPr>
      <w:rFonts w:ascii="宋体" w:hAnsi="宋体" w:eastAsia="宋体"/>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6400</Words>
  <Characters>8378</Characters>
  <Lines>0</Lines>
  <Paragraphs>0</Paragraphs>
  <TotalTime>4</TotalTime>
  <ScaleCrop>false</ScaleCrop>
  <LinksUpToDate>false</LinksUpToDate>
  <CharactersWithSpaces>8625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2025-08-05T04:34:00Z</dcterms:created>
  <dc:creator>FL</dc:creator>
  <cp:lastModifiedBy>Vincent</cp:lastModifiedBy>
  <dcterms:modified xsi:type="dcterms:W3CDTF">2025-12-05T07:17:44Z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1DE7F8D917124072BC008CDD47434CB2_13</vt:lpwstr>
  </property>
  <property fmtid="{D5CDD505-2E9C-101B-9397-08002B2CF9AE}" pid="4" name="KSOTemplateDocerSaveRecord">
    <vt:lpwstr>eyJoZGlkIjoiNDRjNDRlMzVlNTJiZjdhZTZiNTVlZTgzZWFjZjFkZTciLCJ1c2VySWQiOiIzNDE5MDExMjMifQ==</vt:lpwstr>
  </property>
</Properties>
</file>