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75D7C0">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left"/>
        <w:textAlignment w:val="auto"/>
        <w:rPr>
          <w:rFonts w:ascii="宋体" w:hAnsi="宋体" w:cs="宋体"/>
          <w:sz w:val="24"/>
          <w:szCs w:val="24"/>
        </w:rPr>
      </w:pPr>
      <w:r>
        <w:rPr>
          <w:rFonts w:hint="eastAsia" w:ascii="宋体" w:hAnsi="宋体" w:cs="宋体"/>
          <w:sz w:val="24"/>
          <w:szCs w:val="24"/>
          <w:lang w:val="en-US" w:eastAsia="zh-CN"/>
        </w:rPr>
        <w:t>1、</w:t>
      </w:r>
      <w:r>
        <w:rPr>
          <w:rFonts w:hint="eastAsia" w:ascii="宋体" w:hAnsi="宋体" w:cs="宋体"/>
          <w:sz w:val="24"/>
          <w:szCs w:val="24"/>
        </w:rPr>
        <w:t>本次磋商采用百分制评分法，商务（报价）权重</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10</w:t>
      </w:r>
      <w:r>
        <w:rPr>
          <w:rFonts w:hint="eastAsia" w:ascii="宋体" w:hAnsi="宋体" w:cs="宋体"/>
          <w:sz w:val="24"/>
          <w:szCs w:val="24"/>
          <w:u w:val="single"/>
        </w:rPr>
        <w:t xml:space="preserve"> </w:t>
      </w:r>
      <w:r>
        <w:rPr>
          <w:rFonts w:hint="eastAsia" w:ascii="宋体" w:hAnsi="宋体" w:cs="宋体"/>
          <w:sz w:val="24"/>
          <w:szCs w:val="24"/>
        </w:rPr>
        <w:t>%，经评审满足磋商文件要求且最后报价最低的供应商的价格为磋商基准价，其价格为满分，得</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10</w:t>
      </w:r>
      <w:r>
        <w:rPr>
          <w:rFonts w:hint="eastAsia" w:ascii="宋体" w:hAnsi="宋体" w:cs="宋体"/>
          <w:sz w:val="24"/>
          <w:szCs w:val="24"/>
          <w:u w:val="single"/>
        </w:rPr>
        <w:t xml:space="preserve"> </w:t>
      </w:r>
      <w:r>
        <w:rPr>
          <w:rFonts w:hint="eastAsia" w:ascii="宋体" w:hAnsi="宋体" w:cs="宋体"/>
          <w:sz w:val="24"/>
          <w:szCs w:val="24"/>
        </w:rPr>
        <w:t>分。其他供应商的价格分统一按照下列公式计算：</w:t>
      </w:r>
    </w:p>
    <w:p w14:paraId="2A58DF3E">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left"/>
        <w:textAlignment w:val="auto"/>
        <w:rPr>
          <w:rFonts w:ascii="宋体" w:hAnsi="宋体" w:cs="宋体"/>
          <w:sz w:val="24"/>
          <w:szCs w:val="24"/>
        </w:rPr>
      </w:pPr>
      <w:r>
        <w:rPr>
          <w:rFonts w:hint="eastAsia" w:ascii="宋体" w:hAnsi="宋体" w:cs="宋体"/>
          <w:sz w:val="24"/>
          <w:szCs w:val="24"/>
        </w:rPr>
        <w:t>磋商报价得分=（磋商基准价/最后磋商报价）×</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10</w:t>
      </w:r>
      <w:r>
        <w:rPr>
          <w:rFonts w:hint="eastAsia" w:ascii="宋体" w:hAnsi="宋体" w:cs="宋体"/>
          <w:sz w:val="24"/>
          <w:szCs w:val="24"/>
          <w:u w:val="single"/>
        </w:rPr>
        <w:t xml:space="preserve"> </w:t>
      </w:r>
      <w:r>
        <w:rPr>
          <w:rFonts w:hint="eastAsia" w:ascii="宋体" w:hAnsi="宋体" w:cs="宋体"/>
          <w:sz w:val="24"/>
          <w:szCs w:val="24"/>
        </w:rPr>
        <w:t>%×100。</w:t>
      </w:r>
    </w:p>
    <w:p w14:paraId="17585E0C">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left"/>
        <w:textAlignment w:val="auto"/>
        <w:rPr>
          <w:rFonts w:ascii="宋体" w:hAnsi="宋体" w:cs="宋体"/>
          <w:sz w:val="24"/>
          <w:szCs w:val="24"/>
        </w:rPr>
      </w:pPr>
      <w:r>
        <w:rPr>
          <w:rFonts w:hint="eastAsia" w:ascii="宋体" w:hAnsi="宋体" w:cs="宋体"/>
          <w:sz w:val="24"/>
          <w:szCs w:val="24"/>
        </w:rPr>
        <w:t>注：超过最高限价的最后磋商报价为无效报价，按废标处理。</w:t>
      </w:r>
    </w:p>
    <w:p w14:paraId="2D88A6C6">
      <w:pPr>
        <w:pStyle w:val="3"/>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ascii="宋体" w:hAnsi="宋体" w:eastAsia="宋体" w:cs="宋体"/>
          <w:sz w:val="24"/>
          <w:szCs w:val="24"/>
        </w:rPr>
      </w:pPr>
      <w:r>
        <w:rPr>
          <w:rFonts w:hint="eastAsia" w:ascii="宋体" w:hAnsi="宋体" w:eastAsia="宋体" w:cs="宋体"/>
          <w:sz w:val="24"/>
          <w:szCs w:val="24"/>
        </w:rPr>
        <w:t>具体评分细则如下：</w:t>
      </w:r>
    </w:p>
    <w:tbl>
      <w:tblPr>
        <w:tblStyle w:val="5"/>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28" w:type="dxa"/>
          <w:left w:w="51" w:type="dxa"/>
          <w:bottom w:w="28" w:type="dxa"/>
          <w:right w:w="51" w:type="dxa"/>
        </w:tblCellMar>
      </w:tblPr>
      <w:tblGrid>
        <w:gridCol w:w="819"/>
        <w:gridCol w:w="1129"/>
        <w:gridCol w:w="5840"/>
        <w:gridCol w:w="610"/>
      </w:tblGrid>
      <w:tr w14:paraId="0EF8F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789" w:hRule="atLeast"/>
          <w:jc w:val="center"/>
        </w:trPr>
        <w:tc>
          <w:tcPr>
            <w:tcW w:w="488" w:type="pct"/>
            <w:tcBorders>
              <w:top w:val="single" w:color="auto" w:sz="4" w:space="0"/>
              <w:left w:val="single" w:color="auto" w:sz="4" w:space="0"/>
              <w:bottom w:val="single" w:color="auto" w:sz="4" w:space="0"/>
              <w:right w:val="single" w:color="auto" w:sz="4" w:space="0"/>
            </w:tcBorders>
            <w:vAlign w:val="center"/>
          </w:tcPr>
          <w:p w14:paraId="263D9850">
            <w:pPr>
              <w:spacing w:line="400" w:lineRule="exact"/>
              <w:jc w:val="center"/>
              <w:rPr>
                <w:rFonts w:ascii="宋体" w:hAnsi="宋体" w:cs="宋体"/>
                <w:b/>
                <w:bCs/>
                <w:sz w:val="24"/>
                <w:szCs w:val="24"/>
              </w:rPr>
            </w:pPr>
            <w:r>
              <w:rPr>
                <w:rFonts w:hint="eastAsia" w:ascii="宋体" w:hAnsi="宋体" w:cs="宋体"/>
                <w:b/>
                <w:bCs/>
                <w:sz w:val="24"/>
                <w:szCs w:val="24"/>
              </w:rPr>
              <w:t>类别</w:t>
            </w:r>
          </w:p>
        </w:tc>
        <w:tc>
          <w:tcPr>
            <w:tcW w:w="672" w:type="pct"/>
            <w:tcBorders>
              <w:top w:val="single" w:color="auto" w:sz="4" w:space="0"/>
              <w:left w:val="single" w:color="auto" w:sz="4" w:space="0"/>
              <w:bottom w:val="single" w:color="auto" w:sz="4" w:space="0"/>
              <w:right w:val="single" w:color="auto" w:sz="4" w:space="0"/>
            </w:tcBorders>
            <w:vAlign w:val="center"/>
          </w:tcPr>
          <w:p w14:paraId="4437CF4E">
            <w:pPr>
              <w:spacing w:line="400" w:lineRule="exact"/>
              <w:jc w:val="center"/>
              <w:rPr>
                <w:rFonts w:ascii="宋体" w:hAnsi="宋体" w:cs="宋体"/>
                <w:b/>
                <w:bCs/>
                <w:sz w:val="24"/>
                <w:szCs w:val="24"/>
              </w:rPr>
            </w:pPr>
            <w:r>
              <w:rPr>
                <w:rFonts w:hint="eastAsia" w:ascii="宋体" w:hAnsi="宋体" w:cs="宋体"/>
                <w:b/>
                <w:bCs/>
                <w:sz w:val="24"/>
                <w:szCs w:val="24"/>
              </w:rPr>
              <w:t>评分内容</w:t>
            </w:r>
          </w:p>
        </w:tc>
        <w:tc>
          <w:tcPr>
            <w:tcW w:w="3476" w:type="pct"/>
            <w:tcBorders>
              <w:top w:val="single" w:color="auto" w:sz="4" w:space="0"/>
              <w:left w:val="single" w:color="auto" w:sz="4" w:space="0"/>
              <w:bottom w:val="single" w:color="auto" w:sz="4" w:space="0"/>
              <w:right w:val="single" w:color="auto" w:sz="4" w:space="0"/>
            </w:tcBorders>
            <w:vAlign w:val="center"/>
          </w:tcPr>
          <w:p w14:paraId="79DA3256">
            <w:pPr>
              <w:spacing w:line="400" w:lineRule="exact"/>
              <w:jc w:val="center"/>
              <w:rPr>
                <w:rFonts w:ascii="宋体" w:hAnsi="宋体" w:cs="宋体"/>
                <w:b/>
                <w:bCs/>
                <w:sz w:val="24"/>
                <w:szCs w:val="24"/>
              </w:rPr>
            </w:pPr>
            <w:r>
              <w:rPr>
                <w:rFonts w:hint="eastAsia" w:ascii="宋体" w:hAnsi="宋体" w:cs="宋体"/>
                <w:b/>
                <w:bCs/>
                <w:sz w:val="24"/>
                <w:szCs w:val="24"/>
              </w:rPr>
              <w:t>评分标准</w:t>
            </w:r>
          </w:p>
        </w:tc>
        <w:tc>
          <w:tcPr>
            <w:tcW w:w="363" w:type="pct"/>
            <w:tcBorders>
              <w:top w:val="single" w:color="auto" w:sz="4" w:space="0"/>
              <w:left w:val="single" w:color="auto" w:sz="4" w:space="0"/>
              <w:bottom w:val="single" w:color="auto" w:sz="4" w:space="0"/>
              <w:right w:val="single" w:color="auto" w:sz="4" w:space="0"/>
            </w:tcBorders>
            <w:vAlign w:val="center"/>
          </w:tcPr>
          <w:p w14:paraId="4B18938E">
            <w:pPr>
              <w:spacing w:line="400" w:lineRule="exact"/>
              <w:jc w:val="center"/>
              <w:rPr>
                <w:rFonts w:ascii="宋体" w:hAnsi="宋体" w:cs="宋体"/>
                <w:b/>
                <w:bCs/>
                <w:sz w:val="24"/>
                <w:szCs w:val="24"/>
              </w:rPr>
            </w:pPr>
            <w:r>
              <w:rPr>
                <w:rFonts w:hint="eastAsia" w:ascii="宋体" w:hAnsi="宋体" w:cs="宋体"/>
                <w:b/>
                <w:bCs/>
                <w:sz w:val="24"/>
                <w:szCs w:val="24"/>
              </w:rPr>
              <w:t>分值范围</w:t>
            </w:r>
          </w:p>
        </w:tc>
      </w:tr>
      <w:tr w14:paraId="63353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55" w:hRule="atLeast"/>
          <w:jc w:val="center"/>
        </w:trPr>
        <w:tc>
          <w:tcPr>
            <w:tcW w:w="488" w:type="pct"/>
            <w:vMerge w:val="restart"/>
            <w:tcBorders>
              <w:left w:val="single" w:color="auto" w:sz="4" w:space="0"/>
              <w:right w:val="single" w:color="auto" w:sz="4" w:space="0"/>
            </w:tcBorders>
            <w:vAlign w:val="center"/>
          </w:tcPr>
          <w:p w14:paraId="41FB6E0B">
            <w:pPr>
              <w:spacing w:line="400" w:lineRule="exact"/>
              <w:jc w:val="center"/>
              <w:rPr>
                <w:rFonts w:ascii="宋体" w:hAnsi="宋体" w:cs="宋体"/>
                <w:sz w:val="24"/>
                <w:szCs w:val="24"/>
              </w:rPr>
            </w:pPr>
          </w:p>
        </w:tc>
        <w:tc>
          <w:tcPr>
            <w:tcW w:w="672" w:type="pct"/>
            <w:tcBorders>
              <w:left w:val="single" w:color="auto" w:sz="4" w:space="0"/>
              <w:right w:val="single" w:color="auto" w:sz="4" w:space="0"/>
            </w:tcBorders>
            <w:vAlign w:val="center"/>
          </w:tcPr>
          <w:p w14:paraId="033F49AA">
            <w:pPr>
              <w:widowControl/>
              <w:spacing w:line="240" w:lineRule="auto"/>
              <w:jc w:val="center"/>
              <w:rPr>
                <w:rFonts w:ascii="宋体" w:hAnsi="宋体" w:cs="宋体"/>
                <w:color w:val="000000"/>
                <w:sz w:val="24"/>
                <w:szCs w:val="24"/>
              </w:rPr>
            </w:pPr>
            <w:r>
              <w:rPr>
                <w:rFonts w:hint="eastAsia" w:ascii="宋体" w:hAnsi="宋体" w:eastAsia="宋体" w:cs="宋体"/>
                <w:color w:val="000000"/>
                <w:kern w:val="0"/>
                <w:sz w:val="24"/>
                <w:szCs w:val="24"/>
                <w:lang w:val="en-US" w:eastAsia="zh-CN" w:bidi="ar"/>
              </w:rPr>
              <w:t>体系认证</w:t>
            </w:r>
          </w:p>
        </w:tc>
        <w:tc>
          <w:tcPr>
            <w:tcW w:w="3476" w:type="pct"/>
            <w:tcBorders>
              <w:top w:val="single" w:color="auto" w:sz="4" w:space="0"/>
              <w:left w:val="single" w:color="auto" w:sz="4" w:space="0"/>
              <w:bottom w:val="single" w:color="auto" w:sz="4" w:space="0"/>
              <w:right w:val="single" w:color="auto" w:sz="4" w:space="0"/>
            </w:tcBorders>
            <w:vAlign w:val="center"/>
          </w:tcPr>
          <w:p w14:paraId="06F3EC0F">
            <w:pPr>
              <w:keepNext w:val="0"/>
              <w:keepLines w:val="0"/>
              <w:widowControl/>
              <w:suppressLineNumbers w:val="0"/>
              <w:spacing w:line="52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供应商具有经中国国家认证认可监督管理委员会认证机构颁发的有效的下列证书：</w:t>
            </w:r>
          </w:p>
          <w:p w14:paraId="3D75A4E0">
            <w:pPr>
              <w:keepNext w:val="0"/>
              <w:keepLines w:val="0"/>
              <w:widowControl/>
              <w:suppressLineNumbers w:val="0"/>
              <w:spacing w:line="52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①质量管理体系认证证书；</w:t>
            </w:r>
          </w:p>
          <w:p w14:paraId="44DC80D6">
            <w:pPr>
              <w:keepNext w:val="0"/>
              <w:keepLines w:val="0"/>
              <w:widowControl/>
              <w:suppressLineNumbers w:val="0"/>
              <w:spacing w:line="52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②环境管理体系认证证书；</w:t>
            </w:r>
          </w:p>
          <w:p w14:paraId="00D6BD06">
            <w:pPr>
              <w:keepNext w:val="0"/>
              <w:keepLines w:val="0"/>
              <w:widowControl/>
              <w:suppressLineNumbers w:val="0"/>
              <w:spacing w:line="52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③职业健康安全管理体系认证证书；</w:t>
            </w:r>
          </w:p>
          <w:p w14:paraId="07E6DE76">
            <w:pPr>
              <w:keepNext w:val="0"/>
              <w:keepLines w:val="0"/>
              <w:widowControl/>
              <w:suppressLineNumbers w:val="0"/>
              <w:spacing w:line="52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每提供一个证书得</w:t>
            </w:r>
            <w:r>
              <w:rPr>
                <w:rFonts w:hint="eastAsia" w:ascii="宋体" w:hAnsi="宋体" w:cs="宋体"/>
                <w:i w:val="0"/>
                <w:iCs w:val="0"/>
                <w:color w:val="auto"/>
                <w:kern w:val="0"/>
                <w:sz w:val="24"/>
                <w:szCs w:val="24"/>
                <w:highlight w:val="none"/>
                <w:u w:val="none"/>
                <w:lang w:val="en-US" w:eastAsia="zh-CN" w:bidi="ar"/>
              </w:rPr>
              <w:t>6</w:t>
            </w:r>
            <w:r>
              <w:rPr>
                <w:rFonts w:hint="eastAsia" w:ascii="宋体" w:hAnsi="宋体" w:eastAsia="宋体" w:cs="宋体"/>
                <w:i w:val="0"/>
                <w:iCs w:val="0"/>
                <w:color w:val="auto"/>
                <w:kern w:val="0"/>
                <w:sz w:val="24"/>
                <w:szCs w:val="24"/>
                <w:highlight w:val="none"/>
                <w:u w:val="none"/>
                <w:lang w:val="en-US" w:eastAsia="zh-CN" w:bidi="ar"/>
              </w:rPr>
              <w:t>分，本项满分得</w:t>
            </w:r>
            <w:r>
              <w:rPr>
                <w:rFonts w:hint="eastAsia" w:ascii="宋体" w:hAnsi="宋体" w:cs="宋体"/>
                <w:i w:val="0"/>
                <w:iCs w:val="0"/>
                <w:color w:val="auto"/>
                <w:kern w:val="0"/>
                <w:sz w:val="24"/>
                <w:szCs w:val="24"/>
                <w:highlight w:val="none"/>
                <w:u w:val="none"/>
                <w:lang w:val="en-US" w:eastAsia="zh-CN" w:bidi="ar"/>
              </w:rPr>
              <w:t>18</w:t>
            </w:r>
            <w:r>
              <w:rPr>
                <w:rFonts w:hint="eastAsia" w:ascii="宋体" w:hAnsi="宋体" w:eastAsia="宋体" w:cs="宋体"/>
                <w:i w:val="0"/>
                <w:iCs w:val="0"/>
                <w:color w:val="auto"/>
                <w:kern w:val="0"/>
                <w:sz w:val="24"/>
                <w:szCs w:val="24"/>
                <w:highlight w:val="none"/>
                <w:u w:val="none"/>
                <w:lang w:val="en-US" w:eastAsia="zh-CN" w:bidi="ar"/>
              </w:rPr>
              <w:t>分。</w:t>
            </w:r>
          </w:p>
          <w:p w14:paraId="370E3703">
            <w:pPr>
              <w:spacing w:line="520" w:lineRule="exact"/>
              <w:jc w:val="left"/>
              <w:rPr>
                <w:rFonts w:ascii="宋体" w:hAnsi="宋体" w:cs="宋体"/>
                <w:color w:val="000000"/>
                <w:sz w:val="24"/>
                <w:szCs w:val="24"/>
                <w:lang w:val="zh-CN"/>
              </w:rPr>
            </w:pPr>
            <w:r>
              <w:rPr>
                <w:rFonts w:hint="eastAsia" w:ascii="宋体" w:hAnsi="宋体" w:eastAsia="宋体" w:cs="宋体"/>
                <w:b/>
                <w:bCs/>
                <w:i w:val="0"/>
                <w:iCs w:val="0"/>
                <w:color w:val="auto"/>
                <w:kern w:val="0"/>
                <w:sz w:val="24"/>
                <w:szCs w:val="24"/>
                <w:highlight w:val="none"/>
                <w:u w:val="none"/>
                <w:lang w:val="en-US" w:eastAsia="zh-CN" w:bidi="ar"/>
              </w:rPr>
              <w:t>注：响应文件中提供证书原件扫描件，未提供不得分。</w:t>
            </w:r>
          </w:p>
        </w:tc>
        <w:tc>
          <w:tcPr>
            <w:tcW w:w="363" w:type="pct"/>
            <w:tcBorders>
              <w:top w:val="single" w:color="auto" w:sz="4" w:space="0"/>
              <w:left w:val="single" w:color="auto" w:sz="4" w:space="0"/>
              <w:bottom w:val="single" w:color="auto" w:sz="4" w:space="0"/>
              <w:right w:val="single" w:color="auto" w:sz="4" w:space="0"/>
            </w:tcBorders>
            <w:vAlign w:val="center"/>
          </w:tcPr>
          <w:p w14:paraId="6BA05108">
            <w:pPr>
              <w:spacing w:line="40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0-18分</w:t>
            </w:r>
          </w:p>
        </w:tc>
      </w:tr>
      <w:tr w14:paraId="2CA34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488" w:type="pct"/>
            <w:vMerge w:val="continue"/>
            <w:tcBorders>
              <w:left w:val="single" w:color="auto" w:sz="4" w:space="0"/>
              <w:right w:val="single" w:color="auto" w:sz="4" w:space="0"/>
            </w:tcBorders>
            <w:vAlign w:val="center"/>
          </w:tcPr>
          <w:p w14:paraId="08262ACB">
            <w:pPr>
              <w:spacing w:line="400" w:lineRule="exact"/>
              <w:jc w:val="center"/>
              <w:rPr>
                <w:rFonts w:ascii="宋体" w:hAnsi="宋体" w:cs="宋体"/>
                <w:sz w:val="24"/>
                <w:szCs w:val="24"/>
              </w:rPr>
            </w:pPr>
          </w:p>
        </w:tc>
        <w:tc>
          <w:tcPr>
            <w:tcW w:w="672" w:type="pct"/>
            <w:tcBorders>
              <w:left w:val="single" w:color="auto" w:sz="4" w:space="0"/>
              <w:bottom w:val="single" w:color="auto" w:sz="4" w:space="0"/>
              <w:right w:val="single" w:color="auto" w:sz="4" w:space="0"/>
            </w:tcBorders>
            <w:vAlign w:val="center"/>
          </w:tcPr>
          <w:p w14:paraId="3A00A148">
            <w:pPr>
              <w:widowControl/>
              <w:spacing w:line="240" w:lineRule="auto"/>
              <w:jc w:val="center"/>
              <w:rPr>
                <w:rFonts w:ascii="宋体" w:hAnsi="宋体" w:cs="宋体"/>
                <w:color w:val="000000"/>
                <w:sz w:val="24"/>
                <w:szCs w:val="24"/>
              </w:rPr>
            </w:pPr>
            <w:r>
              <w:rPr>
                <w:rFonts w:hint="eastAsia" w:ascii="宋体" w:hAnsi="宋体" w:eastAsia="宋体" w:cs="宋体"/>
                <w:color w:val="000000"/>
                <w:kern w:val="0"/>
                <w:sz w:val="24"/>
                <w:szCs w:val="24"/>
                <w:lang w:val="en-US" w:eastAsia="zh-CN" w:bidi="ar"/>
              </w:rPr>
              <w:t>类似业绩</w:t>
            </w:r>
          </w:p>
        </w:tc>
        <w:tc>
          <w:tcPr>
            <w:tcW w:w="3476" w:type="pct"/>
            <w:tcBorders>
              <w:top w:val="single" w:color="auto" w:sz="4" w:space="0"/>
              <w:left w:val="single" w:color="auto" w:sz="4" w:space="0"/>
              <w:bottom w:val="single" w:color="auto" w:sz="4" w:space="0"/>
              <w:right w:val="single" w:color="auto" w:sz="4" w:space="0"/>
            </w:tcBorders>
            <w:vAlign w:val="center"/>
          </w:tcPr>
          <w:p w14:paraId="4AECFCF5">
            <w:pPr>
              <w:keepNext w:val="0"/>
              <w:keepLines w:val="0"/>
              <w:widowControl/>
              <w:suppressLineNumbers w:val="0"/>
              <w:spacing w:line="52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供应商具有类似项目业绩的，每提供一份业绩证明得</w:t>
            </w:r>
            <w:r>
              <w:rPr>
                <w:rFonts w:hint="eastAsia" w:ascii="宋体" w:hAnsi="宋体" w:cs="宋体"/>
                <w:i w:val="0"/>
                <w:iCs w:val="0"/>
                <w:color w:val="auto"/>
                <w:kern w:val="0"/>
                <w:sz w:val="24"/>
                <w:szCs w:val="24"/>
                <w:highlight w:val="none"/>
                <w:u w:val="none"/>
                <w:lang w:val="en-US" w:eastAsia="zh-CN" w:bidi="ar"/>
              </w:rPr>
              <w:t>6</w:t>
            </w:r>
            <w:r>
              <w:rPr>
                <w:rFonts w:hint="eastAsia" w:ascii="宋体" w:hAnsi="宋体" w:eastAsia="宋体" w:cs="宋体"/>
                <w:i w:val="0"/>
                <w:iCs w:val="0"/>
                <w:color w:val="auto"/>
                <w:kern w:val="0"/>
                <w:sz w:val="24"/>
                <w:szCs w:val="24"/>
                <w:highlight w:val="none"/>
                <w:u w:val="none"/>
                <w:lang w:val="en-US" w:eastAsia="zh-CN" w:bidi="ar"/>
              </w:rPr>
              <w:t>分，本项满分得2</w:t>
            </w:r>
            <w:r>
              <w:rPr>
                <w:rFonts w:hint="eastAsia" w:ascii="宋体" w:hAnsi="宋体" w:cs="宋体"/>
                <w:i w:val="0"/>
                <w:iCs w:val="0"/>
                <w:color w:val="auto"/>
                <w:kern w:val="0"/>
                <w:sz w:val="24"/>
                <w:szCs w:val="24"/>
                <w:highlight w:val="none"/>
                <w:u w:val="none"/>
                <w:lang w:val="en-US" w:eastAsia="zh-CN" w:bidi="ar"/>
              </w:rPr>
              <w:t>4</w:t>
            </w:r>
            <w:r>
              <w:rPr>
                <w:rFonts w:hint="eastAsia" w:ascii="宋体" w:hAnsi="宋体" w:eastAsia="宋体" w:cs="宋体"/>
                <w:i w:val="0"/>
                <w:iCs w:val="0"/>
                <w:color w:val="auto"/>
                <w:kern w:val="0"/>
                <w:sz w:val="24"/>
                <w:szCs w:val="24"/>
                <w:highlight w:val="none"/>
                <w:u w:val="none"/>
                <w:lang w:val="en-US" w:eastAsia="zh-CN" w:bidi="ar"/>
              </w:rPr>
              <w:t>分。</w:t>
            </w:r>
          </w:p>
          <w:p w14:paraId="61FE8AA2">
            <w:pPr>
              <w:keepNext w:val="0"/>
              <w:keepLines w:val="0"/>
              <w:widowControl/>
              <w:suppressLineNumbers w:val="0"/>
              <w:spacing w:line="520" w:lineRule="exact"/>
              <w:jc w:val="left"/>
              <w:textAlignment w:val="center"/>
              <w:rPr>
                <w:rFonts w:ascii="宋体" w:hAnsi="宋体" w:cs="宋体"/>
                <w:color w:val="000000"/>
                <w:sz w:val="24"/>
                <w:szCs w:val="24"/>
              </w:rPr>
            </w:pPr>
            <w:r>
              <w:rPr>
                <w:rFonts w:hint="eastAsia" w:ascii="宋体" w:hAnsi="宋体" w:eastAsia="宋体" w:cs="宋体"/>
                <w:b/>
                <w:bCs/>
                <w:i w:val="0"/>
                <w:iCs w:val="0"/>
                <w:color w:val="auto"/>
                <w:kern w:val="0"/>
                <w:sz w:val="24"/>
                <w:szCs w:val="24"/>
                <w:highlight w:val="none"/>
                <w:u w:val="none"/>
                <w:lang w:val="en-US" w:eastAsia="zh-CN" w:bidi="ar"/>
              </w:rPr>
              <w:t>注：响应文件中提供上述业绩合同原件扫描件</w:t>
            </w:r>
            <w:r>
              <w:rPr>
                <w:rFonts w:hint="eastAsia" w:ascii="宋体" w:hAnsi="宋体" w:cs="宋体"/>
                <w:b/>
                <w:bCs/>
                <w:i w:val="0"/>
                <w:iCs w:val="0"/>
                <w:color w:val="auto"/>
                <w:kern w:val="0"/>
                <w:sz w:val="24"/>
                <w:szCs w:val="24"/>
                <w:highlight w:val="none"/>
                <w:u w:val="none"/>
                <w:lang w:val="en-US" w:eastAsia="zh-CN" w:bidi="ar"/>
              </w:rPr>
              <w:t>，</w:t>
            </w:r>
            <w:r>
              <w:rPr>
                <w:rFonts w:hint="eastAsia" w:ascii="宋体" w:hAnsi="宋体" w:eastAsia="宋体" w:cs="宋体"/>
                <w:b/>
                <w:bCs/>
                <w:i w:val="0"/>
                <w:iCs w:val="0"/>
                <w:color w:val="auto"/>
                <w:kern w:val="0"/>
                <w:sz w:val="24"/>
                <w:szCs w:val="24"/>
                <w:highlight w:val="none"/>
                <w:u w:val="none"/>
                <w:lang w:val="en-US" w:eastAsia="zh-CN" w:bidi="ar"/>
              </w:rPr>
              <w:t>未提供不得分。</w:t>
            </w:r>
            <w:bookmarkStart w:id="0" w:name="_GoBack"/>
            <w:bookmarkEnd w:id="0"/>
          </w:p>
        </w:tc>
        <w:tc>
          <w:tcPr>
            <w:tcW w:w="363" w:type="pct"/>
            <w:tcBorders>
              <w:top w:val="single" w:color="auto" w:sz="4" w:space="0"/>
              <w:left w:val="single" w:color="auto" w:sz="4" w:space="0"/>
              <w:bottom w:val="single" w:color="auto" w:sz="4" w:space="0"/>
              <w:right w:val="single" w:color="auto" w:sz="4" w:space="0"/>
            </w:tcBorders>
            <w:vAlign w:val="center"/>
          </w:tcPr>
          <w:p w14:paraId="09C0AC11">
            <w:pPr>
              <w:spacing w:line="40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0-24分</w:t>
            </w:r>
          </w:p>
        </w:tc>
      </w:tr>
      <w:tr w14:paraId="13D27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488" w:type="pct"/>
            <w:vMerge w:val="continue"/>
            <w:tcBorders>
              <w:left w:val="single" w:color="auto" w:sz="4" w:space="0"/>
              <w:right w:val="single" w:color="auto" w:sz="4" w:space="0"/>
            </w:tcBorders>
            <w:vAlign w:val="center"/>
          </w:tcPr>
          <w:p w14:paraId="79959583">
            <w:pPr>
              <w:spacing w:line="400" w:lineRule="exact"/>
              <w:jc w:val="center"/>
              <w:rPr>
                <w:rFonts w:ascii="宋体" w:hAnsi="宋体" w:cs="宋体"/>
                <w:sz w:val="24"/>
                <w:szCs w:val="24"/>
              </w:rPr>
            </w:pPr>
          </w:p>
        </w:tc>
        <w:tc>
          <w:tcPr>
            <w:tcW w:w="672" w:type="pct"/>
            <w:tcBorders>
              <w:left w:val="single" w:color="auto" w:sz="4" w:space="0"/>
              <w:bottom w:val="single" w:color="auto" w:sz="4" w:space="0"/>
              <w:right w:val="single" w:color="auto" w:sz="4" w:space="0"/>
            </w:tcBorders>
            <w:vAlign w:val="center"/>
          </w:tcPr>
          <w:p w14:paraId="2E6A10B7">
            <w:pPr>
              <w:widowControl/>
              <w:spacing w:line="240" w:lineRule="auto"/>
              <w:jc w:val="center"/>
              <w:rPr>
                <w:rFonts w:ascii="宋体" w:hAnsi="宋体" w:cs="宋体"/>
                <w:bCs/>
                <w:color w:val="000000"/>
                <w:sz w:val="24"/>
                <w:szCs w:val="24"/>
              </w:rPr>
            </w:pPr>
            <w:r>
              <w:rPr>
                <w:rFonts w:hint="eastAsia" w:ascii="宋体" w:hAnsi="宋体" w:eastAsia="宋体" w:cs="宋体"/>
                <w:color w:val="000000"/>
                <w:kern w:val="0"/>
                <w:sz w:val="24"/>
                <w:szCs w:val="24"/>
                <w:lang w:val="en-US" w:eastAsia="zh-CN" w:bidi="ar"/>
              </w:rPr>
              <w:t>人员配备</w:t>
            </w:r>
          </w:p>
        </w:tc>
        <w:tc>
          <w:tcPr>
            <w:tcW w:w="3476" w:type="pct"/>
            <w:tcBorders>
              <w:top w:val="single" w:color="auto" w:sz="4" w:space="0"/>
              <w:left w:val="single" w:color="auto" w:sz="4" w:space="0"/>
              <w:bottom w:val="single" w:color="auto" w:sz="4" w:space="0"/>
              <w:right w:val="single" w:color="auto" w:sz="4" w:space="0"/>
            </w:tcBorders>
            <w:vAlign w:val="center"/>
          </w:tcPr>
          <w:p w14:paraId="548787E1">
            <w:pPr>
              <w:keepNext w:val="0"/>
              <w:keepLines w:val="0"/>
              <w:widowControl/>
              <w:suppressLineNumbers w:val="0"/>
              <w:spacing w:line="52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w:t>
            </w:r>
            <w:r>
              <w:rPr>
                <w:rFonts w:hint="eastAsia" w:ascii="宋体" w:hAnsi="宋体" w:eastAsia="宋体" w:cs="宋体"/>
                <w:color w:val="000000"/>
                <w:kern w:val="0"/>
                <w:sz w:val="24"/>
                <w:szCs w:val="24"/>
                <w:lang w:val="en-US" w:eastAsia="zh-CN" w:bidi="ar"/>
              </w:rPr>
              <w:t>拟派</w:t>
            </w:r>
            <w:r>
              <w:rPr>
                <w:rFonts w:hint="eastAsia" w:ascii="宋体" w:hAnsi="宋体" w:eastAsia="宋体" w:cs="宋体"/>
                <w:i w:val="0"/>
                <w:iCs w:val="0"/>
                <w:color w:val="auto"/>
                <w:kern w:val="0"/>
                <w:sz w:val="24"/>
                <w:szCs w:val="24"/>
                <w:highlight w:val="none"/>
                <w:u w:val="none"/>
                <w:lang w:val="en-US" w:eastAsia="zh-CN" w:bidi="ar"/>
              </w:rPr>
              <w:t>项目经理具</w:t>
            </w:r>
            <w:r>
              <w:rPr>
                <w:rFonts w:hint="eastAsia" w:ascii="宋体" w:hAnsi="宋体" w:cs="宋体"/>
                <w:i w:val="0"/>
                <w:iCs w:val="0"/>
                <w:color w:val="auto"/>
                <w:kern w:val="0"/>
                <w:sz w:val="24"/>
                <w:szCs w:val="24"/>
                <w:highlight w:val="none"/>
                <w:u w:val="none"/>
                <w:lang w:val="en-US" w:eastAsia="zh-CN" w:bidi="ar"/>
              </w:rPr>
              <w:t>有</w:t>
            </w:r>
            <w:r>
              <w:rPr>
                <w:rFonts w:hint="eastAsia" w:ascii="宋体" w:hAnsi="宋体" w:eastAsia="宋体" w:cs="宋体"/>
                <w:i w:val="0"/>
                <w:iCs w:val="0"/>
                <w:color w:val="auto"/>
                <w:kern w:val="0"/>
                <w:sz w:val="24"/>
                <w:szCs w:val="24"/>
                <w:highlight w:val="none"/>
                <w:u w:val="none"/>
                <w:lang w:val="en-US" w:eastAsia="zh-CN" w:bidi="ar"/>
              </w:rPr>
              <w:t>：信息系统项目管理师、网络工程师，每具备一个得4分。本项最高8分。</w:t>
            </w:r>
          </w:p>
          <w:p w14:paraId="18AC1E85">
            <w:pPr>
              <w:keepNext w:val="0"/>
              <w:keepLines w:val="0"/>
              <w:widowControl/>
              <w:suppressLineNumbers w:val="0"/>
              <w:spacing w:line="52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r>
              <w:rPr>
                <w:rFonts w:hint="eastAsia" w:ascii="宋体" w:hAnsi="宋体" w:cs="宋体"/>
                <w:color w:val="auto"/>
                <w:kern w:val="0"/>
                <w:sz w:val="24"/>
                <w:szCs w:val="24"/>
                <w:highlight w:val="none"/>
                <w:u w:val="none"/>
                <w:lang w:bidi="ar"/>
              </w:rPr>
              <w:t>拟派</w:t>
            </w:r>
            <w:r>
              <w:rPr>
                <w:rFonts w:hint="eastAsia" w:ascii="宋体" w:hAnsi="宋体" w:eastAsia="宋体" w:cs="宋体"/>
                <w:i w:val="0"/>
                <w:iCs w:val="0"/>
                <w:color w:val="auto"/>
                <w:kern w:val="0"/>
                <w:sz w:val="24"/>
                <w:szCs w:val="24"/>
                <w:highlight w:val="none"/>
                <w:u w:val="none"/>
                <w:lang w:val="en-US" w:eastAsia="zh-CN" w:bidi="ar"/>
              </w:rPr>
              <w:t>项目团队成员（项目经理除外）具</w:t>
            </w:r>
            <w:r>
              <w:rPr>
                <w:rFonts w:hint="eastAsia" w:ascii="宋体" w:hAnsi="宋体" w:cs="宋体"/>
                <w:i w:val="0"/>
                <w:iCs w:val="0"/>
                <w:color w:val="auto"/>
                <w:kern w:val="0"/>
                <w:sz w:val="24"/>
                <w:szCs w:val="24"/>
                <w:highlight w:val="none"/>
                <w:u w:val="none"/>
                <w:lang w:val="en-US" w:eastAsia="zh-CN" w:bidi="ar"/>
              </w:rPr>
              <w:t>有</w:t>
            </w:r>
            <w:r>
              <w:rPr>
                <w:rFonts w:hint="eastAsia" w:ascii="宋体" w:hAnsi="宋体" w:eastAsia="宋体" w:cs="宋体"/>
                <w:i w:val="0"/>
                <w:iCs w:val="0"/>
                <w:color w:val="auto"/>
                <w:kern w:val="0"/>
                <w:sz w:val="24"/>
                <w:szCs w:val="24"/>
                <w:highlight w:val="none"/>
                <w:u w:val="none"/>
                <w:lang w:val="en-US" w:eastAsia="zh-CN" w:bidi="ar"/>
              </w:rPr>
              <w:t>：</w:t>
            </w:r>
            <w:r>
              <w:rPr>
                <w:rFonts w:hint="eastAsia" w:ascii="宋体" w:hAnsi="宋体" w:cs="宋体"/>
                <w:color w:val="auto"/>
                <w:kern w:val="0"/>
                <w:sz w:val="24"/>
                <w:szCs w:val="24"/>
                <w:highlight w:val="none"/>
                <w:u w:val="none"/>
                <w:lang w:bidi="ar"/>
              </w:rPr>
              <w:t>系统集成项目管理工程师</w:t>
            </w:r>
            <w:r>
              <w:rPr>
                <w:rFonts w:hint="eastAsia" w:ascii="宋体" w:hAnsi="宋体" w:eastAsia="宋体" w:cs="宋体"/>
                <w:i w:val="0"/>
                <w:iCs w:val="0"/>
                <w:color w:val="auto"/>
                <w:kern w:val="0"/>
                <w:sz w:val="24"/>
                <w:szCs w:val="24"/>
                <w:highlight w:val="none"/>
                <w:u w:val="none"/>
                <w:lang w:val="en-US" w:eastAsia="zh-CN" w:bidi="ar"/>
              </w:rPr>
              <w:t>、信息安全工程师，每具备一个得</w:t>
            </w:r>
            <w:r>
              <w:rPr>
                <w:rFonts w:hint="eastAsia" w:ascii="宋体" w:hAnsi="宋体" w:cs="宋体"/>
                <w:i w:val="0"/>
                <w:iCs w:val="0"/>
                <w:color w:val="auto"/>
                <w:kern w:val="0"/>
                <w:sz w:val="24"/>
                <w:szCs w:val="24"/>
                <w:highlight w:val="none"/>
                <w:u w:val="none"/>
                <w:lang w:val="en-US" w:eastAsia="zh-CN" w:bidi="ar"/>
              </w:rPr>
              <w:t>8</w:t>
            </w:r>
            <w:r>
              <w:rPr>
                <w:rFonts w:hint="eastAsia" w:ascii="宋体" w:hAnsi="宋体" w:eastAsia="宋体" w:cs="宋体"/>
                <w:i w:val="0"/>
                <w:iCs w:val="0"/>
                <w:color w:val="auto"/>
                <w:kern w:val="0"/>
                <w:sz w:val="24"/>
                <w:szCs w:val="24"/>
                <w:highlight w:val="none"/>
                <w:u w:val="none"/>
                <w:lang w:val="en-US" w:eastAsia="zh-CN" w:bidi="ar"/>
              </w:rPr>
              <w:t>分。本项最高</w:t>
            </w:r>
            <w:r>
              <w:rPr>
                <w:rFonts w:hint="eastAsia" w:ascii="宋体" w:hAnsi="宋体" w:cs="宋体"/>
                <w:i w:val="0"/>
                <w:iCs w:val="0"/>
                <w:color w:val="auto"/>
                <w:kern w:val="0"/>
                <w:sz w:val="24"/>
                <w:szCs w:val="24"/>
                <w:highlight w:val="none"/>
                <w:u w:val="none"/>
                <w:lang w:val="en-US" w:eastAsia="zh-CN" w:bidi="ar"/>
              </w:rPr>
              <w:t>16</w:t>
            </w:r>
            <w:r>
              <w:rPr>
                <w:rFonts w:hint="eastAsia" w:ascii="宋体" w:hAnsi="宋体" w:eastAsia="宋体" w:cs="宋体"/>
                <w:i w:val="0"/>
                <w:iCs w:val="0"/>
                <w:color w:val="auto"/>
                <w:kern w:val="0"/>
                <w:sz w:val="24"/>
                <w:szCs w:val="24"/>
                <w:highlight w:val="none"/>
                <w:u w:val="none"/>
                <w:lang w:val="en-US" w:eastAsia="zh-CN" w:bidi="ar"/>
              </w:rPr>
              <w:t>分。</w:t>
            </w:r>
          </w:p>
          <w:p w14:paraId="5AD76A7F">
            <w:pPr>
              <w:widowControl/>
              <w:spacing w:line="520" w:lineRule="exact"/>
              <w:jc w:val="left"/>
              <w:textAlignment w:val="center"/>
              <w:rPr>
                <w:rFonts w:ascii="宋体" w:hAnsi="宋体" w:cs="宋体"/>
                <w:b/>
                <w:bCs/>
                <w:color w:val="000000"/>
                <w:sz w:val="24"/>
                <w:szCs w:val="24"/>
              </w:rPr>
            </w:pPr>
            <w:r>
              <w:rPr>
                <w:rFonts w:hint="eastAsia" w:ascii="宋体" w:hAnsi="宋体" w:eastAsia="宋体" w:cs="宋体"/>
                <w:b/>
                <w:bCs/>
                <w:i w:val="0"/>
                <w:iCs w:val="0"/>
                <w:color w:val="auto"/>
                <w:kern w:val="0"/>
                <w:sz w:val="24"/>
                <w:szCs w:val="24"/>
                <w:highlight w:val="none"/>
                <w:u w:val="none"/>
                <w:lang w:val="en-US" w:eastAsia="zh-CN" w:bidi="ar"/>
              </w:rPr>
              <w:t>注：</w:t>
            </w:r>
            <w:r>
              <w:rPr>
                <w:rFonts w:hint="eastAsia" w:ascii="宋体" w:hAnsi="宋体" w:cs="宋体"/>
                <w:b/>
                <w:bCs/>
                <w:color w:val="auto"/>
                <w:kern w:val="0"/>
                <w:sz w:val="24"/>
                <w:szCs w:val="24"/>
                <w:highlight w:val="none"/>
                <w:u w:val="none"/>
                <w:lang w:bidi="ar"/>
              </w:rPr>
              <w:t>①响应文件中提供上述人员证书原件扫描件。②项目团队成员</w:t>
            </w:r>
            <w:r>
              <w:rPr>
                <w:rFonts w:hint="eastAsia" w:ascii="宋体" w:hAnsi="宋体" w:cs="宋体"/>
                <w:b/>
                <w:bCs/>
                <w:color w:val="auto"/>
                <w:kern w:val="0"/>
                <w:sz w:val="24"/>
                <w:szCs w:val="24"/>
                <w:highlight w:val="none"/>
                <w:u w:val="none"/>
                <w:lang w:eastAsia="zh-CN" w:bidi="ar"/>
              </w:rPr>
              <w:t>（</w:t>
            </w:r>
            <w:r>
              <w:rPr>
                <w:rFonts w:hint="eastAsia" w:ascii="宋体" w:hAnsi="宋体" w:cs="宋体"/>
                <w:b/>
                <w:bCs/>
                <w:color w:val="auto"/>
                <w:kern w:val="0"/>
                <w:sz w:val="24"/>
                <w:szCs w:val="24"/>
                <w:highlight w:val="none"/>
                <w:u w:val="none"/>
                <w:lang w:val="en-US" w:eastAsia="zh-CN" w:bidi="ar"/>
              </w:rPr>
              <w:t>项目经理除外）</w:t>
            </w:r>
            <w:r>
              <w:rPr>
                <w:rFonts w:hint="eastAsia" w:ascii="宋体" w:hAnsi="宋体" w:cs="宋体"/>
                <w:b/>
                <w:bCs/>
                <w:color w:val="auto"/>
                <w:kern w:val="0"/>
                <w:sz w:val="24"/>
                <w:szCs w:val="24"/>
                <w:highlight w:val="none"/>
                <w:u w:val="none"/>
                <w:lang w:bidi="ar"/>
              </w:rPr>
              <w:t>提供多个证书不</w:t>
            </w:r>
            <w:r>
              <w:rPr>
                <w:rFonts w:hint="eastAsia" w:ascii="宋体" w:hAnsi="宋体" w:cs="宋体"/>
                <w:b/>
                <w:bCs/>
                <w:color w:val="auto"/>
                <w:kern w:val="0"/>
                <w:sz w:val="24"/>
                <w:szCs w:val="24"/>
                <w:highlight w:val="none"/>
                <w:u w:val="none"/>
                <w:lang w:val="en-US" w:eastAsia="zh-CN" w:bidi="ar"/>
              </w:rPr>
              <w:t>累计得</w:t>
            </w:r>
            <w:r>
              <w:rPr>
                <w:rFonts w:hint="eastAsia" w:ascii="宋体" w:hAnsi="宋体" w:cs="宋体"/>
                <w:b/>
                <w:bCs/>
                <w:color w:val="auto"/>
                <w:kern w:val="0"/>
                <w:sz w:val="24"/>
                <w:szCs w:val="24"/>
                <w:highlight w:val="none"/>
                <w:u w:val="none"/>
                <w:lang w:bidi="ar"/>
              </w:rPr>
              <w:t>分。③以上人员均须为供应商本单位人员，响应文件中需提供磋商截止时间日所属月份（含）过去6个月以内任意1个月的社保证明材料。</w:t>
            </w:r>
          </w:p>
        </w:tc>
        <w:tc>
          <w:tcPr>
            <w:tcW w:w="363" w:type="pct"/>
            <w:tcBorders>
              <w:top w:val="single" w:color="auto" w:sz="4" w:space="0"/>
              <w:left w:val="single" w:color="auto" w:sz="4" w:space="0"/>
              <w:bottom w:val="single" w:color="auto" w:sz="4" w:space="0"/>
              <w:right w:val="single" w:color="auto" w:sz="4" w:space="0"/>
            </w:tcBorders>
            <w:vAlign w:val="center"/>
          </w:tcPr>
          <w:p w14:paraId="66719524">
            <w:pPr>
              <w:spacing w:line="40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0-24分</w:t>
            </w:r>
          </w:p>
        </w:tc>
      </w:tr>
      <w:tr w14:paraId="625B4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488" w:type="pct"/>
            <w:vMerge w:val="continue"/>
            <w:tcBorders>
              <w:left w:val="single" w:color="auto" w:sz="4" w:space="0"/>
              <w:right w:val="single" w:color="auto" w:sz="4" w:space="0"/>
            </w:tcBorders>
            <w:vAlign w:val="center"/>
          </w:tcPr>
          <w:p w14:paraId="1FBB3BB1">
            <w:pPr>
              <w:spacing w:line="400" w:lineRule="exact"/>
              <w:jc w:val="center"/>
              <w:rPr>
                <w:rFonts w:ascii="宋体" w:hAnsi="宋体" w:cs="宋体"/>
                <w:sz w:val="24"/>
                <w:szCs w:val="24"/>
              </w:rPr>
            </w:pPr>
          </w:p>
        </w:tc>
        <w:tc>
          <w:tcPr>
            <w:tcW w:w="672" w:type="pct"/>
            <w:tcBorders>
              <w:left w:val="single" w:color="auto" w:sz="4" w:space="0"/>
              <w:bottom w:val="single" w:color="auto" w:sz="4" w:space="0"/>
              <w:right w:val="single" w:color="auto" w:sz="4" w:space="0"/>
            </w:tcBorders>
            <w:vAlign w:val="center"/>
          </w:tcPr>
          <w:p w14:paraId="2AB57F20">
            <w:pPr>
              <w:widowControl/>
              <w:spacing w:line="400" w:lineRule="exact"/>
              <w:jc w:val="center"/>
              <w:rPr>
                <w:rFonts w:hint="eastAsia" w:ascii="宋体" w:hAnsi="宋体" w:cs="宋体"/>
                <w:color w:val="000000"/>
                <w:sz w:val="24"/>
                <w:szCs w:val="24"/>
              </w:rPr>
            </w:pPr>
            <w:r>
              <w:rPr>
                <w:rFonts w:hint="eastAsia" w:ascii="宋体" w:hAnsi="宋体" w:cs="宋体"/>
                <w:color w:val="000000"/>
                <w:sz w:val="24"/>
                <w:szCs w:val="24"/>
              </w:rPr>
              <w:t>供货及安</w:t>
            </w:r>
          </w:p>
          <w:p w14:paraId="30CE81BB">
            <w:pPr>
              <w:widowControl/>
              <w:spacing w:line="400" w:lineRule="exact"/>
              <w:jc w:val="center"/>
              <w:rPr>
                <w:rFonts w:hint="eastAsia" w:ascii="宋体" w:hAnsi="宋体" w:cs="宋体"/>
                <w:color w:val="000000"/>
                <w:sz w:val="24"/>
                <w:szCs w:val="24"/>
              </w:rPr>
            </w:pPr>
            <w:r>
              <w:rPr>
                <w:rFonts w:hint="eastAsia" w:ascii="宋体" w:hAnsi="宋体" w:cs="宋体"/>
                <w:color w:val="000000"/>
                <w:sz w:val="24"/>
                <w:szCs w:val="24"/>
              </w:rPr>
              <w:t>装（调试）</w:t>
            </w:r>
          </w:p>
          <w:p w14:paraId="24A9489C">
            <w:pPr>
              <w:widowControl/>
              <w:spacing w:line="400" w:lineRule="exact"/>
              <w:jc w:val="center"/>
              <w:rPr>
                <w:rFonts w:ascii="宋体" w:hAnsi="宋体" w:cs="宋体"/>
                <w:color w:val="000000"/>
                <w:sz w:val="24"/>
                <w:szCs w:val="24"/>
              </w:rPr>
            </w:pPr>
            <w:r>
              <w:rPr>
                <w:rFonts w:hint="eastAsia" w:ascii="宋体" w:hAnsi="宋体" w:cs="宋体"/>
                <w:color w:val="000000"/>
                <w:sz w:val="24"/>
                <w:szCs w:val="24"/>
              </w:rPr>
              <w:t>方案</w:t>
            </w:r>
          </w:p>
        </w:tc>
        <w:tc>
          <w:tcPr>
            <w:tcW w:w="3476" w:type="pct"/>
            <w:tcBorders>
              <w:top w:val="single" w:color="auto" w:sz="4" w:space="0"/>
              <w:left w:val="single" w:color="auto" w:sz="4" w:space="0"/>
              <w:bottom w:val="single" w:color="auto" w:sz="4" w:space="0"/>
              <w:right w:val="single" w:color="auto" w:sz="4" w:space="0"/>
            </w:tcBorders>
            <w:vAlign w:val="center"/>
          </w:tcPr>
          <w:p w14:paraId="4CBD04CC">
            <w:pPr>
              <w:keepNext w:val="0"/>
              <w:keepLines w:val="0"/>
              <w:widowControl/>
              <w:suppressLineNumbers w:val="0"/>
              <w:spacing w:line="520" w:lineRule="exact"/>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磋商小组根据采购文件要求及供应商提供的供货及安装</w:t>
            </w:r>
            <w:r>
              <w:rPr>
                <w:rFonts w:hint="eastAsia" w:ascii="宋体" w:hAnsi="宋体" w:cs="宋体"/>
                <w:color w:val="000000"/>
                <w:sz w:val="24"/>
                <w:szCs w:val="24"/>
              </w:rPr>
              <w:t>（调试）</w:t>
            </w:r>
            <w:r>
              <w:rPr>
                <w:rFonts w:hint="eastAsia" w:ascii="宋体" w:hAnsi="宋体" w:eastAsia="宋体" w:cs="宋体"/>
                <w:color w:val="auto"/>
                <w:kern w:val="0"/>
                <w:sz w:val="24"/>
                <w:szCs w:val="24"/>
                <w:highlight w:val="none"/>
                <w:lang w:val="en-US" w:eastAsia="zh-CN" w:bidi="ar"/>
              </w:rPr>
              <w:t>方案，进行综合评分，至少包含下列内容：①供货及安装人员配备； ②紧急配送方案； ③安装（调试）方案；</w:t>
            </w:r>
          </w:p>
          <w:p w14:paraId="47FEBB19">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(1)对本项目特点和难点理解准确，方案优于本项目采购需求， 完整详细，可行性、实用性、针对性强，得 4分； </w:t>
            </w:r>
          </w:p>
          <w:p w14:paraId="5AB4D61F">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(2)对本项目特点和难点理解基本准确，方案适合本项目采购需求，完整详细，具有可行性、实用性和针对性，得 2分； </w:t>
            </w:r>
          </w:p>
          <w:p w14:paraId="2C6F5545">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(3)对本项目特点和难点理解有待提升，方案基本适合本项目采购需求，可行性、实用性、针对性有待改善，得 1 分； </w:t>
            </w:r>
          </w:p>
          <w:p w14:paraId="50CAB517">
            <w:pPr>
              <w:widowControl/>
              <w:spacing w:line="520" w:lineRule="exact"/>
              <w:jc w:val="left"/>
              <w:rPr>
                <w:rFonts w:ascii="宋体" w:hAnsi="宋体" w:cs="宋体"/>
                <w:b/>
                <w:color w:val="000000"/>
                <w:sz w:val="24"/>
                <w:szCs w:val="24"/>
              </w:rPr>
            </w:pPr>
            <w:r>
              <w:rPr>
                <w:rFonts w:hint="eastAsia" w:ascii="宋体" w:hAnsi="宋体" w:eastAsia="宋体" w:cs="宋体"/>
                <w:color w:val="auto"/>
                <w:kern w:val="0"/>
                <w:sz w:val="24"/>
                <w:szCs w:val="24"/>
                <w:highlight w:val="none"/>
                <w:lang w:val="en-US" w:eastAsia="zh-CN" w:bidi="ar"/>
              </w:rPr>
              <w:t>(4)方案不可行或者未提供得 0 分。</w:t>
            </w:r>
          </w:p>
        </w:tc>
        <w:tc>
          <w:tcPr>
            <w:tcW w:w="363" w:type="pct"/>
            <w:tcBorders>
              <w:top w:val="single" w:color="auto" w:sz="4" w:space="0"/>
              <w:left w:val="single" w:color="auto" w:sz="4" w:space="0"/>
              <w:bottom w:val="single" w:color="auto" w:sz="4" w:space="0"/>
              <w:right w:val="single" w:color="auto" w:sz="4" w:space="0"/>
            </w:tcBorders>
            <w:vAlign w:val="center"/>
          </w:tcPr>
          <w:p w14:paraId="2FD35090">
            <w:pPr>
              <w:widowControl/>
              <w:spacing w:line="40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0-4分</w:t>
            </w:r>
          </w:p>
        </w:tc>
      </w:tr>
      <w:tr w14:paraId="23556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488" w:type="pct"/>
            <w:vMerge w:val="continue"/>
            <w:tcBorders>
              <w:left w:val="single" w:color="auto" w:sz="4" w:space="0"/>
              <w:right w:val="single" w:color="auto" w:sz="4" w:space="0"/>
            </w:tcBorders>
            <w:vAlign w:val="center"/>
          </w:tcPr>
          <w:p w14:paraId="7720BB63">
            <w:pPr>
              <w:spacing w:line="400" w:lineRule="exact"/>
              <w:jc w:val="center"/>
              <w:rPr>
                <w:rFonts w:ascii="宋体" w:hAnsi="宋体" w:cs="宋体"/>
                <w:sz w:val="24"/>
                <w:szCs w:val="24"/>
              </w:rPr>
            </w:pPr>
          </w:p>
        </w:tc>
        <w:tc>
          <w:tcPr>
            <w:tcW w:w="672" w:type="pct"/>
            <w:tcBorders>
              <w:left w:val="single" w:color="auto" w:sz="4" w:space="0"/>
              <w:bottom w:val="single" w:color="auto" w:sz="4" w:space="0"/>
              <w:right w:val="single" w:color="auto" w:sz="4" w:space="0"/>
            </w:tcBorders>
            <w:vAlign w:val="center"/>
          </w:tcPr>
          <w:p w14:paraId="6E31F1C2">
            <w:pPr>
              <w:widowControl/>
              <w:spacing w:line="240" w:lineRule="auto"/>
              <w:jc w:val="center"/>
              <w:rPr>
                <w:rFonts w:ascii="宋体" w:hAnsi="宋体" w:cs="宋体"/>
                <w:bCs/>
                <w:color w:val="000000"/>
                <w:sz w:val="24"/>
                <w:szCs w:val="24"/>
              </w:rPr>
            </w:pPr>
            <w:r>
              <w:rPr>
                <w:rFonts w:hint="eastAsia" w:ascii="宋体" w:hAnsi="宋体" w:eastAsia="宋体" w:cs="宋体"/>
                <w:i w:val="0"/>
                <w:iCs w:val="0"/>
                <w:color w:val="auto"/>
                <w:kern w:val="0"/>
                <w:sz w:val="24"/>
                <w:szCs w:val="24"/>
                <w:highlight w:val="none"/>
                <w:u w:val="none"/>
                <w:lang w:val="en-US" w:eastAsia="zh-CN" w:bidi="ar"/>
              </w:rPr>
              <w:t>应急方案</w:t>
            </w:r>
          </w:p>
        </w:tc>
        <w:tc>
          <w:tcPr>
            <w:tcW w:w="3476" w:type="pct"/>
            <w:tcBorders>
              <w:top w:val="single" w:color="auto" w:sz="4" w:space="0"/>
              <w:left w:val="single" w:color="auto" w:sz="4" w:space="0"/>
              <w:bottom w:val="single" w:color="auto" w:sz="4" w:space="0"/>
              <w:right w:val="single" w:color="auto" w:sz="4" w:space="0"/>
            </w:tcBorders>
            <w:vAlign w:val="center"/>
          </w:tcPr>
          <w:p w14:paraId="3DA89242">
            <w:pPr>
              <w:keepNext w:val="0"/>
              <w:keepLines w:val="0"/>
              <w:widowControl/>
              <w:suppressLineNumbers w:val="0"/>
              <w:spacing w:line="520" w:lineRule="exact"/>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磋商小组根据采购文件要求及供应商提供的</w:t>
            </w:r>
            <w:r>
              <w:rPr>
                <w:rFonts w:hint="eastAsia" w:ascii="宋体" w:hAnsi="宋体" w:eastAsia="宋体" w:cs="宋体"/>
                <w:i w:val="0"/>
                <w:iCs w:val="0"/>
                <w:color w:val="auto"/>
                <w:kern w:val="0"/>
                <w:sz w:val="24"/>
                <w:szCs w:val="24"/>
                <w:highlight w:val="none"/>
                <w:u w:val="none"/>
                <w:lang w:val="en-US" w:eastAsia="zh-CN" w:bidi="ar"/>
              </w:rPr>
              <w:t>应急方案</w:t>
            </w:r>
            <w:r>
              <w:rPr>
                <w:rFonts w:hint="eastAsia" w:ascii="宋体" w:hAnsi="宋体" w:eastAsia="宋体" w:cs="宋体"/>
                <w:color w:val="auto"/>
                <w:kern w:val="0"/>
                <w:sz w:val="24"/>
                <w:szCs w:val="24"/>
                <w:highlight w:val="none"/>
                <w:lang w:val="en-US" w:eastAsia="zh-CN" w:bidi="ar"/>
              </w:rPr>
              <w:t>，进行综合评分，至少包含下列内容：①应急故障分类； ②应急响应</w:t>
            </w:r>
            <w:r>
              <w:rPr>
                <w:rFonts w:hint="eastAsia" w:ascii="宋体" w:hAnsi="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③应急处理</w:t>
            </w:r>
            <w:r>
              <w:rPr>
                <w:rFonts w:hint="eastAsia" w:ascii="宋体" w:hAnsi="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④应急管理机制</w:t>
            </w:r>
            <w:r>
              <w:rPr>
                <w:rFonts w:hint="eastAsia" w:ascii="宋体" w:hAnsi="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⑤应急处置原则。</w:t>
            </w:r>
          </w:p>
          <w:p w14:paraId="25651D3F">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(1)对本项目特点和难点理解准确，方案优于本项目采购需求，完整详细，可行性、实用性、针对性强，得 5分； </w:t>
            </w:r>
          </w:p>
          <w:p w14:paraId="3F2CF119">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(2)对本项目特点和难点理解基本准确，方案适合本项目采购需求，完整详细，具有可行性、实用性和针对性，得 3分； </w:t>
            </w:r>
          </w:p>
          <w:p w14:paraId="49205382">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(3)对本项目特点和难点理解有待提升，方案基本适合本项目采购需求，可行性、实用性、针对性有待改善，得 1 分； </w:t>
            </w:r>
          </w:p>
          <w:p w14:paraId="01D06E1E">
            <w:pPr>
              <w:widowControl/>
              <w:spacing w:line="520" w:lineRule="exact"/>
              <w:jc w:val="left"/>
              <w:rPr>
                <w:rFonts w:hint="eastAsia" w:ascii="宋体" w:hAnsi="宋体" w:eastAsia="宋体" w:cs="宋体"/>
                <w:b/>
                <w:color w:val="000000"/>
                <w:sz w:val="24"/>
                <w:szCs w:val="24"/>
                <w:lang w:val="en-US" w:eastAsia="zh-CN"/>
              </w:rPr>
            </w:pPr>
            <w:r>
              <w:rPr>
                <w:rFonts w:hint="eastAsia" w:ascii="宋体" w:hAnsi="宋体" w:eastAsia="宋体" w:cs="宋体"/>
                <w:color w:val="auto"/>
                <w:kern w:val="0"/>
                <w:sz w:val="24"/>
                <w:szCs w:val="24"/>
                <w:highlight w:val="none"/>
                <w:lang w:val="en-US" w:eastAsia="zh-CN" w:bidi="ar"/>
              </w:rPr>
              <w:t>(4)方案不可行或者未提供得 0 分。</w:t>
            </w:r>
          </w:p>
        </w:tc>
        <w:tc>
          <w:tcPr>
            <w:tcW w:w="363" w:type="pct"/>
            <w:tcBorders>
              <w:top w:val="single" w:color="auto" w:sz="4" w:space="0"/>
              <w:left w:val="single" w:color="auto" w:sz="4" w:space="0"/>
              <w:bottom w:val="single" w:color="auto" w:sz="4" w:space="0"/>
              <w:right w:val="single" w:color="auto" w:sz="4" w:space="0"/>
            </w:tcBorders>
            <w:vAlign w:val="center"/>
          </w:tcPr>
          <w:p w14:paraId="24E603F6">
            <w:pPr>
              <w:spacing w:line="40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0-5分</w:t>
            </w:r>
          </w:p>
        </w:tc>
      </w:tr>
      <w:tr w14:paraId="23EE0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488" w:type="pct"/>
            <w:vMerge w:val="continue"/>
            <w:tcBorders>
              <w:left w:val="single" w:color="auto" w:sz="4" w:space="0"/>
              <w:right w:val="single" w:color="auto" w:sz="4" w:space="0"/>
            </w:tcBorders>
            <w:vAlign w:val="center"/>
          </w:tcPr>
          <w:p w14:paraId="2E10A625">
            <w:pPr>
              <w:spacing w:line="400" w:lineRule="exact"/>
              <w:jc w:val="center"/>
              <w:rPr>
                <w:rFonts w:ascii="宋体" w:hAnsi="宋体" w:cs="宋体"/>
                <w:sz w:val="24"/>
                <w:szCs w:val="24"/>
              </w:rPr>
            </w:pPr>
          </w:p>
        </w:tc>
        <w:tc>
          <w:tcPr>
            <w:tcW w:w="672" w:type="pct"/>
            <w:tcBorders>
              <w:left w:val="single" w:color="auto" w:sz="4" w:space="0"/>
              <w:bottom w:val="single" w:color="auto" w:sz="4" w:space="0"/>
              <w:right w:val="single" w:color="auto" w:sz="4" w:space="0"/>
            </w:tcBorders>
            <w:vAlign w:val="center"/>
          </w:tcPr>
          <w:p w14:paraId="21C51543">
            <w:pPr>
              <w:widowControl/>
              <w:spacing w:line="240" w:lineRule="auto"/>
              <w:jc w:val="center"/>
              <w:rPr>
                <w:rFonts w:ascii="宋体" w:hAnsi="宋体" w:cs="宋体"/>
                <w:bCs/>
                <w:color w:val="000000"/>
                <w:sz w:val="24"/>
                <w:szCs w:val="24"/>
              </w:rPr>
            </w:pPr>
            <w:r>
              <w:rPr>
                <w:rFonts w:hint="eastAsia" w:ascii="宋体" w:hAnsi="宋体" w:eastAsia="宋体" w:cs="宋体"/>
                <w:color w:val="000000"/>
                <w:kern w:val="0"/>
                <w:sz w:val="24"/>
                <w:szCs w:val="24"/>
                <w:lang w:val="en-US" w:eastAsia="zh-CN" w:bidi="ar"/>
              </w:rPr>
              <w:t>培训方案</w:t>
            </w:r>
          </w:p>
        </w:tc>
        <w:tc>
          <w:tcPr>
            <w:tcW w:w="3476" w:type="pct"/>
            <w:tcBorders>
              <w:top w:val="single" w:color="auto" w:sz="4" w:space="0"/>
              <w:left w:val="single" w:color="auto" w:sz="4" w:space="0"/>
              <w:bottom w:val="single" w:color="auto" w:sz="4" w:space="0"/>
              <w:right w:val="single" w:color="auto" w:sz="4" w:space="0"/>
            </w:tcBorders>
            <w:vAlign w:val="center"/>
          </w:tcPr>
          <w:p w14:paraId="51DB01D5">
            <w:pPr>
              <w:keepNext w:val="0"/>
              <w:keepLines w:val="0"/>
              <w:widowControl/>
              <w:suppressLineNumbers w:val="0"/>
              <w:spacing w:line="520" w:lineRule="exact"/>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磋商小组根据采购文件要求及供应商提供的</w:t>
            </w:r>
            <w:r>
              <w:rPr>
                <w:rFonts w:hint="eastAsia" w:ascii="宋体" w:hAnsi="宋体" w:eastAsia="宋体" w:cs="宋体"/>
                <w:color w:val="000000"/>
                <w:kern w:val="0"/>
                <w:sz w:val="24"/>
                <w:szCs w:val="24"/>
                <w:lang w:val="en-US" w:eastAsia="zh-CN" w:bidi="ar"/>
              </w:rPr>
              <w:t>培训方案</w:t>
            </w:r>
            <w:r>
              <w:rPr>
                <w:rFonts w:hint="eastAsia" w:ascii="宋体" w:hAnsi="宋体" w:eastAsia="宋体" w:cs="宋体"/>
                <w:color w:val="auto"/>
                <w:kern w:val="0"/>
                <w:sz w:val="24"/>
                <w:szCs w:val="24"/>
                <w:highlight w:val="none"/>
                <w:lang w:val="en-US" w:eastAsia="zh-CN" w:bidi="ar"/>
              </w:rPr>
              <w:t>，进行综合评分，至少包含下列内容：①培训目标</w:t>
            </w:r>
            <w:r>
              <w:rPr>
                <w:rFonts w:hint="eastAsia" w:ascii="宋体" w:hAnsi="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②培训对象</w:t>
            </w:r>
            <w:r>
              <w:rPr>
                <w:rFonts w:hint="eastAsia" w:ascii="宋体" w:hAnsi="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③培训方式</w:t>
            </w:r>
            <w:r>
              <w:rPr>
                <w:rFonts w:hint="eastAsia" w:ascii="宋体" w:hAnsi="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④培训内容</w:t>
            </w:r>
            <w:r>
              <w:rPr>
                <w:rFonts w:hint="eastAsia" w:ascii="宋体" w:hAnsi="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⑤培训考核。</w:t>
            </w:r>
          </w:p>
          <w:p w14:paraId="0AC8E7E4">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(1)对本项目特点和难点理解准确，方案优于本项目采购需求，完整详细，可行性、实用性、针对性强，得5分； </w:t>
            </w:r>
          </w:p>
          <w:p w14:paraId="4018198F">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(2)对本项目特点和难点理解基本准确，方案适合本项目采购需求，完整详细，具有可行性、实用性和针对性，得 3分； </w:t>
            </w:r>
          </w:p>
          <w:p w14:paraId="75F4656B">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(3)对本项目特点和难点理解有待提升，方案基本适合本项目采购需求，可行性、实用性、针对性有待改善，得 1 分； </w:t>
            </w:r>
          </w:p>
          <w:p w14:paraId="71A395B7">
            <w:pPr>
              <w:widowControl/>
              <w:spacing w:line="520" w:lineRule="exact"/>
              <w:jc w:val="left"/>
              <w:rPr>
                <w:rFonts w:ascii="宋体" w:hAnsi="宋体" w:cs="宋体"/>
                <w:b/>
                <w:color w:val="000000"/>
                <w:sz w:val="24"/>
                <w:szCs w:val="24"/>
              </w:rPr>
            </w:pPr>
            <w:r>
              <w:rPr>
                <w:rFonts w:hint="eastAsia" w:ascii="宋体" w:hAnsi="宋体" w:eastAsia="宋体" w:cs="宋体"/>
                <w:color w:val="auto"/>
                <w:kern w:val="0"/>
                <w:sz w:val="24"/>
                <w:szCs w:val="24"/>
                <w:highlight w:val="none"/>
                <w:lang w:val="en-US" w:eastAsia="zh-CN" w:bidi="ar"/>
              </w:rPr>
              <w:t>(4)方案不可行或者未提供得 0 分。</w:t>
            </w:r>
          </w:p>
        </w:tc>
        <w:tc>
          <w:tcPr>
            <w:tcW w:w="363" w:type="pct"/>
            <w:tcBorders>
              <w:top w:val="single" w:color="auto" w:sz="4" w:space="0"/>
              <w:left w:val="single" w:color="auto" w:sz="4" w:space="0"/>
              <w:bottom w:val="single" w:color="auto" w:sz="4" w:space="0"/>
              <w:right w:val="single" w:color="auto" w:sz="4" w:space="0"/>
            </w:tcBorders>
            <w:vAlign w:val="center"/>
          </w:tcPr>
          <w:p w14:paraId="3ABA7ECC">
            <w:pPr>
              <w:spacing w:line="40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0-5分</w:t>
            </w:r>
          </w:p>
        </w:tc>
      </w:tr>
      <w:tr w14:paraId="3A9CD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488" w:type="pct"/>
            <w:vMerge w:val="continue"/>
            <w:tcBorders>
              <w:left w:val="single" w:color="auto" w:sz="4" w:space="0"/>
              <w:right w:val="single" w:color="auto" w:sz="4" w:space="0"/>
            </w:tcBorders>
            <w:vAlign w:val="center"/>
          </w:tcPr>
          <w:p w14:paraId="686BB92D">
            <w:pPr>
              <w:spacing w:line="400" w:lineRule="exact"/>
              <w:jc w:val="center"/>
              <w:rPr>
                <w:rFonts w:ascii="宋体" w:hAnsi="宋体" w:cs="宋体"/>
                <w:sz w:val="24"/>
                <w:szCs w:val="24"/>
              </w:rPr>
            </w:pPr>
          </w:p>
        </w:tc>
        <w:tc>
          <w:tcPr>
            <w:tcW w:w="672" w:type="pct"/>
            <w:tcBorders>
              <w:left w:val="single" w:color="auto" w:sz="4" w:space="0"/>
              <w:bottom w:val="single" w:color="auto" w:sz="4" w:space="0"/>
              <w:right w:val="single" w:color="auto" w:sz="4" w:space="0"/>
            </w:tcBorders>
            <w:vAlign w:val="center"/>
          </w:tcPr>
          <w:p w14:paraId="058F1B5A">
            <w:pPr>
              <w:widowControl/>
              <w:spacing w:line="240" w:lineRule="auto"/>
              <w:jc w:val="center"/>
              <w:rPr>
                <w:rFonts w:hint="eastAsia" w:ascii="宋体" w:hAnsi="宋体" w:eastAsia="宋体" w:cs="宋体"/>
                <w:color w:val="000000"/>
                <w:kern w:val="0"/>
                <w:sz w:val="24"/>
                <w:szCs w:val="24"/>
                <w:lang w:val="en-US" w:eastAsia="zh-CN" w:bidi="ar"/>
              </w:rPr>
            </w:pPr>
            <w:r>
              <w:rPr>
                <w:rFonts w:hint="eastAsia" w:ascii="宋体" w:hAnsi="宋体" w:eastAsia="宋体" w:cs="宋体"/>
                <w:i w:val="0"/>
                <w:iCs w:val="0"/>
                <w:color w:val="auto"/>
                <w:kern w:val="0"/>
                <w:sz w:val="24"/>
                <w:szCs w:val="24"/>
                <w:highlight w:val="none"/>
                <w:u w:val="none"/>
                <w:lang w:val="en-US" w:eastAsia="zh-CN" w:bidi="ar"/>
              </w:rPr>
              <w:t>运维方案</w:t>
            </w:r>
          </w:p>
        </w:tc>
        <w:tc>
          <w:tcPr>
            <w:tcW w:w="3476" w:type="pct"/>
            <w:tcBorders>
              <w:top w:val="single" w:color="auto" w:sz="4" w:space="0"/>
              <w:left w:val="single" w:color="auto" w:sz="4" w:space="0"/>
              <w:bottom w:val="single" w:color="auto" w:sz="4" w:space="0"/>
              <w:right w:val="single" w:color="auto" w:sz="4" w:space="0"/>
            </w:tcBorders>
            <w:vAlign w:val="center"/>
          </w:tcPr>
          <w:p w14:paraId="42BCB0A0">
            <w:pPr>
              <w:keepNext w:val="0"/>
              <w:keepLines w:val="0"/>
              <w:widowControl/>
              <w:suppressLineNumbers w:val="0"/>
              <w:spacing w:line="520" w:lineRule="exact"/>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磋商小组根据采购文件要求及供应商提供的</w:t>
            </w:r>
            <w:r>
              <w:rPr>
                <w:rFonts w:hint="eastAsia" w:ascii="宋体" w:hAnsi="宋体" w:eastAsia="宋体" w:cs="宋体"/>
                <w:i w:val="0"/>
                <w:iCs w:val="0"/>
                <w:color w:val="auto"/>
                <w:kern w:val="0"/>
                <w:sz w:val="24"/>
                <w:szCs w:val="24"/>
                <w:highlight w:val="none"/>
                <w:u w:val="none"/>
                <w:lang w:val="en-US" w:eastAsia="zh-CN" w:bidi="ar"/>
              </w:rPr>
              <w:t>运维</w:t>
            </w:r>
            <w:r>
              <w:rPr>
                <w:rFonts w:hint="eastAsia" w:ascii="宋体" w:hAnsi="宋体" w:eastAsia="宋体" w:cs="宋体"/>
                <w:color w:val="000000"/>
                <w:kern w:val="0"/>
                <w:sz w:val="24"/>
                <w:szCs w:val="24"/>
                <w:lang w:val="en-US" w:eastAsia="zh-CN" w:bidi="ar"/>
              </w:rPr>
              <w:t>方案</w:t>
            </w:r>
            <w:r>
              <w:rPr>
                <w:rFonts w:hint="eastAsia" w:ascii="宋体" w:hAnsi="宋体" w:eastAsia="宋体" w:cs="宋体"/>
                <w:color w:val="auto"/>
                <w:kern w:val="0"/>
                <w:sz w:val="24"/>
                <w:szCs w:val="24"/>
                <w:highlight w:val="none"/>
                <w:lang w:val="en-US" w:eastAsia="zh-CN" w:bidi="ar"/>
              </w:rPr>
              <w:t>，进行综合评分，至少包含下列内容：①</w:t>
            </w:r>
            <w:r>
              <w:rPr>
                <w:rFonts w:hint="eastAsia" w:ascii="宋体" w:hAnsi="宋体" w:eastAsia="宋体" w:cs="宋体"/>
                <w:i w:val="0"/>
                <w:iCs w:val="0"/>
                <w:color w:val="auto"/>
                <w:kern w:val="0"/>
                <w:sz w:val="24"/>
                <w:szCs w:val="24"/>
                <w:highlight w:val="none"/>
                <w:u w:val="none"/>
                <w:lang w:val="en-US" w:eastAsia="zh-CN" w:bidi="ar"/>
              </w:rPr>
              <w:t>运维服务体系</w:t>
            </w:r>
            <w:r>
              <w:rPr>
                <w:rFonts w:hint="eastAsia" w:ascii="宋体" w:hAnsi="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②</w:t>
            </w:r>
            <w:r>
              <w:rPr>
                <w:rFonts w:hint="eastAsia" w:ascii="宋体" w:hAnsi="宋体" w:eastAsia="宋体" w:cs="宋体"/>
                <w:i w:val="0"/>
                <w:iCs w:val="0"/>
                <w:color w:val="auto"/>
                <w:kern w:val="0"/>
                <w:sz w:val="24"/>
                <w:szCs w:val="24"/>
                <w:highlight w:val="none"/>
                <w:u w:val="none"/>
                <w:lang w:val="en-US" w:eastAsia="zh-CN" w:bidi="ar"/>
              </w:rPr>
              <w:t>运维保障</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color w:val="auto"/>
                <w:kern w:val="0"/>
                <w:sz w:val="24"/>
                <w:szCs w:val="24"/>
                <w:highlight w:val="none"/>
                <w:lang w:val="en-US" w:eastAsia="zh-CN" w:bidi="ar"/>
              </w:rPr>
              <w:t>③</w:t>
            </w:r>
            <w:r>
              <w:rPr>
                <w:rFonts w:hint="eastAsia" w:ascii="宋体" w:hAnsi="宋体" w:eastAsia="宋体" w:cs="宋体"/>
                <w:i w:val="0"/>
                <w:iCs w:val="0"/>
                <w:color w:val="auto"/>
                <w:kern w:val="0"/>
                <w:sz w:val="24"/>
                <w:szCs w:val="24"/>
                <w:highlight w:val="none"/>
                <w:u w:val="none"/>
                <w:lang w:val="en-US" w:eastAsia="zh-CN" w:bidi="ar"/>
              </w:rPr>
              <w:t>常见故障解决</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color w:val="auto"/>
                <w:kern w:val="0"/>
                <w:sz w:val="24"/>
                <w:szCs w:val="24"/>
                <w:highlight w:val="none"/>
                <w:lang w:val="en-US" w:eastAsia="zh-CN" w:bidi="ar"/>
              </w:rPr>
              <w:t>④</w:t>
            </w:r>
            <w:r>
              <w:rPr>
                <w:rFonts w:hint="eastAsia" w:ascii="宋体" w:hAnsi="宋体" w:eastAsia="宋体" w:cs="宋体"/>
                <w:i w:val="0"/>
                <w:iCs w:val="0"/>
                <w:color w:val="auto"/>
                <w:kern w:val="0"/>
                <w:sz w:val="24"/>
                <w:szCs w:val="24"/>
                <w:highlight w:val="none"/>
                <w:u w:val="none"/>
                <w:lang w:val="en-US" w:eastAsia="zh-CN" w:bidi="ar"/>
              </w:rPr>
              <w:t>响应时间</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color w:val="auto"/>
                <w:kern w:val="0"/>
                <w:sz w:val="24"/>
                <w:szCs w:val="24"/>
                <w:highlight w:val="none"/>
                <w:lang w:val="en-US" w:eastAsia="zh-CN" w:bidi="ar"/>
              </w:rPr>
              <w:t>⑤</w:t>
            </w:r>
            <w:r>
              <w:rPr>
                <w:rFonts w:hint="eastAsia" w:ascii="宋体" w:hAnsi="宋体" w:eastAsia="宋体" w:cs="宋体"/>
                <w:i w:val="0"/>
                <w:iCs w:val="0"/>
                <w:color w:val="auto"/>
                <w:kern w:val="0"/>
                <w:sz w:val="24"/>
                <w:szCs w:val="24"/>
                <w:highlight w:val="none"/>
                <w:u w:val="none"/>
                <w:lang w:val="en-US" w:eastAsia="zh-CN" w:bidi="ar"/>
              </w:rPr>
              <w:t>售后服务电话</w:t>
            </w:r>
            <w:r>
              <w:rPr>
                <w:rFonts w:hint="eastAsia" w:ascii="宋体" w:hAnsi="宋体" w:eastAsia="宋体" w:cs="宋体"/>
                <w:color w:val="auto"/>
                <w:kern w:val="0"/>
                <w:sz w:val="24"/>
                <w:szCs w:val="24"/>
                <w:highlight w:val="none"/>
                <w:lang w:val="en-US" w:eastAsia="zh-CN" w:bidi="ar"/>
              </w:rPr>
              <w:t>。</w:t>
            </w:r>
          </w:p>
          <w:p w14:paraId="0591EEA7">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(1)对本项目特点和难点理解准确，方案优于本项目采购需求， 完整详细，可行性、实用性、针对性强，得 5分； </w:t>
            </w:r>
          </w:p>
          <w:p w14:paraId="08F742CB">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(2)对本项目特点和难点理解基本准确，方案适合本项目采购需 求，完整详细，具有可行性、实用性和针对性，得 3分； </w:t>
            </w:r>
          </w:p>
          <w:p w14:paraId="19EFA139">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(3)对本项目特点和难点理解有待提升，方案基本适合本项目采购需求，可行性、实用性、针对性有待改善，得 1 分； </w:t>
            </w:r>
          </w:p>
          <w:p w14:paraId="7EC572D2">
            <w:pPr>
              <w:widowControl/>
              <w:spacing w:line="520" w:lineRule="exact"/>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auto"/>
                <w:kern w:val="0"/>
                <w:sz w:val="24"/>
                <w:szCs w:val="24"/>
                <w:highlight w:val="none"/>
                <w:lang w:val="en-US" w:eastAsia="zh-CN" w:bidi="ar"/>
              </w:rPr>
              <w:t>(4)方案不可行或者未提供得 0 分。</w:t>
            </w:r>
          </w:p>
        </w:tc>
        <w:tc>
          <w:tcPr>
            <w:tcW w:w="363" w:type="pct"/>
            <w:tcBorders>
              <w:top w:val="single" w:color="auto" w:sz="4" w:space="0"/>
              <w:left w:val="single" w:color="auto" w:sz="4" w:space="0"/>
              <w:bottom w:val="single" w:color="auto" w:sz="4" w:space="0"/>
              <w:right w:val="single" w:color="auto" w:sz="4" w:space="0"/>
            </w:tcBorders>
            <w:vAlign w:val="center"/>
          </w:tcPr>
          <w:p w14:paraId="757A9F03">
            <w:pPr>
              <w:spacing w:line="400" w:lineRule="exact"/>
              <w:jc w:val="center"/>
              <w:rPr>
                <w:rFonts w:hint="default" w:ascii="宋体" w:hAnsi="宋体" w:cs="宋体"/>
                <w:color w:val="000000"/>
                <w:sz w:val="24"/>
                <w:szCs w:val="24"/>
                <w:lang w:val="en-US" w:eastAsia="zh-CN"/>
              </w:rPr>
            </w:pPr>
            <w:r>
              <w:rPr>
                <w:rFonts w:hint="eastAsia" w:ascii="宋体" w:hAnsi="宋体" w:cs="宋体"/>
                <w:color w:val="000000"/>
                <w:sz w:val="24"/>
                <w:szCs w:val="24"/>
                <w:lang w:val="en-US" w:eastAsia="zh-CN"/>
              </w:rPr>
              <w:t>0-5分</w:t>
            </w:r>
          </w:p>
        </w:tc>
      </w:tr>
      <w:tr w14:paraId="29497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488" w:type="pct"/>
            <w:vMerge w:val="continue"/>
            <w:tcBorders>
              <w:left w:val="single" w:color="auto" w:sz="4" w:space="0"/>
              <w:right w:val="single" w:color="auto" w:sz="4" w:space="0"/>
            </w:tcBorders>
            <w:vAlign w:val="center"/>
          </w:tcPr>
          <w:p w14:paraId="1800EAB0">
            <w:pPr>
              <w:spacing w:line="400" w:lineRule="exact"/>
              <w:jc w:val="center"/>
              <w:rPr>
                <w:rFonts w:ascii="宋体" w:hAnsi="宋体" w:cs="宋体"/>
                <w:sz w:val="24"/>
                <w:szCs w:val="24"/>
              </w:rPr>
            </w:pPr>
          </w:p>
        </w:tc>
        <w:tc>
          <w:tcPr>
            <w:tcW w:w="672" w:type="pct"/>
            <w:tcBorders>
              <w:left w:val="single" w:color="auto" w:sz="4" w:space="0"/>
              <w:bottom w:val="single" w:color="auto" w:sz="4" w:space="0"/>
              <w:right w:val="single" w:color="auto" w:sz="4" w:space="0"/>
            </w:tcBorders>
            <w:vAlign w:val="center"/>
          </w:tcPr>
          <w:p w14:paraId="44D72791">
            <w:pPr>
              <w:keepNext w:val="0"/>
              <w:keepLines w:val="0"/>
              <w:widowControl/>
              <w:suppressLineNumbers w:val="0"/>
              <w:jc w:val="center"/>
              <w:rPr>
                <w:rFonts w:ascii="宋体" w:hAnsi="宋体" w:cs="宋体"/>
                <w:bCs/>
                <w:color w:val="000000"/>
                <w:sz w:val="24"/>
                <w:szCs w:val="24"/>
              </w:rPr>
            </w:pPr>
            <w:r>
              <w:rPr>
                <w:rFonts w:hint="eastAsia" w:ascii="宋体" w:hAnsi="宋体" w:eastAsia="宋体" w:cs="宋体"/>
                <w:color w:val="000000"/>
                <w:kern w:val="0"/>
                <w:sz w:val="24"/>
                <w:szCs w:val="24"/>
                <w:lang w:val="en-US" w:eastAsia="zh-CN" w:bidi="ar"/>
              </w:rPr>
              <w:t>售后服务方案</w:t>
            </w:r>
          </w:p>
        </w:tc>
        <w:tc>
          <w:tcPr>
            <w:tcW w:w="3476" w:type="pct"/>
            <w:tcBorders>
              <w:top w:val="single" w:color="auto" w:sz="4" w:space="0"/>
              <w:left w:val="single" w:color="auto" w:sz="4" w:space="0"/>
              <w:bottom w:val="single" w:color="auto" w:sz="4" w:space="0"/>
              <w:right w:val="single" w:color="auto" w:sz="4" w:space="0"/>
            </w:tcBorders>
            <w:vAlign w:val="center"/>
          </w:tcPr>
          <w:p w14:paraId="21339BC4">
            <w:pPr>
              <w:numPr>
                <w:ilvl w:val="-1"/>
                <w:numId w:val="0"/>
              </w:numPr>
              <w:spacing w:line="520" w:lineRule="exac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磋商小组根据采购文件要求及供应商提供的</w:t>
            </w:r>
            <w:r>
              <w:rPr>
                <w:rFonts w:hint="eastAsia" w:ascii="宋体" w:hAnsi="宋体" w:eastAsia="宋体" w:cs="宋体"/>
                <w:color w:val="000000"/>
                <w:kern w:val="0"/>
                <w:sz w:val="24"/>
                <w:szCs w:val="24"/>
                <w:lang w:val="en-US" w:eastAsia="zh-CN" w:bidi="ar"/>
              </w:rPr>
              <w:t>售后服务</w:t>
            </w:r>
            <w:r>
              <w:rPr>
                <w:rFonts w:hint="eastAsia" w:ascii="宋体" w:hAnsi="宋体" w:eastAsia="宋体" w:cs="宋体"/>
                <w:color w:val="auto"/>
                <w:kern w:val="0"/>
                <w:sz w:val="24"/>
                <w:szCs w:val="24"/>
                <w:highlight w:val="none"/>
                <w:lang w:val="en-US" w:eastAsia="zh-CN" w:bidi="ar"/>
              </w:rPr>
              <w:t>，进行综合评分，至少包含下列内容：①</w:t>
            </w:r>
            <w:r>
              <w:rPr>
                <w:rFonts w:hint="eastAsia" w:ascii="宋体" w:hAnsi="宋体" w:eastAsia="宋体" w:cs="宋体"/>
                <w:i w:val="0"/>
                <w:iCs w:val="0"/>
                <w:color w:val="auto"/>
                <w:kern w:val="0"/>
                <w:sz w:val="24"/>
                <w:szCs w:val="24"/>
                <w:highlight w:val="none"/>
                <w:u w:val="none"/>
                <w:lang w:val="en-US" w:eastAsia="zh-CN" w:bidi="ar"/>
              </w:rPr>
              <w:t>售后服务体系</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color w:val="auto"/>
                <w:kern w:val="0"/>
                <w:sz w:val="24"/>
                <w:szCs w:val="24"/>
                <w:highlight w:val="none"/>
                <w:lang w:val="en-US" w:eastAsia="zh-CN" w:bidi="ar"/>
              </w:rPr>
              <w:t>②</w:t>
            </w:r>
            <w:r>
              <w:rPr>
                <w:rFonts w:hint="eastAsia" w:ascii="宋体" w:hAnsi="宋体" w:eastAsia="宋体" w:cs="宋体"/>
                <w:i w:val="0"/>
                <w:iCs w:val="0"/>
                <w:color w:val="auto"/>
                <w:kern w:val="0"/>
                <w:sz w:val="24"/>
                <w:szCs w:val="24"/>
                <w:highlight w:val="none"/>
                <w:u w:val="none"/>
                <w:lang w:val="en-US" w:eastAsia="zh-CN" w:bidi="ar"/>
              </w:rPr>
              <w:t>售后服务保障措施</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color w:val="auto"/>
                <w:kern w:val="0"/>
                <w:sz w:val="24"/>
                <w:szCs w:val="24"/>
                <w:highlight w:val="none"/>
                <w:lang w:val="en-US" w:eastAsia="zh-CN" w:bidi="ar"/>
              </w:rPr>
              <w:t>③</w:t>
            </w:r>
            <w:r>
              <w:rPr>
                <w:rFonts w:hint="eastAsia" w:ascii="宋体" w:hAnsi="宋体" w:eastAsia="宋体" w:cs="宋体"/>
                <w:i w:val="0"/>
                <w:iCs w:val="0"/>
                <w:color w:val="auto"/>
                <w:kern w:val="0"/>
                <w:sz w:val="24"/>
                <w:szCs w:val="24"/>
                <w:highlight w:val="none"/>
                <w:u w:val="none"/>
                <w:lang w:val="en-US" w:eastAsia="zh-CN" w:bidi="ar"/>
              </w:rPr>
              <w:t>服务方式</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color w:val="auto"/>
                <w:kern w:val="0"/>
                <w:sz w:val="24"/>
                <w:szCs w:val="24"/>
                <w:highlight w:val="none"/>
                <w:lang w:val="en-US" w:eastAsia="zh-CN" w:bidi="ar"/>
              </w:rPr>
              <w:t>④</w:t>
            </w:r>
            <w:r>
              <w:rPr>
                <w:rFonts w:hint="eastAsia" w:ascii="宋体" w:hAnsi="宋体" w:eastAsia="宋体" w:cs="宋体"/>
                <w:i w:val="0"/>
                <w:iCs w:val="0"/>
                <w:color w:val="auto"/>
                <w:kern w:val="0"/>
                <w:sz w:val="24"/>
                <w:szCs w:val="24"/>
                <w:highlight w:val="none"/>
                <w:u w:val="none"/>
                <w:lang w:val="en-US" w:eastAsia="zh-CN" w:bidi="ar"/>
              </w:rPr>
              <w:t>服务人员配备</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color w:val="auto"/>
                <w:kern w:val="0"/>
                <w:sz w:val="24"/>
                <w:szCs w:val="24"/>
                <w:highlight w:val="none"/>
                <w:lang w:val="en-US" w:eastAsia="zh-CN" w:bidi="ar"/>
              </w:rPr>
              <w:t>⑤</w:t>
            </w:r>
            <w:r>
              <w:rPr>
                <w:rFonts w:hint="eastAsia" w:ascii="宋体" w:hAnsi="宋体" w:eastAsia="宋体" w:cs="宋体"/>
                <w:i w:val="0"/>
                <w:iCs w:val="0"/>
                <w:color w:val="auto"/>
                <w:kern w:val="0"/>
                <w:sz w:val="24"/>
                <w:szCs w:val="24"/>
                <w:highlight w:val="none"/>
                <w:u w:val="none"/>
                <w:lang w:val="en-US" w:eastAsia="zh-CN" w:bidi="ar"/>
              </w:rPr>
              <w:t>设备维护、维修、更换服务方案</w:t>
            </w:r>
            <w:r>
              <w:rPr>
                <w:rFonts w:hint="eastAsia" w:ascii="宋体" w:hAnsi="宋体" w:eastAsia="宋体" w:cs="宋体"/>
                <w:color w:val="auto"/>
                <w:kern w:val="0"/>
                <w:sz w:val="24"/>
                <w:szCs w:val="24"/>
                <w:highlight w:val="none"/>
                <w:lang w:val="en-US" w:eastAsia="zh-CN" w:bidi="ar"/>
              </w:rPr>
              <w:t>。</w:t>
            </w:r>
          </w:p>
          <w:p w14:paraId="266A3C8A">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(1)对本项目特点和难点理解准确，方案优于本项目采购需求，完整详细，可行性、实用性、针对性强，得 5分； </w:t>
            </w:r>
          </w:p>
          <w:p w14:paraId="5F5EA85C">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(2)对本项目特点和难点理解基本准确，方案适合本项目采购需求，完整详细，具有可行性、实用性和针对性，得 3分； </w:t>
            </w:r>
          </w:p>
          <w:p w14:paraId="5BEE0486">
            <w:pPr>
              <w:keepNext w:val="0"/>
              <w:keepLines w:val="0"/>
              <w:widowControl/>
              <w:suppressLineNumbers w:val="0"/>
              <w:spacing w:line="520" w:lineRule="exact"/>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(3)对本项目特点和难点理解有待提升，方案基本适合本项目采购需求，可行性、实用性、针对性有待改善，得 1 分； </w:t>
            </w:r>
          </w:p>
          <w:p w14:paraId="7D15645D">
            <w:pPr>
              <w:widowControl/>
              <w:spacing w:line="520" w:lineRule="exact"/>
              <w:jc w:val="left"/>
              <w:rPr>
                <w:rFonts w:ascii="宋体" w:hAnsi="宋体" w:cs="宋体"/>
                <w:b/>
                <w:color w:val="000000"/>
                <w:sz w:val="24"/>
                <w:szCs w:val="24"/>
              </w:rPr>
            </w:pPr>
            <w:r>
              <w:rPr>
                <w:rFonts w:hint="eastAsia" w:ascii="宋体" w:hAnsi="宋体" w:eastAsia="宋体" w:cs="宋体"/>
                <w:color w:val="auto"/>
                <w:kern w:val="0"/>
                <w:sz w:val="24"/>
                <w:szCs w:val="24"/>
                <w:highlight w:val="none"/>
                <w:lang w:val="en-US" w:eastAsia="zh-CN" w:bidi="ar"/>
              </w:rPr>
              <w:t>(4)方案不可行或者未提供得 0 分。</w:t>
            </w:r>
          </w:p>
        </w:tc>
        <w:tc>
          <w:tcPr>
            <w:tcW w:w="363" w:type="pct"/>
            <w:tcBorders>
              <w:top w:val="single" w:color="auto" w:sz="4" w:space="0"/>
              <w:left w:val="single" w:color="auto" w:sz="4" w:space="0"/>
              <w:bottom w:val="single" w:color="auto" w:sz="4" w:space="0"/>
              <w:right w:val="single" w:color="auto" w:sz="4" w:space="0"/>
            </w:tcBorders>
            <w:vAlign w:val="center"/>
          </w:tcPr>
          <w:p w14:paraId="16EE99A8">
            <w:pPr>
              <w:spacing w:line="40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0-5分</w:t>
            </w:r>
          </w:p>
        </w:tc>
      </w:tr>
      <w:tr w14:paraId="0B507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1526" w:hRule="atLeast"/>
          <w:jc w:val="center"/>
        </w:trPr>
        <w:tc>
          <w:tcPr>
            <w:tcW w:w="488" w:type="pct"/>
            <w:tcBorders>
              <w:left w:val="single" w:color="auto" w:sz="4" w:space="0"/>
              <w:right w:val="single" w:color="auto" w:sz="4" w:space="0"/>
            </w:tcBorders>
            <w:vAlign w:val="center"/>
          </w:tcPr>
          <w:p w14:paraId="30830B0E">
            <w:pPr>
              <w:spacing w:line="400" w:lineRule="exact"/>
              <w:jc w:val="center"/>
              <w:rPr>
                <w:rFonts w:ascii="宋体" w:hAnsi="宋体" w:cs="宋体"/>
                <w:sz w:val="24"/>
                <w:szCs w:val="24"/>
              </w:rPr>
            </w:pPr>
            <w:r>
              <w:rPr>
                <w:rFonts w:hint="eastAsia" w:ascii="宋体" w:hAnsi="宋体" w:cs="宋体"/>
                <w:sz w:val="24"/>
                <w:szCs w:val="24"/>
              </w:rPr>
              <w:t>价格分</w:t>
            </w:r>
          </w:p>
          <w:p w14:paraId="0501FE89">
            <w:pPr>
              <w:spacing w:line="400" w:lineRule="exact"/>
              <w:jc w:val="center"/>
              <w:rPr>
                <w:rFonts w:ascii="宋体" w:hAnsi="宋体" w:cs="宋体"/>
                <w:sz w:val="24"/>
                <w:szCs w:val="24"/>
              </w:rPr>
            </w:pPr>
            <w:r>
              <w:rPr>
                <w:rFonts w:hint="eastAsia" w:ascii="宋体" w:hAnsi="宋体" w:cs="宋体"/>
                <w:sz w:val="24"/>
                <w:szCs w:val="24"/>
              </w:rPr>
              <w:t>（</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10</w:t>
            </w:r>
            <w:r>
              <w:rPr>
                <w:rFonts w:hint="eastAsia" w:ascii="宋体" w:hAnsi="宋体" w:cs="宋体"/>
                <w:sz w:val="24"/>
                <w:szCs w:val="24"/>
                <w:u w:val="single"/>
              </w:rPr>
              <w:t xml:space="preserve"> </w:t>
            </w:r>
            <w:r>
              <w:rPr>
                <w:rFonts w:hint="eastAsia" w:ascii="宋体" w:hAnsi="宋体" w:cs="宋体"/>
                <w:sz w:val="24"/>
                <w:szCs w:val="24"/>
              </w:rPr>
              <w:t>分）</w:t>
            </w:r>
          </w:p>
        </w:tc>
        <w:tc>
          <w:tcPr>
            <w:tcW w:w="4511" w:type="pct"/>
            <w:gridSpan w:val="3"/>
            <w:tcBorders>
              <w:top w:val="single" w:color="auto" w:sz="4" w:space="0"/>
              <w:left w:val="single" w:color="auto" w:sz="4" w:space="0"/>
              <w:bottom w:val="single" w:color="auto" w:sz="4" w:space="0"/>
              <w:right w:val="single" w:color="auto" w:sz="4" w:space="0"/>
            </w:tcBorders>
            <w:vAlign w:val="center"/>
          </w:tcPr>
          <w:p w14:paraId="7039EFC9">
            <w:pPr>
              <w:widowControl/>
              <w:spacing w:line="400" w:lineRule="exact"/>
              <w:rPr>
                <w:rFonts w:ascii="宋体" w:hAnsi="宋体" w:cs="宋体"/>
                <w:b w:val="0"/>
                <w:bCs w:val="0"/>
                <w:sz w:val="24"/>
                <w:szCs w:val="24"/>
              </w:rPr>
            </w:pPr>
            <w:r>
              <w:rPr>
                <w:rFonts w:hint="eastAsia" w:ascii="宋体" w:hAnsi="宋体" w:cs="宋体"/>
                <w:b w:val="0"/>
                <w:bCs w:val="0"/>
                <w:sz w:val="24"/>
                <w:szCs w:val="24"/>
              </w:rPr>
              <w:t>价格分统一采用低价优先法，即满足磋商文件要求且最终报价最低的价格作为评标基准价，其价格分为满分</w:t>
            </w:r>
            <w:r>
              <w:rPr>
                <w:rFonts w:hint="eastAsia" w:ascii="宋体" w:hAnsi="宋体" w:cs="宋体"/>
                <w:b w:val="0"/>
                <w:bCs w:val="0"/>
                <w:sz w:val="24"/>
                <w:szCs w:val="24"/>
                <w:u w:val="single"/>
              </w:rPr>
              <w:t xml:space="preserve"> </w:t>
            </w:r>
            <w:r>
              <w:rPr>
                <w:rFonts w:hint="eastAsia" w:ascii="宋体" w:hAnsi="宋体" w:cs="宋体"/>
                <w:b w:val="0"/>
                <w:bCs w:val="0"/>
                <w:sz w:val="24"/>
                <w:szCs w:val="24"/>
                <w:u w:val="single"/>
                <w:lang w:val="en-US" w:eastAsia="zh-CN"/>
              </w:rPr>
              <w:t>10</w:t>
            </w:r>
            <w:r>
              <w:rPr>
                <w:rFonts w:hint="eastAsia" w:ascii="宋体" w:hAnsi="宋体" w:cs="宋体"/>
                <w:b w:val="0"/>
                <w:bCs w:val="0"/>
                <w:sz w:val="24"/>
                <w:szCs w:val="24"/>
                <w:u w:val="single"/>
              </w:rPr>
              <w:t xml:space="preserve"> </w:t>
            </w:r>
            <w:r>
              <w:rPr>
                <w:rFonts w:hint="eastAsia" w:ascii="宋体" w:hAnsi="宋体" w:cs="宋体"/>
                <w:b w:val="0"/>
                <w:bCs w:val="0"/>
                <w:sz w:val="24"/>
                <w:szCs w:val="24"/>
              </w:rPr>
              <w:t>分。其他磋商供应商的价格分统一按照下列公式计算（四舍五入保留至小数点后两位数）：</w:t>
            </w:r>
          </w:p>
          <w:p w14:paraId="6A1CC47B">
            <w:pPr>
              <w:spacing w:line="400" w:lineRule="exact"/>
              <w:rPr>
                <w:rFonts w:ascii="宋体" w:hAnsi="宋体" w:cs="宋体"/>
                <w:b/>
                <w:bCs/>
                <w:sz w:val="24"/>
                <w:szCs w:val="24"/>
              </w:rPr>
            </w:pPr>
            <w:r>
              <w:rPr>
                <w:rFonts w:hint="eastAsia" w:ascii="宋体" w:hAnsi="宋体" w:cs="宋体"/>
                <w:b w:val="0"/>
                <w:bCs w:val="0"/>
                <w:sz w:val="24"/>
                <w:szCs w:val="24"/>
              </w:rPr>
              <w:t>磋商报价得分＝（评标基准价/磋商报价）×</w:t>
            </w:r>
            <w:r>
              <w:rPr>
                <w:rFonts w:hint="eastAsia" w:ascii="宋体" w:hAnsi="宋体" w:cs="宋体"/>
                <w:b w:val="0"/>
                <w:bCs w:val="0"/>
                <w:sz w:val="24"/>
                <w:szCs w:val="24"/>
                <w:u w:val="single"/>
              </w:rPr>
              <w:t xml:space="preserve"> </w:t>
            </w:r>
            <w:r>
              <w:rPr>
                <w:rFonts w:hint="eastAsia" w:ascii="宋体" w:hAnsi="宋体" w:cs="宋体"/>
                <w:b w:val="0"/>
                <w:bCs w:val="0"/>
                <w:sz w:val="24"/>
                <w:szCs w:val="24"/>
                <w:u w:val="single"/>
                <w:lang w:val="en-US" w:eastAsia="zh-CN"/>
              </w:rPr>
              <w:t>10</w:t>
            </w:r>
            <w:r>
              <w:rPr>
                <w:rFonts w:hint="eastAsia" w:ascii="宋体" w:hAnsi="宋体" w:cs="宋体"/>
                <w:b w:val="0"/>
                <w:bCs w:val="0"/>
                <w:sz w:val="24"/>
                <w:szCs w:val="24"/>
                <w:u w:val="single"/>
              </w:rPr>
              <w:t xml:space="preserve"> </w:t>
            </w:r>
            <w:r>
              <w:rPr>
                <w:rFonts w:hint="eastAsia" w:ascii="宋体" w:hAnsi="宋体" w:cs="宋体"/>
                <w:b w:val="0"/>
                <w:bCs w:val="0"/>
                <w:sz w:val="24"/>
                <w:szCs w:val="24"/>
              </w:rPr>
              <w:t>％×100</w:t>
            </w:r>
          </w:p>
        </w:tc>
      </w:tr>
    </w:tbl>
    <w:p w14:paraId="2F73A0C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976AC0"/>
    <w:rsid w:val="07711273"/>
    <w:rsid w:val="0D703BC7"/>
    <w:rsid w:val="0DD95C10"/>
    <w:rsid w:val="0E774ADB"/>
    <w:rsid w:val="0EEA5BFB"/>
    <w:rsid w:val="10374E70"/>
    <w:rsid w:val="11D54941"/>
    <w:rsid w:val="1A163D48"/>
    <w:rsid w:val="1CEE2BE3"/>
    <w:rsid w:val="21FD4D7A"/>
    <w:rsid w:val="28650375"/>
    <w:rsid w:val="2D9C4A74"/>
    <w:rsid w:val="35E44CDC"/>
    <w:rsid w:val="368E4F3A"/>
    <w:rsid w:val="403703F1"/>
    <w:rsid w:val="41A01FC6"/>
    <w:rsid w:val="4F4641AC"/>
    <w:rsid w:val="6A844A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annotation text"/>
    <w:basedOn w:val="1"/>
    <w:semiHidden/>
    <w:qFormat/>
    <w:uiPriority w:val="99"/>
    <w:pPr>
      <w:jc w:val="left"/>
    </w:pPr>
  </w:style>
  <w:style w:type="paragraph" w:styleId="3">
    <w:name w:val="Body Text Indent"/>
    <w:basedOn w:val="1"/>
    <w:next w:val="4"/>
    <w:qFormat/>
    <w:uiPriority w:val="0"/>
    <w:pPr>
      <w:ind w:firstLine="540"/>
    </w:pPr>
    <w:rPr>
      <w:rFonts w:eastAsia="仿宋_GB2312"/>
      <w:sz w:val="28"/>
    </w:rPr>
  </w:style>
  <w:style w:type="paragraph" w:styleId="4">
    <w:name w:val="envelope return"/>
    <w:basedOn w:val="1"/>
    <w:qFormat/>
    <w:uiPriority w:val="0"/>
    <w:pPr>
      <w:snapToGrid w:val="0"/>
    </w:pPr>
    <w:rPr>
      <w:rFonts w:ascii="Arial" w:hAnsi="Arial"/>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1943</Words>
  <Characters>2017</Characters>
  <Lines>0</Lines>
  <Paragraphs>0</Paragraphs>
  <TotalTime>0</TotalTime>
  <ScaleCrop>false</ScaleCrop>
  <LinksUpToDate>false</LinksUpToDate>
  <CharactersWithSpaces>2079</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2025-05-20T06:46:00Z</dcterms:created>
  <dc:creator>Administrator</dc:creator>
  <cp:lastModifiedBy>℡可乐雪碧</cp:lastModifiedBy>
  <dcterms:modified xsi:type="dcterms:W3CDTF">2025-05-20T08:16:16Z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eyJoZGlkIjoiZDI4NGU0OGMzNDQ5ZGY0YzNiMTUyNzAxYmNjNDJhNGUiLCJ1c2VySWQiOiI1NjU5NzEwMzQifQ==</vt:lpwstr>
  </property>
  <property fmtid="{D5CDD505-2E9C-101B-9397-08002B2CF9AE}" pid="4" name="ICV">
    <vt:lpwstr>E0F84D831BD041B09E4B65C9F2F1A27E_12</vt:lpwstr>
  </property>
</Properties>
</file>