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073BA3">
      <w:pPr>
        <w:pStyle w:val="2"/>
        <w:jc w:val="center"/>
        <w:rPr>
          <w:color w:val="auto"/>
          <w:highlight w:val="none"/>
        </w:rPr>
      </w:pPr>
      <w:r>
        <w:rPr>
          <w:rFonts w:hint="eastAsia"/>
          <w:color w:val="auto"/>
          <w:highlight w:val="none"/>
          <w:lang w:val="en-US" w:eastAsia="zh-CN"/>
        </w:rPr>
        <w:t>采购</w:t>
      </w:r>
      <w:r>
        <w:rPr>
          <w:rFonts w:hint="eastAsia"/>
          <w:color w:val="auto"/>
          <w:highlight w:val="none"/>
        </w:rPr>
        <w:t>需求</w:t>
      </w:r>
    </w:p>
    <w:p w14:paraId="611E127E">
      <w:pPr>
        <w:pStyle w:val="3"/>
        <w:ind w:firstLine="423"/>
        <w:rPr>
          <w:color w:val="auto"/>
          <w:highlight w:val="none"/>
        </w:rPr>
      </w:pPr>
      <w:r>
        <w:rPr>
          <w:rFonts w:hint="eastAsia"/>
          <w:color w:val="auto"/>
          <w:highlight w:val="none"/>
        </w:rPr>
        <w:t xml:space="preserve">一、项目基本情况 </w:t>
      </w:r>
    </w:p>
    <w:p w14:paraId="78D00A98">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金寨县境内现状路灯能耗较高、照度不稳定且存在线缆老化、接电不规范等安全隐患。为优化夜间照明环境、排除隐患，根据国家相关安全、质量规范及节能降碳要求，采购人拟采用“合同能源管理模式”对所辖的市政照明设施进行节能和智慧化管控升级改造。主要内容为采用高光效LED灯具对原有的高压钠灯和光源照度不够和已达到使用寿命的LED路灯进行节能改造、建立路灯智慧化管理信息平台，实现与城管平台及数管平台互联、路灯设施及景观亮化的日常养护和管理。</w:t>
      </w:r>
      <w:bookmarkStart w:id="0" w:name="_GoBack"/>
      <w:bookmarkEnd w:id="0"/>
    </w:p>
    <w:p w14:paraId="05B79E80">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本项目的所有投资均由中标人投入，中标人通过中标服务费收回投资并获取合理利润。</w:t>
      </w:r>
      <w:r>
        <w:rPr>
          <w:rFonts w:hint="eastAsia" w:ascii="仿宋" w:hAnsi="仿宋" w:eastAsia="仿宋" w:cs="仿宋"/>
          <w:color w:val="auto"/>
          <w:sz w:val="28"/>
          <w:szCs w:val="28"/>
          <w:highlight w:val="none"/>
        </w:rPr>
        <w:t xml:space="preserve"> </w:t>
      </w:r>
    </w:p>
    <w:p w14:paraId="14E70C8F">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合同履行期限：本项目服务期限10年，其中：改造建设工期为120个日历天，改造完成并经验收合格之日计算本项目的合同起始时间。</w:t>
      </w:r>
    </w:p>
    <w:p w14:paraId="690A30E5">
      <w:pPr>
        <w:pStyle w:val="3"/>
        <w:ind w:firstLine="423"/>
        <w:rPr>
          <w:color w:val="auto"/>
          <w:highlight w:val="none"/>
        </w:rPr>
      </w:pPr>
      <w:r>
        <w:rPr>
          <w:rFonts w:hint="eastAsia"/>
          <w:color w:val="auto"/>
          <w:highlight w:val="none"/>
        </w:rPr>
        <w:t>二、服务要求、范围及内容</w:t>
      </w:r>
    </w:p>
    <w:p w14:paraId="051C24F8">
      <w:pPr>
        <w:pStyle w:val="3"/>
        <w:ind w:firstLine="423"/>
        <w:rPr>
          <w:rFonts w:ascii="仿宋" w:hAnsi="仿宋" w:eastAsia="仿宋" w:cs="仿宋"/>
          <w:color w:val="auto"/>
          <w:highlight w:val="none"/>
        </w:rPr>
      </w:pPr>
      <w:r>
        <w:rPr>
          <w:rFonts w:hint="eastAsia" w:ascii="仿宋" w:hAnsi="仿宋" w:eastAsia="仿宋" w:cs="仿宋"/>
          <w:color w:val="auto"/>
          <w:highlight w:val="none"/>
        </w:rPr>
        <w:t xml:space="preserve">（一）服务要求 </w:t>
      </w:r>
    </w:p>
    <w:p w14:paraId="2A266642">
      <w:pPr>
        <w:ind w:firstLine="425" w:firstLineChars="152"/>
        <w:rPr>
          <w:rFonts w:ascii="仿宋" w:hAnsi="仿宋" w:eastAsia="仿宋" w:cs="仿宋"/>
          <w:color w:val="auto"/>
          <w:sz w:val="28"/>
          <w:szCs w:val="28"/>
          <w:highlight w:val="none"/>
        </w:rPr>
      </w:pPr>
      <w:r>
        <w:rPr>
          <w:rFonts w:ascii="仿宋" w:hAnsi="仿宋" w:eastAsia="仿宋" w:cs="仿宋"/>
          <w:color w:val="auto"/>
          <w:sz w:val="28"/>
          <w:szCs w:val="28"/>
          <w:highlight w:val="none"/>
        </w:rPr>
        <w:t>1.建</w:t>
      </w:r>
      <w:r>
        <w:rPr>
          <w:rFonts w:hint="eastAsia" w:ascii="仿宋" w:hAnsi="仿宋" w:eastAsia="仿宋" w:cs="仿宋"/>
          <w:color w:val="auto"/>
          <w:sz w:val="28"/>
          <w:szCs w:val="28"/>
          <w:highlight w:val="none"/>
          <w:lang w:val="en-US" w:eastAsia="zh-CN"/>
        </w:rPr>
        <w:t>立</w:t>
      </w:r>
      <w:r>
        <w:rPr>
          <w:rFonts w:hint="eastAsia" w:ascii="仿宋" w:hAnsi="仿宋" w:eastAsia="仿宋" w:cs="仿宋"/>
          <w:color w:val="auto"/>
          <w:sz w:val="28"/>
          <w:szCs w:val="28"/>
          <w:highlight w:val="none"/>
        </w:rPr>
        <w:t>路灯智慧化管理信息平台。将多系统、多方式管理的路灯（包括普通路灯、中杆灯等）控制系统和景观亮化控制系统整合到统一平台，集中智能管控。利用高点资源实现市政照明设施安全和损坏偷盗的可视化管理，提升辖区内路灯服务水平和管理效率，降低路灯设施运行的安全风险。智慧平台控制系统须具有公安机关出具的二级信息系统安全等级保护备案证明，并提供网络安全等级保护测评报告，得分70分及以上。</w:t>
      </w:r>
    </w:p>
    <w:p w14:paraId="40AB1ED2">
      <w:pPr>
        <w:ind w:firstLine="425" w:firstLineChars="152"/>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实现节能降耗。采用</w:t>
      </w:r>
      <w:r>
        <w:rPr>
          <w:rFonts w:hint="eastAsia" w:ascii="仿宋" w:hAnsi="仿宋" w:eastAsia="仿宋" w:cs="仿宋"/>
          <w:color w:val="auto"/>
          <w:sz w:val="28"/>
          <w:szCs w:val="28"/>
          <w:highlight w:val="none"/>
          <w:lang w:val="en-US" w:eastAsia="zh-CN"/>
        </w:rPr>
        <w:t>高光效LED灯具和路灯智慧化管理信息平台相结合的</w:t>
      </w:r>
      <w:r>
        <w:rPr>
          <w:rFonts w:hint="eastAsia" w:ascii="仿宋" w:hAnsi="仿宋" w:eastAsia="仿宋" w:cs="仿宋"/>
          <w:color w:val="auto"/>
          <w:sz w:val="28"/>
          <w:szCs w:val="28"/>
          <w:highlight w:val="none"/>
        </w:rPr>
        <w:t>综合解决方案实现节能。</w:t>
      </w:r>
    </w:p>
    <w:p w14:paraId="3E2E4B1D">
      <w:pPr>
        <w:ind w:firstLine="425" w:firstLineChars="152"/>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．合同期内中标人负责采购人管辖的所有照明设施的运行维护，包括：路灯智慧</w:t>
      </w:r>
      <w:r>
        <w:rPr>
          <w:rFonts w:hint="eastAsia" w:ascii="仿宋" w:hAnsi="仿宋" w:eastAsia="仿宋" w:cs="仿宋"/>
          <w:color w:val="auto"/>
          <w:sz w:val="28"/>
          <w:szCs w:val="28"/>
          <w:highlight w:val="none"/>
          <w:lang w:val="en-US" w:eastAsia="zh-CN"/>
        </w:rPr>
        <w:t>化</w:t>
      </w:r>
      <w:r>
        <w:rPr>
          <w:rFonts w:hint="eastAsia" w:ascii="仿宋" w:hAnsi="仿宋" w:eastAsia="仿宋" w:cs="仿宋"/>
          <w:color w:val="auto"/>
          <w:sz w:val="28"/>
          <w:szCs w:val="28"/>
          <w:highlight w:val="none"/>
        </w:rPr>
        <w:t>管理信息平台的运行维护；灯杆、灯具、光源电器、景观亮化设施、公园广场路灯、配电柜、电缆、路灯变压器等高压下火线以下照明设施的运行维护；本项目新建的智慧灯杆、高点可视化监控设备的运行维护，如损坏的设备设施无法维修，由中标人负责更换，费用由中标人承担；</w:t>
      </w:r>
    </w:p>
    <w:p w14:paraId="595B64C8">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.升级改造后拆除的旧灯具，由采购人处理；其余弃件（包括废旧单灯控制器、废旧集中控制器等）由中标人处理。</w:t>
      </w:r>
    </w:p>
    <w:p w14:paraId="64843DD1">
      <w:pPr>
        <w:pStyle w:val="3"/>
        <w:ind w:firstLine="423"/>
        <w:rPr>
          <w:rFonts w:ascii="仿宋" w:hAnsi="仿宋" w:eastAsia="仿宋" w:cs="仿宋"/>
          <w:color w:val="auto"/>
          <w:highlight w:val="none"/>
        </w:rPr>
      </w:pPr>
      <w:r>
        <w:rPr>
          <w:rFonts w:hint="eastAsia" w:ascii="仿宋" w:hAnsi="仿宋" w:eastAsia="仿宋" w:cs="仿宋"/>
          <w:color w:val="auto"/>
          <w:highlight w:val="none"/>
        </w:rPr>
        <w:t>（二）服务范围</w:t>
      </w:r>
    </w:p>
    <w:p w14:paraId="5944AF33">
      <w:pPr>
        <w:ind w:firstLine="425" w:firstLineChars="152"/>
        <w:rPr>
          <w:color w:val="auto"/>
          <w:highlight w:val="none"/>
        </w:rPr>
      </w:pPr>
      <w:r>
        <w:rPr>
          <w:rFonts w:hint="eastAsia" w:ascii="仿宋" w:hAnsi="仿宋" w:eastAsia="仿宋" w:cs="仿宋"/>
          <w:color w:val="auto"/>
          <w:sz w:val="28"/>
          <w:szCs w:val="28"/>
          <w:highlight w:val="none"/>
        </w:rPr>
        <w:t>采购人管辖的所有市政路灯设施、景观亮化设施及公园广场路灯。合同履约过程中，有新增道路路灯、变压器、景观亮化投入使用时，均纳入管理范围，中标人必须免费升级改造并进行</w:t>
      </w:r>
      <w:r>
        <w:rPr>
          <w:rFonts w:hint="eastAsia" w:ascii="仿宋" w:hAnsi="仿宋" w:eastAsia="仿宋" w:cs="仿宋"/>
          <w:color w:val="auto"/>
          <w:sz w:val="28"/>
          <w:szCs w:val="28"/>
          <w:highlight w:val="none"/>
          <w:lang w:val="en-US" w:eastAsia="zh-CN"/>
        </w:rPr>
        <w:t>日常养护，养护</w:t>
      </w:r>
      <w:r>
        <w:rPr>
          <w:rFonts w:hint="eastAsia" w:ascii="仿宋" w:hAnsi="仿宋" w:eastAsia="仿宋" w:cs="仿宋"/>
          <w:color w:val="auto"/>
          <w:sz w:val="28"/>
          <w:szCs w:val="28"/>
          <w:highlight w:val="none"/>
        </w:rPr>
        <w:t>费用按路灯</w:t>
      </w:r>
      <w:r>
        <w:rPr>
          <w:rFonts w:hint="eastAsia" w:ascii="仿宋" w:hAnsi="仿宋" w:eastAsia="仿宋" w:cs="仿宋"/>
          <w:color w:val="auto"/>
          <w:sz w:val="28"/>
          <w:szCs w:val="28"/>
          <w:highlight w:val="none"/>
          <w:lang w:val="en-US" w:eastAsia="zh-CN"/>
        </w:rPr>
        <w:t>养</w:t>
      </w:r>
      <w:r>
        <w:rPr>
          <w:rFonts w:hint="eastAsia" w:ascii="仿宋" w:hAnsi="仿宋" w:eastAsia="仿宋" w:cs="仿宋"/>
          <w:color w:val="auto"/>
          <w:sz w:val="28"/>
          <w:szCs w:val="28"/>
          <w:highlight w:val="none"/>
        </w:rPr>
        <w:t>护费单价进行结算。涉及政府政策调整范围，按路灯</w:t>
      </w:r>
      <w:r>
        <w:rPr>
          <w:rFonts w:hint="eastAsia" w:ascii="仿宋" w:hAnsi="仿宋" w:eastAsia="仿宋" w:cs="仿宋"/>
          <w:color w:val="auto"/>
          <w:sz w:val="28"/>
          <w:szCs w:val="28"/>
          <w:highlight w:val="none"/>
          <w:lang w:val="en-US" w:eastAsia="zh-CN"/>
        </w:rPr>
        <w:t>养</w:t>
      </w:r>
      <w:r>
        <w:rPr>
          <w:rFonts w:hint="eastAsia" w:ascii="仿宋" w:hAnsi="仿宋" w:eastAsia="仿宋" w:cs="仿宋"/>
          <w:color w:val="auto"/>
          <w:sz w:val="28"/>
          <w:szCs w:val="28"/>
          <w:highlight w:val="none"/>
        </w:rPr>
        <w:t>护费单价进行扣减结算。分类统计数据</w:t>
      </w:r>
      <w:r>
        <w:rPr>
          <w:rFonts w:hint="eastAsia" w:ascii="仿宋" w:hAnsi="仿宋" w:eastAsia="仿宋" w:cs="仿宋"/>
          <w:b/>
          <w:color w:val="auto"/>
          <w:sz w:val="28"/>
          <w:szCs w:val="28"/>
          <w:highlight w:val="none"/>
          <w:lang w:val="en-US" w:eastAsia="zh-CN"/>
        </w:rPr>
        <w:t>见改造需求统计表</w:t>
      </w:r>
      <w:r>
        <w:rPr>
          <w:rFonts w:hint="eastAsia" w:ascii="仿宋" w:hAnsi="仿宋" w:eastAsia="仿宋" w:cs="仿宋"/>
          <w:color w:val="auto"/>
          <w:sz w:val="28"/>
          <w:szCs w:val="28"/>
          <w:highlight w:val="none"/>
        </w:rPr>
        <w:t>（采购人不组织现场勘查，投标单位如有必要可自行勘查现场，发生的费用投标人自理</w:t>
      </w:r>
      <w:r>
        <w:rPr>
          <w:rFonts w:hint="eastAsia" w:ascii="仿宋" w:hAnsi="仿宋" w:eastAsia="仿宋" w:cs="仿宋"/>
          <w:color w:val="auto"/>
          <w:sz w:val="28"/>
          <w:szCs w:val="28"/>
          <w:highlight w:val="none"/>
          <w:lang w:val="en-US" w:eastAsia="zh-CN"/>
        </w:rPr>
        <w:t>，设施量以实际勘查为准</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rPr>
        <w:t>。</w:t>
      </w:r>
    </w:p>
    <w:p w14:paraId="32ECBBD0">
      <w:pPr>
        <w:pStyle w:val="3"/>
        <w:ind w:firstLine="423"/>
        <w:rPr>
          <w:rFonts w:ascii="仿宋" w:hAnsi="仿宋" w:eastAsia="仿宋" w:cs="仿宋"/>
          <w:color w:val="auto"/>
          <w:highlight w:val="none"/>
        </w:rPr>
      </w:pPr>
      <w:r>
        <w:rPr>
          <w:rFonts w:hint="eastAsia" w:ascii="仿宋" w:hAnsi="仿宋" w:eastAsia="仿宋" w:cs="仿宋"/>
          <w:color w:val="auto"/>
          <w:highlight w:val="none"/>
        </w:rPr>
        <w:t>（三）服务内容</w:t>
      </w:r>
    </w:p>
    <w:p w14:paraId="0918E94C">
      <w:pPr>
        <w:ind w:firstLine="280" w:firstLineChars="100"/>
        <w:rPr>
          <w:rFonts w:hint="eastAsia" w:ascii="仿宋" w:hAnsi="仿宋" w:eastAsia="仿宋"/>
          <w:color w:val="auto"/>
          <w:sz w:val="28"/>
          <w:szCs w:val="28"/>
          <w:highlight w:val="none"/>
        </w:rPr>
      </w:pPr>
      <w:r>
        <w:rPr>
          <w:rFonts w:hint="eastAsia" w:ascii="仿宋" w:hAnsi="仿宋" w:eastAsia="仿宋"/>
          <w:color w:val="auto"/>
          <w:sz w:val="28"/>
          <w:szCs w:val="28"/>
          <w:highlight w:val="none"/>
        </w:rPr>
        <w:t>改造部分</w:t>
      </w:r>
    </w:p>
    <w:p w14:paraId="640952DF">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1.原高压钠灯更换LED灯头，共</w:t>
      </w:r>
      <w:r>
        <w:rPr>
          <w:rFonts w:hint="eastAsia" w:ascii="仿宋" w:hAnsi="仿宋" w:eastAsia="仿宋" w:cs="仿宋"/>
          <w:color w:val="auto"/>
          <w:sz w:val="28"/>
          <w:szCs w:val="28"/>
          <w:highlight w:val="none"/>
          <w:u w:val="single"/>
        </w:rPr>
        <w:t>2465</w:t>
      </w:r>
      <w:r>
        <w:rPr>
          <w:rFonts w:hint="eastAsia" w:ascii="仿宋" w:hAnsi="仿宋" w:eastAsia="仿宋" w:cs="仿宋"/>
          <w:color w:val="auto"/>
          <w:sz w:val="28"/>
          <w:szCs w:val="28"/>
          <w:highlight w:val="none"/>
        </w:rPr>
        <w:t>盏；</w:t>
      </w:r>
    </w:p>
    <w:p w14:paraId="73B72CD3">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2.现有LED灯光源照度不够和已达到使用寿命的，共</w:t>
      </w:r>
      <w:r>
        <w:rPr>
          <w:rFonts w:hint="eastAsia" w:ascii="仿宋" w:hAnsi="仿宋" w:eastAsia="仿宋" w:cs="仿宋"/>
          <w:color w:val="auto"/>
          <w:sz w:val="28"/>
          <w:szCs w:val="28"/>
          <w:highlight w:val="none"/>
          <w:u w:val="single"/>
          <w:lang w:val="en-US" w:eastAsia="zh-CN"/>
        </w:rPr>
        <w:t>18929</w:t>
      </w:r>
      <w:r>
        <w:rPr>
          <w:rFonts w:hint="eastAsia" w:ascii="仿宋" w:hAnsi="仿宋" w:eastAsia="仿宋" w:cs="仿宋"/>
          <w:color w:val="auto"/>
          <w:sz w:val="28"/>
          <w:szCs w:val="28"/>
          <w:highlight w:val="none"/>
        </w:rPr>
        <w:t>盏；</w:t>
      </w:r>
    </w:p>
    <w:p w14:paraId="1C27AE02">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3.其他光源</w:t>
      </w:r>
      <w:r>
        <w:rPr>
          <w:rFonts w:hint="eastAsia" w:ascii="仿宋" w:hAnsi="仿宋" w:eastAsia="仿宋" w:cs="仿宋"/>
          <w:color w:val="auto"/>
          <w:sz w:val="28"/>
          <w:szCs w:val="28"/>
          <w:highlight w:val="none"/>
          <w:u w:val="single"/>
        </w:rPr>
        <w:t>932</w:t>
      </w:r>
      <w:r>
        <w:rPr>
          <w:rFonts w:hint="eastAsia" w:ascii="仿宋" w:hAnsi="仿宋" w:eastAsia="仿宋" w:cs="仿宋"/>
          <w:color w:val="auto"/>
          <w:sz w:val="28"/>
          <w:szCs w:val="28"/>
          <w:highlight w:val="none"/>
        </w:rPr>
        <w:t>盏（巷道、景观灯等）；</w:t>
      </w:r>
    </w:p>
    <w:p w14:paraId="3B818565">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4.智慧路灯管理及平台建设，即增加单灯控制器</w:t>
      </w:r>
      <w:r>
        <w:rPr>
          <w:rFonts w:hint="eastAsia" w:ascii="仿宋" w:hAnsi="仿宋" w:eastAsia="仿宋" w:cs="仿宋"/>
          <w:color w:val="auto"/>
          <w:sz w:val="28"/>
          <w:szCs w:val="28"/>
          <w:highlight w:val="none"/>
          <w:u w:val="single"/>
          <w:lang w:val="en-US" w:eastAsia="zh-CN"/>
        </w:rPr>
        <w:t>22326</w:t>
      </w:r>
      <w:r>
        <w:rPr>
          <w:rFonts w:hint="eastAsia" w:ascii="仿宋" w:hAnsi="仿宋" w:eastAsia="仿宋" w:cs="仿宋"/>
          <w:color w:val="auto"/>
          <w:sz w:val="28"/>
          <w:szCs w:val="28"/>
          <w:highlight w:val="none"/>
        </w:rPr>
        <w:t>套、集中控制器(位于配电箱内)</w:t>
      </w:r>
      <w:r>
        <w:rPr>
          <w:rFonts w:hint="eastAsia" w:ascii="仿宋" w:hAnsi="仿宋" w:eastAsia="仿宋" w:cs="仿宋"/>
          <w:color w:val="auto"/>
          <w:sz w:val="28"/>
          <w:szCs w:val="28"/>
          <w:highlight w:val="none"/>
          <w:u w:val="single"/>
          <w:lang w:val="en-US" w:eastAsia="zh-CN"/>
        </w:rPr>
        <w:t>227</w:t>
      </w:r>
      <w:r>
        <w:rPr>
          <w:rFonts w:hint="eastAsia" w:ascii="仿宋" w:hAnsi="仿宋" w:eastAsia="仿宋" w:cs="仿宋"/>
          <w:color w:val="auto"/>
          <w:sz w:val="28"/>
          <w:szCs w:val="28"/>
          <w:highlight w:val="none"/>
        </w:rPr>
        <w:t>套、建设金寨县路灯</w:t>
      </w:r>
      <w:r>
        <w:rPr>
          <w:rFonts w:ascii="仿宋" w:hAnsi="仿宋" w:eastAsia="仿宋" w:cs="仿宋"/>
          <w:color w:val="auto"/>
          <w:sz w:val="28"/>
          <w:szCs w:val="28"/>
          <w:highlight w:val="none"/>
        </w:rPr>
        <w:t>智慧化管理信息</w:t>
      </w:r>
      <w:r>
        <w:rPr>
          <w:rFonts w:hint="eastAsia" w:ascii="仿宋" w:hAnsi="仿宋" w:eastAsia="仿宋" w:cs="仿宋"/>
          <w:color w:val="auto"/>
          <w:sz w:val="28"/>
          <w:szCs w:val="28"/>
          <w:highlight w:val="none"/>
        </w:rPr>
        <w:t>平台并实现与城管平台及数管平台互联；</w:t>
      </w:r>
    </w:p>
    <w:p w14:paraId="724B4550">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5.在公园、学校、商圈、景区等区域，利用高点资源部署6处以上可视化监控及建设10柱智慧灯杆，主动识别违规焚烧、占道经营、流动摊贩等违规违法行为。在城区规划部署无人机2架，通过高点监控+无人机巡查的方式构建一体化监测体系，重点对破坏照明设施、城市违建、违规排污等行为进行巡检。</w:t>
      </w:r>
    </w:p>
    <w:p w14:paraId="24604321">
      <w:pPr>
        <w:ind w:firstLine="425" w:firstLineChars="152"/>
        <w:rPr>
          <w:rFonts w:hint="eastAsia" w:ascii="仿宋" w:hAnsi="仿宋" w:eastAsia="仿宋" w:cs="仿宋"/>
          <w:color w:val="auto"/>
          <w:sz w:val="28"/>
          <w:szCs w:val="28"/>
          <w:highlight w:val="none"/>
        </w:rPr>
      </w:pPr>
      <w:r>
        <w:rPr>
          <w:rFonts w:ascii="仿宋" w:hAnsi="仿宋" w:eastAsia="仿宋" w:cs="仿宋"/>
          <w:color w:val="auto"/>
          <w:sz w:val="28"/>
          <w:szCs w:val="28"/>
          <w:highlight w:val="none"/>
        </w:rPr>
        <w:t>运行维护部分</w:t>
      </w:r>
    </w:p>
    <w:p w14:paraId="2DF68CDE">
      <w:pPr>
        <w:ind w:firstLine="425" w:firstLineChars="152"/>
        <w:rPr>
          <w:rFonts w:ascii="仿宋" w:hAnsi="仿宋" w:eastAsia="仿宋" w:cs="仿宋"/>
          <w:color w:val="auto"/>
          <w:sz w:val="28"/>
          <w:szCs w:val="28"/>
          <w:highlight w:val="none"/>
        </w:rPr>
      </w:pPr>
      <w:r>
        <w:rPr>
          <w:rFonts w:ascii="仿宋" w:hAnsi="仿宋" w:eastAsia="仿宋" w:cs="仿宋"/>
          <w:color w:val="auto"/>
          <w:sz w:val="28"/>
          <w:szCs w:val="28"/>
          <w:highlight w:val="none"/>
        </w:rPr>
        <w:t>1</w:t>
      </w:r>
      <w:r>
        <w:rPr>
          <w:rFonts w:hint="eastAsia" w:ascii="仿宋" w:hAnsi="仿宋" w:eastAsia="仿宋" w:cs="仿宋"/>
          <w:color w:val="auto"/>
          <w:sz w:val="28"/>
          <w:szCs w:val="28"/>
          <w:highlight w:val="none"/>
        </w:rPr>
        <w:t>.采购人管辖的所有照明设施的日常巡查、养护、用电安全措施等；</w:t>
      </w:r>
    </w:p>
    <w:p w14:paraId="6408A117">
      <w:pPr>
        <w:ind w:firstLine="425" w:firstLineChars="152"/>
        <w:rPr>
          <w:rFonts w:ascii="仿宋" w:hAnsi="仿宋" w:eastAsia="仿宋" w:cs="仿宋"/>
          <w:color w:val="auto"/>
          <w:sz w:val="28"/>
          <w:szCs w:val="28"/>
          <w:highlight w:val="none"/>
        </w:rPr>
      </w:pPr>
      <w:r>
        <w:rPr>
          <w:rFonts w:ascii="仿宋" w:hAnsi="仿宋" w:eastAsia="仿宋" w:cs="仿宋"/>
          <w:color w:val="auto"/>
          <w:sz w:val="28"/>
          <w:szCs w:val="28"/>
          <w:highlight w:val="none"/>
        </w:rPr>
        <w:t>2</w:t>
      </w:r>
      <w:r>
        <w:rPr>
          <w:rFonts w:hint="eastAsia" w:ascii="仿宋" w:hAnsi="仿宋" w:eastAsia="仿宋" w:cs="仿宋"/>
          <w:color w:val="auto"/>
          <w:sz w:val="28"/>
          <w:szCs w:val="28"/>
          <w:highlight w:val="none"/>
        </w:rPr>
        <w:t>.采购人管辖的所有景观、亮化设施的故障及用电安全巡查</w:t>
      </w:r>
      <w:r>
        <w:rPr>
          <w:rFonts w:hint="eastAsia" w:ascii="仿宋" w:hAnsi="仿宋" w:eastAsia="仿宋" w:cs="仿宋"/>
          <w:color w:val="auto"/>
          <w:sz w:val="28"/>
          <w:szCs w:val="28"/>
          <w:highlight w:val="none"/>
          <w:lang w:val="en-US" w:eastAsia="zh-CN"/>
        </w:rPr>
        <w:t>及维修</w:t>
      </w:r>
      <w:r>
        <w:rPr>
          <w:rFonts w:hint="eastAsia" w:ascii="仿宋" w:hAnsi="仿宋" w:eastAsia="仿宋" w:cs="仿宋"/>
          <w:color w:val="auto"/>
          <w:sz w:val="28"/>
          <w:szCs w:val="28"/>
          <w:highlight w:val="none"/>
        </w:rPr>
        <w:t>；</w:t>
      </w:r>
    </w:p>
    <w:p w14:paraId="27306288">
      <w:pPr>
        <w:ind w:firstLine="425" w:firstLineChars="152"/>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3.采购人管辖的路灯设施包括</w:t>
      </w:r>
      <w:r>
        <w:rPr>
          <w:rFonts w:hint="eastAsia" w:ascii="仿宋" w:hAnsi="仿宋" w:eastAsia="仿宋" w:cs="仿宋"/>
          <w:color w:val="auto"/>
          <w:sz w:val="28"/>
          <w:szCs w:val="28"/>
          <w:highlight w:val="none"/>
          <w:u w:val="single"/>
        </w:rPr>
        <w:t>111</w:t>
      </w:r>
      <w:r>
        <w:rPr>
          <w:rFonts w:hint="eastAsia" w:ascii="仿宋" w:hAnsi="仿宋" w:eastAsia="仿宋" w:cs="仿宋"/>
          <w:color w:val="auto"/>
          <w:sz w:val="28"/>
          <w:szCs w:val="28"/>
          <w:highlight w:val="none"/>
        </w:rPr>
        <w:t>台变压器及供电线路的日常养护。</w:t>
      </w:r>
    </w:p>
    <w:p w14:paraId="0E77DA0B">
      <w:pPr>
        <w:ind w:firstLine="425" w:firstLineChars="152"/>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注：本项目合同期内的一切安全责任由中标人承担，造成采购人损失的，采购人有权追偿。中标人</w:t>
      </w:r>
      <w:r>
        <w:rPr>
          <w:rFonts w:ascii="仿宋" w:hAnsi="仿宋" w:eastAsia="仿宋" w:cs="仿宋"/>
          <w:color w:val="auto"/>
          <w:sz w:val="28"/>
          <w:szCs w:val="28"/>
          <w:highlight w:val="none"/>
        </w:rPr>
        <w:t>需在签订合同后三十天内为辖区内路灯及附属供电设施购买公众责任险。保险额度不低于500万元。保险内容为“第三者因路灯及附属供电设施漏电、触电事故造成的人身伤亡事故或者造成的财产损失”，如中标人未按采购人要求购买保险，采购人有权终止并解除合同。</w:t>
      </w:r>
    </w:p>
    <w:p w14:paraId="39B90E34">
      <w:pPr>
        <w:pStyle w:val="3"/>
        <w:ind w:firstLine="483"/>
        <w:rPr>
          <w:rFonts w:ascii="仿宋" w:hAnsi="仿宋" w:eastAsia="仿宋" w:cs="仿宋"/>
          <w:color w:val="auto"/>
          <w:szCs w:val="28"/>
          <w:highlight w:val="none"/>
        </w:rPr>
      </w:pPr>
      <w:r>
        <w:rPr>
          <w:rStyle w:val="11"/>
          <w:rFonts w:hint="eastAsia" w:ascii="仿宋" w:hAnsi="仿宋" w:eastAsia="仿宋" w:cs="仿宋"/>
          <w:bCs w:val="0"/>
          <w:color w:val="auto"/>
          <w:highlight w:val="none"/>
        </w:rPr>
        <w:t>三</w:t>
      </w:r>
      <w:r>
        <w:rPr>
          <w:rFonts w:hint="eastAsia"/>
          <w:color w:val="auto"/>
          <w:highlight w:val="none"/>
        </w:rPr>
        <w:t>、节能产品的要求</w:t>
      </w:r>
    </w:p>
    <w:p w14:paraId="052119FE">
      <w:pPr>
        <w:ind w:firstLine="560" w:firstLineChars="2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本项目的节能方式为采用高光效LED灯具更换现有的全部高压钠灯；节能改造后综合节电率需≥50%。 </w:t>
      </w:r>
    </w:p>
    <w:p w14:paraId="74848E4B">
      <w:pPr>
        <w:pStyle w:val="3"/>
        <w:ind w:firstLine="423"/>
        <w:rPr>
          <w:rFonts w:ascii="仿宋" w:hAnsi="仿宋" w:eastAsia="仿宋" w:cs="仿宋"/>
          <w:color w:val="auto"/>
          <w:highlight w:val="none"/>
        </w:rPr>
      </w:pPr>
      <w:r>
        <w:rPr>
          <w:rFonts w:hint="eastAsia" w:ascii="仿宋" w:hAnsi="仿宋" w:eastAsia="仿宋" w:cs="仿宋"/>
          <w:color w:val="auto"/>
          <w:highlight w:val="none"/>
        </w:rPr>
        <w:t>（一）LED 灯具相关国家标准</w:t>
      </w:r>
    </w:p>
    <w:p w14:paraId="040BE380">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GB 7000.1《灯具第1部分：一般要求与实验》 </w:t>
      </w:r>
    </w:p>
    <w:p w14:paraId="279B0EB5">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GB 7000.203《灯具第2-3部分：特殊要求道路与街路照明灯具》 </w:t>
      </w:r>
    </w:p>
    <w:p w14:paraId="5937DAC6">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GB/T 3098.6 紧固件机械性能不锈钢螺栓、螺钉和螺柱</w:t>
      </w:r>
    </w:p>
    <w:p w14:paraId="3CD45D85">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GB 17625.1 电磁兼容限值谐波电流发射限值（设备每相输入电流≤16A）</w:t>
      </w:r>
    </w:p>
    <w:p w14:paraId="291EE308">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GB/T 17625.2 电磁兼容限值对每相额定电流≤16A且无条件接入的设备在公用低压供电系统中产生的电压变化、电压波动和闪烁的限制</w:t>
      </w:r>
    </w:p>
    <w:p w14:paraId="0F1F28B5">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GB/T 17743 电气照明和类似设备的无线电骚扰特性的限值和测量方法</w:t>
      </w:r>
    </w:p>
    <w:p w14:paraId="7D95FDD3">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GB/T 18595 一般照明用设备电磁兼容抗扰度要求</w:t>
      </w:r>
    </w:p>
    <w:p w14:paraId="39116C91">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GB 19510.14 灯的控制装置第14部分：LED模块用直流或交流电子控制装置的特殊要求 </w:t>
      </w:r>
    </w:p>
    <w:p w14:paraId="56FDA9D2">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GB 24819 普通照明用LED模块安全要求 </w:t>
      </w:r>
    </w:p>
    <w:p w14:paraId="064B84C5">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GB/T 24825 LED 模块用直流或交流电子控制装置性能要求 </w:t>
      </w:r>
    </w:p>
    <w:p w14:paraId="58976EE9">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GB/T 24827 道路与街路照明灯具性能要求</w:t>
      </w:r>
    </w:p>
    <w:p w14:paraId="5B3BD4AE">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GB/T 26572 电子电气产品中限用物质的限量要求 </w:t>
      </w:r>
    </w:p>
    <w:p w14:paraId="1AE2F903">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GB/T 31897.1 灯具性能第1部分：一般要求 </w:t>
      </w:r>
    </w:p>
    <w:p w14:paraId="4F6A2E6F">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GB/T 31897.201 灯具性能第2-1部分：LED灯具特殊要求 </w:t>
      </w:r>
    </w:p>
    <w:p w14:paraId="45B198FA">
      <w:pPr>
        <w:ind w:firstLine="425" w:firstLineChars="152"/>
        <w:rPr>
          <w:rFonts w:ascii="仿宋" w:hAnsi="仿宋" w:eastAsia="仿宋" w:cs="仿宋"/>
          <w:color w:val="auto"/>
          <w:sz w:val="28"/>
          <w:szCs w:val="28"/>
          <w:highlight w:val="none"/>
          <w:shd w:val="clear" w:color="auto" w:fill="FFFFFF"/>
        </w:rPr>
      </w:pPr>
      <w:r>
        <w:rPr>
          <w:rFonts w:hint="eastAsia" w:ascii="仿宋" w:hAnsi="仿宋" w:eastAsia="仿宋" w:cs="仿宋"/>
          <w:color w:val="auto"/>
          <w:sz w:val="28"/>
          <w:szCs w:val="28"/>
          <w:highlight w:val="none"/>
        </w:rPr>
        <w:t>GB/T 31832 LED 城市道路照明应用技术要求</w:t>
      </w:r>
      <w:r>
        <w:rPr>
          <w:rFonts w:hint="eastAsia" w:ascii="仿宋" w:hAnsi="仿宋" w:eastAsia="仿宋" w:cs="仿宋"/>
          <w:color w:val="auto"/>
          <w:sz w:val="28"/>
          <w:szCs w:val="28"/>
          <w:highlight w:val="none"/>
          <w:shd w:val="clear" w:color="auto" w:fill="FFFFFF"/>
        </w:rPr>
        <w:t>《CJJ45-015城市道路照明设计标准》</w:t>
      </w:r>
    </w:p>
    <w:p w14:paraId="14DE63C8">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GB/T 7921《均匀色空间和色差公式》</w:t>
      </w:r>
    </w:p>
    <w:p w14:paraId="366C15E3">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GB50054《低压供配电设计规范》 CJJ/T261-2017《城市照明合同能源管理技术规程》 </w:t>
      </w:r>
    </w:p>
    <w:p w14:paraId="4F2B2AA5">
      <w:pPr>
        <w:pStyle w:val="3"/>
        <w:ind w:firstLine="423"/>
        <w:rPr>
          <w:rFonts w:ascii="仿宋" w:hAnsi="仿宋" w:eastAsia="仿宋" w:cs="仿宋"/>
          <w:color w:val="auto"/>
          <w:highlight w:val="none"/>
        </w:rPr>
      </w:pPr>
      <w:r>
        <w:rPr>
          <w:rFonts w:hint="eastAsia" w:ascii="仿宋" w:hAnsi="仿宋" w:eastAsia="仿宋" w:cs="仿宋"/>
          <w:color w:val="auto"/>
          <w:highlight w:val="none"/>
        </w:rPr>
        <w:t>（二）LED灯具技术要求</w:t>
      </w:r>
    </w:p>
    <w:p w14:paraId="1854C019">
      <w:pP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灯具的安全、产品认证、稳定性及环境适应性应符合下列规定：</w:t>
      </w:r>
    </w:p>
    <w:p w14:paraId="4F3989EC">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1．LED 灯具需通过CQC认证产品认证。 </w:t>
      </w:r>
    </w:p>
    <w:p w14:paraId="3D34FA1C">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2．灯具能效等级不得低于1级。</w:t>
      </w:r>
    </w:p>
    <w:p w14:paraId="3FE5CB53">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3．根据国家GB7000.1-2015检验标准LED灯具整灯防护等级不低于≥IP66。</w:t>
      </w:r>
    </w:p>
    <w:p w14:paraId="07EBA8DA">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4．灯具10000小时光通维持率实测≥98%。</w:t>
      </w:r>
    </w:p>
    <w:p w14:paraId="1119D47F">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5．灯具不低于500小时盐雾。</w:t>
      </w:r>
    </w:p>
    <w:p w14:paraId="6A333A57">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6．依据国家GB/T33721-2017检验标准LED路灯使用寿命要求≥50000h。</w:t>
      </w:r>
    </w:p>
    <w:p w14:paraId="4CD8F99F">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7．依据国家GB/T16422.3-2022检验标准LED路灯透镜通过抗紫外线老化测试≥2000H。</w:t>
      </w:r>
    </w:p>
    <w:p w14:paraId="2F4210B9">
      <w:pPr>
        <w:ind w:firstLine="560" w:firstLineChars="2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灯具的结构应符合下列规定：</w:t>
      </w:r>
    </w:p>
    <w:p w14:paraId="43A05A57">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1．灯具整体采用高强度的ADC12铝合金一体压铸而成，灯体强度高、导热、散热性能良好。</w:t>
      </w:r>
    </w:p>
    <w:p w14:paraId="7FBAD159">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2．灯具光源腔与电源腔为单独腔体，热量无法相互传导。</w:t>
      </w:r>
    </w:p>
    <w:p w14:paraId="02247935">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3．灯具电源腔应为上开盖开启方式，在无工具的状态下，应能顺利开启，确保后续安装维护方便。 </w:t>
      </w:r>
    </w:p>
    <w:p w14:paraId="32C6DF49">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4．灯具透光面应采用PC材质，抗UV。确保长时间紫外线照射不影响内部部件的使用。 </w:t>
      </w:r>
    </w:p>
    <w:p w14:paraId="3BBCB38B">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5．依据国家GB7000.1-2015检验标准，LED 路灯满足不低于四倍自身重量的机械加载测试，检测时间≥2000小时。</w:t>
      </w:r>
    </w:p>
    <w:p w14:paraId="21C27B41">
      <w:pP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灯具的光学性能应符合下列规定：</w:t>
      </w:r>
    </w:p>
    <w:p w14:paraId="77E2E4D6">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1．LED 芯片采用高光效优质LED芯片。 </w:t>
      </w:r>
    </w:p>
    <w:p w14:paraId="6C36BD36">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2．为保证防水及光学性能的长期稳定性、气密性，LED光学透镜需免螺钉固定）。灯具透镜采用高透光率、 耐高温、抗紫外老化PC 透镜，透光率≥92%。 </w:t>
      </w:r>
    </w:p>
    <w:p w14:paraId="2D466EE6">
      <w:pPr>
        <w:pStyle w:val="3"/>
        <w:ind w:firstLine="423"/>
        <w:rPr>
          <w:color w:val="auto"/>
          <w:highlight w:val="none"/>
        </w:rPr>
      </w:pPr>
      <w:r>
        <w:rPr>
          <w:rFonts w:hint="eastAsia"/>
          <w:color w:val="auto"/>
          <w:highlight w:val="none"/>
        </w:rPr>
        <w:t>四、智慧化管控系统升级改造要求</w:t>
      </w:r>
    </w:p>
    <w:p w14:paraId="112925C6">
      <w:pPr>
        <w:pStyle w:val="3"/>
        <w:ind w:firstLine="423"/>
        <w:rPr>
          <w:rFonts w:ascii="仿宋" w:hAnsi="仿宋" w:eastAsia="仿宋" w:cs="仿宋"/>
          <w:color w:val="auto"/>
          <w:highlight w:val="none"/>
        </w:rPr>
      </w:pPr>
      <w:r>
        <w:rPr>
          <w:rFonts w:hint="eastAsia" w:ascii="仿宋" w:hAnsi="仿宋" w:eastAsia="仿宋" w:cs="仿宋"/>
          <w:color w:val="auto"/>
          <w:highlight w:val="none"/>
        </w:rPr>
        <w:t>（一）单灯控制器</w:t>
      </w:r>
    </w:p>
    <w:p w14:paraId="4CE6AADE">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1.单灯控制器内部包含电流与电压计量电路，可以实时采集路灯控制器的负载工作情况： </w:t>
      </w:r>
    </w:p>
    <w:p w14:paraId="6A3EB8FF">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2.控制策略远程控制1路负载的开与关，内部最大3A继电器输出，最大功率不超过500W； </w:t>
      </w:r>
    </w:p>
    <w:p w14:paraId="7366D1BF">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3.产品功耗&lt;5W；</w:t>
      </w:r>
    </w:p>
    <w:p w14:paraId="68E8C409">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4.工作温度:-20℃~+85℃； </w:t>
      </w:r>
    </w:p>
    <w:p w14:paraId="5C83E66E">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5.通信频段:Band 1/3/5/8/38/39/40/41 </w:t>
      </w:r>
    </w:p>
    <w:p w14:paraId="36786023">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6.LTE-TDD(移动)下行：8.96Mbps、上行:3.1Mbps； </w:t>
      </w:r>
    </w:p>
    <w:p w14:paraId="28E70079">
      <w:pPr>
        <w:ind w:firstLine="700" w:firstLineChars="2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LTE-FDD(电信、联通)下行：10Mbps、上行:5Mbps； </w:t>
      </w:r>
    </w:p>
    <w:p w14:paraId="0419605D">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7</w:t>
      </w:r>
      <w:r>
        <w:rPr>
          <w:rFonts w:hint="eastAsia" w:ascii="仿宋" w:hAnsi="仿宋" w:eastAsia="仿宋" w:cs="仿宋"/>
          <w:color w:val="auto"/>
          <w:sz w:val="28"/>
          <w:szCs w:val="28"/>
          <w:highlight w:val="none"/>
        </w:rPr>
        <w:t xml:space="preserve">.调光输出口：1-2路PWM，占空比0~100%可调，默认输出占空比100%； </w:t>
      </w:r>
    </w:p>
    <w:p w14:paraId="1A585974">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8</w:t>
      </w:r>
      <w:r>
        <w:rPr>
          <w:rFonts w:hint="eastAsia" w:ascii="仿宋" w:hAnsi="仿宋" w:eastAsia="仿宋" w:cs="仿宋"/>
          <w:color w:val="auto"/>
          <w:sz w:val="28"/>
          <w:szCs w:val="28"/>
          <w:highlight w:val="none"/>
        </w:rPr>
        <w:t xml:space="preserve">.网络协议：TCP/UDP/HTTP/DNS/FTP； </w:t>
      </w:r>
    </w:p>
    <w:p w14:paraId="725237BD">
      <w:pPr>
        <w:ind w:firstLine="422" w:firstLineChars="151"/>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9</w:t>
      </w:r>
      <w:r>
        <w:rPr>
          <w:rFonts w:hint="eastAsia" w:ascii="仿宋" w:hAnsi="仿宋" w:eastAsia="仿宋" w:cs="仿宋"/>
          <w:color w:val="auto"/>
          <w:sz w:val="28"/>
          <w:szCs w:val="28"/>
          <w:highlight w:val="none"/>
        </w:rPr>
        <w:t>.发射功率≥23dBm</w:t>
      </w:r>
      <w:r>
        <w:rPr>
          <w:rFonts w:hint="eastAsia" w:ascii="仿宋" w:hAnsi="仿宋" w:eastAsia="仿宋" w:cs="仿宋"/>
          <w:color w:val="auto"/>
          <w:sz w:val="28"/>
          <w:szCs w:val="28"/>
          <w:highlight w:val="none"/>
          <w:lang w:eastAsia="zh-CN"/>
        </w:rPr>
        <w:t>。</w:t>
      </w:r>
    </w:p>
    <w:p w14:paraId="04E9AB44">
      <w:pPr>
        <w:pStyle w:val="3"/>
        <w:ind w:firstLine="423"/>
        <w:rPr>
          <w:rFonts w:ascii="仿宋" w:hAnsi="仿宋" w:eastAsia="仿宋" w:cs="仿宋"/>
          <w:color w:val="auto"/>
          <w:highlight w:val="none"/>
        </w:rPr>
      </w:pPr>
      <w:r>
        <w:rPr>
          <w:rFonts w:hint="eastAsia" w:ascii="仿宋" w:hAnsi="仿宋" w:eastAsia="仿宋" w:cs="仿宋"/>
          <w:color w:val="auto"/>
          <w:highlight w:val="none"/>
        </w:rPr>
        <w:t>（二）集</w:t>
      </w:r>
      <w:r>
        <w:rPr>
          <w:rFonts w:hint="eastAsia" w:ascii="仿宋" w:hAnsi="仿宋" w:eastAsia="仿宋" w:cs="仿宋"/>
          <w:color w:val="auto"/>
          <w:highlight w:val="none"/>
          <w:lang w:val="en-US" w:eastAsia="zh-CN"/>
        </w:rPr>
        <w:t>中</w:t>
      </w:r>
      <w:r>
        <w:rPr>
          <w:rFonts w:hint="eastAsia" w:ascii="仿宋" w:hAnsi="仿宋" w:eastAsia="仿宋" w:cs="仿宋"/>
          <w:color w:val="auto"/>
          <w:highlight w:val="none"/>
        </w:rPr>
        <w:t>控</w:t>
      </w:r>
      <w:r>
        <w:rPr>
          <w:rFonts w:hint="eastAsia" w:ascii="仿宋" w:hAnsi="仿宋" w:eastAsia="仿宋" w:cs="仿宋"/>
          <w:color w:val="auto"/>
          <w:highlight w:val="none"/>
          <w:lang w:val="en-US" w:eastAsia="zh-CN"/>
        </w:rPr>
        <w:t>制</w:t>
      </w:r>
      <w:r>
        <w:rPr>
          <w:rFonts w:hint="eastAsia" w:ascii="仿宋" w:hAnsi="仿宋" w:eastAsia="仿宋" w:cs="仿宋"/>
          <w:color w:val="auto"/>
          <w:highlight w:val="none"/>
        </w:rPr>
        <w:t xml:space="preserve">器（智能网关）技术要求： </w:t>
      </w:r>
    </w:p>
    <w:p w14:paraId="5E937E4C">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1.可实现自主、远程和手动开关灯控制，具有多种开灯模式和多个开关灯时段，可按需实 现分组、分时的场景控制； </w:t>
      </w:r>
    </w:p>
    <w:p w14:paraId="23A52653">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2.具有标准4路独立的DIDO接口，支持外接扩展模块； </w:t>
      </w:r>
    </w:p>
    <w:p w14:paraId="08EC0FA4">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3.主机模块具有三相总路的电压、电流、有功功率、无功功率、功率因数的实时监测和上传功能 ； </w:t>
      </w:r>
    </w:p>
    <w:p w14:paraId="6EC3E4B1">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4.支持GPRS/CDMA/EVD0/4G/NB-IoT/5G等无线公网或RJ-45以太网通信方式，能与控制中心或云平台进行双向通信； </w:t>
      </w:r>
    </w:p>
    <w:p w14:paraId="6227A74D">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5.支持远程软件下载、参数设定等功能； </w:t>
      </w:r>
    </w:p>
    <w:p w14:paraId="2912A687">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6.自带点阵中文LCD显示器，可显示日期时间、当天开/关灯时间、当前工作模式、温度、站号、组号、站点类型、通信方式、传输协议、计划策略、公网状态(含联网过程和信号强度)、I/O状态、实时电量等；</w:t>
      </w:r>
    </w:p>
    <w:p w14:paraId="08D2EB7C">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7.具有主动报警功能，</w:t>
      </w:r>
      <w:r>
        <w:rPr>
          <w:rFonts w:hint="eastAsia" w:ascii="仿宋" w:hAnsi="仿宋" w:eastAsia="仿宋" w:cs="仿宋"/>
          <w:color w:val="auto"/>
          <w:sz w:val="28"/>
          <w:szCs w:val="28"/>
          <w:highlight w:val="none"/>
          <w:lang w:val="en-US" w:eastAsia="zh-CN"/>
        </w:rPr>
        <w:t>如</w:t>
      </w:r>
      <w:r>
        <w:rPr>
          <w:rFonts w:hint="eastAsia" w:ascii="仿宋" w:hAnsi="仿宋" w:eastAsia="仿宋" w:cs="仿宋"/>
          <w:color w:val="auto"/>
          <w:sz w:val="28"/>
          <w:szCs w:val="28"/>
          <w:highlight w:val="none"/>
        </w:rPr>
        <w:t xml:space="preserve">：异常开灯、异常关灯、供电停电、电压缺相、开关量输入变化(门禁、水浸等)等； </w:t>
      </w:r>
    </w:p>
    <w:p w14:paraId="3766445D">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8.电压/电流测量最大误差(相对误差)≤±0.5%；</w:t>
      </w:r>
    </w:p>
    <w:p w14:paraId="4B4CAD44">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9.脱网运行时，24h时钟误差≤0.5s； </w:t>
      </w:r>
    </w:p>
    <w:p w14:paraId="31D4E93A">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10.远程控制和数据查询的响应时间、故障信息主动上报时间≤5s； </w:t>
      </w:r>
    </w:p>
    <w:p w14:paraId="2B40160B">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11.电源适应性：85V~265V、47Hz~63Hz； </w:t>
      </w:r>
    </w:p>
    <w:p w14:paraId="3CDFA745">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12.环境适应性:.-40℃~+70℃； </w:t>
      </w:r>
    </w:p>
    <w:p w14:paraId="09CC88EE">
      <w:pPr>
        <w:ind w:firstLine="422" w:firstLineChars="151"/>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13.防护等级:≥IP55。</w:t>
      </w:r>
    </w:p>
    <w:p w14:paraId="506F25BB">
      <w:pPr>
        <w:pStyle w:val="3"/>
        <w:ind w:firstLine="423"/>
        <w:rPr>
          <w:rFonts w:ascii="仿宋" w:hAnsi="仿宋" w:eastAsia="仿宋" w:cs="仿宋"/>
          <w:color w:val="auto"/>
          <w:szCs w:val="28"/>
          <w:highlight w:val="none"/>
        </w:rPr>
      </w:pPr>
      <w:r>
        <w:rPr>
          <w:rFonts w:hint="eastAsia" w:ascii="仿宋" w:hAnsi="仿宋" w:eastAsia="仿宋" w:cs="仿宋"/>
          <w:color w:val="auto"/>
          <w:szCs w:val="28"/>
          <w:highlight w:val="none"/>
        </w:rPr>
        <w:t>（三）</w:t>
      </w:r>
      <w:r>
        <w:rPr>
          <w:rFonts w:hint="eastAsia" w:ascii="仿宋" w:hAnsi="仿宋" w:eastAsia="仿宋" w:cs="仿宋"/>
          <w:color w:val="auto"/>
          <w:sz w:val="28"/>
          <w:szCs w:val="28"/>
          <w:highlight w:val="none"/>
        </w:rPr>
        <w:t>路灯智慧化管理信息平台</w:t>
      </w:r>
      <w:r>
        <w:rPr>
          <w:rFonts w:hint="eastAsia" w:ascii="仿宋" w:hAnsi="仿宋" w:eastAsia="仿宋" w:cs="仿宋"/>
          <w:color w:val="auto"/>
          <w:highlight w:val="none"/>
        </w:rPr>
        <w:t>升级改造要求</w:t>
      </w:r>
    </w:p>
    <w:p w14:paraId="3ACDB02A">
      <w:pPr>
        <w:ind w:firstLine="56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1.路灯智慧化管理信息平台</w:t>
      </w:r>
      <w:r>
        <w:rPr>
          <w:rFonts w:hint="eastAsia" w:ascii="仿宋" w:hAnsi="仿宋" w:eastAsia="仿宋" w:cs="仿宋"/>
          <w:color w:val="auto"/>
          <w:sz w:val="28"/>
          <w:szCs w:val="28"/>
          <w:highlight w:val="none"/>
          <w:lang w:val="en-US" w:eastAsia="zh-CN"/>
        </w:rPr>
        <w:t>基本</w:t>
      </w:r>
      <w:r>
        <w:rPr>
          <w:rFonts w:hint="eastAsia" w:ascii="仿宋" w:hAnsi="仿宋" w:eastAsia="仿宋" w:cs="仿宋"/>
          <w:color w:val="auto"/>
          <w:sz w:val="28"/>
          <w:szCs w:val="28"/>
          <w:highlight w:val="none"/>
        </w:rPr>
        <w:t xml:space="preserve">要求 </w:t>
      </w:r>
    </w:p>
    <w:p w14:paraId="3A5B3FA1">
      <w:pPr>
        <w:ind w:firstLine="56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①智慧路灯照明管理可视化一体信息平台，存储数据保持12个月以上，同时支持PC、手机APP、Pad远程访问、控制和道路随机抽取等相关功能。预留并开放接口，服从采购人安排。 </w:t>
      </w:r>
    </w:p>
    <w:p w14:paraId="123910DC">
      <w:pPr>
        <w:ind w:firstLine="56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②多维度数据：支持多类型、多数据源；支持多维度数据和复杂数据结构，既有结构化和半结构化的传感数据，也有非结构化数据。</w:t>
      </w:r>
    </w:p>
    <w:p w14:paraId="48C89305">
      <w:pPr>
        <w:ind w:firstLine="56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③数据准确性：数据经过设备总线采集、过滤、清洗和分类计算后，可提升数据的真实性、完整性、可靠性和数据质量。 </w:t>
      </w:r>
    </w:p>
    <w:p w14:paraId="6A5066C3">
      <w:pPr>
        <w:ind w:firstLine="56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2．系统平台支持数据转换和消息处理的扩展；</w:t>
      </w:r>
    </w:p>
    <w:p w14:paraId="5337E425">
      <w:pPr>
        <w:ind w:firstLine="56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3．项目档案管理（包括文字资料、文书档案、各类建设验收资料、移交资料、车辆、灯具及其他等各类设备设施的档案）；</w:t>
      </w:r>
    </w:p>
    <w:p w14:paraId="269395A2">
      <w:pPr>
        <w:ind w:firstLine="56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4．基于地理信息平台，软件层须留有协议接口并可开放接口，达到数据共享、同步开关灯的要求； </w:t>
      </w:r>
    </w:p>
    <w:p w14:paraId="1F25EE5D">
      <w:pPr>
        <w:ind w:firstLine="56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5．具备一键开关路灯照明设施功能，实现分时、分组对单灯进行开关和连续调光监控要求；（具体要求由采购人根据实际情况另行通知）</w:t>
      </w:r>
    </w:p>
    <w:p w14:paraId="3651A4D6">
      <w:pPr>
        <w:ind w:firstLine="56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6．提供多种照明管理策略，如：光控、经纬度控制、远程控制等；</w:t>
      </w:r>
    </w:p>
    <w:p w14:paraId="33CEE047">
      <w:pPr>
        <w:ind w:firstLine="56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7．可实时监控（查询）路灯照明设备设施用电量信息，实现配电柜、线缆、单灯故障报警。同步在智慧路灯照明管理信息平台显示详细报警信息及精准定位，支持平台、短信或微信报警；</w:t>
      </w:r>
    </w:p>
    <w:p w14:paraId="4983F8AD">
      <w:pPr>
        <w:ind w:firstLine="56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8．电缆和灯杆漏电实时监控报警，且在发生漏电时自动断电，支持平台、短信或微信报警；</w:t>
      </w:r>
    </w:p>
    <w:p w14:paraId="0CF05709">
      <w:pPr>
        <w:ind w:firstLine="56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9．系统可实现照明故障报警、审核、智能工单下发、事件计时、过程跟踪、自动流转等一系列在线维护调度管理流程，可为建立市级（乡镇）、运维主体、责任人，二级全流程运维管理考核模式提供技术支持；</w:t>
      </w:r>
    </w:p>
    <w:p w14:paraId="248860C1">
      <w:pPr>
        <w:ind w:firstLine="56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10．数据报表：对各终端设备设施任意时段数据进行查询、统计、汇总和分析，显示形式：表格、曲线图、直方图；统计内容包括但不限于：单位时间能耗情况，不同线路同一时期能耗情况分析，不同时期同一线路能耗情况分析，能耗质量分析，用户电能表与系统电表对比分析，历史电流电压数据，历史故障数据，亮灯率统计数据，维修人员在岗、维修、巡查车辆行驶路线等，并能实时导出excel报表；</w:t>
      </w:r>
    </w:p>
    <w:p w14:paraId="35C6AD46">
      <w:pPr>
        <w:pStyle w:val="3"/>
        <w:ind w:firstLine="423"/>
        <w:rPr>
          <w:color w:val="auto"/>
          <w:highlight w:val="none"/>
        </w:rPr>
      </w:pPr>
      <w:r>
        <w:rPr>
          <w:rFonts w:hint="eastAsia"/>
          <w:color w:val="auto"/>
          <w:highlight w:val="none"/>
        </w:rPr>
        <w:t>五、</w:t>
      </w:r>
      <w:r>
        <w:rPr>
          <w:rFonts w:hint="eastAsia"/>
          <w:color w:val="auto"/>
          <w:highlight w:val="none"/>
          <w:lang w:val="en-US" w:eastAsia="zh-CN"/>
        </w:rPr>
        <w:t>改造施工</w:t>
      </w:r>
      <w:r>
        <w:rPr>
          <w:rFonts w:hint="eastAsia"/>
          <w:color w:val="auto"/>
          <w:highlight w:val="none"/>
        </w:rPr>
        <w:t>要求</w:t>
      </w:r>
    </w:p>
    <w:p w14:paraId="61DF2DB9">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1.整个项目的</w:t>
      </w:r>
      <w:r>
        <w:rPr>
          <w:rFonts w:hint="eastAsia" w:ascii="仿宋" w:hAnsi="仿宋" w:eastAsia="仿宋" w:cs="仿宋"/>
          <w:color w:val="auto"/>
          <w:sz w:val="28"/>
          <w:szCs w:val="28"/>
          <w:highlight w:val="none"/>
          <w:lang w:val="en-US" w:eastAsia="zh-CN"/>
        </w:rPr>
        <w:t>改造施工</w:t>
      </w:r>
      <w:r>
        <w:rPr>
          <w:rFonts w:hint="eastAsia" w:ascii="仿宋" w:hAnsi="仿宋" w:eastAsia="仿宋" w:cs="仿宋"/>
          <w:color w:val="auto"/>
          <w:sz w:val="28"/>
          <w:szCs w:val="28"/>
          <w:highlight w:val="none"/>
        </w:rPr>
        <w:t>需符合安全规范制度要求，严格按照安全标准组织施工，采取必要的安全防护措施，消除隐患。由中标人管理或安全辅助措施不力造成周边环境破坏或事故的责任和因此发生的费用，由中标人自行承担。</w:t>
      </w:r>
    </w:p>
    <w:p w14:paraId="35A94FCB">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2.中标人承担改造施工并对安装人员的资质以及安装的质量负责。施工时做到安全文明施工，项目实施期间，采购人有权对中标人的工作进行现场检查；对采购人提出的合理意见，中标人应该接受并落实整改。</w:t>
      </w:r>
    </w:p>
    <w:p w14:paraId="517E11EB">
      <w:pPr>
        <w:pStyle w:val="3"/>
        <w:ind w:firstLine="423"/>
        <w:rPr>
          <w:color w:val="auto"/>
          <w:highlight w:val="none"/>
        </w:rPr>
      </w:pPr>
      <w:r>
        <w:rPr>
          <w:rFonts w:hint="eastAsia"/>
          <w:color w:val="auto"/>
          <w:highlight w:val="none"/>
        </w:rPr>
        <w:t>六、验收要求</w:t>
      </w:r>
    </w:p>
    <w:p w14:paraId="013FEDEE">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1.本项目按高压钠灯路段内容采取工程整体验收方式。改造项目全部完成后，采购人接到所有相关资料核实无误后组织一次性工程整体验收，验收合格进入运营期。 </w:t>
      </w:r>
    </w:p>
    <w:p w14:paraId="515CBBE6">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2.本项目整体验收按照《城市道路照明设计标准》（CJJ45-2015）执行，并要求改造后LED灯色温：3000K±200K（选用同类光源的色品容差不应大于5SDCM）。</w:t>
      </w:r>
    </w:p>
    <w:p w14:paraId="5A2DBFA8">
      <w:pPr>
        <w:jc w:val="center"/>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检测标准表</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4"/>
        <w:gridCol w:w="1676"/>
        <w:gridCol w:w="1801"/>
        <w:gridCol w:w="1239"/>
        <w:gridCol w:w="1239"/>
        <w:gridCol w:w="1416"/>
        <w:gridCol w:w="1129"/>
      </w:tblGrid>
      <w:tr w14:paraId="2E2C3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restart"/>
            <w:vAlign w:val="center"/>
          </w:tcPr>
          <w:p w14:paraId="795B2C17">
            <w:pPr>
              <w:pStyle w:val="4"/>
              <w:spacing w:before="1" w:line="366" w:lineRule="auto"/>
              <w:ind w:right="34"/>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级别</w:t>
            </w:r>
          </w:p>
        </w:tc>
        <w:tc>
          <w:tcPr>
            <w:tcW w:w="1676" w:type="dxa"/>
            <w:vMerge w:val="restart"/>
            <w:vAlign w:val="center"/>
          </w:tcPr>
          <w:p w14:paraId="51C3CDD4">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道路类型</w:t>
            </w:r>
          </w:p>
        </w:tc>
        <w:tc>
          <w:tcPr>
            <w:tcW w:w="4279" w:type="dxa"/>
            <w:gridSpan w:val="3"/>
            <w:vAlign w:val="center"/>
          </w:tcPr>
          <w:p w14:paraId="051CA3FF">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路面亮度</w:t>
            </w:r>
          </w:p>
        </w:tc>
        <w:tc>
          <w:tcPr>
            <w:tcW w:w="2545" w:type="dxa"/>
            <w:gridSpan w:val="2"/>
            <w:vAlign w:val="center"/>
          </w:tcPr>
          <w:p w14:paraId="36938499">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路面照度</w:t>
            </w:r>
          </w:p>
        </w:tc>
      </w:tr>
      <w:tr w14:paraId="0E8FC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14:paraId="5A98C614">
            <w:pPr>
              <w:pStyle w:val="4"/>
              <w:spacing w:before="1" w:line="366" w:lineRule="auto"/>
              <w:ind w:right="216"/>
              <w:jc w:val="both"/>
              <w:rPr>
                <w:rFonts w:ascii="仿宋" w:hAnsi="仿宋" w:eastAsia="仿宋" w:cs="仿宋"/>
                <w:color w:val="auto"/>
                <w:spacing w:val="31"/>
                <w:sz w:val="24"/>
                <w:szCs w:val="24"/>
                <w:highlight w:val="none"/>
                <w:lang w:eastAsia="zh-CN"/>
              </w:rPr>
            </w:pPr>
          </w:p>
        </w:tc>
        <w:tc>
          <w:tcPr>
            <w:tcW w:w="1676" w:type="dxa"/>
            <w:vMerge w:val="continue"/>
            <w:vAlign w:val="center"/>
          </w:tcPr>
          <w:p w14:paraId="635B81D0">
            <w:pPr>
              <w:pStyle w:val="4"/>
              <w:spacing w:before="1" w:line="366" w:lineRule="auto"/>
              <w:ind w:right="216"/>
              <w:jc w:val="both"/>
              <w:rPr>
                <w:rFonts w:ascii="仿宋" w:hAnsi="仿宋" w:eastAsia="仿宋" w:cs="仿宋"/>
                <w:color w:val="auto"/>
                <w:spacing w:val="31"/>
                <w:sz w:val="24"/>
                <w:szCs w:val="24"/>
                <w:highlight w:val="none"/>
                <w:lang w:eastAsia="zh-CN"/>
              </w:rPr>
            </w:pPr>
          </w:p>
        </w:tc>
        <w:tc>
          <w:tcPr>
            <w:tcW w:w="1801" w:type="dxa"/>
            <w:vAlign w:val="center"/>
          </w:tcPr>
          <w:p w14:paraId="769A817D">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lang w:eastAsia="zh-CN"/>
              </w:rPr>
              <w:t>平均亮度</w:t>
            </w:r>
          </w:p>
        </w:tc>
        <w:tc>
          <w:tcPr>
            <w:tcW w:w="1239" w:type="dxa"/>
            <w:vAlign w:val="center"/>
          </w:tcPr>
          <w:p w14:paraId="067DC454">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lang w:eastAsia="zh-CN"/>
              </w:rPr>
              <w:t>总均匀</w:t>
            </w:r>
          </w:p>
        </w:tc>
        <w:tc>
          <w:tcPr>
            <w:tcW w:w="1239" w:type="dxa"/>
            <w:vAlign w:val="center"/>
          </w:tcPr>
          <w:p w14:paraId="17734E8A">
            <w:pPr>
              <w:pStyle w:val="4"/>
              <w:spacing w:before="1" w:line="366" w:lineRule="auto"/>
              <w:ind w:right="-37" w:rightChars="0"/>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lang w:eastAsia="zh-CN"/>
              </w:rPr>
              <w:t>纵向均匀</w:t>
            </w:r>
          </w:p>
        </w:tc>
        <w:tc>
          <w:tcPr>
            <w:tcW w:w="1416" w:type="dxa"/>
            <w:vAlign w:val="center"/>
          </w:tcPr>
          <w:p w14:paraId="2C2C8100">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lang w:eastAsia="zh-CN"/>
              </w:rPr>
              <w:t>平均照度</w:t>
            </w:r>
          </w:p>
        </w:tc>
        <w:tc>
          <w:tcPr>
            <w:tcW w:w="1129" w:type="dxa"/>
            <w:vAlign w:val="center"/>
          </w:tcPr>
          <w:p w14:paraId="576BCFE7">
            <w:pPr>
              <w:pStyle w:val="4"/>
              <w:spacing w:before="1" w:line="366" w:lineRule="auto"/>
              <w:ind w:right="73" w:rightChars="0"/>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lang w:eastAsia="zh-CN"/>
              </w:rPr>
              <w:t>均匀度</w:t>
            </w:r>
          </w:p>
        </w:tc>
      </w:tr>
      <w:tr w14:paraId="73B83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14:paraId="0DB1F3D5">
            <w:pPr>
              <w:pStyle w:val="4"/>
              <w:spacing w:before="1" w:line="366" w:lineRule="auto"/>
              <w:ind w:right="216"/>
              <w:jc w:val="both"/>
              <w:rPr>
                <w:rFonts w:ascii="仿宋" w:hAnsi="仿宋" w:eastAsia="仿宋" w:cs="仿宋"/>
                <w:color w:val="auto"/>
                <w:spacing w:val="31"/>
                <w:sz w:val="24"/>
                <w:szCs w:val="24"/>
                <w:highlight w:val="none"/>
                <w:lang w:eastAsia="zh-CN"/>
              </w:rPr>
            </w:pPr>
          </w:p>
        </w:tc>
        <w:tc>
          <w:tcPr>
            <w:tcW w:w="1676" w:type="dxa"/>
            <w:vMerge w:val="continue"/>
            <w:vAlign w:val="center"/>
          </w:tcPr>
          <w:p w14:paraId="5D366378">
            <w:pPr>
              <w:pStyle w:val="4"/>
              <w:spacing w:before="1" w:line="366" w:lineRule="auto"/>
              <w:ind w:right="216"/>
              <w:jc w:val="both"/>
              <w:rPr>
                <w:rFonts w:ascii="仿宋" w:hAnsi="仿宋" w:eastAsia="仿宋" w:cs="仿宋"/>
                <w:color w:val="auto"/>
                <w:spacing w:val="31"/>
                <w:sz w:val="24"/>
                <w:szCs w:val="24"/>
                <w:highlight w:val="none"/>
                <w:lang w:eastAsia="zh-CN"/>
              </w:rPr>
            </w:pPr>
          </w:p>
        </w:tc>
        <w:tc>
          <w:tcPr>
            <w:tcW w:w="1801" w:type="dxa"/>
            <w:vAlign w:val="center"/>
          </w:tcPr>
          <w:p w14:paraId="06E294F7">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Lav（cd/m2）</w:t>
            </w:r>
          </w:p>
        </w:tc>
        <w:tc>
          <w:tcPr>
            <w:tcW w:w="1239" w:type="dxa"/>
            <w:vAlign w:val="center"/>
          </w:tcPr>
          <w:p w14:paraId="30C86D4E">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度Uo</w:t>
            </w:r>
          </w:p>
        </w:tc>
        <w:tc>
          <w:tcPr>
            <w:tcW w:w="1239" w:type="dxa"/>
            <w:vAlign w:val="center"/>
          </w:tcPr>
          <w:p w14:paraId="11FF9FC9">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度UL</w:t>
            </w:r>
          </w:p>
        </w:tc>
        <w:tc>
          <w:tcPr>
            <w:tcW w:w="1416" w:type="dxa"/>
            <w:vAlign w:val="center"/>
          </w:tcPr>
          <w:p w14:paraId="18CE9A94">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Eav（lx）</w:t>
            </w:r>
          </w:p>
        </w:tc>
        <w:tc>
          <w:tcPr>
            <w:tcW w:w="1129" w:type="dxa"/>
            <w:vAlign w:val="center"/>
          </w:tcPr>
          <w:p w14:paraId="5BB807CC">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UE</w:t>
            </w:r>
          </w:p>
        </w:tc>
      </w:tr>
      <w:tr w14:paraId="402FB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14:paraId="6FB978B9">
            <w:pPr>
              <w:pStyle w:val="4"/>
              <w:spacing w:before="1" w:line="366" w:lineRule="auto"/>
              <w:ind w:right="216"/>
              <w:jc w:val="both"/>
              <w:rPr>
                <w:rFonts w:ascii="仿宋" w:hAnsi="仿宋" w:eastAsia="仿宋" w:cs="仿宋"/>
                <w:color w:val="auto"/>
                <w:spacing w:val="31"/>
                <w:sz w:val="24"/>
                <w:szCs w:val="24"/>
                <w:highlight w:val="none"/>
                <w:lang w:eastAsia="zh-CN"/>
              </w:rPr>
            </w:pPr>
          </w:p>
        </w:tc>
        <w:tc>
          <w:tcPr>
            <w:tcW w:w="1676" w:type="dxa"/>
            <w:vMerge w:val="continue"/>
            <w:vAlign w:val="center"/>
          </w:tcPr>
          <w:p w14:paraId="5E73C0AF">
            <w:pPr>
              <w:pStyle w:val="4"/>
              <w:spacing w:before="1" w:line="366" w:lineRule="auto"/>
              <w:ind w:right="216"/>
              <w:jc w:val="both"/>
              <w:rPr>
                <w:rFonts w:ascii="仿宋" w:hAnsi="仿宋" w:eastAsia="仿宋" w:cs="仿宋"/>
                <w:color w:val="auto"/>
                <w:spacing w:val="31"/>
                <w:sz w:val="24"/>
                <w:szCs w:val="24"/>
                <w:highlight w:val="none"/>
                <w:lang w:eastAsia="zh-CN"/>
              </w:rPr>
            </w:pPr>
          </w:p>
        </w:tc>
        <w:tc>
          <w:tcPr>
            <w:tcW w:w="1801" w:type="dxa"/>
            <w:vAlign w:val="center"/>
          </w:tcPr>
          <w:p w14:paraId="741F4C13">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维持值</w:t>
            </w:r>
          </w:p>
        </w:tc>
        <w:tc>
          <w:tcPr>
            <w:tcW w:w="1239" w:type="dxa"/>
            <w:vAlign w:val="center"/>
          </w:tcPr>
          <w:p w14:paraId="4B820EBC">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最小值</w:t>
            </w:r>
          </w:p>
        </w:tc>
        <w:tc>
          <w:tcPr>
            <w:tcW w:w="1239" w:type="dxa"/>
            <w:vAlign w:val="center"/>
          </w:tcPr>
          <w:p w14:paraId="057012AA">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最小值</w:t>
            </w:r>
          </w:p>
        </w:tc>
        <w:tc>
          <w:tcPr>
            <w:tcW w:w="1416" w:type="dxa"/>
            <w:vAlign w:val="center"/>
          </w:tcPr>
          <w:p w14:paraId="55EBB90F">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维持值</w:t>
            </w:r>
          </w:p>
        </w:tc>
        <w:tc>
          <w:tcPr>
            <w:tcW w:w="1129" w:type="dxa"/>
            <w:vAlign w:val="center"/>
          </w:tcPr>
          <w:p w14:paraId="251A00F1">
            <w:pPr>
              <w:pStyle w:val="4"/>
              <w:spacing w:before="1" w:line="366" w:lineRule="auto"/>
              <w:ind w:right="73" w:rightChars="0"/>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最小值</w:t>
            </w:r>
          </w:p>
        </w:tc>
      </w:tr>
      <w:tr w14:paraId="41DB8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2219823A">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1</w:t>
            </w:r>
          </w:p>
        </w:tc>
        <w:tc>
          <w:tcPr>
            <w:tcW w:w="1676" w:type="dxa"/>
            <w:vAlign w:val="center"/>
          </w:tcPr>
          <w:p w14:paraId="5A80B3DE">
            <w:pPr>
              <w:pStyle w:val="4"/>
              <w:spacing w:before="1" w:line="366" w:lineRule="auto"/>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快速路、主干路</w:t>
            </w:r>
          </w:p>
        </w:tc>
        <w:tc>
          <w:tcPr>
            <w:tcW w:w="1801" w:type="dxa"/>
            <w:vAlign w:val="center"/>
          </w:tcPr>
          <w:p w14:paraId="79FA2A72">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1.5/2.0</w:t>
            </w:r>
          </w:p>
        </w:tc>
        <w:tc>
          <w:tcPr>
            <w:tcW w:w="1239" w:type="dxa"/>
            <w:vAlign w:val="center"/>
          </w:tcPr>
          <w:p w14:paraId="7522E308">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0.4</w:t>
            </w:r>
          </w:p>
        </w:tc>
        <w:tc>
          <w:tcPr>
            <w:tcW w:w="1239" w:type="dxa"/>
            <w:vAlign w:val="center"/>
          </w:tcPr>
          <w:p w14:paraId="4DA67DEE">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0.7</w:t>
            </w:r>
          </w:p>
        </w:tc>
        <w:tc>
          <w:tcPr>
            <w:tcW w:w="1416" w:type="dxa"/>
            <w:vAlign w:val="center"/>
          </w:tcPr>
          <w:p w14:paraId="4A04C2F7">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20/30</w:t>
            </w:r>
          </w:p>
        </w:tc>
        <w:tc>
          <w:tcPr>
            <w:tcW w:w="1129" w:type="dxa"/>
            <w:vAlign w:val="center"/>
          </w:tcPr>
          <w:p w14:paraId="6D1A6CF0">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0.4</w:t>
            </w:r>
          </w:p>
        </w:tc>
      </w:tr>
      <w:tr w14:paraId="3BD57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4C7AEFA0">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2</w:t>
            </w:r>
          </w:p>
        </w:tc>
        <w:tc>
          <w:tcPr>
            <w:tcW w:w="1676" w:type="dxa"/>
            <w:vAlign w:val="center"/>
          </w:tcPr>
          <w:p w14:paraId="43BFFC52">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次干路</w:t>
            </w:r>
          </w:p>
        </w:tc>
        <w:tc>
          <w:tcPr>
            <w:tcW w:w="1801" w:type="dxa"/>
            <w:vAlign w:val="center"/>
          </w:tcPr>
          <w:p w14:paraId="652C1526">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1.0/1.5</w:t>
            </w:r>
          </w:p>
        </w:tc>
        <w:tc>
          <w:tcPr>
            <w:tcW w:w="1239" w:type="dxa"/>
            <w:vAlign w:val="center"/>
          </w:tcPr>
          <w:p w14:paraId="6D47E391">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0.4</w:t>
            </w:r>
          </w:p>
        </w:tc>
        <w:tc>
          <w:tcPr>
            <w:tcW w:w="1239" w:type="dxa"/>
            <w:vAlign w:val="center"/>
          </w:tcPr>
          <w:p w14:paraId="48EA898E">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0.5</w:t>
            </w:r>
          </w:p>
        </w:tc>
        <w:tc>
          <w:tcPr>
            <w:tcW w:w="1416" w:type="dxa"/>
            <w:vAlign w:val="center"/>
          </w:tcPr>
          <w:p w14:paraId="41D7D5C2">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15/20</w:t>
            </w:r>
          </w:p>
        </w:tc>
        <w:tc>
          <w:tcPr>
            <w:tcW w:w="1129" w:type="dxa"/>
            <w:vAlign w:val="center"/>
          </w:tcPr>
          <w:p w14:paraId="7BABE423">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0.4</w:t>
            </w:r>
          </w:p>
        </w:tc>
      </w:tr>
      <w:tr w14:paraId="66882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06DB3AA6">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3</w:t>
            </w:r>
          </w:p>
        </w:tc>
        <w:tc>
          <w:tcPr>
            <w:tcW w:w="1676" w:type="dxa"/>
            <w:vAlign w:val="center"/>
          </w:tcPr>
          <w:p w14:paraId="0047D2D5">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z w:val="24"/>
                <w:szCs w:val="24"/>
                <w:highlight w:val="none"/>
              </w:rPr>
              <w:t>支路</w:t>
            </w:r>
          </w:p>
        </w:tc>
        <w:tc>
          <w:tcPr>
            <w:tcW w:w="1801" w:type="dxa"/>
            <w:vAlign w:val="center"/>
          </w:tcPr>
          <w:p w14:paraId="20E507EA">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0.5/0.75</w:t>
            </w:r>
          </w:p>
        </w:tc>
        <w:tc>
          <w:tcPr>
            <w:tcW w:w="1239" w:type="dxa"/>
            <w:vAlign w:val="center"/>
          </w:tcPr>
          <w:p w14:paraId="197F8CA3">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0.4</w:t>
            </w:r>
          </w:p>
        </w:tc>
        <w:tc>
          <w:tcPr>
            <w:tcW w:w="1239" w:type="dxa"/>
            <w:vAlign w:val="center"/>
          </w:tcPr>
          <w:p w14:paraId="64B17B30">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w:t>
            </w:r>
          </w:p>
        </w:tc>
        <w:tc>
          <w:tcPr>
            <w:tcW w:w="1416" w:type="dxa"/>
            <w:vAlign w:val="center"/>
          </w:tcPr>
          <w:p w14:paraId="0F8C0250">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8/10</w:t>
            </w:r>
          </w:p>
        </w:tc>
        <w:tc>
          <w:tcPr>
            <w:tcW w:w="1129" w:type="dxa"/>
            <w:vAlign w:val="center"/>
          </w:tcPr>
          <w:p w14:paraId="4DB4A161">
            <w:pPr>
              <w:pStyle w:val="4"/>
              <w:spacing w:before="1" w:line="366" w:lineRule="auto"/>
              <w:ind w:right="216"/>
              <w:jc w:val="both"/>
              <w:rPr>
                <w:rFonts w:ascii="仿宋" w:hAnsi="仿宋" w:eastAsia="仿宋" w:cs="仿宋"/>
                <w:color w:val="auto"/>
                <w:spacing w:val="31"/>
                <w:sz w:val="24"/>
                <w:szCs w:val="24"/>
                <w:highlight w:val="none"/>
                <w:lang w:eastAsia="zh-CN"/>
              </w:rPr>
            </w:pPr>
            <w:r>
              <w:rPr>
                <w:rFonts w:hint="eastAsia" w:ascii="仿宋" w:hAnsi="仿宋" w:eastAsia="仿宋" w:cs="仿宋"/>
                <w:color w:val="auto"/>
                <w:spacing w:val="31"/>
                <w:sz w:val="24"/>
                <w:szCs w:val="24"/>
                <w:highlight w:val="none"/>
                <w:lang w:eastAsia="zh-CN"/>
              </w:rPr>
              <w:t>0.3</w:t>
            </w:r>
          </w:p>
        </w:tc>
      </w:tr>
    </w:tbl>
    <w:p w14:paraId="49911538">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3.如工程未达到验收标准，中标人根据采购人的意见进行限期整改，直至本项目工程通过竣工验收。如在规定期限内未达到验收标准，采购人有权解除合同。</w:t>
      </w:r>
    </w:p>
    <w:p w14:paraId="7147A33A">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4.施工安装按照《城市道路照明工程施工及验收规程》（CJJ89-2012）对中标人施工部分进行验收，竣工验收时要求亮灯率达到100%。</w:t>
      </w:r>
    </w:p>
    <w:p w14:paraId="61D04BFB">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5.采购人委托第三方检测机构（由采购人另行招标确定，检测费用由中标人支付）对所有改造路段进行抽测照度、均匀度及节能率等。检测标准依据国家标准，并由第三方机构出具《路灯节能改造工程节能量报告》、《道路照度质量测试报告》等相关报告。综合节电率要求达到50%以上。</w:t>
      </w:r>
    </w:p>
    <w:p w14:paraId="4D843AA4">
      <w:pPr>
        <w:pStyle w:val="3"/>
        <w:ind w:firstLine="423"/>
        <w:rPr>
          <w:color w:val="auto"/>
          <w:highlight w:val="none"/>
        </w:rPr>
      </w:pPr>
      <w:r>
        <w:rPr>
          <w:rFonts w:hint="eastAsia"/>
          <w:color w:val="auto"/>
          <w:highlight w:val="none"/>
        </w:rPr>
        <w:t>七、路灯设施日常养护和管理</w:t>
      </w:r>
    </w:p>
    <w:p w14:paraId="6F560729">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1.运行维护内容 </w:t>
      </w:r>
    </w:p>
    <w:p w14:paraId="193ACCF4">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合同期内中标人负责采购人管辖的所有照明设施的运行维护，包括：智慧路灯照明管理信息平台的运行维护；灯杆、灯具、光源电器、景观亮化设施、公园广场路灯、配电柜、电缆、路灯变压器等高压下火线以下照明设施的运行维护；本项目新建的智慧灯杆、高点可视化监控设备的运行维护，如损坏的设备设施无法维修，由中标人负责更换，费用由中标人承担；</w:t>
      </w:r>
    </w:p>
    <w:p w14:paraId="4954A8FA">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（2）在合同期内每晚亮灯率须达到98%以上，设备完好率99%。养护工作执行《安徽省城市道路照明养护技术标准》DB34/T5066-2017；</w:t>
      </w:r>
    </w:p>
    <w:p w14:paraId="01885BFE">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3）在合同期内，中标人须负责非道路照明设备设施（包括现有经采购人审批通过，已经接入的非道路照明设备设施和合同期内经采购人审批后将接入的非道路照明设备设施）在路灯照明设备设施上取电的管理，合同期内出现的一切责任由中标人承担；</w:t>
      </w:r>
    </w:p>
    <w:p w14:paraId="235769D3">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备注：中标人自合同签订之日起至节能改造验收合格止，路灯所有设施养护由中标人承担，节能改造验收合格起，中标人全面承担招标范围内在管路灯照明设备设施养护工作，同时计算合同能源管理时间。</w:t>
      </w:r>
    </w:p>
    <w:p w14:paraId="08BB507D">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2.日常养护具体要求</w:t>
      </w:r>
    </w:p>
    <w:p w14:paraId="31C97B02">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严格按照招标文件需求和相关技术规范进行日常巡查、养护工作，确保路灯照明设备设施安全、完好、稳定运行，设备设施完好率、亮灯率等各项照明设备设施养护要求达到考核中规定的标准。 </w:t>
      </w:r>
    </w:p>
    <w:p w14:paraId="1AF2B960">
      <w:pPr>
        <w:ind w:firstLine="425" w:firstLineChars="152"/>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中标人须建立专职养护队伍，其中具有安全员C3证的专职安全员不得少于1人，养护人员不得少于4人。此项在投标时承诺，在合同签订前配齐养护人员。服务周期内中标人须与所有人员签订劳动合同或劳务合同，并购买相应保险，特别是意外伤害险；服务实施前须提供花名册（备注姓名、年龄、性别、籍贯、联系方式等信息）和身份证</w:t>
      </w:r>
      <w:r>
        <w:rPr>
          <w:rFonts w:hint="eastAsia" w:ascii="仿宋" w:hAnsi="仿宋" w:eastAsia="仿宋" w:cs="仿宋"/>
          <w:color w:val="auto"/>
          <w:sz w:val="28"/>
          <w:szCs w:val="28"/>
          <w:highlight w:val="none"/>
          <w:lang w:val="en-US" w:eastAsia="zh-CN"/>
        </w:rPr>
        <w:t>以及证件证书</w:t>
      </w:r>
      <w:r>
        <w:rPr>
          <w:rFonts w:hint="eastAsia" w:ascii="仿宋" w:hAnsi="仿宋" w:eastAsia="仿宋" w:cs="仿宋"/>
          <w:color w:val="auto"/>
          <w:sz w:val="28"/>
          <w:szCs w:val="28"/>
          <w:highlight w:val="none"/>
        </w:rPr>
        <w:t>复印件报采购人备案。本项目运行维护期间，所有服务人员必须全程参与本项目管养工作。中标人派驻的养护负责人须常驻项目现场，如需离开岗位，应提前1天向采购人提出申请，经采购人同意后方可离开。</w:t>
      </w:r>
    </w:p>
    <w:p w14:paraId="686D5BF5">
      <w:pPr>
        <w:ind w:firstLine="425" w:firstLineChars="152"/>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中标后中标人设置养护项目部。项目部须满足如下条件：应具备足够的物理空间用于日常办公及设备摆放（包含废旧材料、备品备件、车辆等），维修设备主要包括作业高度≥17.5米的高空作业车1辆、巡查车1辆，以上设备未经采购人同意不得挪作他用。</w:t>
      </w:r>
    </w:p>
    <w:tbl>
      <w:tblPr>
        <w:tblStyle w:val="17"/>
        <w:tblpPr w:leftFromText="180" w:rightFromText="180" w:vertAnchor="text" w:horzAnchor="page" w:tblpXSpec="center" w:tblpY="93"/>
        <w:tblOverlap w:val="never"/>
        <w:tblW w:w="865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4"/>
        <w:gridCol w:w="2181"/>
        <w:gridCol w:w="1134"/>
        <w:gridCol w:w="992"/>
        <w:gridCol w:w="3563"/>
      </w:tblGrid>
      <w:tr w14:paraId="58CD86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jc w:val="center"/>
        </w:trPr>
        <w:tc>
          <w:tcPr>
            <w:tcW w:w="784" w:type="dxa"/>
            <w:shd w:val="clear" w:color="auto" w:fill="FFFFFF" w:themeFill="background1"/>
            <w:vAlign w:val="center"/>
          </w:tcPr>
          <w:p w14:paraId="799678F3">
            <w:pPr>
              <w:ind w:left="134"/>
              <w:rPr>
                <w:rFonts w:ascii="仿宋" w:hAnsi="仿宋" w:eastAsia="仿宋" w:cs="仿宋"/>
                <w:b/>
                <w:bCs/>
                <w:color w:val="auto"/>
                <w:kern w:val="0"/>
                <w:sz w:val="24"/>
                <w:szCs w:val="24"/>
                <w:highlight w:val="none"/>
              </w:rPr>
            </w:pPr>
            <w:r>
              <w:rPr>
                <w:rFonts w:hint="eastAsia" w:ascii="仿宋" w:hAnsi="仿宋" w:eastAsia="仿宋" w:cs="仿宋"/>
                <w:b/>
                <w:bCs/>
                <w:color w:val="auto"/>
                <w:spacing w:val="-5"/>
                <w:kern w:val="0"/>
                <w:sz w:val="24"/>
                <w:szCs w:val="24"/>
                <w:highlight w:val="none"/>
              </w:rPr>
              <w:t>序号</w:t>
            </w:r>
          </w:p>
        </w:tc>
        <w:tc>
          <w:tcPr>
            <w:tcW w:w="2181" w:type="dxa"/>
            <w:shd w:val="clear" w:color="auto" w:fill="FFFFFF" w:themeFill="background1"/>
            <w:vAlign w:val="center"/>
          </w:tcPr>
          <w:p w14:paraId="2A0A5B3F">
            <w:pPr>
              <w:jc w:val="center"/>
              <w:rPr>
                <w:rFonts w:ascii="仿宋" w:hAnsi="仿宋" w:eastAsia="仿宋" w:cs="仿宋"/>
                <w:b/>
                <w:bCs/>
                <w:color w:val="auto"/>
                <w:kern w:val="0"/>
                <w:sz w:val="24"/>
                <w:szCs w:val="24"/>
                <w:highlight w:val="none"/>
              </w:rPr>
            </w:pPr>
            <w:r>
              <w:rPr>
                <w:rFonts w:hint="eastAsia" w:ascii="仿宋" w:hAnsi="仿宋" w:eastAsia="仿宋" w:cs="仿宋"/>
                <w:b/>
                <w:bCs/>
                <w:color w:val="auto"/>
                <w:spacing w:val="-7"/>
                <w:kern w:val="0"/>
                <w:sz w:val="24"/>
                <w:szCs w:val="24"/>
                <w:highlight w:val="none"/>
              </w:rPr>
              <w:t>项目</w:t>
            </w:r>
          </w:p>
        </w:tc>
        <w:tc>
          <w:tcPr>
            <w:tcW w:w="1134" w:type="dxa"/>
            <w:shd w:val="clear" w:color="auto" w:fill="FFFFFF" w:themeFill="background1"/>
            <w:vAlign w:val="center"/>
          </w:tcPr>
          <w:p w14:paraId="582F4AFD">
            <w:pPr>
              <w:jc w:val="center"/>
              <w:rPr>
                <w:rFonts w:ascii="仿宋" w:hAnsi="仿宋" w:eastAsia="仿宋" w:cs="仿宋"/>
                <w:b/>
                <w:bCs/>
                <w:color w:val="auto"/>
                <w:kern w:val="0"/>
                <w:sz w:val="24"/>
                <w:szCs w:val="24"/>
                <w:highlight w:val="none"/>
              </w:rPr>
            </w:pPr>
            <w:r>
              <w:rPr>
                <w:rFonts w:hint="eastAsia" w:ascii="仿宋" w:hAnsi="仿宋" w:eastAsia="仿宋" w:cs="仿宋"/>
                <w:b/>
                <w:bCs/>
                <w:color w:val="auto"/>
                <w:spacing w:val="-4"/>
                <w:kern w:val="0"/>
                <w:sz w:val="24"/>
                <w:szCs w:val="24"/>
                <w:highlight w:val="none"/>
              </w:rPr>
              <w:t>单位</w:t>
            </w:r>
          </w:p>
        </w:tc>
        <w:tc>
          <w:tcPr>
            <w:tcW w:w="992" w:type="dxa"/>
            <w:shd w:val="clear" w:color="auto" w:fill="FFFFFF" w:themeFill="background1"/>
            <w:vAlign w:val="center"/>
          </w:tcPr>
          <w:p w14:paraId="1799815B">
            <w:pPr>
              <w:jc w:val="center"/>
              <w:rPr>
                <w:rFonts w:ascii="仿宋" w:hAnsi="仿宋" w:eastAsia="仿宋" w:cs="仿宋"/>
                <w:b/>
                <w:bCs/>
                <w:color w:val="auto"/>
                <w:kern w:val="0"/>
                <w:sz w:val="24"/>
                <w:szCs w:val="24"/>
                <w:highlight w:val="none"/>
              </w:rPr>
            </w:pPr>
            <w:r>
              <w:rPr>
                <w:rFonts w:hint="eastAsia" w:ascii="仿宋" w:hAnsi="仿宋" w:eastAsia="仿宋" w:cs="仿宋"/>
                <w:b/>
                <w:bCs/>
                <w:color w:val="auto"/>
                <w:spacing w:val="-6"/>
                <w:kern w:val="0"/>
                <w:sz w:val="24"/>
                <w:szCs w:val="24"/>
                <w:highlight w:val="none"/>
              </w:rPr>
              <w:t>数量</w:t>
            </w:r>
          </w:p>
        </w:tc>
        <w:tc>
          <w:tcPr>
            <w:tcW w:w="3563" w:type="dxa"/>
            <w:shd w:val="clear" w:color="auto" w:fill="FFFFFF" w:themeFill="background1"/>
            <w:vAlign w:val="center"/>
          </w:tcPr>
          <w:p w14:paraId="4B7CE3AF">
            <w:pPr>
              <w:jc w:val="center"/>
              <w:rPr>
                <w:rFonts w:ascii="仿宋" w:hAnsi="仿宋" w:eastAsia="仿宋" w:cs="仿宋"/>
                <w:b/>
                <w:bCs/>
                <w:color w:val="auto"/>
                <w:kern w:val="0"/>
                <w:sz w:val="24"/>
                <w:szCs w:val="24"/>
                <w:highlight w:val="none"/>
              </w:rPr>
            </w:pPr>
            <w:r>
              <w:rPr>
                <w:rFonts w:hint="eastAsia" w:ascii="仿宋" w:hAnsi="仿宋" w:eastAsia="仿宋" w:cs="仿宋"/>
                <w:b/>
                <w:bCs/>
                <w:color w:val="auto"/>
                <w:spacing w:val="-4"/>
                <w:kern w:val="0"/>
                <w:sz w:val="24"/>
                <w:szCs w:val="24"/>
                <w:highlight w:val="none"/>
              </w:rPr>
              <w:t>备注</w:t>
            </w:r>
          </w:p>
        </w:tc>
      </w:tr>
      <w:tr w14:paraId="6CE75D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jc w:val="center"/>
        </w:trPr>
        <w:tc>
          <w:tcPr>
            <w:tcW w:w="784" w:type="dxa"/>
            <w:vAlign w:val="center"/>
          </w:tcPr>
          <w:p w14:paraId="6BCABD1A">
            <w:pPr>
              <w:spacing w:line="240" w:lineRule="exact"/>
              <w:jc w:val="center"/>
              <w:rPr>
                <w:rFonts w:hint="eastAsia" w:ascii="仿宋" w:hAnsi="仿宋" w:eastAsia="仿宋" w:cs="仿宋"/>
                <w:color w:val="auto"/>
                <w:kern w:val="0"/>
                <w:sz w:val="21"/>
                <w:szCs w:val="21"/>
                <w:highlight w:val="none"/>
                <w:lang w:eastAsia="zh-CN"/>
              </w:rPr>
            </w:pPr>
            <w:r>
              <w:rPr>
                <w:rFonts w:hint="eastAsia" w:ascii="仿宋" w:hAnsi="仿宋" w:eastAsia="仿宋" w:cs="仿宋"/>
                <w:b/>
                <w:bCs/>
                <w:color w:val="auto"/>
                <w:spacing w:val="-3"/>
                <w:kern w:val="0"/>
                <w:sz w:val="21"/>
                <w:szCs w:val="21"/>
                <w:highlight w:val="none"/>
                <w:lang w:val="en-US" w:eastAsia="zh-CN"/>
              </w:rPr>
              <w:t>1</w:t>
            </w:r>
          </w:p>
        </w:tc>
        <w:tc>
          <w:tcPr>
            <w:tcW w:w="2181" w:type="dxa"/>
            <w:vAlign w:val="center"/>
          </w:tcPr>
          <w:p w14:paraId="1B2CFA1E">
            <w:pPr>
              <w:spacing w:line="240" w:lineRule="exact"/>
              <w:jc w:val="center"/>
              <w:rPr>
                <w:rFonts w:hint="eastAsia" w:ascii="仿宋" w:hAnsi="仿宋" w:eastAsia="仿宋" w:cs="仿宋"/>
                <w:color w:val="auto"/>
                <w:spacing w:val="-13"/>
                <w:kern w:val="0"/>
                <w:sz w:val="21"/>
                <w:szCs w:val="21"/>
                <w:highlight w:val="none"/>
              </w:rPr>
            </w:pPr>
            <w:r>
              <w:rPr>
                <w:rFonts w:hint="eastAsia" w:ascii="仿宋" w:hAnsi="仿宋" w:eastAsia="仿宋" w:cs="仿宋"/>
                <w:color w:val="auto"/>
                <w:spacing w:val="-13"/>
                <w:kern w:val="0"/>
                <w:sz w:val="21"/>
                <w:szCs w:val="21"/>
                <w:highlight w:val="none"/>
              </w:rPr>
              <w:t>安全员</w:t>
            </w:r>
          </w:p>
        </w:tc>
        <w:tc>
          <w:tcPr>
            <w:tcW w:w="1134" w:type="dxa"/>
            <w:vAlign w:val="center"/>
          </w:tcPr>
          <w:p w14:paraId="525F9C4A">
            <w:pPr>
              <w:spacing w:line="240" w:lineRule="exact"/>
              <w:jc w:val="center"/>
              <w:rPr>
                <w:rFonts w:hint="eastAsia" w:ascii="仿宋" w:hAnsi="仿宋" w:eastAsia="仿宋" w:cs="仿宋"/>
                <w:color w:val="auto"/>
                <w:kern w:val="0"/>
                <w:sz w:val="21"/>
                <w:szCs w:val="21"/>
                <w:highlight w:val="none"/>
              </w:rPr>
            </w:pPr>
            <w:r>
              <w:rPr>
                <w:rFonts w:hint="eastAsia" w:ascii="仿宋" w:hAnsi="仿宋" w:eastAsia="仿宋" w:cs="仿宋"/>
                <w:color w:val="auto"/>
                <w:spacing w:val="-3"/>
                <w:kern w:val="0"/>
                <w:sz w:val="21"/>
                <w:szCs w:val="21"/>
                <w:highlight w:val="none"/>
              </w:rPr>
              <w:t>人</w:t>
            </w:r>
          </w:p>
        </w:tc>
        <w:tc>
          <w:tcPr>
            <w:tcW w:w="992" w:type="dxa"/>
            <w:vAlign w:val="center"/>
          </w:tcPr>
          <w:p w14:paraId="187D11C6">
            <w:pPr>
              <w:spacing w:line="240" w:lineRule="exact"/>
              <w:jc w:val="center"/>
              <w:rPr>
                <w:rFonts w:hint="eastAsia" w:ascii="仿宋" w:hAnsi="仿宋" w:eastAsia="仿宋" w:cs="仿宋"/>
                <w:color w:val="auto"/>
                <w:kern w:val="0"/>
                <w:sz w:val="21"/>
                <w:szCs w:val="21"/>
                <w:highlight w:val="none"/>
              </w:rPr>
            </w:pPr>
            <w:r>
              <w:rPr>
                <w:rFonts w:hint="eastAsia" w:ascii="仿宋" w:hAnsi="仿宋" w:eastAsia="仿宋" w:cs="仿宋"/>
                <w:color w:val="auto"/>
                <w:spacing w:val="-3"/>
                <w:kern w:val="0"/>
                <w:sz w:val="21"/>
                <w:szCs w:val="21"/>
                <w:highlight w:val="none"/>
              </w:rPr>
              <w:t>1</w:t>
            </w:r>
          </w:p>
        </w:tc>
        <w:tc>
          <w:tcPr>
            <w:tcW w:w="3563" w:type="dxa"/>
            <w:vAlign w:val="center"/>
          </w:tcPr>
          <w:p w14:paraId="660EE1BA">
            <w:pPr>
              <w:widowControl/>
              <w:rPr>
                <w:rFonts w:hint="eastAsia" w:ascii="仿宋" w:hAnsi="仿宋" w:eastAsia="仿宋" w:cs="仿宋"/>
                <w:color w:val="auto"/>
                <w:kern w:val="0"/>
                <w:sz w:val="21"/>
                <w:szCs w:val="21"/>
                <w:highlight w:val="none"/>
              </w:rPr>
            </w:pPr>
            <w:r>
              <w:rPr>
                <w:rFonts w:hint="eastAsia" w:ascii="仿宋" w:hAnsi="仿宋" w:eastAsia="仿宋" w:cs="仿宋"/>
                <w:snapToGrid w:val="0"/>
                <w:color w:val="auto"/>
                <w:kern w:val="0"/>
                <w:sz w:val="21"/>
                <w:szCs w:val="21"/>
                <w:highlight w:val="none"/>
                <w:lang w:bidi="ar"/>
              </w:rPr>
              <w:t>具有有效的安全生产考核合格证书C3证</w:t>
            </w:r>
          </w:p>
        </w:tc>
      </w:tr>
      <w:tr w14:paraId="011337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jc w:val="center"/>
        </w:trPr>
        <w:tc>
          <w:tcPr>
            <w:tcW w:w="784" w:type="dxa"/>
            <w:vAlign w:val="center"/>
          </w:tcPr>
          <w:p w14:paraId="2E33E210">
            <w:pPr>
              <w:spacing w:line="240" w:lineRule="exact"/>
              <w:jc w:val="center"/>
              <w:rPr>
                <w:rFonts w:hint="eastAsia" w:ascii="仿宋" w:hAnsi="仿宋" w:eastAsia="仿宋" w:cs="仿宋"/>
                <w:color w:val="auto"/>
                <w:kern w:val="0"/>
                <w:sz w:val="21"/>
                <w:szCs w:val="21"/>
                <w:highlight w:val="none"/>
                <w:lang w:eastAsia="zh-CN"/>
              </w:rPr>
            </w:pPr>
            <w:r>
              <w:rPr>
                <w:rFonts w:hint="eastAsia" w:ascii="仿宋" w:hAnsi="仿宋" w:eastAsia="仿宋" w:cs="仿宋"/>
                <w:b/>
                <w:bCs/>
                <w:color w:val="auto"/>
                <w:spacing w:val="-3"/>
                <w:kern w:val="0"/>
                <w:sz w:val="21"/>
                <w:szCs w:val="21"/>
                <w:highlight w:val="none"/>
                <w:lang w:val="en-US" w:eastAsia="zh-CN"/>
              </w:rPr>
              <w:t>2</w:t>
            </w:r>
          </w:p>
        </w:tc>
        <w:tc>
          <w:tcPr>
            <w:tcW w:w="2181" w:type="dxa"/>
            <w:vAlign w:val="center"/>
          </w:tcPr>
          <w:p w14:paraId="447A3FF6">
            <w:pPr>
              <w:spacing w:line="240" w:lineRule="exact"/>
              <w:jc w:val="center"/>
              <w:rPr>
                <w:rFonts w:hint="eastAsia" w:ascii="仿宋" w:hAnsi="仿宋" w:eastAsia="仿宋" w:cs="仿宋"/>
                <w:color w:val="auto"/>
                <w:spacing w:val="-13"/>
                <w:kern w:val="0"/>
                <w:sz w:val="21"/>
                <w:szCs w:val="21"/>
                <w:highlight w:val="none"/>
              </w:rPr>
            </w:pPr>
            <w:r>
              <w:rPr>
                <w:rFonts w:hint="eastAsia" w:ascii="仿宋" w:hAnsi="仿宋" w:eastAsia="仿宋" w:cs="仿宋"/>
                <w:color w:val="auto"/>
                <w:spacing w:val="-13"/>
                <w:kern w:val="0"/>
                <w:sz w:val="21"/>
                <w:szCs w:val="21"/>
                <w:highlight w:val="none"/>
                <w:lang w:val="en-US" w:eastAsia="zh-CN"/>
              </w:rPr>
              <w:t>养护</w:t>
            </w:r>
            <w:r>
              <w:rPr>
                <w:rFonts w:hint="eastAsia" w:ascii="仿宋" w:hAnsi="仿宋" w:eastAsia="仿宋" w:cs="仿宋"/>
                <w:color w:val="auto"/>
                <w:spacing w:val="-13"/>
                <w:kern w:val="0"/>
                <w:sz w:val="21"/>
                <w:szCs w:val="21"/>
                <w:highlight w:val="none"/>
              </w:rPr>
              <w:t>人员</w:t>
            </w:r>
          </w:p>
        </w:tc>
        <w:tc>
          <w:tcPr>
            <w:tcW w:w="1134" w:type="dxa"/>
            <w:vAlign w:val="center"/>
          </w:tcPr>
          <w:p w14:paraId="2C514352">
            <w:pPr>
              <w:spacing w:line="240" w:lineRule="exact"/>
              <w:jc w:val="center"/>
              <w:rPr>
                <w:rFonts w:hint="eastAsia" w:ascii="仿宋" w:hAnsi="仿宋" w:eastAsia="仿宋" w:cs="仿宋"/>
                <w:color w:val="auto"/>
                <w:kern w:val="0"/>
                <w:sz w:val="21"/>
                <w:szCs w:val="21"/>
                <w:highlight w:val="none"/>
              </w:rPr>
            </w:pPr>
            <w:r>
              <w:rPr>
                <w:rFonts w:hint="eastAsia" w:ascii="仿宋" w:hAnsi="仿宋" w:eastAsia="仿宋" w:cs="仿宋"/>
                <w:color w:val="auto"/>
                <w:spacing w:val="-3"/>
                <w:kern w:val="0"/>
                <w:sz w:val="21"/>
                <w:szCs w:val="21"/>
                <w:highlight w:val="none"/>
              </w:rPr>
              <w:t>人</w:t>
            </w:r>
          </w:p>
        </w:tc>
        <w:tc>
          <w:tcPr>
            <w:tcW w:w="992" w:type="dxa"/>
            <w:vAlign w:val="center"/>
          </w:tcPr>
          <w:p w14:paraId="0D32CA07">
            <w:pPr>
              <w:spacing w:line="240" w:lineRule="exact"/>
              <w:jc w:val="center"/>
              <w:rPr>
                <w:rFonts w:hint="eastAsia" w:ascii="仿宋" w:hAnsi="仿宋" w:eastAsia="仿宋" w:cs="仿宋"/>
                <w:color w:val="auto"/>
                <w:kern w:val="0"/>
                <w:sz w:val="21"/>
                <w:szCs w:val="21"/>
                <w:highlight w:val="none"/>
              </w:rPr>
            </w:pPr>
            <w:r>
              <w:rPr>
                <w:rFonts w:hint="eastAsia" w:ascii="仿宋" w:hAnsi="仿宋" w:eastAsia="仿宋" w:cs="仿宋"/>
                <w:color w:val="auto"/>
                <w:spacing w:val="-3"/>
                <w:kern w:val="0"/>
                <w:sz w:val="21"/>
                <w:szCs w:val="21"/>
                <w:highlight w:val="none"/>
              </w:rPr>
              <w:t>4</w:t>
            </w:r>
          </w:p>
        </w:tc>
        <w:tc>
          <w:tcPr>
            <w:tcW w:w="3563" w:type="dxa"/>
            <w:vAlign w:val="center"/>
          </w:tcPr>
          <w:p w14:paraId="14F4A569">
            <w:pPr>
              <w:widowControl/>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rPr>
              <w:t>同时具有应急管理部门核发的有效的电工作业和高处作业证</w:t>
            </w:r>
          </w:p>
        </w:tc>
      </w:tr>
      <w:tr w14:paraId="16F771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jc w:val="center"/>
        </w:trPr>
        <w:tc>
          <w:tcPr>
            <w:tcW w:w="784" w:type="dxa"/>
            <w:vAlign w:val="center"/>
          </w:tcPr>
          <w:p w14:paraId="2DE224F0">
            <w:pPr>
              <w:spacing w:line="240" w:lineRule="exact"/>
              <w:jc w:val="center"/>
              <w:rPr>
                <w:rFonts w:hint="eastAsia" w:ascii="仿宋" w:hAnsi="仿宋" w:eastAsia="仿宋" w:cs="仿宋"/>
                <w:b/>
                <w:bCs/>
                <w:color w:val="auto"/>
                <w:spacing w:val="-3"/>
                <w:kern w:val="0"/>
                <w:sz w:val="21"/>
                <w:szCs w:val="21"/>
                <w:highlight w:val="none"/>
                <w:lang w:eastAsia="zh-CN"/>
              </w:rPr>
            </w:pPr>
            <w:r>
              <w:rPr>
                <w:rFonts w:hint="eastAsia" w:ascii="仿宋" w:hAnsi="仿宋" w:eastAsia="仿宋" w:cs="仿宋"/>
                <w:color w:val="auto"/>
                <w:spacing w:val="1"/>
                <w:kern w:val="0"/>
                <w:sz w:val="21"/>
                <w:szCs w:val="21"/>
                <w:highlight w:val="none"/>
                <w:lang w:val="en-US" w:eastAsia="zh-CN"/>
              </w:rPr>
              <w:t>3</w:t>
            </w:r>
          </w:p>
        </w:tc>
        <w:tc>
          <w:tcPr>
            <w:tcW w:w="2181" w:type="dxa"/>
            <w:vAlign w:val="center"/>
          </w:tcPr>
          <w:p w14:paraId="0B081C69">
            <w:pPr>
              <w:spacing w:line="240" w:lineRule="exact"/>
              <w:jc w:val="center"/>
              <w:rPr>
                <w:rFonts w:hint="eastAsia" w:ascii="仿宋" w:hAnsi="仿宋" w:eastAsia="仿宋" w:cs="仿宋"/>
                <w:color w:val="auto"/>
                <w:spacing w:val="-13"/>
                <w:kern w:val="0"/>
                <w:sz w:val="21"/>
                <w:szCs w:val="21"/>
                <w:highlight w:val="none"/>
              </w:rPr>
            </w:pPr>
            <w:r>
              <w:rPr>
                <w:rFonts w:hint="eastAsia" w:ascii="仿宋" w:hAnsi="仿宋" w:eastAsia="仿宋" w:cs="仿宋"/>
                <w:color w:val="auto"/>
                <w:spacing w:val="-13"/>
                <w:kern w:val="0"/>
                <w:sz w:val="21"/>
                <w:szCs w:val="21"/>
                <w:highlight w:val="none"/>
              </w:rPr>
              <w:t>高空作业车</w:t>
            </w:r>
          </w:p>
        </w:tc>
        <w:tc>
          <w:tcPr>
            <w:tcW w:w="1134" w:type="dxa"/>
            <w:vAlign w:val="center"/>
          </w:tcPr>
          <w:p w14:paraId="08DDA089">
            <w:pPr>
              <w:spacing w:line="240" w:lineRule="exact"/>
              <w:jc w:val="center"/>
              <w:rPr>
                <w:rFonts w:hint="eastAsia" w:ascii="仿宋" w:hAnsi="仿宋" w:eastAsia="仿宋" w:cs="仿宋"/>
                <w:color w:val="auto"/>
                <w:spacing w:val="-1"/>
                <w:kern w:val="0"/>
                <w:sz w:val="21"/>
                <w:szCs w:val="21"/>
                <w:highlight w:val="none"/>
              </w:rPr>
            </w:pPr>
            <w:r>
              <w:rPr>
                <w:rFonts w:hint="eastAsia" w:ascii="仿宋" w:hAnsi="仿宋" w:eastAsia="仿宋" w:cs="仿宋"/>
                <w:color w:val="auto"/>
                <w:spacing w:val="-1"/>
                <w:kern w:val="0"/>
                <w:sz w:val="21"/>
                <w:szCs w:val="21"/>
                <w:highlight w:val="none"/>
              </w:rPr>
              <w:t>辆</w:t>
            </w:r>
          </w:p>
        </w:tc>
        <w:tc>
          <w:tcPr>
            <w:tcW w:w="992" w:type="dxa"/>
            <w:vAlign w:val="center"/>
          </w:tcPr>
          <w:p w14:paraId="4F0A5BED">
            <w:pPr>
              <w:spacing w:line="240" w:lineRule="exact"/>
              <w:jc w:val="center"/>
              <w:rPr>
                <w:rFonts w:hint="eastAsia" w:ascii="仿宋" w:hAnsi="仿宋" w:eastAsia="仿宋" w:cs="仿宋"/>
                <w:color w:val="auto"/>
                <w:spacing w:val="-1"/>
                <w:kern w:val="0"/>
                <w:sz w:val="21"/>
                <w:szCs w:val="21"/>
                <w:highlight w:val="none"/>
              </w:rPr>
            </w:pPr>
            <w:r>
              <w:rPr>
                <w:rFonts w:hint="eastAsia" w:ascii="仿宋" w:hAnsi="仿宋" w:eastAsia="仿宋" w:cs="仿宋"/>
                <w:color w:val="auto"/>
                <w:spacing w:val="-1"/>
                <w:kern w:val="0"/>
                <w:sz w:val="21"/>
                <w:szCs w:val="21"/>
                <w:highlight w:val="none"/>
              </w:rPr>
              <w:t>1</w:t>
            </w:r>
          </w:p>
        </w:tc>
        <w:tc>
          <w:tcPr>
            <w:tcW w:w="3563" w:type="dxa"/>
            <w:vAlign w:val="center"/>
          </w:tcPr>
          <w:p w14:paraId="303157C8">
            <w:pPr>
              <w:spacing w:line="240" w:lineRule="exact"/>
              <w:rPr>
                <w:rFonts w:hint="eastAsia" w:ascii="仿宋" w:hAnsi="仿宋" w:eastAsia="仿宋" w:cs="仿宋"/>
                <w:color w:val="auto"/>
                <w:kern w:val="0"/>
                <w:sz w:val="21"/>
                <w:szCs w:val="21"/>
                <w:highlight w:val="none"/>
              </w:rPr>
            </w:pPr>
            <w:r>
              <w:rPr>
                <w:rFonts w:hint="eastAsia" w:ascii="仿宋" w:hAnsi="仿宋" w:eastAsia="仿宋" w:cs="仿宋"/>
                <w:color w:val="auto"/>
                <w:spacing w:val="6"/>
                <w:kern w:val="0"/>
                <w:sz w:val="21"/>
                <w:szCs w:val="21"/>
                <w:highlight w:val="none"/>
              </w:rPr>
              <w:t>最低配置标准配备</w:t>
            </w:r>
          </w:p>
        </w:tc>
      </w:tr>
      <w:tr w14:paraId="6E107A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jc w:val="center"/>
        </w:trPr>
        <w:tc>
          <w:tcPr>
            <w:tcW w:w="784" w:type="dxa"/>
            <w:vAlign w:val="center"/>
          </w:tcPr>
          <w:p w14:paraId="199A349D">
            <w:pPr>
              <w:spacing w:line="240" w:lineRule="exact"/>
              <w:jc w:val="center"/>
              <w:rPr>
                <w:rFonts w:hint="eastAsia" w:ascii="仿宋" w:hAnsi="仿宋" w:eastAsia="仿宋" w:cs="仿宋"/>
                <w:b/>
                <w:bCs/>
                <w:color w:val="auto"/>
                <w:spacing w:val="-3"/>
                <w:kern w:val="0"/>
                <w:sz w:val="21"/>
                <w:szCs w:val="21"/>
                <w:highlight w:val="none"/>
                <w:lang w:eastAsia="zh-CN"/>
              </w:rPr>
            </w:pPr>
            <w:r>
              <w:rPr>
                <w:rFonts w:hint="eastAsia" w:ascii="仿宋" w:hAnsi="仿宋" w:eastAsia="仿宋" w:cs="仿宋"/>
                <w:color w:val="auto"/>
                <w:spacing w:val="1"/>
                <w:kern w:val="0"/>
                <w:sz w:val="21"/>
                <w:szCs w:val="21"/>
                <w:highlight w:val="none"/>
                <w:lang w:val="en-US" w:eastAsia="zh-CN"/>
              </w:rPr>
              <w:t>4</w:t>
            </w:r>
          </w:p>
        </w:tc>
        <w:tc>
          <w:tcPr>
            <w:tcW w:w="2181" w:type="dxa"/>
            <w:vAlign w:val="center"/>
          </w:tcPr>
          <w:p w14:paraId="5976D518">
            <w:pPr>
              <w:spacing w:line="240" w:lineRule="exact"/>
              <w:jc w:val="center"/>
              <w:rPr>
                <w:rFonts w:hint="eastAsia" w:ascii="仿宋" w:hAnsi="仿宋" w:eastAsia="仿宋" w:cs="仿宋"/>
                <w:color w:val="auto"/>
                <w:spacing w:val="-13"/>
                <w:kern w:val="0"/>
                <w:sz w:val="21"/>
                <w:szCs w:val="21"/>
                <w:highlight w:val="none"/>
              </w:rPr>
            </w:pPr>
            <w:r>
              <w:rPr>
                <w:rFonts w:hint="eastAsia" w:ascii="仿宋" w:hAnsi="仿宋" w:eastAsia="仿宋" w:cs="仿宋"/>
                <w:color w:val="auto"/>
                <w:spacing w:val="-13"/>
                <w:kern w:val="0"/>
                <w:sz w:val="21"/>
                <w:szCs w:val="21"/>
                <w:highlight w:val="none"/>
              </w:rPr>
              <w:t>巡查车</w:t>
            </w:r>
          </w:p>
        </w:tc>
        <w:tc>
          <w:tcPr>
            <w:tcW w:w="1134" w:type="dxa"/>
            <w:vAlign w:val="center"/>
          </w:tcPr>
          <w:p w14:paraId="3CFB11AC">
            <w:pPr>
              <w:spacing w:line="240" w:lineRule="exact"/>
              <w:jc w:val="center"/>
              <w:rPr>
                <w:rFonts w:hint="eastAsia" w:ascii="仿宋" w:hAnsi="仿宋" w:eastAsia="仿宋" w:cs="仿宋"/>
                <w:color w:val="auto"/>
                <w:spacing w:val="-1"/>
                <w:kern w:val="0"/>
                <w:sz w:val="21"/>
                <w:szCs w:val="21"/>
                <w:highlight w:val="none"/>
              </w:rPr>
            </w:pPr>
            <w:r>
              <w:rPr>
                <w:rFonts w:hint="eastAsia" w:ascii="仿宋" w:hAnsi="仿宋" w:eastAsia="仿宋" w:cs="仿宋"/>
                <w:color w:val="auto"/>
                <w:spacing w:val="-1"/>
                <w:kern w:val="0"/>
                <w:sz w:val="21"/>
                <w:szCs w:val="21"/>
                <w:highlight w:val="none"/>
              </w:rPr>
              <w:t>辆</w:t>
            </w:r>
          </w:p>
        </w:tc>
        <w:tc>
          <w:tcPr>
            <w:tcW w:w="992" w:type="dxa"/>
            <w:vAlign w:val="center"/>
          </w:tcPr>
          <w:p w14:paraId="4B2BAC4E">
            <w:pPr>
              <w:spacing w:line="240" w:lineRule="exact"/>
              <w:jc w:val="center"/>
              <w:rPr>
                <w:rFonts w:hint="eastAsia" w:ascii="仿宋" w:hAnsi="仿宋" w:eastAsia="仿宋" w:cs="仿宋"/>
                <w:color w:val="auto"/>
                <w:spacing w:val="-1"/>
                <w:kern w:val="0"/>
                <w:sz w:val="21"/>
                <w:szCs w:val="21"/>
                <w:highlight w:val="none"/>
              </w:rPr>
            </w:pPr>
            <w:r>
              <w:rPr>
                <w:rFonts w:hint="eastAsia" w:ascii="仿宋" w:hAnsi="仿宋" w:eastAsia="仿宋" w:cs="仿宋"/>
                <w:color w:val="auto"/>
                <w:spacing w:val="-1"/>
                <w:kern w:val="0"/>
                <w:sz w:val="21"/>
                <w:szCs w:val="21"/>
                <w:highlight w:val="none"/>
              </w:rPr>
              <w:t>1</w:t>
            </w:r>
          </w:p>
        </w:tc>
        <w:tc>
          <w:tcPr>
            <w:tcW w:w="3563" w:type="dxa"/>
            <w:vAlign w:val="center"/>
          </w:tcPr>
          <w:p w14:paraId="170EDA47">
            <w:pPr>
              <w:spacing w:line="240" w:lineRule="exact"/>
              <w:rPr>
                <w:rFonts w:hint="eastAsia" w:ascii="仿宋" w:hAnsi="仿宋" w:eastAsia="仿宋" w:cs="仿宋"/>
                <w:color w:val="auto"/>
                <w:kern w:val="0"/>
                <w:sz w:val="21"/>
                <w:szCs w:val="21"/>
                <w:highlight w:val="none"/>
              </w:rPr>
            </w:pPr>
            <w:r>
              <w:rPr>
                <w:rFonts w:hint="eastAsia" w:ascii="仿宋" w:hAnsi="仿宋" w:eastAsia="仿宋" w:cs="仿宋"/>
                <w:color w:val="auto"/>
                <w:spacing w:val="6"/>
                <w:kern w:val="0"/>
                <w:sz w:val="21"/>
                <w:szCs w:val="21"/>
                <w:highlight w:val="none"/>
              </w:rPr>
              <w:t>最低配置标准配备</w:t>
            </w:r>
          </w:p>
        </w:tc>
      </w:tr>
      <w:tr w14:paraId="1C32EA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jc w:val="center"/>
        </w:trPr>
        <w:tc>
          <w:tcPr>
            <w:tcW w:w="8654" w:type="dxa"/>
            <w:gridSpan w:val="5"/>
            <w:vAlign w:val="center"/>
          </w:tcPr>
          <w:p w14:paraId="28A61E58">
            <w:pPr>
              <w:spacing w:line="240" w:lineRule="exact"/>
              <w:ind w:left="69" w:firstLine="480" w:firstLineChars="200"/>
              <w:rPr>
                <w:rFonts w:ascii="仿宋" w:hAnsi="仿宋" w:eastAsia="仿宋" w:cs="仿宋"/>
                <w:color w:val="auto"/>
                <w:kern w:val="0"/>
                <w:sz w:val="21"/>
                <w:szCs w:val="21"/>
                <w:highlight w:val="none"/>
              </w:rPr>
            </w:pPr>
            <w:r>
              <w:rPr>
                <w:rFonts w:hint="eastAsia" w:ascii="仿宋" w:hAnsi="仿宋" w:eastAsia="仿宋" w:cs="仿宋"/>
                <w:color w:val="auto"/>
                <w:spacing w:val="15"/>
                <w:kern w:val="0"/>
                <w:sz w:val="21"/>
                <w:szCs w:val="21"/>
                <w:highlight w:val="none"/>
              </w:rPr>
              <w:t>1.人员数量根据《安徽省地方标准城市道路照明养护技术标准》（</w:t>
            </w:r>
            <w:r>
              <w:rPr>
                <w:rFonts w:hint="eastAsia" w:ascii="仿宋" w:hAnsi="仿宋" w:eastAsia="仿宋" w:cs="仿宋"/>
                <w:color w:val="auto"/>
                <w:kern w:val="0"/>
                <w:sz w:val="21"/>
                <w:szCs w:val="21"/>
                <w:highlight w:val="none"/>
              </w:rPr>
              <w:t>DB</w:t>
            </w:r>
            <w:r>
              <w:rPr>
                <w:rFonts w:hint="eastAsia" w:ascii="仿宋" w:hAnsi="仿宋" w:eastAsia="仿宋" w:cs="仿宋"/>
                <w:color w:val="auto"/>
                <w:spacing w:val="15"/>
                <w:kern w:val="0"/>
                <w:sz w:val="21"/>
                <w:szCs w:val="21"/>
                <w:highlight w:val="none"/>
              </w:rPr>
              <w:t>34/T5066-2017）进行</w:t>
            </w:r>
            <w:r>
              <w:rPr>
                <w:rFonts w:hint="eastAsia" w:ascii="仿宋" w:hAnsi="仿宋" w:eastAsia="仿宋" w:cs="仿宋"/>
                <w:color w:val="auto"/>
                <w:spacing w:val="7"/>
                <w:kern w:val="0"/>
                <w:sz w:val="21"/>
                <w:szCs w:val="21"/>
                <w:highlight w:val="none"/>
              </w:rPr>
              <w:t>配置。</w:t>
            </w:r>
          </w:p>
          <w:p w14:paraId="37FA701C">
            <w:pPr>
              <w:spacing w:line="240" w:lineRule="exact"/>
              <w:ind w:firstLine="480" w:firstLineChars="200"/>
              <w:rPr>
                <w:rFonts w:ascii="仿宋" w:hAnsi="仿宋" w:eastAsia="仿宋" w:cs="仿宋"/>
                <w:color w:val="auto"/>
                <w:kern w:val="0"/>
                <w:sz w:val="21"/>
                <w:szCs w:val="21"/>
                <w:highlight w:val="none"/>
              </w:rPr>
            </w:pPr>
            <w:r>
              <w:rPr>
                <w:rFonts w:hint="eastAsia" w:ascii="仿宋" w:hAnsi="仿宋" w:eastAsia="仿宋" w:cs="仿宋"/>
                <w:color w:val="auto"/>
                <w:spacing w:val="15"/>
                <w:kern w:val="0"/>
                <w:sz w:val="21"/>
                <w:szCs w:val="21"/>
                <w:highlight w:val="none"/>
              </w:rPr>
              <w:t>2．合同履约过程中，每新增2000盏路灯，增加一名日常养护人员，车辆满足项目实际需求。</w:t>
            </w:r>
          </w:p>
        </w:tc>
      </w:tr>
    </w:tbl>
    <w:p w14:paraId="11C8B236">
      <w:pPr>
        <w:rPr>
          <w:rFonts w:hint="eastAsia" w:ascii="仿宋" w:hAnsi="仿宋" w:eastAsia="仿宋" w:cs="仿宋"/>
          <w:color w:val="auto"/>
          <w:sz w:val="28"/>
          <w:szCs w:val="28"/>
          <w:highlight w:val="none"/>
        </w:rPr>
      </w:pPr>
    </w:p>
    <w:p w14:paraId="057B13E9">
      <w:pPr>
        <w:ind w:firstLine="425" w:firstLineChars="152"/>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）确保路灯照明设备设施完好率及亮灯率达到98%以上，路灯每天开闭时间满足出行需要，并实施路灯照明应急24小时值班制度；</w:t>
      </w:r>
    </w:p>
    <w:p w14:paraId="225824C7">
      <w:pPr>
        <w:ind w:firstLine="425" w:firstLineChars="152"/>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）亮灯时长：全年平均亮灯时长不低于4150小时。具体路灯开闭时间结合日出日落时间合理化制定，并报采购人审核通过后执行。</w:t>
      </w:r>
    </w:p>
    <w:p w14:paraId="00C85B37">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调光策略：从当日开灯时间至次日01:00（凌晨1点）之前，路面平均照度不低于《城市道路照明设计标准（CJJ45-2015）》中的中档值；从当日01:00（凌晨1点）至当日关灯时间，路面平均照度不低于《城市道路照明设计标准（CJJ45-2015）》中有关节能标准和措施的规定值。重大节日和重大事件及重要路段不执行调光策略，按路灯主管部门要求时间亮灯。</w:t>
      </w:r>
    </w:p>
    <w:p w14:paraId="44482FCE">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t>）设备设施检测：服务期内中标人须对本项目在管路灯变压器进行安全检测2次，控制柜每季度检测1次，每季度对本项目路灯照明光照度进行检测，并出具检测报告，送至采购人；每月对在管照明设备设施接地电阻进行检测，每年须完成本项目所有在管照明设备设施接地电阻检测，并出具检测报告，如接地电阻不符合要求，须由中标人整改并符合接地电阻标准。每年编制本项目路灯照明设备设施使用安全性评估报告；以上产生的费用均由中标人承担。</w:t>
      </w:r>
    </w:p>
    <w:p w14:paraId="0E289456">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rPr>
        <w:t>）日常巡查、清洗和维护：主要包括此次招标范围内及后期纳入市政管养的各类道路路灯照明设备设施的安全性、完好性进行日常巡查、清洗和养护。对设备的运行情况及时记录，路灯照明设备设施标识及编号巡检，有关灯杆、灯罩、设备设施表面及时清洗，清除照明设备设施上的乱张贴、乱悬挂，对锈蚀杆件及时除锈、刷漆。 对路灯、路灯管线、路灯控制系统、配电柜、路灯箱变等设备设施的日常管理、养护、维修及更换；须每月检修维护，遇节假日或重大活动等，须提前半个月检修维护，保障照明设备设施正常运行；对本项目范围内路灯箱变及配电柜内灰尘清扫，对在管路灯照明设备设施的电缆防盗、路灯运行管理等应急处置；</w:t>
      </w:r>
    </w:p>
    <w:p w14:paraId="241F5B43">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7</w:t>
      </w:r>
      <w:r>
        <w:rPr>
          <w:rFonts w:hint="eastAsia" w:ascii="仿宋" w:hAnsi="仿宋" w:eastAsia="仿宋" w:cs="仿宋"/>
          <w:color w:val="auto"/>
          <w:sz w:val="28"/>
          <w:szCs w:val="28"/>
          <w:highlight w:val="none"/>
        </w:rPr>
        <w:t>）隐患排查、整治：各类隐患排查、故障处置、预防性养护工作，如配电柜、配电线路、检修门板、灯杆、各类灯具及附属设备设施等的拆除、更换、加固、保养、排查、修复等；</w:t>
      </w:r>
    </w:p>
    <w:p w14:paraId="3712B873">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8</w:t>
      </w:r>
      <w:r>
        <w:rPr>
          <w:rFonts w:hint="eastAsia" w:ascii="仿宋" w:hAnsi="仿宋" w:eastAsia="仿宋" w:cs="仿宋"/>
          <w:color w:val="auto"/>
          <w:sz w:val="28"/>
          <w:szCs w:val="28"/>
          <w:highlight w:val="none"/>
        </w:rPr>
        <w:t>）配合采购人做好此次招标区域内新建、改造及扩建道路路灯照明设备 设施的现场验收检查工作，并在验收合格移交后统一纳入管养范围；</w:t>
      </w:r>
    </w:p>
    <w:p w14:paraId="2D7FB020">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9</w:t>
      </w:r>
      <w:r>
        <w:rPr>
          <w:rFonts w:hint="eastAsia" w:ascii="仿宋" w:hAnsi="仿宋" w:eastAsia="仿宋" w:cs="仿宋"/>
          <w:color w:val="auto"/>
          <w:sz w:val="28"/>
          <w:szCs w:val="28"/>
          <w:highlight w:val="none"/>
        </w:rPr>
        <w:t>）案件处置：负责数字（市长热线）城管案件、飞线案件、投诉案件、热线投诉、废弃杆件、指令性任务等问题处置，接到案件后，须第一时间对接处置，并据实上报采购人相关问题及处置结果；</w:t>
      </w:r>
    </w:p>
    <w:p w14:paraId="6498475B">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10</w:t>
      </w:r>
      <w:r>
        <w:rPr>
          <w:rFonts w:hint="eastAsia" w:ascii="仿宋" w:hAnsi="仿宋" w:eastAsia="仿宋" w:cs="仿宋"/>
          <w:color w:val="auto"/>
          <w:sz w:val="28"/>
          <w:szCs w:val="28"/>
          <w:highlight w:val="none"/>
        </w:rPr>
        <w:t>）用于养护所需的材料必须符合国家质量标准，采购人有权对相关材料进行抽查。若中标人提供的材料达不到国家有关质量标准要求时，中标人必须重新修复，所造成的一切损失由中标人承担；</w:t>
      </w:r>
    </w:p>
    <w:p w14:paraId="67CB6D82">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1</w:t>
      </w:r>
      <w:r>
        <w:rPr>
          <w:rFonts w:hint="eastAsia" w:ascii="仿宋" w:hAnsi="仿宋" w:eastAsia="仿宋" w:cs="仿宋"/>
          <w:color w:val="auto"/>
          <w:sz w:val="28"/>
          <w:szCs w:val="28"/>
          <w:highlight w:val="none"/>
        </w:rPr>
        <w:t xml:space="preserve">）如路灯照明设备设施损坏是由第三方原因造成的，如交通肇事事故等。中标人应在第一时间到达现场做好安全处理及修复工作并负责与第三方协调赔偿事宜，第三方赔偿费用由中标人收取，但须上报采购人备案。如果出现路灯照明设备设施损坏的原因不明或其他不能明确责任的情形，由中标人负责修复，修复产生的费用由中标人承担； </w:t>
      </w:r>
    </w:p>
    <w:p w14:paraId="68C60890">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 xml:space="preserve">）中标人不得擅自在城市照明设备设施上张贴、悬挂、设置宣传品和广告。如政府部门有相关工作需要时，应积极配合并给予相应协助； </w:t>
      </w:r>
    </w:p>
    <w:p w14:paraId="1D1AC883">
      <w:pPr>
        <w:ind w:firstLine="425" w:firstLineChars="152"/>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）安全文明施工</w:t>
      </w:r>
    </w:p>
    <w:p w14:paraId="0D9A6617">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施工区域应设置明显的安全标志、夜间警示灯具等；施工区域必须采用全围挡施工；施工人员作业时要求持证上岗，责任到人；施工区域做到材料堆放整齐，易扬尘材料必须进行覆盖；要求做到完工、料净、场地清； </w:t>
      </w:r>
    </w:p>
    <w:p w14:paraId="66531FD1">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 xml:space="preserve">）基础资料、台账管理（需报纸质及电子档各一份）应做到以下几点： </w:t>
      </w:r>
    </w:p>
    <w:p w14:paraId="7F316909">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 xml:space="preserve">.1 做好详细的巡查日志、维修日志、安全日志的登记工作，详细记录每日工作内容，同步做好每月明细表，明细表须附每日工作图片，以备采购人不定期抽查，并按月报送至采购人存档； </w:t>
      </w:r>
    </w:p>
    <w:p w14:paraId="5D9F652A">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.2 每季度结束前5日内向采购人报送本季度的养护及应急总结和下一季度的工作计划；</w:t>
      </w:r>
    </w:p>
    <w:p w14:paraId="7795CCDA">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 xml:space="preserve">.3 做好每两周巡查报表，提交最新设施量表、设施量详表。设施巡查内容：及时发现设施的动态变化，如：设施的迁移、缺失、设施歪斜（灯杆、灯具、配电柜）、变形损坏、拆除、新建、接电等。路灯单灯及大面积不亮，白天亮灯等； </w:t>
      </w:r>
    </w:p>
    <w:p w14:paraId="56B9B439">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 xml:space="preserve">.4 市政照明设施养护维修应当及时做好维修纪录，对有关市政照明设施养护的计划、统计、竣工档案等信息资料应按相应的管理规定进行整理。 </w:t>
      </w:r>
    </w:p>
    <w:p w14:paraId="6147A62F">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t xml:space="preserve">）合同期内，如因市政施工、道口开设等原因需迁移或拆除路灯灯杆的，中标人应配合相关工作。单位和个人需要拆除、迁移、改动或者占用城市照明设施的，应报主管部门批准，所需费用由申请人承担，中标人应协助申请人实施并自行协商相关费用。 </w:t>
      </w:r>
    </w:p>
    <w:p w14:paraId="166E3E8B">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rPr>
        <w:t xml:space="preserve">）照明设备设施防盗，因照明设备设施（如灯杆、灯具、电缆等）被盗所造成的损失，由中标人负责恢复，由此产生的一切费用，由中标人承担，采购人不支付任何费用。 </w:t>
      </w:r>
    </w:p>
    <w:p w14:paraId="530796BB">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7</w:t>
      </w:r>
      <w:r>
        <w:rPr>
          <w:rFonts w:hint="eastAsia" w:ascii="仿宋" w:hAnsi="仿宋" w:eastAsia="仿宋" w:cs="仿宋"/>
          <w:color w:val="auto"/>
          <w:sz w:val="28"/>
          <w:szCs w:val="28"/>
          <w:highlight w:val="none"/>
        </w:rPr>
        <w:t xml:space="preserve">）配电柜内其他产权单位使用电源的监管处置。 </w:t>
      </w:r>
    </w:p>
    <w:p w14:paraId="13DDEC9E">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8</w:t>
      </w:r>
      <w:r>
        <w:rPr>
          <w:rFonts w:hint="eastAsia" w:ascii="仿宋" w:hAnsi="仿宋" w:eastAsia="仿宋" w:cs="仿宋"/>
          <w:color w:val="auto"/>
          <w:sz w:val="28"/>
          <w:szCs w:val="28"/>
          <w:highlight w:val="none"/>
        </w:rPr>
        <w:t xml:space="preserve">）高、低压变电设备故障维修，自管高压线路检测检修。 </w:t>
      </w:r>
    </w:p>
    <w:p w14:paraId="434AB9F7">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19</w:t>
      </w:r>
      <w:r>
        <w:rPr>
          <w:rFonts w:hint="eastAsia" w:ascii="仿宋" w:hAnsi="仿宋" w:eastAsia="仿宋" w:cs="仿宋"/>
          <w:color w:val="auto"/>
          <w:sz w:val="28"/>
          <w:szCs w:val="28"/>
          <w:highlight w:val="none"/>
        </w:rPr>
        <w:t xml:space="preserve">）合同期内，如遇不可抗力（如自然灾害、地震等）情况造成养护路灯照明设备设施损坏不属于中标人维修范围，如因不可抗力、道路改造、其他单位施工等原因造成的路灯、电缆迁移和路灯照明设备设施的损坏，中标人须无条件按照采购人要求做好设备设施迁移、修复工作，所涉及费用据实审计结算。但如由于中标人养护不到位造成照明设备设施损坏，则中标人必须无条件修复到位。 </w:t>
      </w:r>
    </w:p>
    <w:p w14:paraId="4BBD1961">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0</w:t>
      </w:r>
      <w:r>
        <w:rPr>
          <w:rFonts w:hint="eastAsia" w:ascii="仿宋" w:hAnsi="仿宋" w:eastAsia="仿宋" w:cs="仿宋"/>
          <w:color w:val="auto"/>
          <w:sz w:val="28"/>
          <w:szCs w:val="28"/>
          <w:highlight w:val="none"/>
        </w:rPr>
        <w:t xml:space="preserve">）除完成上述升级改造、运行维护及日常养护内容外，中标人须接受采购人交办的管养范围内的其他突击性、指令性任务和监督管理。 </w:t>
      </w:r>
    </w:p>
    <w:p w14:paraId="7310550C">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1</w:t>
      </w:r>
      <w:r>
        <w:rPr>
          <w:rFonts w:hint="eastAsia" w:ascii="仿宋" w:hAnsi="仿宋" w:eastAsia="仿宋" w:cs="仿宋"/>
          <w:color w:val="auto"/>
          <w:sz w:val="28"/>
          <w:szCs w:val="28"/>
          <w:highlight w:val="none"/>
        </w:rPr>
        <w:t>）在管养范围内，服务内容外应急维修由中标人处置，费用由采购人在本项目预算外支付（单次3000元以下，年维修费用不超过10万元）。</w:t>
      </w:r>
    </w:p>
    <w:p w14:paraId="537F301B">
      <w:pPr>
        <w:ind w:firstLine="425" w:firstLineChars="152"/>
        <w:rPr>
          <w:rFonts w:ascii="仿宋" w:hAnsi="仿宋" w:eastAsia="仿宋" w:cs="仿宋"/>
          <w:color w:val="auto"/>
          <w:sz w:val="28"/>
          <w:szCs w:val="28"/>
          <w:highlight w:val="none"/>
        </w:rPr>
      </w:pPr>
      <w:r>
        <w:rPr>
          <w:rFonts w:ascii="仿宋" w:hAnsi="仿宋" w:eastAsia="仿宋" w:cs="仿宋"/>
          <w:color w:val="auto"/>
          <w:sz w:val="28"/>
          <w:szCs w:val="28"/>
          <w:highlight w:val="none"/>
        </w:rPr>
        <w:t>（</w:t>
      </w: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2</w:t>
      </w:r>
      <w:r>
        <w:rPr>
          <w:rFonts w:ascii="仿宋" w:hAnsi="仿宋" w:eastAsia="仿宋" w:cs="仿宋"/>
          <w:color w:val="auto"/>
          <w:sz w:val="28"/>
          <w:szCs w:val="28"/>
          <w:highlight w:val="none"/>
        </w:rPr>
        <w:t>）</w:t>
      </w:r>
      <w:r>
        <w:rPr>
          <w:rFonts w:hint="eastAsia" w:ascii="仿宋" w:hAnsi="仿宋" w:eastAsia="仿宋" w:cs="仿宋"/>
          <w:color w:val="auto"/>
          <w:sz w:val="28"/>
          <w:szCs w:val="28"/>
          <w:highlight w:val="none"/>
        </w:rPr>
        <w:t>中标人</w:t>
      </w:r>
      <w:r>
        <w:rPr>
          <w:rFonts w:ascii="仿宋" w:hAnsi="仿宋" w:eastAsia="仿宋" w:cs="仿宋"/>
          <w:color w:val="auto"/>
          <w:sz w:val="28"/>
          <w:szCs w:val="28"/>
          <w:highlight w:val="none"/>
        </w:rPr>
        <w:t>需在签订合同后三十天内为辖区内路灯及附属供电设施购买公众责任险。保险额度不低于500万元。保险内容为“第三者因路灯及附属供电设施漏电、触电事故造成的人身伤亡事故或者造成的财产损失”，如中标人未按采购人要求购买保险，采购人有权终止并解除合同。</w:t>
      </w:r>
    </w:p>
    <w:p w14:paraId="7DD7F7A2">
      <w:pPr>
        <w:pStyle w:val="3"/>
        <w:ind w:firstLine="423"/>
        <w:rPr>
          <w:color w:val="auto"/>
          <w:highlight w:val="none"/>
        </w:rPr>
      </w:pPr>
      <w:r>
        <w:rPr>
          <w:rFonts w:hint="eastAsia"/>
          <w:color w:val="auto"/>
          <w:highlight w:val="none"/>
          <w:lang w:val="en-US" w:eastAsia="zh-CN"/>
        </w:rPr>
        <w:t>八</w:t>
      </w:r>
      <w:r>
        <w:rPr>
          <w:rFonts w:hint="eastAsia"/>
          <w:color w:val="auto"/>
          <w:highlight w:val="none"/>
        </w:rPr>
        <w:t>、其他要求</w:t>
      </w:r>
    </w:p>
    <w:p w14:paraId="3DB0B724">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1.中标人</w:t>
      </w:r>
      <w:r>
        <w:rPr>
          <w:rFonts w:hint="eastAsia" w:ascii="仿宋" w:hAnsi="仿宋" w:eastAsia="仿宋" w:cs="仿宋"/>
          <w:color w:val="auto"/>
          <w:sz w:val="28"/>
          <w:szCs w:val="28"/>
          <w:highlight w:val="none"/>
        </w:rPr>
        <w:t xml:space="preserve">须确保软件终身免费升级。 </w:t>
      </w:r>
    </w:p>
    <w:p w14:paraId="63CBF611">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服务期满后,</w:t>
      </w:r>
      <w:r>
        <w:rPr>
          <w:rFonts w:hint="eastAsia" w:ascii="仿宋" w:hAnsi="仿宋" w:eastAsia="仿宋" w:cs="仿宋"/>
          <w:color w:val="auto"/>
          <w:sz w:val="28"/>
          <w:szCs w:val="28"/>
          <w:highlight w:val="none"/>
          <w:lang w:val="en-US" w:eastAsia="zh-CN"/>
        </w:rPr>
        <w:t>中标人</w:t>
      </w:r>
      <w:r>
        <w:rPr>
          <w:rFonts w:hint="eastAsia" w:ascii="仿宋" w:hAnsi="仿宋" w:eastAsia="仿宋" w:cs="仿宋"/>
          <w:color w:val="auto"/>
          <w:sz w:val="28"/>
          <w:szCs w:val="28"/>
          <w:highlight w:val="none"/>
        </w:rPr>
        <w:t>在服务期间投入的节能改造及智慧路灯系统设备的所有权归采购人所有。</w:t>
      </w:r>
    </w:p>
    <w:p w14:paraId="3FF59ED7">
      <w:pPr>
        <w:pStyle w:val="3"/>
        <w:ind w:firstLine="423"/>
        <w:rPr>
          <w:color w:val="auto"/>
          <w:highlight w:val="none"/>
        </w:rPr>
      </w:pPr>
      <w:r>
        <w:rPr>
          <w:rFonts w:hint="eastAsia"/>
          <w:color w:val="auto"/>
          <w:highlight w:val="none"/>
          <w:lang w:val="en-US" w:eastAsia="zh-CN"/>
        </w:rPr>
        <w:t>九</w:t>
      </w:r>
      <w:r>
        <w:rPr>
          <w:rFonts w:hint="eastAsia"/>
          <w:color w:val="auto"/>
          <w:highlight w:val="none"/>
        </w:rPr>
        <w:t>、报价要求</w:t>
      </w:r>
    </w:p>
    <w:p w14:paraId="150F94CD">
      <w:pPr>
        <w:widowControl/>
        <w:ind w:firstLine="560" w:firstLineChars="200"/>
        <w:rPr>
          <w:rFonts w:ascii="仿宋" w:hAnsi="仿宋" w:eastAsia="仿宋" w:cs="仿宋"/>
          <w:color w:val="auto"/>
          <w:sz w:val="28"/>
          <w:szCs w:val="28"/>
          <w:highlight w:val="none"/>
        </w:rPr>
      </w:pPr>
      <w:r>
        <w:rPr>
          <w:rFonts w:hint="eastAsia" w:ascii="仿宋" w:hAnsi="仿宋" w:eastAsia="仿宋" w:cs="仿宋"/>
          <w:color w:val="auto"/>
          <w:kern w:val="0"/>
          <w:sz w:val="28"/>
          <w:szCs w:val="28"/>
          <w:highlight w:val="none"/>
          <w:lang w:bidi="ar"/>
        </w:rPr>
        <w:t>本项目采用合同能源管理模式，合同期内中标人完成约定工作内容所产生的全部费用（包括节能改造费用、平台建设费、运行维护费、系统通信费、网络费、因相应风险产生的相应费用等所有费用）由中标人自行筹措解决。投标人的报价不得高于最高限价。否则投标无效。</w:t>
      </w:r>
    </w:p>
    <w:p w14:paraId="5459A09D">
      <w:pPr>
        <w:pStyle w:val="3"/>
        <w:ind w:firstLine="423"/>
        <w:rPr>
          <w:color w:val="auto"/>
          <w:highlight w:val="none"/>
        </w:rPr>
      </w:pPr>
      <w:r>
        <w:rPr>
          <w:rFonts w:hint="eastAsia"/>
          <w:color w:val="auto"/>
          <w:highlight w:val="none"/>
        </w:rPr>
        <w:t>十、考核</w:t>
      </w:r>
    </w:p>
    <w:p w14:paraId="041FFE64">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考核采用评分制。</w:t>
      </w:r>
    </w:p>
    <w:p w14:paraId="1DAD7B58">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1.定期考核评分项目</w:t>
      </w:r>
    </w:p>
    <w:p w14:paraId="1BA84DCA">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每月综合考核一次，考核总分100分，考核评分按《金寨县市政公共照明合同能源管理项目考核评分表》执行，《金寨县市政公共照明合同能源管理项目考核评分表》详见附件。</w:t>
      </w:r>
    </w:p>
    <w:p w14:paraId="3CC8382F">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.综合考核小组由采购人相关部门的人员组成。</w:t>
      </w:r>
    </w:p>
    <w:p w14:paraId="6B3B5BB7">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.考核频次。每月一次。</w:t>
      </w:r>
    </w:p>
    <w:p w14:paraId="6128690A">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 xml:space="preserve">.季度考核得分：连续3个月考核得分的平均值为季度考核得分。 </w:t>
      </w:r>
    </w:p>
    <w:p w14:paraId="36671954">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t>.服务费的支付：按季支付。服务费的支付结合季度考核结果结算。考核分数为95分（含）及以上的全额拨付当季服务费用；考核分数为85分（含）-95分（不含）的，按每分0.5%的比例扣减当季服务费用（例如94扣减0.5%，93分扣减1%...85分扣减5%）；考核分数为70分（含）-85分（不含）的，在前述基础上按每分1%的比例扣减当季服务费用（例如84分，扣减6%、83分扣减7%...70分扣减20%）；考核分数为70分以下为不合格，暂不予支付当季服务费用，责令其限期整改。限期整改合格的，扣减当季服务费用的30%。</w:t>
      </w:r>
    </w:p>
    <w:p w14:paraId="4286DD5F">
      <w:pPr>
        <w:ind w:firstLine="425" w:firstLineChars="15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7.连续3个月考核不合格，采购人有权立即解除合同。</w:t>
      </w:r>
    </w:p>
    <w:p w14:paraId="4A671BD6">
      <w:pPr>
        <w:widowControl/>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br w:type="page"/>
      </w:r>
    </w:p>
    <w:p w14:paraId="01D0BA7D">
      <w:pP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附件：《金寨县市政公共照明合同能源管理项目考核评分表》</w:t>
      </w:r>
    </w:p>
    <w:p w14:paraId="6BF1638E">
      <w:pPr>
        <w:spacing w:before="72"/>
        <w:jc w:val="center"/>
        <w:rPr>
          <w:rFonts w:ascii="仿宋" w:hAnsi="仿宋" w:eastAsia="仿宋" w:cs="仿宋"/>
          <w:b/>
          <w:bCs/>
          <w:color w:val="auto"/>
          <w:spacing w:val="5"/>
          <w:sz w:val="28"/>
          <w:szCs w:val="28"/>
          <w:highlight w:val="none"/>
        </w:rPr>
      </w:pPr>
      <w:r>
        <w:rPr>
          <w:rFonts w:hint="eastAsia" w:ascii="仿宋" w:hAnsi="仿宋" w:eastAsia="仿宋" w:cs="仿宋"/>
          <w:b/>
          <w:bCs/>
          <w:color w:val="auto"/>
          <w:spacing w:val="5"/>
          <w:sz w:val="28"/>
          <w:szCs w:val="28"/>
          <w:highlight w:val="none"/>
        </w:rPr>
        <w:t>《金寨县市政公共照明合同能源管理项目考核评分表》</w:t>
      </w:r>
    </w:p>
    <w:tbl>
      <w:tblPr>
        <w:tblStyle w:val="17"/>
        <w:tblW w:w="8978" w:type="dxa"/>
        <w:tblInd w:w="-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34"/>
        <w:gridCol w:w="904"/>
        <w:gridCol w:w="2954"/>
        <w:gridCol w:w="2718"/>
        <w:gridCol w:w="968"/>
      </w:tblGrid>
      <w:tr w14:paraId="65C15B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8" w:hRule="atLeast"/>
        </w:trPr>
        <w:tc>
          <w:tcPr>
            <w:tcW w:w="1434" w:type="dxa"/>
            <w:vAlign w:val="center"/>
          </w:tcPr>
          <w:p w14:paraId="2D5938B9">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考核项目</w:t>
            </w:r>
          </w:p>
        </w:tc>
        <w:tc>
          <w:tcPr>
            <w:tcW w:w="3858" w:type="dxa"/>
            <w:gridSpan w:val="2"/>
            <w:vAlign w:val="center"/>
          </w:tcPr>
          <w:p w14:paraId="55E5D476">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扣分项目及标准</w:t>
            </w:r>
          </w:p>
        </w:tc>
        <w:tc>
          <w:tcPr>
            <w:tcW w:w="2718" w:type="dxa"/>
            <w:vAlign w:val="center"/>
          </w:tcPr>
          <w:p w14:paraId="1C098C13">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考核办法</w:t>
            </w:r>
          </w:p>
        </w:tc>
        <w:tc>
          <w:tcPr>
            <w:tcW w:w="968" w:type="dxa"/>
            <w:vAlign w:val="center"/>
          </w:tcPr>
          <w:p w14:paraId="1EBD4B99">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备注</w:t>
            </w:r>
          </w:p>
        </w:tc>
      </w:tr>
      <w:tr w14:paraId="0788C9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6" w:hRule="atLeast"/>
        </w:trPr>
        <w:tc>
          <w:tcPr>
            <w:tcW w:w="1434" w:type="dxa"/>
            <w:vAlign w:val="center"/>
          </w:tcPr>
          <w:p w14:paraId="4D01D381">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资料考核</w:t>
            </w:r>
          </w:p>
          <w:p w14:paraId="48409C17">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（5分）</w:t>
            </w:r>
          </w:p>
        </w:tc>
        <w:tc>
          <w:tcPr>
            <w:tcW w:w="3858" w:type="dxa"/>
            <w:gridSpan w:val="2"/>
            <w:vAlign w:val="center"/>
          </w:tcPr>
          <w:p w14:paraId="70C9B9C4">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工程月报表（包括计划、完成情况）及资料归档</w:t>
            </w:r>
          </w:p>
        </w:tc>
        <w:tc>
          <w:tcPr>
            <w:tcW w:w="2718" w:type="dxa"/>
            <w:vAlign w:val="center"/>
          </w:tcPr>
          <w:p w14:paraId="137A56C6">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lang w:eastAsia="zh-CN"/>
              </w:rPr>
              <w:t>未及时上报相关资料；</w:t>
            </w:r>
          </w:p>
          <w:p w14:paraId="6A1A78DF">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lang w:eastAsia="zh-CN"/>
              </w:rPr>
              <w:t>档案资料未按规范整理归档。出现1次扣2分。</w:t>
            </w:r>
          </w:p>
        </w:tc>
        <w:tc>
          <w:tcPr>
            <w:tcW w:w="968" w:type="dxa"/>
            <w:vAlign w:val="center"/>
          </w:tcPr>
          <w:p w14:paraId="6C94365E">
            <w:pPr>
              <w:bidi w:val="0"/>
              <w:rPr>
                <w:rFonts w:hint="eastAsia" w:ascii="仿宋" w:hAnsi="仿宋" w:eastAsia="仿宋" w:cs="仿宋"/>
                <w:color w:val="auto"/>
                <w:sz w:val="18"/>
                <w:szCs w:val="18"/>
                <w:highlight w:val="none"/>
              </w:rPr>
            </w:pPr>
          </w:p>
        </w:tc>
      </w:tr>
      <w:tr w14:paraId="2CF43A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2" w:hRule="atLeast"/>
        </w:trPr>
        <w:tc>
          <w:tcPr>
            <w:tcW w:w="1434" w:type="dxa"/>
            <w:vMerge w:val="restart"/>
            <w:tcBorders>
              <w:bottom w:val="nil"/>
            </w:tcBorders>
            <w:vAlign w:val="center"/>
          </w:tcPr>
          <w:p w14:paraId="7E7957E2">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人员、车辆考核</w:t>
            </w:r>
          </w:p>
          <w:p w14:paraId="3D0B80C8">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（10分)</w:t>
            </w:r>
          </w:p>
        </w:tc>
        <w:tc>
          <w:tcPr>
            <w:tcW w:w="3858" w:type="dxa"/>
            <w:gridSpan w:val="2"/>
            <w:vAlign w:val="center"/>
          </w:tcPr>
          <w:p w14:paraId="488A1E40">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1．路灯维护：维护人员4人（兼驾驶员) , 登高车1辆，巡查车1辆。</w:t>
            </w:r>
          </w:p>
        </w:tc>
        <w:tc>
          <w:tcPr>
            <w:tcW w:w="2718" w:type="dxa"/>
            <w:vMerge w:val="restart"/>
            <w:tcBorders>
              <w:bottom w:val="nil"/>
            </w:tcBorders>
            <w:vAlign w:val="center"/>
          </w:tcPr>
          <w:p w14:paraId="7C7FDEAB">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每少一人次扣1分，每少一车次扣2分。</w:t>
            </w:r>
          </w:p>
        </w:tc>
        <w:tc>
          <w:tcPr>
            <w:tcW w:w="968" w:type="dxa"/>
            <w:vMerge w:val="restart"/>
            <w:tcBorders>
              <w:bottom w:val="nil"/>
            </w:tcBorders>
            <w:vAlign w:val="center"/>
          </w:tcPr>
          <w:p w14:paraId="7F14ABCE">
            <w:pPr>
              <w:bidi w:val="0"/>
              <w:rPr>
                <w:rFonts w:hint="eastAsia" w:ascii="仿宋" w:hAnsi="仿宋" w:eastAsia="仿宋" w:cs="仿宋"/>
                <w:color w:val="auto"/>
                <w:sz w:val="18"/>
                <w:szCs w:val="18"/>
                <w:highlight w:val="none"/>
              </w:rPr>
            </w:pPr>
          </w:p>
        </w:tc>
      </w:tr>
      <w:tr w14:paraId="6629BD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434" w:type="dxa"/>
            <w:vMerge w:val="continue"/>
            <w:tcBorders>
              <w:top w:val="nil"/>
            </w:tcBorders>
            <w:vAlign w:val="center"/>
          </w:tcPr>
          <w:p w14:paraId="77A97ECE">
            <w:pPr>
              <w:bidi w:val="0"/>
              <w:rPr>
                <w:rFonts w:hint="eastAsia" w:ascii="仿宋" w:hAnsi="仿宋" w:eastAsia="仿宋" w:cs="仿宋"/>
                <w:color w:val="auto"/>
                <w:sz w:val="18"/>
                <w:szCs w:val="18"/>
                <w:highlight w:val="none"/>
              </w:rPr>
            </w:pPr>
          </w:p>
        </w:tc>
        <w:tc>
          <w:tcPr>
            <w:tcW w:w="3858" w:type="dxa"/>
            <w:gridSpan w:val="2"/>
            <w:vAlign w:val="center"/>
          </w:tcPr>
          <w:p w14:paraId="55B8F074">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2.安全员1人。</w:t>
            </w:r>
          </w:p>
        </w:tc>
        <w:tc>
          <w:tcPr>
            <w:tcW w:w="2718" w:type="dxa"/>
            <w:vMerge w:val="continue"/>
            <w:tcBorders>
              <w:top w:val="nil"/>
            </w:tcBorders>
            <w:vAlign w:val="center"/>
          </w:tcPr>
          <w:p w14:paraId="0AB649B2">
            <w:pPr>
              <w:bidi w:val="0"/>
              <w:rPr>
                <w:rFonts w:hint="eastAsia" w:ascii="仿宋" w:hAnsi="仿宋" w:eastAsia="仿宋" w:cs="仿宋"/>
                <w:color w:val="auto"/>
                <w:sz w:val="18"/>
                <w:szCs w:val="18"/>
                <w:highlight w:val="none"/>
              </w:rPr>
            </w:pPr>
          </w:p>
        </w:tc>
        <w:tc>
          <w:tcPr>
            <w:tcW w:w="968" w:type="dxa"/>
            <w:vMerge w:val="continue"/>
            <w:tcBorders>
              <w:top w:val="nil"/>
            </w:tcBorders>
            <w:vAlign w:val="center"/>
          </w:tcPr>
          <w:p w14:paraId="59E06978">
            <w:pPr>
              <w:bidi w:val="0"/>
              <w:rPr>
                <w:rFonts w:hint="eastAsia" w:ascii="仿宋" w:hAnsi="仿宋" w:eastAsia="仿宋" w:cs="仿宋"/>
                <w:color w:val="auto"/>
                <w:sz w:val="18"/>
                <w:szCs w:val="18"/>
                <w:highlight w:val="none"/>
              </w:rPr>
            </w:pPr>
          </w:p>
        </w:tc>
      </w:tr>
      <w:tr w14:paraId="3B01AF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trPr>
        <w:tc>
          <w:tcPr>
            <w:tcW w:w="1434" w:type="dxa"/>
            <w:vMerge w:val="restart"/>
            <w:tcBorders>
              <w:bottom w:val="nil"/>
            </w:tcBorders>
            <w:vAlign w:val="center"/>
          </w:tcPr>
          <w:p w14:paraId="0BB2030B">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开关灯时限</w:t>
            </w:r>
          </w:p>
          <w:p w14:paraId="00E88588">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（10分)</w:t>
            </w:r>
          </w:p>
        </w:tc>
        <w:tc>
          <w:tcPr>
            <w:tcW w:w="3858" w:type="dxa"/>
            <w:gridSpan w:val="2"/>
            <w:vAlign w:val="center"/>
          </w:tcPr>
          <w:p w14:paraId="72F6FEB7">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开关灯时间与开关灯照度不符合要求，运维期间道路照度不符合道路设计规范。</w:t>
            </w:r>
          </w:p>
        </w:tc>
        <w:tc>
          <w:tcPr>
            <w:tcW w:w="2718" w:type="dxa"/>
            <w:vAlign w:val="center"/>
          </w:tcPr>
          <w:p w14:paraId="0438ABAF">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每出现一次扣2分。</w:t>
            </w:r>
          </w:p>
        </w:tc>
        <w:tc>
          <w:tcPr>
            <w:tcW w:w="968" w:type="dxa"/>
            <w:vAlign w:val="center"/>
          </w:tcPr>
          <w:p w14:paraId="620C529E">
            <w:pPr>
              <w:bidi w:val="0"/>
              <w:rPr>
                <w:rFonts w:hint="eastAsia" w:ascii="仿宋" w:hAnsi="仿宋" w:eastAsia="仿宋" w:cs="仿宋"/>
                <w:color w:val="auto"/>
                <w:sz w:val="18"/>
                <w:szCs w:val="18"/>
                <w:highlight w:val="none"/>
              </w:rPr>
            </w:pPr>
          </w:p>
        </w:tc>
      </w:tr>
      <w:tr w14:paraId="44E7FD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trPr>
        <w:tc>
          <w:tcPr>
            <w:tcW w:w="1434" w:type="dxa"/>
            <w:vMerge w:val="continue"/>
            <w:tcBorders>
              <w:top w:val="nil"/>
              <w:bottom w:val="nil"/>
            </w:tcBorders>
            <w:vAlign w:val="center"/>
          </w:tcPr>
          <w:p w14:paraId="74D8AA91">
            <w:pPr>
              <w:bidi w:val="0"/>
              <w:rPr>
                <w:rFonts w:hint="eastAsia" w:ascii="仿宋" w:hAnsi="仿宋" w:eastAsia="仿宋" w:cs="仿宋"/>
                <w:color w:val="auto"/>
                <w:sz w:val="18"/>
                <w:szCs w:val="18"/>
                <w:highlight w:val="none"/>
              </w:rPr>
            </w:pPr>
          </w:p>
        </w:tc>
        <w:tc>
          <w:tcPr>
            <w:tcW w:w="3858" w:type="dxa"/>
            <w:gridSpan w:val="2"/>
            <w:vAlign w:val="center"/>
          </w:tcPr>
          <w:p w14:paraId="37518732">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亮灯率98%以下3小时内未恢复至98%。供电原因导致的除外。</w:t>
            </w:r>
          </w:p>
        </w:tc>
        <w:tc>
          <w:tcPr>
            <w:tcW w:w="2718" w:type="dxa"/>
            <w:vAlign w:val="center"/>
          </w:tcPr>
          <w:p w14:paraId="6826B8BE">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每出现一次扣2分。</w:t>
            </w:r>
          </w:p>
        </w:tc>
        <w:tc>
          <w:tcPr>
            <w:tcW w:w="968" w:type="dxa"/>
            <w:vAlign w:val="center"/>
          </w:tcPr>
          <w:p w14:paraId="6A9A838B">
            <w:pPr>
              <w:bidi w:val="0"/>
              <w:rPr>
                <w:rFonts w:hint="eastAsia" w:ascii="仿宋" w:hAnsi="仿宋" w:eastAsia="仿宋" w:cs="仿宋"/>
                <w:color w:val="auto"/>
                <w:sz w:val="18"/>
                <w:szCs w:val="18"/>
                <w:highlight w:val="none"/>
              </w:rPr>
            </w:pPr>
          </w:p>
        </w:tc>
      </w:tr>
      <w:tr w14:paraId="254D44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trPr>
        <w:tc>
          <w:tcPr>
            <w:tcW w:w="1434" w:type="dxa"/>
            <w:vMerge w:val="continue"/>
            <w:tcBorders>
              <w:top w:val="nil"/>
              <w:bottom w:val="nil"/>
            </w:tcBorders>
            <w:vAlign w:val="center"/>
          </w:tcPr>
          <w:p w14:paraId="0E04F5CF">
            <w:pPr>
              <w:bidi w:val="0"/>
              <w:rPr>
                <w:rFonts w:hint="eastAsia" w:ascii="仿宋" w:hAnsi="仿宋" w:eastAsia="仿宋" w:cs="仿宋"/>
                <w:color w:val="auto"/>
                <w:sz w:val="18"/>
                <w:szCs w:val="18"/>
                <w:highlight w:val="none"/>
              </w:rPr>
            </w:pPr>
          </w:p>
        </w:tc>
        <w:tc>
          <w:tcPr>
            <w:tcW w:w="3858" w:type="dxa"/>
            <w:gridSpan w:val="2"/>
            <w:vAlign w:val="center"/>
          </w:tcPr>
          <w:p w14:paraId="276F1776">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亮灯率90%以下5小时内未恢复至98%。供电原因导致的除外。</w:t>
            </w:r>
          </w:p>
        </w:tc>
        <w:tc>
          <w:tcPr>
            <w:tcW w:w="2718" w:type="dxa"/>
            <w:vAlign w:val="center"/>
          </w:tcPr>
          <w:p w14:paraId="25CD5984">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每出现一次扣3分。</w:t>
            </w:r>
          </w:p>
        </w:tc>
        <w:tc>
          <w:tcPr>
            <w:tcW w:w="968" w:type="dxa"/>
            <w:vAlign w:val="center"/>
          </w:tcPr>
          <w:p w14:paraId="765772C7">
            <w:pPr>
              <w:bidi w:val="0"/>
              <w:rPr>
                <w:rFonts w:hint="eastAsia" w:ascii="仿宋" w:hAnsi="仿宋" w:eastAsia="仿宋" w:cs="仿宋"/>
                <w:color w:val="auto"/>
                <w:sz w:val="18"/>
                <w:szCs w:val="18"/>
                <w:highlight w:val="none"/>
              </w:rPr>
            </w:pPr>
          </w:p>
        </w:tc>
      </w:tr>
      <w:tr w14:paraId="578CD9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trPr>
        <w:tc>
          <w:tcPr>
            <w:tcW w:w="1434" w:type="dxa"/>
            <w:vMerge w:val="continue"/>
            <w:tcBorders>
              <w:top w:val="nil"/>
            </w:tcBorders>
            <w:vAlign w:val="center"/>
          </w:tcPr>
          <w:p w14:paraId="6484C9FC">
            <w:pPr>
              <w:bidi w:val="0"/>
              <w:rPr>
                <w:rFonts w:hint="eastAsia" w:ascii="仿宋" w:hAnsi="仿宋" w:eastAsia="仿宋" w:cs="仿宋"/>
                <w:color w:val="auto"/>
                <w:sz w:val="18"/>
                <w:szCs w:val="18"/>
                <w:highlight w:val="none"/>
              </w:rPr>
            </w:pPr>
          </w:p>
        </w:tc>
        <w:tc>
          <w:tcPr>
            <w:tcW w:w="3858" w:type="dxa"/>
            <w:gridSpan w:val="2"/>
            <w:vAlign w:val="center"/>
          </w:tcPr>
          <w:p w14:paraId="66558F27">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亮灯率85%以下8小时内未恢复至98%。供电原因导致的除外。</w:t>
            </w:r>
          </w:p>
        </w:tc>
        <w:tc>
          <w:tcPr>
            <w:tcW w:w="2718" w:type="dxa"/>
            <w:vAlign w:val="center"/>
          </w:tcPr>
          <w:p w14:paraId="21B58179">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每出现一次扣10分。</w:t>
            </w:r>
          </w:p>
        </w:tc>
        <w:tc>
          <w:tcPr>
            <w:tcW w:w="968" w:type="dxa"/>
            <w:vAlign w:val="center"/>
          </w:tcPr>
          <w:p w14:paraId="262A159D">
            <w:pPr>
              <w:bidi w:val="0"/>
              <w:rPr>
                <w:rFonts w:hint="eastAsia" w:ascii="仿宋" w:hAnsi="仿宋" w:eastAsia="仿宋" w:cs="仿宋"/>
                <w:color w:val="auto"/>
                <w:sz w:val="18"/>
                <w:szCs w:val="18"/>
                <w:highlight w:val="none"/>
              </w:rPr>
            </w:pPr>
          </w:p>
        </w:tc>
      </w:tr>
      <w:tr w14:paraId="64887B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9" w:hRule="atLeast"/>
        </w:trPr>
        <w:tc>
          <w:tcPr>
            <w:tcW w:w="1434" w:type="dxa"/>
            <w:vMerge w:val="restart"/>
            <w:tcBorders>
              <w:bottom w:val="nil"/>
            </w:tcBorders>
            <w:vAlign w:val="center"/>
          </w:tcPr>
          <w:p w14:paraId="1976E136">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设施管理</w:t>
            </w:r>
          </w:p>
          <w:p w14:paraId="0D914FD7">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（55分)</w:t>
            </w:r>
          </w:p>
        </w:tc>
        <w:tc>
          <w:tcPr>
            <w:tcW w:w="904" w:type="dxa"/>
            <w:vMerge w:val="restart"/>
            <w:vAlign w:val="center"/>
          </w:tcPr>
          <w:p w14:paraId="35946AA6">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路灯</w:t>
            </w:r>
          </w:p>
        </w:tc>
        <w:tc>
          <w:tcPr>
            <w:tcW w:w="2954" w:type="dxa"/>
            <w:vAlign w:val="center"/>
          </w:tcPr>
          <w:p w14:paraId="2C2DF36C">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灯具、灯杆、灯箱定时巡查，清洁及时，无破损、喷绘、张贴、乱悬挂，运行正常。</w:t>
            </w:r>
          </w:p>
        </w:tc>
        <w:tc>
          <w:tcPr>
            <w:tcW w:w="2718" w:type="dxa"/>
            <w:vMerge w:val="restart"/>
            <w:tcBorders>
              <w:bottom w:val="nil"/>
            </w:tcBorders>
            <w:vAlign w:val="center"/>
          </w:tcPr>
          <w:p w14:paraId="6A6826F0">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不相关符合技术要求，发现一次扣2分，未按期完成整改的加倍处罚。</w:t>
            </w:r>
          </w:p>
        </w:tc>
        <w:tc>
          <w:tcPr>
            <w:tcW w:w="968" w:type="dxa"/>
            <w:vMerge w:val="restart"/>
            <w:tcBorders>
              <w:bottom w:val="nil"/>
            </w:tcBorders>
            <w:vAlign w:val="center"/>
          </w:tcPr>
          <w:p w14:paraId="1F816E2B">
            <w:pPr>
              <w:bidi w:val="0"/>
              <w:rPr>
                <w:rFonts w:hint="eastAsia" w:ascii="仿宋" w:hAnsi="仿宋" w:eastAsia="仿宋" w:cs="仿宋"/>
                <w:color w:val="auto"/>
                <w:sz w:val="18"/>
                <w:szCs w:val="18"/>
                <w:highlight w:val="none"/>
              </w:rPr>
            </w:pPr>
          </w:p>
        </w:tc>
      </w:tr>
      <w:tr w14:paraId="53BA7A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2" w:hRule="atLeast"/>
        </w:trPr>
        <w:tc>
          <w:tcPr>
            <w:tcW w:w="1434" w:type="dxa"/>
            <w:vMerge w:val="continue"/>
            <w:tcBorders>
              <w:top w:val="nil"/>
              <w:bottom w:val="nil"/>
            </w:tcBorders>
            <w:vAlign w:val="center"/>
          </w:tcPr>
          <w:p w14:paraId="1B6DB6B9">
            <w:pPr>
              <w:bidi w:val="0"/>
              <w:rPr>
                <w:rFonts w:hint="eastAsia" w:ascii="仿宋" w:hAnsi="仿宋" w:eastAsia="仿宋" w:cs="仿宋"/>
                <w:color w:val="auto"/>
                <w:sz w:val="18"/>
                <w:szCs w:val="18"/>
                <w:highlight w:val="none"/>
              </w:rPr>
            </w:pPr>
          </w:p>
        </w:tc>
        <w:tc>
          <w:tcPr>
            <w:tcW w:w="904" w:type="dxa"/>
            <w:vMerge w:val="continue"/>
            <w:vAlign w:val="center"/>
          </w:tcPr>
          <w:p w14:paraId="6EC88380">
            <w:pPr>
              <w:bidi w:val="0"/>
              <w:rPr>
                <w:rFonts w:hint="eastAsia" w:ascii="仿宋" w:hAnsi="仿宋" w:eastAsia="仿宋" w:cs="仿宋"/>
                <w:color w:val="auto"/>
                <w:sz w:val="18"/>
                <w:szCs w:val="18"/>
                <w:highlight w:val="none"/>
              </w:rPr>
            </w:pPr>
          </w:p>
        </w:tc>
        <w:tc>
          <w:tcPr>
            <w:tcW w:w="2954" w:type="dxa"/>
            <w:vAlign w:val="center"/>
          </w:tcPr>
          <w:p w14:paraId="11ED4CF8">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路灯、景观灯、亮化设施应及时检修、清洁，严禁带病运行。</w:t>
            </w:r>
          </w:p>
        </w:tc>
        <w:tc>
          <w:tcPr>
            <w:tcW w:w="2718" w:type="dxa"/>
            <w:vMerge w:val="continue"/>
            <w:tcBorders>
              <w:top w:val="nil"/>
              <w:bottom w:val="nil"/>
            </w:tcBorders>
            <w:vAlign w:val="center"/>
          </w:tcPr>
          <w:p w14:paraId="1B08EF19">
            <w:pPr>
              <w:bidi w:val="0"/>
              <w:rPr>
                <w:rFonts w:hint="eastAsia" w:ascii="仿宋" w:hAnsi="仿宋" w:eastAsia="仿宋" w:cs="仿宋"/>
                <w:color w:val="auto"/>
                <w:sz w:val="18"/>
                <w:szCs w:val="18"/>
                <w:highlight w:val="none"/>
              </w:rPr>
            </w:pPr>
          </w:p>
        </w:tc>
        <w:tc>
          <w:tcPr>
            <w:tcW w:w="968" w:type="dxa"/>
            <w:vMerge w:val="continue"/>
            <w:tcBorders>
              <w:top w:val="nil"/>
              <w:bottom w:val="nil"/>
            </w:tcBorders>
            <w:vAlign w:val="center"/>
          </w:tcPr>
          <w:p w14:paraId="199176DB">
            <w:pPr>
              <w:bidi w:val="0"/>
              <w:rPr>
                <w:rFonts w:hint="eastAsia" w:ascii="仿宋" w:hAnsi="仿宋" w:eastAsia="仿宋" w:cs="仿宋"/>
                <w:color w:val="auto"/>
                <w:sz w:val="18"/>
                <w:szCs w:val="18"/>
                <w:highlight w:val="none"/>
              </w:rPr>
            </w:pPr>
          </w:p>
        </w:tc>
      </w:tr>
      <w:tr w14:paraId="16A6FB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6" w:hRule="atLeast"/>
        </w:trPr>
        <w:tc>
          <w:tcPr>
            <w:tcW w:w="1434" w:type="dxa"/>
            <w:vMerge w:val="continue"/>
            <w:tcBorders>
              <w:top w:val="nil"/>
              <w:bottom w:val="nil"/>
            </w:tcBorders>
            <w:vAlign w:val="center"/>
          </w:tcPr>
          <w:p w14:paraId="4DEF3837">
            <w:pPr>
              <w:bidi w:val="0"/>
              <w:rPr>
                <w:rFonts w:hint="eastAsia" w:ascii="仿宋" w:hAnsi="仿宋" w:eastAsia="仿宋" w:cs="仿宋"/>
                <w:color w:val="auto"/>
                <w:sz w:val="18"/>
                <w:szCs w:val="18"/>
                <w:highlight w:val="none"/>
              </w:rPr>
            </w:pPr>
          </w:p>
        </w:tc>
        <w:tc>
          <w:tcPr>
            <w:tcW w:w="904" w:type="dxa"/>
            <w:vMerge w:val="continue"/>
            <w:vAlign w:val="center"/>
          </w:tcPr>
          <w:p w14:paraId="593EF34D">
            <w:pPr>
              <w:bidi w:val="0"/>
              <w:rPr>
                <w:rFonts w:hint="eastAsia" w:ascii="仿宋" w:hAnsi="仿宋" w:eastAsia="仿宋" w:cs="仿宋"/>
                <w:color w:val="auto"/>
                <w:sz w:val="18"/>
                <w:szCs w:val="18"/>
                <w:highlight w:val="none"/>
              </w:rPr>
            </w:pPr>
          </w:p>
        </w:tc>
        <w:tc>
          <w:tcPr>
            <w:tcW w:w="2954" w:type="dxa"/>
            <w:vAlign w:val="center"/>
          </w:tcPr>
          <w:p w14:paraId="781330BF">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变压器、配电箱无安全隐患，各类元器件符合相关规定，外饰面无脱落，字迹清晰；安全警示标志规范、醒目。</w:t>
            </w:r>
          </w:p>
        </w:tc>
        <w:tc>
          <w:tcPr>
            <w:tcW w:w="2718" w:type="dxa"/>
            <w:vMerge w:val="continue"/>
            <w:tcBorders>
              <w:top w:val="nil"/>
            </w:tcBorders>
            <w:vAlign w:val="center"/>
          </w:tcPr>
          <w:p w14:paraId="118D8E86">
            <w:pPr>
              <w:bidi w:val="0"/>
              <w:rPr>
                <w:rFonts w:hint="eastAsia" w:ascii="仿宋" w:hAnsi="仿宋" w:eastAsia="仿宋" w:cs="仿宋"/>
                <w:color w:val="auto"/>
                <w:sz w:val="18"/>
                <w:szCs w:val="18"/>
                <w:highlight w:val="none"/>
              </w:rPr>
            </w:pPr>
          </w:p>
        </w:tc>
        <w:tc>
          <w:tcPr>
            <w:tcW w:w="968" w:type="dxa"/>
            <w:vMerge w:val="continue"/>
            <w:tcBorders>
              <w:top w:val="nil"/>
            </w:tcBorders>
            <w:vAlign w:val="center"/>
          </w:tcPr>
          <w:p w14:paraId="210422E9">
            <w:pPr>
              <w:bidi w:val="0"/>
              <w:rPr>
                <w:rFonts w:hint="eastAsia" w:ascii="仿宋" w:hAnsi="仿宋" w:eastAsia="仿宋" w:cs="仿宋"/>
                <w:color w:val="auto"/>
                <w:sz w:val="18"/>
                <w:szCs w:val="18"/>
                <w:highlight w:val="none"/>
              </w:rPr>
            </w:pPr>
          </w:p>
        </w:tc>
      </w:tr>
      <w:tr w14:paraId="338BFA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7" w:hRule="atLeast"/>
        </w:trPr>
        <w:tc>
          <w:tcPr>
            <w:tcW w:w="1434" w:type="dxa"/>
            <w:vMerge w:val="continue"/>
            <w:tcBorders>
              <w:top w:val="nil"/>
              <w:bottom w:val="nil"/>
            </w:tcBorders>
            <w:vAlign w:val="center"/>
          </w:tcPr>
          <w:p w14:paraId="3A5A252F">
            <w:pPr>
              <w:bidi w:val="0"/>
              <w:rPr>
                <w:rFonts w:hint="eastAsia" w:ascii="仿宋" w:hAnsi="仿宋" w:eastAsia="仿宋" w:cs="仿宋"/>
                <w:color w:val="auto"/>
                <w:sz w:val="18"/>
                <w:szCs w:val="18"/>
                <w:highlight w:val="none"/>
              </w:rPr>
            </w:pPr>
          </w:p>
        </w:tc>
        <w:tc>
          <w:tcPr>
            <w:tcW w:w="904" w:type="dxa"/>
            <w:vMerge w:val="continue"/>
            <w:vAlign w:val="center"/>
          </w:tcPr>
          <w:p w14:paraId="21659ABF">
            <w:pPr>
              <w:bidi w:val="0"/>
              <w:rPr>
                <w:rFonts w:hint="eastAsia" w:ascii="仿宋" w:hAnsi="仿宋" w:eastAsia="仿宋" w:cs="仿宋"/>
                <w:color w:val="auto"/>
                <w:sz w:val="18"/>
                <w:szCs w:val="18"/>
                <w:highlight w:val="none"/>
              </w:rPr>
            </w:pPr>
          </w:p>
        </w:tc>
        <w:tc>
          <w:tcPr>
            <w:tcW w:w="2954" w:type="dxa"/>
            <w:vAlign w:val="center"/>
          </w:tcPr>
          <w:p w14:paraId="03DCECE1">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严禁私拉乱接电源、偷电、卖电行为（采购人同意的除外）；保障线路完好。</w:t>
            </w:r>
          </w:p>
        </w:tc>
        <w:tc>
          <w:tcPr>
            <w:tcW w:w="2718" w:type="dxa"/>
            <w:vAlign w:val="center"/>
          </w:tcPr>
          <w:p w14:paraId="7058F4DD">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线路损坏维修不及时的1次扣2分。私拉乱接线路发现1处扣30分，并追究其法律责任。</w:t>
            </w:r>
          </w:p>
        </w:tc>
        <w:tc>
          <w:tcPr>
            <w:tcW w:w="968" w:type="dxa"/>
            <w:vAlign w:val="center"/>
          </w:tcPr>
          <w:p w14:paraId="3EF31E48">
            <w:pPr>
              <w:bidi w:val="0"/>
              <w:rPr>
                <w:rFonts w:hint="eastAsia" w:ascii="仿宋" w:hAnsi="仿宋" w:eastAsia="仿宋" w:cs="仿宋"/>
                <w:color w:val="auto"/>
                <w:sz w:val="18"/>
                <w:szCs w:val="18"/>
                <w:highlight w:val="none"/>
              </w:rPr>
            </w:pPr>
          </w:p>
        </w:tc>
      </w:tr>
      <w:tr w14:paraId="590448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9" w:hRule="atLeast"/>
        </w:trPr>
        <w:tc>
          <w:tcPr>
            <w:tcW w:w="1434" w:type="dxa"/>
            <w:vMerge w:val="continue"/>
            <w:tcBorders>
              <w:top w:val="nil"/>
              <w:bottom w:val="nil"/>
            </w:tcBorders>
            <w:vAlign w:val="center"/>
          </w:tcPr>
          <w:p w14:paraId="14A544E5">
            <w:pPr>
              <w:bidi w:val="0"/>
              <w:rPr>
                <w:rFonts w:hint="eastAsia" w:ascii="仿宋" w:hAnsi="仿宋" w:eastAsia="仿宋" w:cs="仿宋"/>
                <w:color w:val="auto"/>
                <w:sz w:val="18"/>
                <w:szCs w:val="18"/>
                <w:highlight w:val="none"/>
              </w:rPr>
            </w:pPr>
          </w:p>
        </w:tc>
        <w:tc>
          <w:tcPr>
            <w:tcW w:w="904" w:type="dxa"/>
            <w:vMerge w:val="continue"/>
            <w:vAlign w:val="center"/>
          </w:tcPr>
          <w:p w14:paraId="08E6481E">
            <w:pPr>
              <w:bidi w:val="0"/>
              <w:rPr>
                <w:rFonts w:hint="eastAsia" w:ascii="仿宋" w:hAnsi="仿宋" w:eastAsia="仿宋" w:cs="仿宋"/>
                <w:color w:val="auto"/>
                <w:sz w:val="18"/>
                <w:szCs w:val="18"/>
                <w:highlight w:val="none"/>
              </w:rPr>
            </w:pPr>
          </w:p>
        </w:tc>
        <w:tc>
          <w:tcPr>
            <w:tcW w:w="2954" w:type="dxa"/>
            <w:vAlign w:val="center"/>
          </w:tcPr>
          <w:p w14:paraId="0D94E3A7">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文明施工安全防范措施规范性操作。（例：未穿反光衣、未带安全头盔 、无警戒线、无安全围挡）</w:t>
            </w:r>
          </w:p>
        </w:tc>
        <w:tc>
          <w:tcPr>
            <w:tcW w:w="2718" w:type="dxa"/>
            <w:vMerge w:val="restart"/>
            <w:tcBorders>
              <w:bottom w:val="nil"/>
            </w:tcBorders>
            <w:vAlign w:val="center"/>
          </w:tcPr>
          <w:p w14:paraId="0EDC9978">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不相关符合技术要求，发现一次扣2分，未按期完成整改的加倍处罚。</w:t>
            </w:r>
          </w:p>
        </w:tc>
        <w:tc>
          <w:tcPr>
            <w:tcW w:w="968" w:type="dxa"/>
            <w:vMerge w:val="restart"/>
            <w:tcBorders>
              <w:bottom w:val="nil"/>
            </w:tcBorders>
            <w:vAlign w:val="center"/>
          </w:tcPr>
          <w:p w14:paraId="2AF624F9">
            <w:pPr>
              <w:bidi w:val="0"/>
              <w:rPr>
                <w:rFonts w:hint="eastAsia" w:ascii="仿宋" w:hAnsi="仿宋" w:eastAsia="仿宋" w:cs="仿宋"/>
                <w:color w:val="auto"/>
                <w:sz w:val="18"/>
                <w:szCs w:val="18"/>
                <w:highlight w:val="none"/>
              </w:rPr>
            </w:pPr>
          </w:p>
        </w:tc>
      </w:tr>
      <w:tr w14:paraId="50E035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 w:hRule="atLeast"/>
        </w:trPr>
        <w:tc>
          <w:tcPr>
            <w:tcW w:w="1434" w:type="dxa"/>
            <w:vMerge w:val="continue"/>
            <w:tcBorders>
              <w:top w:val="nil"/>
              <w:bottom w:val="nil"/>
            </w:tcBorders>
            <w:vAlign w:val="center"/>
          </w:tcPr>
          <w:p w14:paraId="4041DDD5">
            <w:pPr>
              <w:bidi w:val="0"/>
              <w:rPr>
                <w:rFonts w:hint="eastAsia" w:ascii="仿宋" w:hAnsi="仿宋" w:eastAsia="仿宋" w:cs="仿宋"/>
                <w:color w:val="auto"/>
                <w:sz w:val="18"/>
                <w:szCs w:val="18"/>
                <w:highlight w:val="none"/>
              </w:rPr>
            </w:pPr>
          </w:p>
        </w:tc>
        <w:tc>
          <w:tcPr>
            <w:tcW w:w="904" w:type="dxa"/>
            <w:vMerge w:val="continue"/>
            <w:vAlign w:val="center"/>
          </w:tcPr>
          <w:p w14:paraId="1A141EB7">
            <w:pPr>
              <w:bidi w:val="0"/>
              <w:rPr>
                <w:rFonts w:hint="eastAsia" w:ascii="仿宋" w:hAnsi="仿宋" w:eastAsia="仿宋" w:cs="仿宋"/>
                <w:color w:val="auto"/>
                <w:sz w:val="18"/>
                <w:szCs w:val="18"/>
                <w:highlight w:val="none"/>
              </w:rPr>
            </w:pPr>
          </w:p>
        </w:tc>
        <w:tc>
          <w:tcPr>
            <w:tcW w:w="2954" w:type="dxa"/>
            <w:vAlign w:val="center"/>
          </w:tcPr>
          <w:p w14:paraId="4EBD6990">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城市照明设施上张贴、悬挂、设置宣 传品、广告、飞线。</w:t>
            </w:r>
          </w:p>
        </w:tc>
        <w:tc>
          <w:tcPr>
            <w:tcW w:w="2718" w:type="dxa"/>
            <w:vMerge w:val="continue"/>
            <w:tcBorders>
              <w:top w:val="nil"/>
            </w:tcBorders>
            <w:vAlign w:val="center"/>
          </w:tcPr>
          <w:p w14:paraId="5A36C5C9">
            <w:pPr>
              <w:bidi w:val="0"/>
              <w:rPr>
                <w:rFonts w:hint="eastAsia" w:ascii="仿宋" w:hAnsi="仿宋" w:eastAsia="仿宋" w:cs="仿宋"/>
                <w:color w:val="auto"/>
                <w:sz w:val="18"/>
                <w:szCs w:val="18"/>
                <w:highlight w:val="none"/>
              </w:rPr>
            </w:pPr>
          </w:p>
        </w:tc>
        <w:tc>
          <w:tcPr>
            <w:tcW w:w="968" w:type="dxa"/>
            <w:vMerge w:val="continue"/>
            <w:tcBorders>
              <w:top w:val="nil"/>
            </w:tcBorders>
            <w:vAlign w:val="center"/>
          </w:tcPr>
          <w:p w14:paraId="7AAD5B65">
            <w:pPr>
              <w:bidi w:val="0"/>
              <w:rPr>
                <w:rFonts w:hint="eastAsia" w:ascii="仿宋" w:hAnsi="仿宋" w:eastAsia="仿宋" w:cs="仿宋"/>
                <w:color w:val="auto"/>
                <w:sz w:val="18"/>
                <w:szCs w:val="18"/>
                <w:highlight w:val="none"/>
              </w:rPr>
            </w:pPr>
          </w:p>
        </w:tc>
      </w:tr>
      <w:tr w14:paraId="50534D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4" w:hRule="atLeast"/>
        </w:trPr>
        <w:tc>
          <w:tcPr>
            <w:tcW w:w="1434" w:type="dxa"/>
            <w:vMerge w:val="continue"/>
            <w:tcBorders>
              <w:top w:val="nil"/>
              <w:bottom w:val="nil"/>
            </w:tcBorders>
            <w:vAlign w:val="center"/>
          </w:tcPr>
          <w:p w14:paraId="1B89B3B4">
            <w:pPr>
              <w:bidi w:val="0"/>
              <w:rPr>
                <w:rFonts w:hint="eastAsia" w:ascii="仿宋" w:hAnsi="仿宋" w:eastAsia="仿宋" w:cs="仿宋"/>
                <w:color w:val="auto"/>
                <w:sz w:val="18"/>
                <w:szCs w:val="18"/>
                <w:highlight w:val="none"/>
              </w:rPr>
            </w:pPr>
          </w:p>
        </w:tc>
        <w:tc>
          <w:tcPr>
            <w:tcW w:w="904" w:type="dxa"/>
            <w:vMerge w:val="restart"/>
            <w:vAlign w:val="center"/>
          </w:tcPr>
          <w:p w14:paraId="09C0FE97">
            <w:pPr>
              <w:bidi w:val="0"/>
              <w:rPr>
                <w:rFonts w:hint="eastAsia"/>
                <w:color w:val="auto"/>
                <w:highlight w:val="none"/>
                <w:lang w:val="en-US" w:eastAsia="zh-CN"/>
              </w:rPr>
            </w:pPr>
            <w:r>
              <w:rPr>
                <w:rFonts w:hint="eastAsia" w:ascii="仿宋" w:hAnsi="仿宋" w:eastAsia="仿宋" w:cs="仿宋"/>
                <w:color w:val="auto"/>
                <w:sz w:val="18"/>
                <w:szCs w:val="18"/>
                <w:highlight w:val="none"/>
              </w:rPr>
              <w:t>变压器</w:t>
            </w:r>
          </w:p>
        </w:tc>
        <w:tc>
          <w:tcPr>
            <w:tcW w:w="2954" w:type="dxa"/>
            <w:vAlign w:val="center"/>
          </w:tcPr>
          <w:p w14:paraId="41EBA09A">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变配电预防性试验及抢修等仪表配置情况。</w:t>
            </w:r>
          </w:p>
        </w:tc>
        <w:tc>
          <w:tcPr>
            <w:tcW w:w="2718" w:type="dxa"/>
            <w:vAlign w:val="center"/>
          </w:tcPr>
          <w:p w14:paraId="34B42ADF">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每次少一样扣1分。</w:t>
            </w:r>
          </w:p>
        </w:tc>
        <w:tc>
          <w:tcPr>
            <w:tcW w:w="968" w:type="dxa"/>
            <w:vAlign w:val="center"/>
          </w:tcPr>
          <w:p w14:paraId="7692D3E4">
            <w:pPr>
              <w:bidi w:val="0"/>
              <w:rPr>
                <w:rFonts w:hint="eastAsia" w:ascii="仿宋" w:hAnsi="仿宋" w:eastAsia="仿宋" w:cs="仿宋"/>
                <w:color w:val="auto"/>
                <w:sz w:val="18"/>
                <w:szCs w:val="18"/>
                <w:highlight w:val="none"/>
              </w:rPr>
            </w:pPr>
          </w:p>
        </w:tc>
      </w:tr>
      <w:tr w14:paraId="2F67D0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 w:hRule="atLeast"/>
        </w:trPr>
        <w:tc>
          <w:tcPr>
            <w:tcW w:w="1434" w:type="dxa"/>
            <w:vMerge w:val="continue"/>
            <w:tcBorders>
              <w:top w:val="nil"/>
              <w:bottom w:val="nil"/>
            </w:tcBorders>
            <w:vAlign w:val="center"/>
          </w:tcPr>
          <w:p w14:paraId="411B6BED">
            <w:pPr>
              <w:bidi w:val="0"/>
              <w:rPr>
                <w:rFonts w:hint="eastAsia" w:ascii="仿宋" w:hAnsi="仿宋" w:eastAsia="仿宋" w:cs="仿宋"/>
                <w:color w:val="auto"/>
                <w:sz w:val="18"/>
                <w:szCs w:val="18"/>
                <w:highlight w:val="none"/>
              </w:rPr>
            </w:pPr>
          </w:p>
        </w:tc>
        <w:tc>
          <w:tcPr>
            <w:tcW w:w="904" w:type="dxa"/>
            <w:vMerge w:val="continue"/>
            <w:vAlign w:val="center"/>
          </w:tcPr>
          <w:p w14:paraId="5CC0FC4F">
            <w:pPr>
              <w:bidi w:val="0"/>
              <w:rPr>
                <w:rFonts w:hint="eastAsia" w:ascii="仿宋" w:hAnsi="仿宋" w:eastAsia="仿宋" w:cs="仿宋"/>
                <w:color w:val="auto"/>
                <w:sz w:val="18"/>
                <w:szCs w:val="18"/>
                <w:highlight w:val="none"/>
              </w:rPr>
            </w:pPr>
          </w:p>
        </w:tc>
        <w:tc>
          <w:tcPr>
            <w:tcW w:w="2954" w:type="dxa"/>
            <w:vAlign w:val="center"/>
          </w:tcPr>
          <w:p w14:paraId="6E436AB8">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设备故障率情况</w:t>
            </w:r>
          </w:p>
        </w:tc>
        <w:tc>
          <w:tcPr>
            <w:tcW w:w="2718" w:type="dxa"/>
            <w:vAlign w:val="center"/>
          </w:tcPr>
          <w:p w14:paraId="77457C5C">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设备正常运行率为100%，故障每出现一台次扣3分。</w:t>
            </w:r>
          </w:p>
        </w:tc>
        <w:tc>
          <w:tcPr>
            <w:tcW w:w="968" w:type="dxa"/>
            <w:vAlign w:val="center"/>
          </w:tcPr>
          <w:p w14:paraId="40F99EB3">
            <w:pPr>
              <w:bidi w:val="0"/>
              <w:rPr>
                <w:rFonts w:hint="eastAsia" w:ascii="仿宋" w:hAnsi="仿宋" w:eastAsia="仿宋" w:cs="仿宋"/>
                <w:color w:val="auto"/>
                <w:sz w:val="18"/>
                <w:szCs w:val="18"/>
                <w:highlight w:val="none"/>
              </w:rPr>
            </w:pPr>
          </w:p>
        </w:tc>
      </w:tr>
      <w:tr w14:paraId="0DFC81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4" w:hRule="atLeast"/>
        </w:trPr>
        <w:tc>
          <w:tcPr>
            <w:tcW w:w="1434" w:type="dxa"/>
            <w:vMerge w:val="continue"/>
            <w:tcBorders>
              <w:top w:val="nil"/>
              <w:bottom w:val="nil"/>
            </w:tcBorders>
            <w:vAlign w:val="center"/>
          </w:tcPr>
          <w:p w14:paraId="5BB03BEA">
            <w:pPr>
              <w:bidi w:val="0"/>
              <w:rPr>
                <w:rFonts w:hint="eastAsia" w:ascii="仿宋" w:hAnsi="仿宋" w:eastAsia="仿宋" w:cs="仿宋"/>
                <w:color w:val="auto"/>
                <w:sz w:val="18"/>
                <w:szCs w:val="18"/>
                <w:highlight w:val="none"/>
              </w:rPr>
            </w:pPr>
          </w:p>
        </w:tc>
        <w:tc>
          <w:tcPr>
            <w:tcW w:w="904" w:type="dxa"/>
            <w:vMerge w:val="continue"/>
            <w:vAlign w:val="center"/>
          </w:tcPr>
          <w:p w14:paraId="58A7637E">
            <w:pPr>
              <w:bidi w:val="0"/>
              <w:rPr>
                <w:rFonts w:hint="eastAsia" w:ascii="仿宋" w:hAnsi="仿宋" w:eastAsia="仿宋" w:cs="仿宋"/>
                <w:color w:val="auto"/>
                <w:sz w:val="18"/>
                <w:szCs w:val="18"/>
                <w:highlight w:val="none"/>
              </w:rPr>
            </w:pPr>
          </w:p>
        </w:tc>
        <w:tc>
          <w:tcPr>
            <w:tcW w:w="2954" w:type="dxa"/>
            <w:vAlign w:val="center"/>
          </w:tcPr>
          <w:p w14:paraId="653382F7">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文明施工安全防范措施规范性操   作 （例：未穿反光衣、未带安全头盔、无警戒线、无安全围挡）</w:t>
            </w:r>
          </w:p>
        </w:tc>
        <w:tc>
          <w:tcPr>
            <w:tcW w:w="2718" w:type="dxa"/>
            <w:vAlign w:val="center"/>
          </w:tcPr>
          <w:p w14:paraId="726246FB">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每次扣1分。</w:t>
            </w:r>
          </w:p>
        </w:tc>
        <w:tc>
          <w:tcPr>
            <w:tcW w:w="968" w:type="dxa"/>
            <w:vAlign w:val="center"/>
          </w:tcPr>
          <w:p w14:paraId="7E89A9CD">
            <w:pPr>
              <w:bidi w:val="0"/>
              <w:rPr>
                <w:rFonts w:hint="eastAsia" w:ascii="仿宋" w:hAnsi="仿宋" w:eastAsia="仿宋" w:cs="仿宋"/>
                <w:color w:val="auto"/>
                <w:sz w:val="18"/>
                <w:szCs w:val="18"/>
                <w:highlight w:val="none"/>
              </w:rPr>
            </w:pPr>
          </w:p>
        </w:tc>
      </w:tr>
      <w:tr w14:paraId="37BF28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3" w:hRule="atLeast"/>
        </w:trPr>
        <w:tc>
          <w:tcPr>
            <w:tcW w:w="1434" w:type="dxa"/>
            <w:vMerge w:val="continue"/>
            <w:tcBorders>
              <w:top w:val="nil"/>
            </w:tcBorders>
            <w:vAlign w:val="center"/>
          </w:tcPr>
          <w:p w14:paraId="29347CD8">
            <w:pPr>
              <w:bidi w:val="0"/>
              <w:rPr>
                <w:rFonts w:hint="eastAsia" w:ascii="仿宋" w:hAnsi="仿宋" w:eastAsia="仿宋" w:cs="仿宋"/>
                <w:color w:val="auto"/>
                <w:sz w:val="18"/>
                <w:szCs w:val="18"/>
                <w:highlight w:val="none"/>
              </w:rPr>
            </w:pPr>
          </w:p>
        </w:tc>
        <w:tc>
          <w:tcPr>
            <w:tcW w:w="904" w:type="dxa"/>
            <w:vMerge w:val="continue"/>
            <w:vAlign w:val="center"/>
          </w:tcPr>
          <w:p w14:paraId="1D1659B6">
            <w:pPr>
              <w:bidi w:val="0"/>
              <w:rPr>
                <w:rFonts w:hint="eastAsia" w:ascii="仿宋" w:hAnsi="仿宋" w:eastAsia="仿宋" w:cs="仿宋"/>
                <w:color w:val="auto"/>
                <w:sz w:val="18"/>
                <w:szCs w:val="18"/>
                <w:highlight w:val="none"/>
              </w:rPr>
            </w:pPr>
          </w:p>
        </w:tc>
        <w:tc>
          <w:tcPr>
            <w:tcW w:w="2954" w:type="dxa"/>
            <w:vAlign w:val="center"/>
          </w:tcPr>
          <w:p w14:paraId="30DB5262">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变压器存在漏电、缺油、渗油现象</w:t>
            </w:r>
          </w:p>
        </w:tc>
        <w:tc>
          <w:tcPr>
            <w:tcW w:w="2718" w:type="dxa"/>
            <w:vAlign w:val="center"/>
          </w:tcPr>
          <w:p w14:paraId="06886197">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每次每处扣5分。</w:t>
            </w:r>
          </w:p>
        </w:tc>
        <w:tc>
          <w:tcPr>
            <w:tcW w:w="968" w:type="dxa"/>
            <w:vAlign w:val="center"/>
          </w:tcPr>
          <w:p w14:paraId="3671D32A">
            <w:pPr>
              <w:bidi w:val="0"/>
              <w:rPr>
                <w:rFonts w:hint="eastAsia" w:ascii="仿宋" w:hAnsi="仿宋" w:eastAsia="仿宋" w:cs="仿宋"/>
                <w:color w:val="auto"/>
                <w:sz w:val="18"/>
                <w:szCs w:val="18"/>
                <w:highlight w:val="none"/>
              </w:rPr>
            </w:pPr>
          </w:p>
        </w:tc>
      </w:tr>
      <w:tr w14:paraId="3F7168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3" w:hRule="atLeast"/>
        </w:trPr>
        <w:tc>
          <w:tcPr>
            <w:tcW w:w="1434" w:type="dxa"/>
            <w:vAlign w:val="center"/>
          </w:tcPr>
          <w:p w14:paraId="63FE06C7">
            <w:pPr>
              <w:bidi w:val="0"/>
              <w:rPr>
                <w:rFonts w:hint="eastAsia" w:ascii="仿宋" w:hAnsi="仿宋" w:eastAsia="仿宋" w:cs="仿宋"/>
                <w:color w:val="auto"/>
                <w:sz w:val="18"/>
                <w:szCs w:val="18"/>
                <w:highlight w:val="none"/>
              </w:rPr>
            </w:pPr>
          </w:p>
        </w:tc>
        <w:tc>
          <w:tcPr>
            <w:tcW w:w="904" w:type="dxa"/>
            <w:vMerge w:val="continue"/>
            <w:vAlign w:val="center"/>
          </w:tcPr>
          <w:p w14:paraId="7623EE39">
            <w:pPr>
              <w:bidi w:val="0"/>
              <w:rPr>
                <w:rFonts w:hint="eastAsia" w:ascii="仿宋" w:hAnsi="仿宋" w:eastAsia="仿宋" w:cs="仿宋"/>
                <w:color w:val="auto"/>
                <w:sz w:val="18"/>
                <w:szCs w:val="18"/>
                <w:highlight w:val="none"/>
              </w:rPr>
            </w:pPr>
          </w:p>
        </w:tc>
        <w:tc>
          <w:tcPr>
            <w:tcW w:w="2954" w:type="dxa"/>
            <w:vAlign w:val="center"/>
          </w:tcPr>
          <w:p w14:paraId="3530B4F5">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变压器倾斜、破损、锈蚀；标识、警示牌脱落、破损、锈蚀；围栏损坏</w:t>
            </w:r>
          </w:p>
        </w:tc>
        <w:tc>
          <w:tcPr>
            <w:tcW w:w="2718" w:type="dxa"/>
            <w:vAlign w:val="center"/>
          </w:tcPr>
          <w:p w14:paraId="45CA6877">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每 次 每 处 扣1 分</w:t>
            </w:r>
          </w:p>
        </w:tc>
        <w:tc>
          <w:tcPr>
            <w:tcW w:w="968" w:type="dxa"/>
            <w:vAlign w:val="center"/>
          </w:tcPr>
          <w:p w14:paraId="5BB2EB28">
            <w:pPr>
              <w:bidi w:val="0"/>
              <w:rPr>
                <w:rFonts w:hint="eastAsia" w:ascii="仿宋" w:hAnsi="仿宋" w:eastAsia="仿宋" w:cs="仿宋"/>
                <w:color w:val="auto"/>
                <w:sz w:val="18"/>
                <w:szCs w:val="18"/>
                <w:highlight w:val="none"/>
              </w:rPr>
            </w:pPr>
          </w:p>
        </w:tc>
      </w:tr>
      <w:tr w14:paraId="5799A6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6" w:hRule="atLeast"/>
        </w:trPr>
        <w:tc>
          <w:tcPr>
            <w:tcW w:w="1434" w:type="dxa"/>
            <w:vMerge w:val="restart"/>
            <w:tcBorders>
              <w:bottom w:val="nil"/>
            </w:tcBorders>
            <w:vAlign w:val="center"/>
          </w:tcPr>
          <w:p w14:paraId="364C2CDF">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安全生产、资料记录</w:t>
            </w:r>
          </w:p>
          <w:p w14:paraId="7E63FA15">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（20分）</w:t>
            </w:r>
          </w:p>
        </w:tc>
        <w:tc>
          <w:tcPr>
            <w:tcW w:w="904" w:type="dxa"/>
            <w:vAlign w:val="center"/>
          </w:tcPr>
          <w:p w14:paraId="0FCFA795">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应急处置</w:t>
            </w:r>
          </w:p>
        </w:tc>
        <w:tc>
          <w:tcPr>
            <w:tcW w:w="2954" w:type="dxa"/>
            <w:vAlign w:val="center"/>
          </w:tcPr>
          <w:p w14:paraId="0FDCF2ED">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未在规定时限内处理数控案件、督查案件等与路灯照明相关事件,又无充分原因说明无法处理的</w:t>
            </w:r>
          </w:p>
        </w:tc>
        <w:tc>
          <w:tcPr>
            <w:tcW w:w="2718" w:type="dxa"/>
            <w:vAlign w:val="center"/>
          </w:tcPr>
          <w:p w14:paraId="28FBEF14">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发现一处扣2分。</w:t>
            </w:r>
          </w:p>
        </w:tc>
        <w:tc>
          <w:tcPr>
            <w:tcW w:w="968" w:type="dxa"/>
            <w:vAlign w:val="center"/>
          </w:tcPr>
          <w:p w14:paraId="2E4FA120">
            <w:pPr>
              <w:bidi w:val="0"/>
              <w:rPr>
                <w:rFonts w:hint="eastAsia" w:ascii="仿宋" w:hAnsi="仿宋" w:eastAsia="仿宋" w:cs="仿宋"/>
                <w:color w:val="auto"/>
                <w:sz w:val="18"/>
                <w:szCs w:val="18"/>
                <w:highlight w:val="none"/>
              </w:rPr>
            </w:pPr>
          </w:p>
        </w:tc>
      </w:tr>
      <w:tr w14:paraId="19DC67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434" w:type="dxa"/>
            <w:vMerge w:val="continue"/>
            <w:tcBorders>
              <w:top w:val="nil"/>
              <w:bottom w:val="nil"/>
            </w:tcBorders>
            <w:vAlign w:val="center"/>
          </w:tcPr>
          <w:p w14:paraId="65E71004">
            <w:pPr>
              <w:bidi w:val="0"/>
              <w:rPr>
                <w:rFonts w:hint="eastAsia" w:ascii="仿宋" w:hAnsi="仿宋" w:eastAsia="仿宋" w:cs="仿宋"/>
                <w:color w:val="auto"/>
                <w:sz w:val="18"/>
                <w:szCs w:val="18"/>
                <w:highlight w:val="none"/>
              </w:rPr>
            </w:pPr>
          </w:p>
        </w:tc>
        <w:tc>
          <w:tcPr>
            <w:tcW w:w="904" w:type="dxa"/>
            <w:vAlign w:val="center"/>
          </w:tcPr>
          <w:p w14:paraId="5AEBD0FC">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巡查资料</w:t>
            </w:r>
          </w:p>
        </w:tc>
        <w:tc>
          <w:tcPr>
            <w:tcW w:w="2954" w:type="dxa"/>
            <w:vAlign w:val="center"/>
          </w:tcPr>
          <w:p w14:paraId="68BE9BD4">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路灯巡查资料制备不及时，有缺漏</w:t>
            </w:r>
          </w:p>
        </w:tc>
        <w:tc>
          <w:tcPr>
            <w:tcW w:w="2718" w:type="dxa"/>
            <w:vAlign w:val="center"/>
          </w:tcPr>
          <w:p w14:paraId="7A4AD8FA">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发现一处扣1分。</w:t>
            </w:r>
          </w:p>
        </w:tc>
        <w:tc>
          <w:tcPr>
            <w:tcW w:w="968" w:type="dxa"/>
            <w:vAlign w:val="center"/>
          </w:tcPr>
          <w:p w14:paraId="556E3CAD">
            <w:pPr>
              <w:bidi w:val="0"/>
              <w:rPr>
                <w:rFonts w:hint="eastAsia" w:ascii="仿宋" w:hAnsi="仿宋" w:eastAsia="仿宋" w:cs="仿宋"/>
                <w:color w:val="auto"/>
                <w:sz w:val="18"/>
                <w:szCs w:val="18"/>
                <w:highlight w:val="none"/>
              </w:rPr>
            </w:pPr>
          </w:p>
        </w:tc>
      </w:tr>
      <w:tr w14:paraId="372DE1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3" w:hRule="atLeast"/>
        </w:trPr>
        <w:tc>
          <w:tcPr>
            <w:tcW w:w="1434" w:type="dxa"/>
            <w:vMerge w:val="continue"/>
            <w:tcBorders>
              <w:top w:val="nil"/>
            </w:tcBorders>
            <w:vAlign w:val="center"/>
          </w:tcPr>
          <w:p w14:paraId="7148C685">
            <w:pPr>
              <w:bidi w:val="0"/>
              <w:rPr>
                <w:rFonts w:hint="eastAsia" w:ascii="仿宋" w:hAnsi="仿宋" w:eastAsia="仿宋" w:cs="仿宋"/>
                <w:color w:val="auto"/>
                <w:sz w:val="18"/>
                <w:szCs w:val="18"/>
                <w:highlight w:val="none"/>
              </w:rPr>
            </w:pPr>
          </w:p>
        </w:tc>
        <w:tc>
          <w:tcPr>
            <w:tcW w:w="904" w:type="dxa"/>
            <w:vAlign w:val="center"/>
          </w:tcPr>
          <w:p w14:paraId="5291EE01">
            <w:pPr>
              <w:bidi w:val="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安全生产</w:t>
            </w:r>
          </w:p>
        </w:tc>
        <w:tc>
          <w:tcPr>
            <w:tcW w:w="2954" w:type="dxa"/>
            <w:vAlign w:val="center"/>
          </w:tcPr>
          <w:p w14:paraId="53E74F97">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严格按照安全作业规范规程操作，设施设备日常管护和安全管理符合相关技术要求</w:t>
            </w:r>
          </w:p>
        </w:tc>
        <w:tc>
          <w:tcPr>
            <w:tcW w:w="2718" w:type="dxa"/>
            <w:vAlign w:val="center"/>
          </w:tcPr>
          <w:p w14:paraId="791B357A">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未按规范规程操作的，发现一次扣2分，造成重大损失和影响的,扣10分，并由此产生人身和财产等一切安全事故责任及赔偿问题均由乙方负责；甲方有权解除合同。</w:t>
            </w:r>
          </w:p>
        </w:tc>
        <w:tc>
          <w:tcPr>
            <w:tcW w:w="968" w:type="dxa"/>
            <w:vAlign w:val="center"/>
          </w:tcPr>
          <w:p w14:paraId="656C315E">
            <w:pPr>
              <w:bidi w:val="0"/>
              <w:rPr>
                <w:rFonts w:hint="eastAsia" w:ascii="仿宋" w:hAnsi="仿宋" w:eastAsia="仿宋" w:cs="仿宋"/>
                <w:color w:val="auto"/>
                <w:sz w:val="18"/>
                <w:szCs w:val="18"/>
                <w:highlight w:val="none"/>
              </w:rPr>
            </w:pPr>
          </w:p>
        </w:tc>
      </w:tr>
      <w:tr w14:paraId="4457FA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8978" w:type="dxa"/>
            <w:gridSpan w:val="5"/>
            <w:vAlign w:val="center"/>
          </w:tcPr>
          <w:p w14:paraId="30F1D936">
            <w:pPr>
              <w:bidi w:val="0"/>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eastAsia="zh-CN"/>
              </w:rPr>
              <w:t>注：项目实施过程中，采购人有权对上述考核标准进行适时调整。</w:t>
            </w:r>
          </w:p>
        </w:tc>
      </w:tr>
    </w:tbl>
    <w:p w14:paraId="23B4E2C0">
      <w:pPr>
        <w:widowControl/>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br w:type="page"/>
      </w:r>
    </w:p>
    <w:p w14:paraId="1F47D1A1">
      <w:pPr>
        <w:rPr>
          <w:rFonts w:ascii="仿宋" w:hAnsi="仿宋" w:eastAsia="仿宋" w:cs="仿宋"/>
          <w:color w:val="auto"/>
          <w:highlight w:val="none"/>
        </w:rPr>
      </w:pPr>
    </w:p>
    <w:p w14:paraId="04F6A7E0">
      <w:pPr>
        <w:pStyle w:val="2"/>
        <w:bidi w:val="0"/>
        <w:rPr>
          <w:rFonts w:hint="default"/>
          <w:color w:val="auto"/>
          <w:highlight w:val="none"/>
          <w:lang w:val="en-US" w:eastAsia="zh-CN"/>
        </w:rPr>
      </w:pPr>
      <w:r>
        <w:rPr>
          <w:rFonts w:hint="eastAsia"/>
          <w:color w:val="auto"/>
          <w:highlight w:val="none"/>
          <w:lang w:val="en-US" w:eastAsia="zh-CN"/>
        </w:rPr>
        <w:t>附件：改造需求统计表</w:t>
      </w:r>
    </w:p>
    <w:p w14:paraId="699DB733">
      <w:pPr>
        <w:spacing w:before="249" w:line="220" w:lineRule="auto"/>
        <w:jc w:val="center"/>
        <w:rPr>
          <w:rFonts w:ascii="宋体" w:hAnsi="宋体" w:eastAsia="宋体" w:cs="宋体"/>
          <w:color w:val="auto"/>
          <w:sz w:val="28"/>
          <w:szCs w:val="28"/>
          <w:highlight w:val="none"/>
        </w:rPr>
      </w:pPr>
      <w:r>
        <w:rPr>
          <w:rFonts w:hint="eastAsia" w:ascii="宋体" w:hAnsi="宋体" w:eastAsia="宋体" w:cs="宋体"/>
          <w:b/>
          <w:bCs/>
          <w:color w:val="auto"/>
          <w:spacing w:val="-3"/>
          <w:sz w:val="28"/>
          <w:szCs w:val="28"/>
          <w:highlight w:val="none"/>
          <w:lang w:val="en-US" w:eastAsia="zh-CN"/>
        </w:rPr>
        <w:t>改造需求</w:t>
      </w:r>
      <w:r>
        <w:rPr>
          <w:rFonts w:ascii="宋体" w:hAnsi="宋体" w:eastAsia="宋体" w:cs="宋体"/>
          <w:b/>
          <w:bCs/>
          <w:color w:val="auto"/>
          <w:spacing w:val="-3"/>
          <w:sz w:val="28"/>
          <w:szCs w:val="28"/>
          <w:highlight w:val="none"/>
        </w:rPr>
        <w:t>统计表</w:t>
      </w:r>
    </w:p>
    <w:p w14:paraId="08543E80">
      <w:pPr>
        <w:spacing w:line="98" w:lineRule="exact"/>
        <w:rPr>
          <w:color w:val="auto"/>
          <w:highlight w:val="none"/>
        </w:rPr>
      </w:pPr>
    </w:p>
    <w:tbl>
      <w:tblPr>
        <w:tblStyle w:val="17"/>
        <w:tblW w:w="911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30"/>
        <w:gridCol w:w="3300"/>
        <w:gridCol w:w="1583"/>
        <w:gridCol w:w="3200"/>
      </w:tblGrid>
      <w:tr w14:paraId="60B169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3" w:hRule="atLeast"/>
        </w:trPr>
        <w:tc>
          <w:tcPr>
            <w:tcW w:w="1030" w:type="dxa"/>
            <w:vAlign w:val="center"/>
          </w:tcPr>
          <w:p w14:paraId="7E99AE6A">
            <w:pPr>
              <w:pStyle w:val="18"/>
              <w:spacing w:before="65" w:line="229" w:lineRule="auto"/>
              <w:jc w:val="center"/>
              <w:rPr>
                <w:b/>
                <w:bCs/>
                <w:color w:val="auto"/>
                <w:sz w:val="24"/>
                <w:szCs w:val="24"/>
                <w:highlight w:val="none"/>
              </w:rPr>
            </w:pPr>
            <w:r>
              <w:rPr>
                <w:b/>
                <w:bCs/>
                <w:color w:val="auto"/>
                <w:spacing w:val="5"/>
                <w:sz w:val="24"/>
                <w:szCs w:val="24"/>
                <w:highlight w:val="none"/>
              </w:rPr>
              <w:t>序号</w:t>
            </w:r>
          </w:p>
        </w:tc>
        <w:tc>
          <w:tcPr>
            <w:tcW w:w="3300" w:type="dxa"/>
            <w:vAlign w:val="center"/>
          </w:tcPr>
          <w:p w14:paraId="6FE5CE08">
            <w:pPr>
              <w:pStyle w:val="18"/>
              <w:spacing w:before="65" w:line="228" w:lineRule="auto"/>
              <w:ind w:right="12"/>
              <w:jc w:val="center"/>
              <w:rPr>
                <w:b/>
                <w:bCs/>
                <w:color w:val="auto"/>
                <w:sz w:val="24"/>
                <w:szCs w:val="24"/>
                <w:highlight w:val="none"/>
              </w:rPr>
            </w:pPr>
            <w:r>
              <w:rPr>
                <w:rFonts w:hint="eastAsia"/>
                <w:b/>
                <w:bCs/>
                <w:color w:val="auto"/>
                <w:spacing w:val="-7"/>
                <w:sz w:val="24"/>
                <w:szCs w:val="24"/>
                <w:highlight w:val="none"/>
                <w:lang w:val="en-US" w:eastAsia="zh-CN"/>
              </w:rPr>
              <w:t>产品</w:t>
            </w:r>
            <w:r>
              <w:rPr>
                <w:b/>
                <w:bCs/>
                <w:color w:val="auto"/>
                <w:spacing w:val="-7"/>
                <w:sz w:val="24"/>
                <w:szCs w:val="24"/>
                <w:highlight w:val="none"/>
              </w:rPr>
              <w:t>名称（</w:t>
            </w:r>
            <w:r>
              <w:rPr>
                <w:rFonts w:hint="eastAsia"/>
                <w:b/>
                <w:bCs/>
                <w:color w:val="auto"/>
                <w:spacing w:val="-7"/>
                <w:sz w:val="24"/>
                <w:szCs w:val="24"/>
                <w:highlight w:val="none"/>
                <w:lang w:val="en-US" w:eastAsia="zh-CN"/>
              </w:rPr>
              <w:t>规格</w:t>
            </w:r>
            <w:r>
              <w:rPr>
                <w:b/>
                <w:bCs/>
                <w:color w:val="auto"/>
                <w:spacing w:val="-7"/>
                <w:sz w:val="24"/>
                <w:szCs w:val="24"/>
                <w:highlight w:val="none"/>
              </w:rPr>
              <w:t>型号）</w:t>
            </w:r>
          </w:p>
        </w:tc>
        <w:tc>
          <w:tcPr>
            <w:tcW w:w="1583" w:type="dxa"/>
            <w:vAlign w:val="center"/>
          </w:tcPr>
          <w:p w14:paraId="0A7397CE">
            <w:pPr>
              <w:pStyle w:val="18"/>
              <w:spacing w:before="196" w:line="258" w:lineRule="auto"/>
              <w:ind w:right="122"/>
              <w:jc w:val="center"/>
              <w:rPr>
                <w:b/>
                <w:bCs/>
                <w:color w:val="auto"/>
                <w:sz w:val="24"/>
                <w:szCs w:val="24"/>
                <w:highlight w:val="none"/>
              </w:rPr>
            </w:pPr>
            <w:r>
              <w:rPr>
                <w:b/>
                <w:bCs/>
                <w:color w:val="auto"/>
                <w:spacing w:val="5"/>
                <w:sz w:val="24"/>
                <w:szCs w:val="24"/>
                <w:highlight w:val="none"/>
              </w:rPr>
              <w:t>设备数</w:t>
            </w:r>
            <w:r>
              <w:rPr>
                <w:b/>
                <w:bCs/>
                <w:color w:val="auto"/>
                <w:sz w:val="24"/>
                <w:szCs w:val="24"/>
                <w:highlight w:val="none"/>
              </w:rPr>
              <w:t>量</w:t>
            </w:r>
          </w:p>
        </w:tc>
        <w:tc>
          <w:tcPr>
            <w:tcW w:w="3200" w:type="dxa"/>
            <w:vAlign w:val="center"/>
          </w:tcPr>
          <w:p w14:paraId="0F0BEBB7">
            <w:pPr>
              <w:pStyle w:val="18"/>
              <w:spacing w:before="65" w:line="229" w:lineRule="auto"/>
              <w:jc w:val="center"/>
              <w:rPr>
                <w:b/>
                <w:bCs/>
                <w:color w:val="auto"/>
                <w:sz w:val="24"/>
                <w:szCs w:val="24"/>
                <w:highlight w:val="none"/>
              </w:rPr>
            </w:pPr>
            <w:r>
              <w:rPr>
                <w:b/>
                <w:bCs/>
                <w:color w:val="auto"/>
                <w:spacing w:val="3"/>
                <w:sz w:val="24"/>
                <w:szCs w:val="24"/>
                <w:highlight w:val="none"/>
              </w:rPr>
              <w:t>备注</w:t>
            </w:r>
          </w:p>
        </w:tc>
      </w:tr>
      <w:tr w14:paraId="76CBA3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3" w:hRule="atLeast"/>
        </w:trPr>
        <w:tc>
          <w:tcPr>
            <w:tcW w:w="1030" w:type="dxa"/>
            <w:vAlign w:val="center"/>
          </w:tcPr>
          <w:p w14:paraId="5E3CCBC5">
            <w:pPr>
              <w:pStyle w:val="18"/>
              <w:spacing w:before="65" w:line="229" w:lineRule="auto"/>
              <w:jc w:val="center"/>
              <w:rPr>
                <w:rFonts w:hint="eastAsia" w:ascii="仿宋" w:hAnsi="仿宋" w:eastAsia="仿宋" w:cs="仿宋"/>
                <w:b w:val="0"/>
                <w:bCs w:val="0"/>
                <w:color w:val="auto"/>
                <w:spacing w:val="5"/>
                <w:sz w:val="24"/>
                <w:szCs w:val="24"/>
                <w:highlight w:val="none"/>
                <w:lang w:val="en-US" w:eastAsia="zh-CN"/>
              </w:rPr>
            </w:pPr>
            <w:r>
              <w:rPr>
                <w:rFonts w:hint="eastAsia" w:ascii="仿宋" w:hAnsi="仿宋" w:eastAsia="仿宋" w:cs="仿宋"/>
                <w:b w:val="0"/>
                <w:bCs w:val="0"/>
                <w:color w:val="auto"/>
                <w:spacing w:val="5"/>
                <w:sz w:val="24"/>
                <w:szCs w:val="24"/>
                <w:highlight w:val="none"/>
                <w:lang w:val="en-US" w:eastAsia="zh-CN"/>
              </w:rPr>
              <w:t>1</w:t>
            </w:r>
          </w:p>
        </w:tc>
        <w:tc>
          <w:tcPr>
            <w:tcW w:w="3300" w:type="dxa"/>
            <w:vAlign w:val="center"/>
          </w:tcPr>
          <w:p w14:paraId="151F663D">
            <w:pPr>
              <w:pStyle w:val="18"/>
              <w:spacing w:before="65" w:line="228" w:lineRule="auto"/>
              <w:ind w:right="12"/>
              <w:jc w:val="center"/>
              <w:rPr>
                <w:rFonts w:hint="eastAsia" w:ascii="仿宋" w:hAnsi="仿宋" w:eastAsia="仿宋" w:cs="仿宋"/>
                <w:b w:val="0"/>
                <w:bCs w:val="0"/>
                <w:color w:val="auto"/>
                <w:spacing w:val="-7"/>
                <w:sz w:val="24"/>
                <w:szCs w:val="24"/>
                <w:highlight w:val="none"/>
                <w:lang w:val="en-US" w:eastAsia="zh-CN"/>
              </w:rPr>
            </w:pPr>
            <w:r>
              <w:rPr>
                <w:rFonts w:hint="eastAsia" w:ascii="仿宋" w:hAnsi="仿宋" w:eastAsia="仿宋" w:cs="仿宋"/>
                <w:b w:val="0"/>
                <w:bCs w:val="0"/>
                <w:color w:val="auto"/>
                <w:spacing w:val="-7"/>
                <w:sz w:val="24"/>
                <w:szCs w:val="24"/>
                <w:highlight w:val="none"/>
                <w:lang w:val="en-US" w:eastAsia="zh-CN"/>
              </w:rPr>
              <w:t>LED灯具</w:t>
            </w:r>
          </w:p>
        </w:tc>
        <w:tc>
          <w:tcPr>
            <w:tcW w:w="1583" w:type="dxa"/>
            <w:vAlign w:val="center"/>
          </w:tcPr>
          <w:p w14:paraId="0E03F0AA">
            <w:pPr>
              <w:pStyle w:val="18"/>
              <w:spacing w:before="196" w:line="258" w:lineRule="auto"/>
              <w:ind w:right="122"/>
              <w:jc w:val="center"/>
              <w:rPr>
                <w:rFonts w:hint="eastAsia" w:ascii="仿宋" w:hAnsi="仿宋" w:eastAsia="仿宋" w:cs="仿宋"/>
                <w:b w:val="0"/>
                <w:bCs w:val="0"/>
                <w:color w:val="auto"/>
                <w:spacing w:val="5"/>
                <w:sz w:val="24"/>
                <w:szCs w:val="24"/>
                <w:highlight w:val="none"/>
                <w:lang w:val="en-US" w:eastAsia="zh-CN"/>
              </w:rPr>
            </w:pPr>
            <w:r>
              <w:rPr>
                <w:rFonts w:hint="eastAsia" w:ascii="仿宋" w:hAnsi="仿宋" w:eastAsia="仿宋" w:cs="仿宋"/>
                <w:b w:val="0"/>
                <w:bCs w:val="0"/>
                <w:color w:val="auto"/>
                <w:spacing w:val="5"/>
                <w:sz w:val="24"/>
                <w:szCs w:val="24"/>
                <w:highlight w:val="none"/>
                <w:lang w:val="en-US" w:eastAsia="zh-CN"/>
              </w:rPr>
              <w:t>22326</w:t>
            </w:r>
          </w:p>
        </w:tc>
        <w:tc>
          <w:tcPr>
            <w:tcW w:w="3200" w:type="dxa"/>
            <w:vAlign w:val="center"/>
          </w:tcPr>
          <w:p w14:paraId="5806E332">
            <w:pPr>
              <w:pStyle w:val="18"/>
              <w:spacing w:before="65" w:line="229" w:lineRule="auto"/>
              <w:jc w:val="left"/>
              <w:rPr>
                <w:rFonts w:hint="eastAsia" w:ascii="仿宋" w:hAnsi="仿宋" w:eastAsia="仿宋" w:cs="仿宋"/>
                <w:b/>
                <w:bCs/>
                <w:color w:val="auto"/>
                <w:spacing w:val="3"/>
                <w:sz w:val="24"/>
                <w:szCs w:val="24"/>
                <w:highlight w:val="none"/>
              </w:rPr>
            </w:pPr>
            <w:r>
              <w:rPr>
                <w:rFonts w:hint="eastAsia" w:ascii="仿宋" w:hAnsi="仿宋" w:eastAsia="仿宋" w:cs="仿宋"/>
                <w:color w:val="auto"/>
                <w:spacing w:val="7"/>
                <w:sz w:val="24"/>
                <w:szCs w:val="24"/>
                <w:highlight w:val="none"/>
              </w:rPr>
              <w:t>具体功能要</w:t>
            </w:r>
            <w:r>
              <w:rPr>
                <w:rFonts w:hint="eastAsia" w:ascii="仿宋" w:hAnsi="仿宋" w:eastAsia="仿宋" w:cs="仿宋"/>
                <w:color w:val="auto"/>
                <w:spacing w:val="6"/>
                <w:sz w:val="24"/>
                <w:szCs w:val="24"/>
                <w:highlight w:val="none"/>
              </w:rPr>
              <w:t>求及技术参数见</w:t>
            </w:r>
            <w:r>
              <w:rPr>
                <w:rFonts w:hint="eastAsia" w:ascii="仿宋" w:hAnsi="仿宋" w:eastAsia="仿宋" w:cs="仿宋"/>
                <w:color w:val="auto"/>
                <w:spacing w:val="6"/>
                <w:sz w:val="24"/>
                <w:szCs w:val="24"/>
                <w:highlight w:val="none"/>
                <w:lang w:val="en-US" w:eastAsia="zh-CN"/>
              </w:rPr>
              <w:t>招标需求</w:t>
            </w:r>
          </w:p>
        </w:tc>
      </w:tr>
      <w:tr w14:paraId="05C283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 w:hRule="atLeast"/>
        </w:trPr>
        <w:tc>
          <w:tcPr>
            <w:tcW w:w="1030" w:type="dxa"/>
            <w:vAlign w:val="center"/>
          </w:tcPr>
          <w:p w14:paraId="2F555037">
            <w:pPr>
              <w:pStyle w:val="18"/>
              <w:spacing w:before="65" w:line="19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val="en-US" w:eastAsia="zh-CN"/>
              </w:rPr>
              <w:t>2</w:t>
            </w:r>
          </w:p>
        </w:tc>
        <w:tc>
          <w:tcPr>
            <w:tcW w:w="3300" w:type="dxa"/>
            <w:vAlign w:val="center"/>
          </w:tcPr>
          <w:p w14:paraId="508296C9">
            <w:pPr>
              <w:pStyle w:val="18"/>
              <w:spacing w:before="65" w:line="228"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CAT</w:t>
            </w:r>
            <w:r>
              <w:rPr>
                <w:rFonts w:hint="eastAsia" w:ascii="仿宋" w:hAnsi="仿宋" w:eastAsia="仿宋" w:cs="仿宋"/>
                <w:color w:val="auto"/>
                <w:spacing w:val="8"/>
                <w:sz w:val="24"/>
                <w:szCs w:val="24"/>
                <w:highlight w:val="none"/>
              </w:rPr>
              <w:t>.1单灯控制器</w:t>
            </w:r>
          </w:p>
        </w:tc>
        <w:tc>
          <w:tcPr>
            <w:tcW w:w="1583" w:type="dxa"/>
            <w:vAlign w:val="center"/>
          </w:tcPr>
          <w:p w14:paraId="14641F4D">
            <w:pPr>
              <w:pStyle w:val="18"/>
              <w:spacing w:before="65" w:line="19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pacing w:val="2"/>
                <w:sz w:val="24"/>
                <w:szCs w:val="24"/>
                <w:highlight w:val="none"/>
                <w:lang w:val="en-US" w:eastAsia="zh-CN"/>
              </w:rPr>
              <w:t>22326</w:t>
            </w:r>
          </w:p>
        </w:tc>
        <w:tc>
          <w:tcPr>
            <w:tcW w:w="3200" w:type="dxa"/>
            <w:vAlign w:val="center"/>
          </w:tcPr>
          <w:p w14:paraId="23CC97C3">
            <w:pPr>
              <w:pStyle w:val="18"/>
              <w:spacing w:before="44" w:line="229" w:lineRule="auto"/>
              <w:jc w:val="both"/>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具体功能要</w:t>
            </w:r>
            <w:r>
              <w:rPr>
                <w:rFonts w:hint="eastAsia" w:ascii="仿宋" w:hAnsi="仿宋" w:eastAsia="仿宋" w:cs="仿宋"/>
                <w:color w:val="auto"/>
                <w:spacing w:val="6"/>
                <w:sz w:val="24"/>
                <w:szCs w:val="24"/>
                <w:highlight w:val="none"/>
              </w:rPr>
              <w:t>求及技术参数见</w:t>
            </w:r>
            <w:r>
              <w:rPr>
                <w:rFonts w:hint="eastAsia" w:ascii="仿宋" w:hAnsi="仿宋" w:eastAsia="仿宋" w:cs="仿宋"/>
                <w:color w:val="auto"/>
                <w:spacing w:val="6"/>
                <w:sz w:val="24"/>
                <w:szCs w:val="24"/>
                <w:highlight w:val="none"/>
                <w:lang w:val="en-US" w:eastAsia="zh-CN"/>
              </w:rPr>
              <w:t>招标需求</w:t>
            </w:r>
          </w:p>
        </w:tc>
      </w:tr>
      <w:tr w14:paraId="1711B8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7" w:hRule="atLeast"/>
        </w:trPr>
        <w:tc>
          <w:tcPr>
            <w:tcW w:w="1030" w:type="dxa"/>
            <w:vAlign w:val="center"/>
          </w:tcPr>
          <w:p w14:paraId="4E466EBA">
            <w:pPr>
              <w:pStyle w:val="18"/>
              <w:spacing w:before="65" w:line="189"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val="en-US" w:eastAsia="zh-CN"/>
              </w:rPr>
              <w:t>3</w:t>
            </w:r>
          </w:p>
        </w:tc>
        <w:tc>
          <w:tcPr>
            <w:tcW w:w="3300" w:type="dxa"/>
            <w:vAlign w:val="center"/>
          </w:tcPr>
          <w:p w14:paraId="739E077A">
            <w:pPr>
              <w:pStyle w:val="18"/>
              <w:spacing w:before="65" w:line="228" w:lineRule="auto"/>
              <w:jc w:val="center"/>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集中控制器</w:t>
            </w:r>
          </w:p>
        </w:tc>
        <w:tc>
          <w:tcPr>
            <w:tcW w:w="1583" w:type="dxa"/>
            <w:vAlign w:val="center"/>
          </w:tcPr>
          <w:p w14:paraId="77BEE7DA">
            <w:pPr>
              <w:pStyle w:val="18"/>
              <w:spacing w:before="65" w:line="189" w:lineRule="auto"/>
              <w:jc w:val="center"/>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227</w:t>
            </w:r>
          </w:p>
        </w:tc>
        <w:tc>
          <w:tcPr>
            <w:tcW w:w="3200" w:type="dxa"/>
            <w:vAlign w:val="center"/>
          </w:tcPr>
          <w:p w14:paraId="559E90F8">
            <w:pPr>
              <w:pStyle w:val="18"/>
              <w:spacing w:before="43" w:line="229" w:lineRule="auto"/>
              <w:jc w:val="both"/>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具体功能要</w:t>
            </w:r>
            <w:r>
              <w:rPr>
                <w:rFonts w:hint="eastAsia" w:ascii="仿宋" w:hAnsi="仿宋" w:eastAsia="仿宋" w:cs="仿宋"/>
                <w:color w:val="auto"/>
                <w:spacing w:val="6"/>
                <w:sz w:val="24"/>
                <w:szCs w:val="24"/>
                <w:highlight w:val="none"/>
              </w:rPr>
              <w:t>求及技术参数见</w:t>
            </w:r>
            <w:r>
              <w:rPr>
                <w:rFonts w:hint="eastAsia" w:ascii="仿宋" w:hAnsi="仿宋" w:eastAsia="仿宋" w:cs="仿宋"/>
                <w:color w:val="auto"/>
                <w:spacing w:val="6"/>
                <w:sz w:val="24"/>
                <w:szCs w:val="24"/>
                <w:highlight w:val="none"/>
                <w:lang w:val="en-US" w:eastAsia="zh-CN"/>
              </w:rPr>
              <w:t>招标需求</w:t>
            </w:r>
          </w:p>
        </w:tc>
      </w:tr>
      <w:tr w14:paraId="05E811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1030" w:type="dxa"/>
            <w:vAlign w:val="center"/>
          </w:tcPr>
          <w:p w14:paraId="0F62C2B2">
            <w:pPr>
              <w:pStyle w:val="18"/>
              <w:spacing w:before="65" w:line="189"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val="en-US" w:eastAsia="zh-CN"/>
              </w:rPr>
              <w:t>4</w:t>
            </w:r>
          </w:p>
        </w:tc>
        <w:tc>
          <w:tcPr>
            <w:tcW w:w="3300" w:type="dxa"/>
            <w:vAlign w:val="center"/>
          </w:tcPr>
          <w:p w14:paraId="207DC21E">
            <w:pPr>
              <w:pStyle w:val="18"/>
              <w:spacing w:before="65" w:line="254" w:lineRule="auto"/>
              <w:ind w:right="123" w:right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智慧路灯照明管理系统</w:t>
            </w:r>
          </w:p>
        </w:tc>
        <w:tc>
          <w:tcPr>
            <w:tcW w:w="1583" w:type="dxa"/>
            <w:vAlign w:val="center"/>
          </w:tcPr>
          <w:p w14:paraId="62BFA755">
            <w:pPr>
              <w:pStyle w:val="18"/>
              <w:spacing w:before="65" w:line="189"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3200" w:type="dxa"/>
            <w:vAlign w:val="center"/>
          </w:tcPr>
          <w:p w14:paraId="48991D2B">
            <w:pPr>
              <w:pStyle w:val="18"/>
              <w:spacing w:before="46" w:line="258" w:lineRule="auto"/>
              <w:ind w:right="115"/>
              <w:jc w:val="both"/>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系统具体功能见</w:t>
            </w:r>
            <w:r>
              <w:rPr>
                <w:rFonts w:hint="eastAsia" w:ascii="仿宋" w:hAnsi="仿宋" w:eastAsia="仿宋" w:cs="仿宋"/>
                <w:color w:val="auto"/>
                <w:spacing w:val="7"/>
                <w:sz w:val="24"/>
                <w:szCs w:val="24"/>
                <w:highlight w:val="none"/>
                <w:lang w:val="en-US" w:eastAsia="zh-CN"/>
              </w:rPr>
              <w:t>招标需求</w:t>
            </w:r>
          </w:p>
        </w:tc>
      </w:tr>
      <w:tr w14:paraId="3908EB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1030" w:type="dxa"/>
            <w:vAlign w:val="center"/>
          </w:tcPr>
          <w:p w14:paraId="2D4B93C6">
            <w:pPr>
              <w:pStyle w:val="18"/>
              <w:spacing w:before="65" w:line="189" w:lineRule="auto"/>
              <w:jc w:val="center"/>
              <w:rPr>
                <w:rFonts w:hint="eastAsia" w:ascii="仿宋" w:hAnsi="仿宋" w:eastAsia="仿宋" w:cs="仿宋"/>
                <w:color w:val="auto"/>
                <w:spacing w:val="-7"/>
                <w:sz w:val="24"/>
                <w:szCs w:val="24"/>
                <w:highlight w:val="none"/>
                <w:lang w:val="en-US" w:eastAsia="zh-CN"/>
              </w:rPr>
            </w:pPr>
            <w:r>
              <w:rPr>
                <w:rFonts w:hint="eastAsia" w:ascii="仿宋" w:hAnsi="仿宋" w:eastAsia="仿宋" w:cs="仿宋"/>
                <w:color w:val="auto"/>
                <w:spacing w:val="-7"/>
                <w:sz w:val="24"/>
                <w:szCs w:val="24"/>
                <w:highlight w:val="none"/>
                <w:lang w:val="en-US" w:eastAsia="zh-CN"/>
              </w:rPr>
              <w:t>5</w:t>
            </w:r>
          </w:p>
        </w:tc>
        <w:tc>
          <w:tcPr>
            <w:tcW w:w="3300" w:type="dxa"/>
            <w:vAlign w:val="center"/>
          </w:tcPr>
          <w:p w14:paraId="44A3D09B">
            <w:pPr>
              <w:pStyle w:val="18"/>
              <w:spacing w:before="65" w:line="254" w:lineRule="auto"/>
              <w:ind w:right="123" w:right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智慧灯杆（多功能灯杆）</w:t>
            </w:r>
          </w:p>
        </w:tc>
        <w:tc>
          <w:tcPr>
            <w:tcW w:w="1583" w:type="dxa"/>
            <w:vAlign w:val="center"/>
          </w:tcPr>
          <w:p w14:paraId="2C8C5187">
            <w:pPr>
              <w:pStyle w:val="18"/>
              <w:spacing w:before="65" w:line="189"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3200" w:type="dxa"/>
            <w:vAlign w:val="center"/>
          </w:tcPr>
          <w:p w14:paraId="1CE7BDF9">
            <w:pPr>
              <w:pStyle w:val="18"/>
              <w:spacing w:before="46" w:line="258" w:lineRule="auto"/>
              <w:ind w:right="115"/>
              <w:jc w:val="both"/>
              <w:rPr>
                <w:rFonts w:hint="eastAsia" w:ascii="仿宋" w:hAnsi="仿宋" w:eastAsia="仿宋" w:cs="仿宋"/>
                <w:color w:val="auto"/>
                <w:spacing w:val="7"/>
                <w:sz w:val="24"/>
                <w:szCs w:val="24"/>
                <w:highlight w:val="none"/>
                <w:lang w:val="en-US" w:eastAsia="zh-CN"/>
              </w:rPr>
            </w:pPr>
            <w:r>
              <w:rPr>
                <w:rFonts w:hint="eastAsia" w:ascii="仿宋" w:hAnsi="仿宋" w:eastAsia="仿宋" w:cs="仿宋"/>
                <w:color w:val="auto"/>
                <w:spacing w:val="7"/>
                <w:sz w:val="24"/>
                <w:szCs w:val="24"/>
                <w:highlight w:val="none"/>
                <w:lang w:val="en-US" w:eastAsia="zh-CN"/>
              </w:rPr>
              <w:t>采购人指定地点安装，须接入智慧路灯照明管理系统统一管理，中标后按采购人的要求实施</w:t>
            </w:r>
          </w:p>
        </w:tc>
      </w:tr>
      <w:tr w14:paraId="7BAE18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trPr>
        <w:tc>
          <w:tcPr>
            <w:tcW w:w="1030" w:type="dxa"/>
            <w:vAlign w:val="center"/>
          </w:tcPr>
          <w:p w14:paraId="30EBFBAB">
            <w:pPr>
              <w:pStyle w:val="18"/>
              <w:spacing w:before="65" w:line="189" w:lineRule="auto"/>
              <w:jc w:val="center"/>
              <w:rPr>
                <w:rFonts w:hint="eastAsia" w:ascii="仿宋" w:hAnsi="仿宋" w:eastAsia="仿宋" w:cs="仿宋"/>
                <w:color w:val="auto"/>
                <w:spacing w:val="-7"/>
                <w:sz w:val="24"/>
                <w:szCs w:val="24"/>
                <w:highlight w:val="none"/>
                <w:lang w:val="en-US" w:eastAsia="zh-CN"/>
              </w:rPr>
            </w:pPr>
            <w:r>
              <w:rPr>
                <w:rFonts w:hint="eastAsia" w:ascii="仿宋" w:hAnsi="仿宋" w:eastAsia="仿宋" w:cs="仿宋"/>
                <w:color w:val="auto"/>
                <w:spacing w:val="-7"/>
                <w:sz w:val="24"/>
                <w:szCs w:val="24"/>
                <w:highlight w:val="none"/>
                <w:lang w:val="en-US" w:eastAsia="zh-CN"/>
              </w:rPr>
              <w:t>6</w:t>
            </w:r>
          </w:p>
        </w:tc>
        <w:tc>
          <w:tcPr>
            <w:tcW w:w="3300" w:type="dxa"/>
            <w:vAlign w:val="center"/>
          </w:tcPr>
          <w:p w14:paraId="3717E3FD">
            <w:pPr>
              <w:pStyle w:val="18"/>
              <w:spacing w:before="65" w:line="254" w:lineRule="auto"/>
              <w:ind w:right="123" w:right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无人机</w:t>
            </w:r>
          </w:p>
        </w:tc>
        <w:tc>
          <w:tcPr>
            <w:tcW w:w="1583" w:type="dxa"/>
            <w:vAlign w:val="center"/>
          </w:tcPr>
          <w:p w14:paraId="3C19B134">
            <w:pPr>
              <w:pStyle w:val="18"/>
              <w:spacing w:before="65" w:line="189"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3200" w:type="dxa"/>
            <w:vAlign w:val="center"/>
          </w:tcPr>
          <w:p w14:paraId="66EDF045">
            <w:pPr>
              <w:pStyle w:val="18"/>
              <w:spacing w:before="46" w:line="258" w:lineRule="auto"/>
              <w:ind w:right="115"/>
              <w:jc w:val="both"/>
              <w:rPr>
                <w:rFonts w:hint="eastAsia" w:ascii="仿宋" w:hAnsi="仿宋" w:eastAsia="仿宋" w:cs="仿宋"/>
                <w:color w:val="auto"/>
                <w:spacing w:val="7"/>
                <w:sz w:val="24"/>
                <w:szCs w:val="24"/>
                <w:highlight w:val="none"/>
                <w:lang w:val="en-US" w:eastAsia="zh-CN"/>
              </w:rPr>
            </w:pPr>
            <w:r>
              <w:rPr>
                <w:rFonts w:hint="eastAsia" w:ascii="仿宋" w:hAnsi="仿宋" w:eastAsia="仿宋" w:cs="仿宋"/>
                <w:color w:val="auto"/>
                <w:spacing w:val="7"/>
                <w:sz w:val="24"/>
                <w:szCs w:val="24"/>
                <w:highlight w:val="none"/>
                <w:lang w:val="en-US" w:eastAsia="zh-CN"/>
              </w:rPr>
              <w:t>中标后按采购人的要求实施</w:t>
            </w:r>
          </w:p>
        </w:tc>
      </w:tr>
      <w:tr w14:paraId="0EB210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1030" w:type="dxa"/>
            <w:vAlign w:val="center"/>
          </w:tcPr>
          <w:p w14:paraId="2F70D5B1">
            <w:pPr>
              <w:pStyle w:val="18"/>
              <w:spacing w:before="223" w:line="19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val="en-US" w:eastAsia="zh-CN"/>
              </w:rPr>
              <w:t>7</w:t>
            </w:r>
          </w:p>
        </w:tc>
        <w:tc>
          <w:tcPr>
            <w:tcW w:w="3300" w:type="dxa"/>
            <w:vAlign w:val="center"/>
          </w:tcPr>
          <w:p w14:paraId="30424E96">
            <w:pPr>
              <w:pStyle w:val="18"/>
              <w:spacing w:before="192" w:line="226" w:lineRule="auto"/>
              <w:ind w:left="431"/>
              <w:jc w:val="both"/>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电缆</w:t>
            </w:r>
            <w:r>
              <w:rPr>
                <w:rFonts w:hint="eastAsia" w:ascii="仿宋" w:hAnsi="仿宋" w:eastAsia="仿宋" w:cs="仿宋"/>
                <w:color w:val="auto"/>
                <w:spacing w:val="-35"/>
                <w:sz w:val="24"/>
                <w:szCs w:val="24"/>
                <w:highlight w:val="none"/>
              </w:rPr>
              <w:t xml:space="preserve"> </w:t>
            </w:r>
            <w:r>
              <w:rPr>
                <w:rFonts w:hint="eastAsia" w:ascii="仿宋" w:hAnsi="仿宋" w:eastAsia="仿宋" w:cs="仿宋"/>
                <w:color w:val="auto"/>
                <w:sz w:val="24"/>
                <w:szCs w:val="24"/>
                <w:highlight w:val="none"/>
              </w:rPr>
              <w:t>YJV</w:t>
            </w:r>
            <w:r>
              <w:rPr>
                <w:rFonts w:hint="eastAsia" w:ascii="仿宋" w:hAnsi="仿宋" w:eastAsia="仿宋" w:cs="仿宋"/>
                <w:color w:val="auto"/>
                <w:spacing w:val="3"/>
                <w:sz w:val="24"/>
                <w:szCs w:val="24"/>
                <w:highlight w:val="none"/>
              </w:rPr>
              <w:t>-0.6/14*10</w:t>
            </w:r>
          </w:p>
        </w:tc>
        <w:tc>
          <w:tcPr>
            <w:tcW w:w="1583" w:type="dxa"/>
            <w:vAlign w:val="center"/>
          </w:tcPr>
          <w:p w14:paraId="741F4A84">
            <w:pPr>
              <w:pStyle w:val="18"/>
              <w:spacing w:before="192" w:line="268" w:lineRule="exact"/>
              <w:ind w:left="200"/>
              <w:jc w:val="center"/>
              <w:rPr>
                <w:rFonts w:hint="eastAsia" w:ascii="仿宋" w:hAnsi="仿宋" w:eastAsia="仿宋" w:cs="仿宋"/>
                <w:color w:val="auto"/>
                <w:sz w:val="24"/>
                <w:szCs w:val="24"/>
                <w:highlight w:val="none"/>
              </w:rPr>
            </w:pPr>
            <w:r>
              <w:rPr>
                <w:rFonts w:hint="eastAsia" w:ascii="仿宋" w:hAnsi="仿宋" w:eastAsia="仿宋" w:cs="仿宋"/>
                <w:color w:val="auto"/>
                <w:position w:val="1"/>
                <w:sz w:val="24"/>
                <w:szCs w:val="24"/>
                <w:highlight w:val="none"/>
              </w:rPr>
              <w:t>1200m</w:t>
            </w:r>
          </w:p>
        </w:tc>
        <w:tc>
          <w:tcPr>
            <w:tcW w:w="3200" w:type="dxa"/>
            <w:vMerge w:val="restart"/>
            <w:tcBorders>
              <w:bottom w:val="nil"/>
            </w:tcBorders>
            <w:vAlign w:val="center"/>
          </w:tcPr>
          <w:p w14:paraId="42097819">
            <w:pPr>
              <w:pStyle w:val="18"/>
              <w:spacing w:before="65" w:line="228"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pacing w:val="7"/>
                <w:sz w:val="24"/>
                <w:szCs w:val="24"/>
                <w:highlight w:val="none"/>
              </w:rPr>
              <w:t>老化电缆更换，</w:t>
            </w:r>
            <w:r>
              <w:rPr>
                <w:rFonts w:hint="eastAsia" w:ascii="仿宋" w:hAnsi="仿宋" w:eastAsia="仿宋" w:cs="仿宋"/>
                <w:color w:val="auto"/>
                <w:spacing w:val="4"/>
                <w:sz w:val="24"/>
                <w:szCs w:val="24"/>
                <w:highlight w:val="none"/>
              </w:rPr>
              <w:t>电缆指标</w:t>
            </w:r>
            <w:r>
              <w:rPr>
                <w:rFonts w:hint="eastAsia" w:ascii="仿宋" w:hAnsi="仿宋" w:eastAsia="仿宋" w:cs="仿宋"/>
                <w:color w:val="auto"/>
                <w:spacing w:val="2"/>
                <w:sz w:val="24"/>
                <w:szCs w:val="24"/>
                <w:highlight w:val="none"/>
                <w:lang w:val="en-US" w:eastAsia="zh-CN"/>
              </w:rPr>
              <w:t>按国标执行</w:t>
            </w:r>
          </w:p>
        </w:tc>
      </w:tr>
      <w:tr w14:paraId="286FB1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1030" w:type="dxa"/>
            <w:vAlign w:val="center"/>
          </w:tcPr>
          <w:p w14:paraId="2FF46135">
            <w:pPr>
              <w:pStyle w:val="18"/>
              <w:spacing w:before="222" w:line="189"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val="en-US" w:eastAsia="zh-CN"/>
              </w:rPr>
              <w:t>8</w:t>
            </w:r>
          </w:p>
        </w:tc>
        <w:tc>
          <w:tcPr>
            <w:tcW w:w="3300" w:type="dxa"/>
            <w:vAlign w:val="center"/>
          </w:tcPr>
          <w:p w14:paraId="3CE95D4E">
            <w:pPr>
              <w:pStyle w:val="18"/>
              <w:spacing w:before="189" w:line="226" w:lineRule="auto"/>
              <w:ind w:left="431"/>
              <w:jc w:val="both"/>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电缆</w:t>
            </w:r>
            <w:r>
              <w:rPr>
                <w:rFonts w:hint="eastAsia" w:ascii="仿宋" w:hAnsi="仿宋" w:eastAsia="仿宋" w:cs="仿宋"/>
                <w:color w:val="auto"/>
                <w:spacing w:val="-35"/>
                <w:sz w:val="24"/>
                <w:szCs w:val="24"/>
                <w:highlight w:val="none"/>
              </w:rPr>
              <w:t xml:space="preserve"> </w:t>
            </w:r>
            <w:r>
              <w:rPr>
                <w:rFonts w:hint="eastAsia" w:ascii="仿宋" w:hAnsi="仿宋" w:eastAsia="仿宋" w:cs="仿宋"/>
                <w:color w:val="auto"/>
                <w:sz w:val="24"/>
                <w:szCs w:val="24"/>
                <w:highlight w:val="none"/>
              </w:rPr>
              <w:t>YJV</w:t>
            </w:r>
            <w:r>
              <w:rPr>
                <w:rFonts w:hint="eastAsia" w:ascii="仿宋" w:hAnsi="仿宋" w:eastAsia="仿宋" w:cs="仿宋"/>
                <w:color w:val="auto"/>
                <w:spacing w:val="3"/>
                <w:sz w:val="24"/>
                <w:szCs w:val="24"/>
                <w:highlight w:val="none"/>
              </w:rPr>
              <w:t>-0.6/15*10</w:t>
            </w:r>
          </w:p>
        </w:tc>
        <w:tc>
          <w:tcPr>
            <w:tcW w:w="1583" w:type="dxa"/>
            <w:vAlign w:val="center"/>
          </w:tcPr>
          <w:p w14:paraId="0A4B6659">
            <w:pPr>
              <w:pStyle w:val="18"/>
              <w:spacing w:before="189" w:line="268" w:lineRule="exact"/>
              <w:ind w:left="200"/>
              <w:jc w:val="center"/>
              <w:rPr>
                <w:rFonts w:hint="eastAsia" w:ascii="仿宋" w:hAnsi="仿宋" w:eastAsia="仿宋" w:cs="仿宋"/>
                <w:color w:val="auto"/>
                <w:sz w:val="24"/>
                <w:szCs w:val="24"/>
                <w:highlight w:val="none"/>
              </w:rPr>
            </w:pPr>
            <w:r>
              <w:rPr>
                <w:rFonts w:hint="eastAsia" w:ascii="仿宋" w:hAnsi="仿宋" w:eastAsia="仿宋" w:cs="仿宋"/>
                <w:color w:val="auto"/>
                <w:position w:val="1"/>
                <w:sz w:val="24"/>
                <w:szCs w:val="24"/>
                <w:highlight w:val="none"/>
              </w:rPr>
              <w:t>1800m</w:t>
            </w:r>
          </w:p>
        </w:tc>
        <w:tc>
          <w:tcPr>
            <w:tcW w:w="3200" w:type="dxa"/>
            <w:vMerge w:val="continue"/>
            <w:tcBorders>
              <w:top w:val="nil"/>
              <w:bottom w:val="nil"/>
            </w:tcBorders>
            <w:vAlign w:val="center"/>
          </w:tcPr>
          <w:p w14:paraId="45DC74D5">
            <w:pPr>
              <w:jc w:val="center"/>
              <w:rPr>
                <w:rFonts w:hint="eastAsia" w:ascii="仿宋" w:hAnsi="仿宋" w:eastAsia="仿宋" w:cs="仿宋"/>
                <w:color w:val="auto"/>
                <w:sz w:val="24"/>
                <w:szCs w:val="24"/>
                <w:highlight w:val="none"/>
              </w:rPr>
            </w:pPr>
          </w:p>
        </w:tc>
      </w:tr>
      <w:tr w14:paraId="1D2154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1030" w:type="dxa"/>
            <w:vAlign w:val="center"/>
          </w:tcPr>
          <w:p w14:paraId="570DA5D5">
            <w:pPr>
              <w:pStyle w:val="18"/>
              <w:spacing w:before="220" w:line="19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8"/>
                <w:sz w:val="24"/>
                <w:szCs w:val="24"/>
                <w:highlight w:val="none"/>
                <w:lang w:val="en-US" w:eastAsia="zh-CN"/>
              </w:rPr>
              <w:t>9</w:t>
            </w:r>
          </w:p>
        </w:tc>
        <w:tc>
          <w:tcPr>
            <w:tcW w:w="3300" w:type="dxa"/>
            <w:vAlign w:val="center"/>
          </w:tcPr>
          <w:p w14:paraId="6820759A">
            <w:pPr>
              <w:pStyle w:val="18"/>
              <w:spacing w:before="189" w:line="226" w:lineRule="auto"/>
              <w:ind w:left="431"/>
              <w:jc w:val="both"/>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电缆</w:t>
            </w:r>
            <w:r>
              <w:rPr>
                <w:rFonts w:hint="eastAsia" w:ascii="仿宋" w:hAnsi="仿宋" w:eastAsia="仿宋" w:cs="仿宋"/>
                <w:color w:val="auto"/>
                <w:spacing w:val="-35"/>
                <w:sz w:val="24"/>
                <w:szCs w:val="24"/>
                <w:highlight w:val="none"/>
              </w:rPr>
              <w:t xml:space="preserve"> </w:t>
            </w:r>
            <w:r>
              <w:rPr>
                <w:rFonts w:hint="eastAsia" w:ascii="仿宋" w:hAnsi="仿宋" w:eastAsia="仿宋" w:cs="仿宋"/>
                <w:color w:val="auto"/>
                <w:sz w:val="24"/>
                <w:szCs w:val="24"/>
                <w:highlight w:val="none"/>
              </w:rPr>
              <w:t>YJV</w:t>
            </w:r>
            <w:r>
              <w:rPr>
                <w:rFonts w:hint="eastAsia" w:ascii="仿宋" w:hAnsi="仿宋" w:eastAsia="仿宋" w:cs="仿宋"/>
                <w:color w:val="auto"/>
                <w:spacing w:val="3"/>
                <w:sz w:val="24"/>
                <w:szCs w:val="24"/>
                <w:highlight w:val="none"/>
              </w:rPr>
              <w:t>-0.6/14*16</w:t>
            </w:r>
          </w:p>
        </w:tc>
        <w:tc>
          <w:tcPr>
            <w:tcW w:w="1583" w:type="dxa"/>
            <w:vAlign w:val="center"/>
          </w:tcPr>
          <w:p w14:paraId="000EECEE">
            <w:pPr>
              <w:pStyle w:val="18"/>
              <w:spacing w:before="189" w:line="268" w:lineRule="exact"/>
              <w:ind w:left="200"/>
              <w:jc w:val="center"/>
              <w:rPr>
                <w:rFonts w:hint="eastAsia" w:ascii="仿宋" w:hAnsi="仿宋" w:eastAsia="仿宋" w:cs="仿宋"/>
                <w:color w:val="auto"/>
                <w:sz w:val="24"/>
                <w:szCs w:val="24"/>
                <w:highlight w:val="none"/>
              </w:rPr>
            </w:pPr>
            <w:r>
              <w:rPr>
                <w:rFonts w:hint="eastAsia" w:ascii="仿宋" w:hAnsi="仿宋" w:eastAsia="仿宋" w:cs="仿宋"/>
                <w:color w:val="auto"/>
                <w:position w:val="1"/>
                <w:sz w:val="24"/>
                <w:szCs w:val="24"/>
                <w:highlight w:val="none"/>
              </w:rPr>
              <w:t>1800m</w:t>
            </w:r>
          </w:p>
        </w:tc>
        <w:tc>
          <w:tcPr>
            <w:tcW w:w="3200" w:type="dxa"/>
            <w:vMerge w:val="continue"/>
            <w:tcBorders>
              <w:top w:val="nil"/>
              <w:bottom w:val="nil"/>
            </w:tcBorders>
            <w:vAlign w:val="center"/>
          </w:tcPr>
          <w:p w14:paraId="2BB54BB7">
            <w:pPr>
              <w:jc w:val="center"/>
              <w:rPr>
                <w:rFonts w:hint="eastAsia" w:ascii="仿宋" w:hAnsi="仿宋" w:eastAsia="仿宋" w:cs="仿宋"/>
                <w:color w:val="auto"/>
                <w:sz w:val="24"/>
                <w:szCs w:val="24"/>
                <w:highlight w:val="none"/>
              </w:rPr>
            </w:pPr>
          </w:p>
        </w:tc>
      </w:tr>
      <w:tr w14:paraId="250006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trPr>
        <w:tc>
          <w:tcPr>
            <w:tcW w:w="1030" w:type="dxa"/>
            <w:vAlign w:val="center"/>
          </w:tcPr>
          <w:p w14:paraId="713757C1">
            <w:pPr>
              <w:pStyle w:val="18"/>
              <w:spacing w:before="222" w:line="19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pacing w:val="-8"/>
                <w:sz w:val="24"/>
                <w:szCs w:val="24"/>
                <w:highlight w:val="none"/>
                <w:lang w:val="en-US" w:eastAsia="zh-CN"/>
              </w:rPr>
              <w:t>10</w:t>
            </w:r>
          </w:p>
        </w:tc>
        <w:tc>
          <w:tcPr>
            <w:tcW w:w="3300" w:type="dxa"/>
            <w:vAlign w:val="center"/>
          </w:tcPr>
          <w:p w14:paraId="27DF8EA3">
            <w:pPr>
              <w:pStyle w:val="18"/>
              <w:spacing w:before="190" w:line="226" w:lineRule="auto"/>
              <w:ind w:left="431"/>
              <w:jc w:val="both"/>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电缆</w:t>
            </w:r>
            <w:r>
              <w:rPr>
                <w:rFonts w:hint="eastAsia" w:ascii="仿宋" w:hAnsi="仿宋" w:eastAsia="仿宋" w:cs="仿宋"/>
                <w:color w:val="auto"/>
                <w:spacing w:val="-35"/>
                <w:sz w:val="24"/>
                <w:szCs w:val="24"/>
                <w:highlight w:val="none"/>
              </w:rPr>
              <w:t xml:space="preserve"> </w:t>
            </w:r>
            <w:r>
              <w:rPr>
                <w:rFonts w:hint="eastAsia" w:ascii="仿宋" w:hAnsi="仿宋" w:eastAsia="仿宋" w:cs="仿宋"/>
                <w:color w:val="auto"/>
                <w:sz w:val="24"/>
                <w:szCs w:val="24"/>
                <w:highlight w:val="none"/>
              </w:rPr>
              <w:t>YJV</w:t>
            </w:r>
            <w:r>
              <w:rPr>
                <w:rFonts w:hint="eastAsia" w:ascii="仿宋" w:hAnsi="仿宋" w:eastAsia="仿宋" w:cs="仿宋"/>
                <w:color w:val="auto"/>
                <w:spacing w:val="3"/>
                <w:sz w:val="24"/>
                <w:szCs w:val="24"/>
                <w:highlight w:val="none"/>
              </w:rPr>
              <w:t>-0.6/15*16</w:t>
            </w:r>
          </w:p>
        </w:tc>
        <w:tc>
          <w:tcPr>
            <w:tcW w:w="1583" w:type="dxa"/>
            <w:vAlign w:val="center"/>
          </w:tcPr>
          <w:p w14:paraId="2EFFA492">
            <w:pPr>
              <w:pStyle w:val="18"/>
              <w:spacing w:before="190" w:line="268" w:lineRule="exact"/>
              <w:ind w:left="200"/>
              <w:jc w:val="center"/>
              <w:rPr>
                <w:rFonts w:hint="eastAsia" w:ascii="仿宋" w:hAnsi="仿宋" w:eastAsia="仿宋" w:cs="仿宋"/>
                <w:color w:val="auto"/>
                <w:sz w:val="24"/>
                <w:szCs w:val="24"/>
                <w:highlight w:val="none"/>
              </w:rPr>
            </w:pPr>
            <w:r>
              <w:rPr>
                <w:rFonts w:hint="eastAsia" w:ascii="仿宋" w:hAnsi="仿宋" w:eastAsia="仿宋" w:cs="仿宋"/>
                <w:color w:val="auto"/>
                <w:position w:val="1"/>
                <w:sz w:val="24"/>
                <w:szCs w:val="24"/>
                <w:highlight w:val="none"/>
              </w:rPr>
              <w:t>1200m</w:t>
            </w:r>
          </w:p>
        </w:tc>
        <w:tc>
          <w:tcPr>
            <w:tcW w:w="3200" w:type="dxa"/>
            <w:vMerge w:val="continue"/>
            <w:tcBorders>
              <w:top w:val="nil"/>
              <w:bottom w:val="nil"/>
            </w:tcBorders>
            <w:vAlign w:val="center"/>
          </w:tcPr>
          <w:p w14:paraId="0C66DF5E">
            <w:pPr>
              <w:jc w:val="center"/>
              <w:rPr>
                <w:rFonts w:hint="eastAsia" w:ascii="仿宋" w:hAnsi="仿宋" w:eastAsia="仿宋" w:cs="仿宋"/>
                <w:color w:val="auto"/>
                <w:sz w:val="24"/>
                <w:szCs w:val="24"/>
                <w:highlight w:val="none"/>
              </w:rPr>
            </w:pPr>
          </w:p>
        </w:tc>
      </w:tr>
      <w:tr w14:paraId="243724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5" w:hRule="atLeast"/>
        </w:trPr>
        <w:tc>
          <w:tcPr>
            <w:tcW w:w="1030" w:type="dxa"/>
            <w:vAlign w:val="center"/>
          </w:tcPr>
          <w:p w14:paraId="1724C52E">
            <w:pPr>
              <w:pStyle w:val="18"/>
              <w:spacing w:before="220" w:line="19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pacing w:val="-8"/>
                <w:sz w:val="24"/>
                <w:szCs w:val="24"/>
                <w:highlight w:val="none"/>
                <w:lang w:val="en-US" w:eastAsia="zh-CN"/>
              </w:rPr>
              <w:t>11</w:t>
            </w:r>
          </w:p>
        </w:tc>
        <w:tc>
          <w:tcPr>
            <w:tcW w:w="3300" w:type="dxa"/>
            <w:vAlign w:val="center"/>
          </w:tcPr>
          <w:p w14:paraId="24C89E6B">
            <w:pPr>
              <w:pStyle w:val="18"/>
              <w:spacing w:before="188" w:line="228" w:lineRule="auto"/>
              <w:ind w:left="481"/>
              <w:jc w:val="both"/>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电缆</w:t>
            </w:r>
            <w:r>
              <w:rPr>
                <w:rFonts w:hint="eastAsia" w:ascii="仿宋" w:hAnsi="仿宋" w:eastAsia="仿宋" w:cs="仿宋"/>
                <w:color w:val="auto"/>
                <w:spacing w:val="-36"/>
                <w:sz w:val="24"/>
                <w:szCs w:val="24"/>
                <w:highlight w:val="none"/>
              </w:rPr>
              <w:t xml:space="preserve"> </w:t>
            </w:r>
            <w:r>
              <w:rPr>
                <w:rFonts w:hint="eastAsia" w:ascii="仿宋" w:hAnsi="仿宋" w:eastAsia="仿宋" w:cs="仿宋"/>
                <w:color w:val="auto"/>
                <w:sz w:val="24"/>
                <w:szCs w:val="24"/>
                <w:highlight w:val="none"/>
              </w:rPr>
              <w:t>VV</w:t>
            </w:r>
            <w:r>
              <w:rPr>
                <w:rFonts w:hint="eastAsia" w:ascii="仿宋" w:hAnsi="仿宋" w:eastAsia="仿宋" w:cs="仿宋"/>
                <w:color w:val="auto"/>
                <w:spacing w:val="3"/>
                <w:sz w:val="24"/>
                <w:szCs w:val="24"/>
                <w:highlight w:val="none"/>
              </w:rPr>
              <w:t>-0.6/15*25</w:t>
            </w:r>
          </w:p>
        </w:tc>
        <w:tc>
          <w:tcPr>
            <w:tcW w:w="1583" w:type="dxa"/>
            <w:vAlign w:val="center"/>
          </w:tcPr>
          <w:p w14:paraId="3D7144A9">
            <w:pPr>
              <w:pStyle w:val="18"/>
              <w:spacing w:before="189" w:line="268" w:lineRule="exact"/>
              <w:ind w:left="200"/>
              <w:jc w:val="center"/>
              <w:rPr>
                <w:rFonts w:hint="eastAsia" w:ascii="仿宋" w:hAnsi="仿宋" w:eastAsia="仿宋" w:cs="仿宋"/>
                <w:color w:val="auto"/>
                <w:sz w:val="24"/>
                <w:szCs w:val="24"/>
                <w:highlight w:val="none"/>
              </w:rPr>
            </w:pPr>
            <w:r>
              <w:rPr>
                <w:rFonts w:hint="eastAsia" w:ascii="仿宋" w:hAnsi="仿宋" w:eastAsia="仿宋" w:cs="仿宋"/>
                <w:color w:val="auto"/>
                <w:position w:val="1"/>
                <w:sz w:val="24"/>
                <w:szCs w:val="24"/>
                <w:highlight w:val="none"/>
              </w:rPr>
              <w:t>1000m</w:t>
            </w:r>
          </w:p>
        </w:tc>
        <w:tc>
          <w:tcPr>
            <w:tcW w:w="3200" w:type="dxa"/>
            <w:vMerge w:val="continue"/>
            <w:tcBorders>
              <w:top w:val="nil"/>
            </w:tcBorders>
            <w:vAlign w:val="center"/>
          </w:tcPr>
          <w:p w14:paraId="6D0AF645">
            <w:pPr>
              <w:jc w:val="center"/>
              <w:rPr>
                <w:rFonts w:hint="eastAsia" w:ascii="仿宋" w:hAnsi="仿宋" w:eastAsia="仿宋" w:cs="仿宋"/>
                <w:color w:val="auto"/>
                <w:sz w:val="24"/>
                <w:szCs w:val="24"/>
                <w:highlight w:val="none"/>
              </w:rPr>
            </w:pPr>
          </w:p>
        </w:tc>
      </w:tr>
      <w:tr w14:paraId="23EF3D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 w:hRule="atLeast"/>
        </w:trPr>
        <w:tc>
          <w:tcPr>
            <w:tcW w:w="1030" w:type="dxa"/>
            <w:vAlign w:val="center"/>
          </w:tcPr>
          <w:p w14:paraId="65E77FC7">
            <w:pPr>
              <w:pStyle w:val="18"/>
              <w:spacing w:before="65" w:line="19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pacing w:val="-7"/>
                <w:sz w:val="24"/>
                <w:szCs w:val="24"/>
                <w:highlight w:val="none"/>
                <w:lang w:val="en-US" w:eastAsia="zh-CN"/>
              </w:rPr>
              <w:t>12</w:t>
            </w:r>
          </w:p>
        </w:tc>
        <w:tc>
          <w:tcPr>
            <w:tcW w:w="3300" w:type="dxa"/>
            <w:vAlign w:val="center"/>
          </w:tcPr>
          <w:p w14:paraId="62DB7CAB">
            <w:pPr>
              <w:pStyle w:val="18"/>
              <w:spacing w:before="65" w:line="228" w:lineRule="auto"/>
              <w:ind w:right="18"/>
              <w:jc w:val="center"/>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欧式箱式变压器（100</w:t>
            </w:r>
            <w:r>
              <w:rPr>
                <w:rFonts w:hint="eastAsia" w:ascii="仿宋" w:hAnsi="仿宋" w:eastAsia="仿宋" w:cs="仿宋"/>
                <w:color w:val="auto"/>
                <w:sz w:val="24"/>
                <w:szCs w:val="24"/>
                <w:highlight w:val="none"/>
              </w:rPr>
              <w:t>KVA</w:t>
            </w:r>
            <w:r>
              <w:rPr>
                <w:rFonts w:hint="eastAsia" w:ascii="仿宋" w:hAnsi="仿宋" w:eastAsia="仿宋" w:cs="仿宋"/>
                <w:color w:val="auto"/>
                <w:spacing w:val="7"/>
                <w:sz w:val="24"/>
                <w:szCs w:val="24"/>
                <w:highlight w:val="none"/>
              </w:rPr>
              <w:t>）</w:t>
            </w:r>
          </w:p>
        </w:tc>
        <w:tc>
          <w:tcPr>
            <w:tcW w:w="1583" w:type="dxa"/>
            <w:vAlign w:val="center"/>
          </w:tcPr>
          <w:p w14:paraId="0038CA72">
            <w:pPr>
              <w:pStyle w:val="18"/>
              <w:spacing w:before="65" w:line="23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lang w:val="en-US" w:eastAsia="zh-CN"/>
              </w:rPr>
              <w:t>10</w:t>
            </w:r>
            <w:r>
              <w:rPr>
                <w:rFonts w:hint="eastAsia" w:ascii="仿宋" w:hAnsi="仿宋" w:eastAsia="仿宋" w:cs="仿宋"/>
                <w:color w:val="auto"/>
                <w:spacing w:val="-2"/>
                <w:sz w:val="24"/>
                <w:szCs w:val="24"/>
                <w:highlight w:val="none"/>
              </w:rPr>
              <w:t>座</w:t>
            </w:r>
          </w:p>
        </w:tc>
        <w:tc>
          <w:tcPr>
            <w:tcW w:w="3200" w:type="dxa"/>
            <w:vAlign w:val="center"/>
          </w:tcPr>
          <w:p w14:paraId="283A9936">
            <w:pPr>
              <w:pStyle w:val="18"/>
              <w:spacing w:before="41" w:line="265" w:lineRule="auto"/>
              <w:ind w:left="117" w:right="107" w:firstLine="8"/>
              <w:jc w:val="left"/>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lang w:val="en-US" w:eastAsia="zh-CN"/>
              </w:rPr>
              <w:t>中标后按采购人的要求实施</w:t>
            </w:r>
          </w:p>
        </w:tc>
      </w:tr>
      <w:tr w14:paraId="6203A4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 w:hRule="atLeast"/>
        </w:trPr>
        <w:tc>
          <w:tcPr>
            <w:tcW w:w="1030" w:type="dxa"/>
            <w:vAlign w:val="center"/>
          </w:tcPr>
          <w:p w14:paraId="39BC2772">
            <w:pPr>
              <w:pStyle w:val="18"/>
              <w:spacing w:before="65" w:line="190" w:lineRule="auto"/>
              <w:jc w:val="center"/>
              <w:rPr>
                <w:rFonts w:hint="eastAsia" w:ascii="仿宋" w:hAnsi="仿宋" w:eastAsia="仿宋" w:cs="仿宋"/>
                <w:color w:val="auto"/>
                <w:spacing w:val="-7"/>
                <w:sz w:val="24"/>
                <w:szCs w:val="24"/>
                <w:highlight w:val="none"/>
                <w:lang w:val="en-US" w:eastAsia="zh-CN"/>
              </w:rPr>
            </w:pPr>
            <w:r>
              <w:rPr>
                <w:rFonts w:hint="eastAsia" w:ascii="仿宋" w:hAnsi="仿宋" w:eastAsia="仿宋" w:cs="仿宋"/>
                <w:color w:val="auto"/>
                <w:spacing w:val="-7"/>
                <w:sz w:val="24"/>
                <w:szCs w:val="24"/>
                <w:highlight w:val="none"/>
                <w:lang w:val="en-US" w:eastAsia="zh-CN"/>
              </w:rPr>
              <w:t>13</w:t>
            </w:r>
          </w:p>
        </w:tc>
        <w:tc>
          <w:tcPr>
            <w:tcW w:w="3300" w:type="dxa"/>
            <w:vAlign w:val="center"/>
          </w:tcPr>
          <w:p w14:paraId="65C00014">
            <w:pPr>
              <w:pStyle w:val="18"/>
              <w:spacing w:before="65" w:line="228" w:lineRule="auto"/>
              <w:ind w:right="18"/>
              <w:jc w:val="center"/>
              <w:rPr>
                <w:rFonts w:hint="eastAsia" w:ascii="仿宋" w:hAnsi="仿宋" w:eastAsia="仿宋" w:cs="仿宋"/>
                <w:color w:val="auto"/>
                <w:spacing w:val="7"/>
                <w:sz w:val="24"/>
                <w:szCs w:val="24"/>
                <w:highlight w:val="none"/>
                <w:lang w:val="en-US" w:eastAsia="zh-CN"/>
              </w:rPr>
            </w:pPr>
            <w:r>
              <w:rPr>
                <w:rFonts w:hint="eastAsia" w:ascii="仿宋" w:hAnsi="仿宋" w:eastAsia="仿宋" w:cs="仿宋"/>
                <w:color w:val="auto"/>
                <w:spacing w:val="7"/>
                <w:sz w:val="24"/>
                <w:szCs w:val="24"/>
                <w:highlight w:val="none"/>
                <w:lang w:val="en-US" w:eastAsia="zh-CN"/>
              </w:rPr>
              <w:t>......</w:t>
            </w:r>
          </w:p>
        </w:tc>
        <w:tc>
          <w:tcPr>
            <w:tcW w:w="1583" w:type="dxa"/>
            <w:vAlign w:val="center"/>
          </w:tcPr>
          <w:p w14:paraId="21A43432">
            <w:pPr>
              <w:pStyle w:val="18"/>
              <w:spacing w:before="65" w:line="230" w:lineRule="auto"/>
              <w:jc w:val="center"/>
              <w:rPr>
                <w:rFonts w:hint="eastAsia" w:ascii="仿宋" w:hAnsi="仿宋" w:eastAsia="仿宋" w:cs="仿宋"/>
                <w:color w:val="auto"/>
                <w:spacing w:val="-2"/>
                <w:sz w:val="24"/>
                <w:szCs w:val="24"/>
                <w:highlight w:val="none"/>
                <w:lang w:val="en-US" w:eastAsia="zh-CN"/>
              </w:rPr>
            </w:pPr>
          </w:p>
        </w:tc>
        <w:tc>
          <w:tcPr>
            <w:tcW w:w="3200" w:type="dxa"/>
            <w:vAlign w:val="center"/>
          </w:tcPr>
          <w:p w14:paraId="20FE5CE8">
            <w:pPr>
              <w:pStyle w:val="18"/>
              <w:spacing w:before="41" w:line="265" w:lineRule="auto"/>
              <w:ind w:left="117" w:right="107" w:firstLine="8"/>
              <w:jc w:val="left"/>
              <w:rPr>
                <w:rFonts w:hint="eastAsia" w:ascii="仿宋" w:hAnsi="仿宋" w:eastAsia="仿宋" w:cs="仿宋"/>
                <w:color w:val="auto"/>
                <w:sz w:val="24"/>
                <w:szCs w:val="24"/>
                <w:highlight w:val="none"/>
              </w:rPr>
            </w:pPr>
          </w:p>
        </w:tc>
      </w:tr>
    </w:tbl>
    <w:p w14:paraId="23E764E0">
      <w:pPr>
        <w:pStyle w:val="12"/>
        <w:rPr>
          <w:rFonts w:hint="eastAsia" w:ascii="仿宋" w:hAnsi="仿宋" w:eastAsia="仿宋" w:cs="仿宋"/>
          <w:color w:val="auto"/>
          <w:highlight w:val="none"/>
        </w:rPr>
      </w:pPr>
    </w:p>
    <w:sectPr>
      <w:pgSz w:w="11906" w:h="16838"/>
      <w:pgMar w:top="2098" w:right="1417" w:bottom="1701" w:left="1531" w:header="851" w:footer="992" w:gutter="0"/>
      <w:cols w:space="425" w:num="1"/>
      <w:docGrid w:type="lines" w:linePitch="312" w:charSpace="0"/>
    </w:sectPr>
  </w:body>
</w:document>
</file>

<file path=word/customizations.xml><?xml version="1.0" encoding="utf-8"?>
<wne:tcg xmlns:r="http://schemas.openxmlformats.org/officeDocument/2006/relationships" xmlns:wne="http://schemas.microsoft.com/office/word/2006/wordml">
  <wne:keymaps>
    <wne:keymap wne:kcmPrimary="0431">
      <wne:acd wne:acdName="acd0"/>
    </wne:keymap>
  </wne:keymaps>
  <wne:acds>
    <wne:acd wne:argValue="AQAAAAEA" wne:acdName="acd0" wne:fciIndexBasedOn="0065"/>
  </wne:acd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2"/>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0153"/>
    <w:rsid w:val="000542B7"/>
    <w:rsid w:val="000D7982"/>
    <w:rsid w:val="000F4B80"/>
    <w:rsid w:val="00125DF6"/>
    <w:rsid w:val="00164EB0"/>
    <w:rsid w:val="001B0F8D"/>
    <w:rsid w:val="001C06BB"/>
    <w:rsid w:val="00240C2A"/>
    <w:rsid w:val="002A2430"/>
    <w:rsid w:val="002F5FED"/>
    <w:rsid w:val="003468E4"/>
    <w:rsid w:val="00395F6D"/>
    <w:rsid w:val="00410153"/>
    <w:rsid w:val="00442047"/>
    <w:rsid w:val="004D501D"/>
    <w:rsid w:val="00510D50"/>
    <w:rsid w:val="0052456E"/>
    <w:rsid w:val="00584C87"/>
    <w:rsid w:val="005A7C2E"/>
    <w:rsid w:val="005D66CE"/>
    <w:rsid w:val="00667E3E"/>
    <w:rsid w:val="0074233F"/>
    <w:rsid w:val="007655D6"/>
    <w:rsid w:val="00766319"/>
    <w:rsid w:val="007A3C3B"/>
    <w:rsid w:val="007E29C6"/>
    <w:rsid w:val="007E68DF"/>
    <w:rsid w:val="00881A11"/>
    <w:rsid w:val="00901EAA"/>
    <w:rsid w:val="00963C13"/>
    <w:rsid w:val="00981B8A"/>
    <w:rsid w:val="009B789C"/>
    <w:rsid w:val="00A11705"/>
    <w:rsid w:val="00B149F4"/>
    <w:rsid w:val="00B41493"/>
    <w:rsid w:val="00B55756"/>
    <w:rsid w:val="00BA17A8"/>
    <w:rsid w:val="00BA6788"/>
    <w:rsid w:val="00C62083"/>
    <w:rsid w:val="00D618D6"/>
    <w:rsid w:val="00D632AD"/>
    <w:rsid w:val="00D87C4D"/>
    <w:rsid w:val="00DB7D36"/>
    <w:rsid w:val="00DC0243"/>
    <w:rsid w:val="00E275C3"/>
    <w:rsid w:val="00EE6CD0"/>
    <w:rsid w:val="00EF1756"/>
    <w:rsid w:val="00FC0EB7"/>
    <w:rsid w:val="01D72C9F"/>
    <w:rsid w:val="05917228"/>
    <w:rsid w:val="13FE0264"/>
    <w:rsid w:val="1C3B26BF"/>
    <w:rsid w:val="270A762C"/>
    <w:rsid w:val="275136B3"/>
    <w:rsid w:val="2A4532F9"/>
    <w:rsid w:val="2CAA36E1"/>
    <w:rsid w:val="2EC965DD"/>
    <w:rsid w:val="2F392648"/>
    <w:rsid w:val="2F836C27"/>
    <w:rsid w:val="3C065573"/>
    <w:rsid w:val="3DD75EBF"/>
    <w:rsid w:val="413761CE"/>
    <w:rsid w:val="77234C15"/>
    <w:rsid w:val="7D0028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1"/>
    <w:autoRedefine/>
    <w:qFormat/>
    <w:uiPriority w:val="9"/>
    <w:pPr>
      <w:keepNext/>
      <w:keepLines/>
      <w:spacing w:line="578" w:lineRule="auto"/>
      <w:outlineLvl w:val="0"/>
    </w:pPr>
    <w:rPr>
      <w:rFonts w:eastAsia="黑体"/>
      <w:bCs/>
      <w:kern w:val="44"/>
      <w:sz w:val="32"/>
      <w:szCs w:val="44"/>
    </w:rPr>
  </w:style>
  <w:style w:type="paragraph" w:styleId="3">
    <w:name w:val="heading 2"/>
    <w:basedOn w:val="1"/>
    <w:next w:val="1"/>
    <w:link w:val="10"/>
    <w:autoRedefine/>
    <w:unhideWhenUsed/>
    <w:qFormat/>
    <w:uiPriority w:val="9"/>
    <w:pPr>
      <w:keepNext/>
      <w:keepLines/>
      <w:spacing w:line="416" w:lineRule="auto"/>
      <w:ind w:firstLine="424" w:firstLineChars="151"/>
      <w:outlineLvl w:val="1"/>
    </w:pPr>
    <w:rPr>
      <w:rFonts w:eastAsia="黑体" w:asciiTheme="majorHAnsi" w:hAnsiTheme="majorHAnsi" w:cstheme="majorBidi"/>
      <w:bCs/>
      <w:sz w:val="28"/>
      <w:szCs w:val="32"/>
    </w:rPr>
  </w:style>
  <w:style w:type="character" w:default="1" w:styleId="9">
    <w:name w:val="Default Paragraph Font"/>
    <w:unhideWhenUsed/>
    <w:qFormat/>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4">
    <w:name w:val="Body Text"/>
    <w:basedOn w:val="1"/>
    <w:link w:val="16"/>
    <w:semiHidden/>
    <w:qFormat/>
    <w:uiPriority w:val="0"/>
    <w:pPr>
      <w:widowControl/>
      <w:kinsoku w:val="0"/>
      <w:autoSpaceDE w:val="0"/>
      <w:autoSpaceDN w:val="0"/>
      <w:adjustRightInd w:val="0"/>
      <w:snapToGrid w:val="0"/>
      <w:jc w:val="left"/>
      <w:textAlignment w:val="baseline"/>
    </w:pPr>
    <w:rPr>
      <w:rFonts w:ascii="宋体" w:hAnsi="宋体" w:eastAsia="宋体" w:cs="宋体"/>
      <w:snapToGrid w:val="0"/>
      <w:color w:val="000000"/>
      <w:kern w:val="0"/>
      <w:sz w:val="20"/>
      <w:szCs w:val="20"/>
      <w:lang w:eastAsia="en-US"/>
    </w:rPr>
  </w:style>
  <w:style w:type="paragraph" w:styleId="5">
    <w:name w:val="footer"/>
    <w:basedOn w:val="1"/>
    <w:link w:val="14"/>
    <w:unhideWhenUsed/>
    <w:qFormat/>
    <w:uiPriority w:val="99"/>
    <w:pPr>
      <w:tabs>
        <w:tab w:val="center" w:pos="4153"/>
        <w:tab w:val="right" w:pos="8306"/>
      </w:tabs>
      <w:snapToGrid w:val="0"/>
      <w:jc w:val="left"/>
    </w:pPr>
    <w:rPr>
      <w:sz w:val="18"/>
      <w:szCs w:val="18"/>
    </w:rPr>
  </w:style>
  <w:style w:type="paragraph" w:styleId="6">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table" w:styleId="8">
    <w:name w:val="Table Grid"/>
    <w:basedOn w:val="7"/>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0">
    <w:name w:val="标题 2 Char"/>
    <w:basedOn w:val="9"/>
    <w:link w:val="3"/>
    <w:qFormat/>
    <w:uiPriority w:val="9"/>
    <w:rPr>
      <w:rFonts w:eastAsia="黑体" w:asciiTheme="majorHAnsi" w:hAnsiTheme="majorHAnsi" w:cstheme="majorBidi"/>
      <w:bCs/>
      <w:sz w:val="28"/>
      <w:szCs w:val="32"/>
    </w:rPr>
  </w:style>
  <w:style w:type="character" w:customStyle="1" w:styleId="11">
    <w:name w:val="标题 1 Char"/>
    <w:basedOn w:val="9"/>
    <w:link w:val="2"/>
    <w:qFormat/>
    <w:uiPriority w:val="9"/>
    <w:rPr>
      <w:rFonts w:eastAsia="黑体" w:asciiTheme="minorHAnsi" w:hAnsiTheme="minorHAnsi"/>
      <w:bCs/>
      <w:kern w:val="44"/>
      <w:sz w:val="32"/>
      <w:szCs w:val="44"/>
    </w:rPr>
  </w:style>
  <w:style w:type="paragraph" w:styleId="12">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13">
    <w:name w:val="页眉 Char"/>
    <w:basedOn w:val="9"/>
    <w:link w:val="6"/>
    <w:qFormat/>
    <w:uiPriority w:val="99"/>
    <w:rPr>
      <w:sz w:val="18"/>
      <w:szCs w:val="18"/>
    </w:rPr>
  </w:style>
  <w:style w:type="character" w:customStyle="1" w:styleId="14">
    <w:name w:val="页脚 Char"/>
    <w:basedOn w:val="9"/>
    <w:link w:val="5"/>
    <w:qFormat/>
    <w:uiPriority w:val="99"/>
    <w:rPr>
      <w:sz w:val="18"/>
      <w:szCs w:val="18"/>
    </w:rPr>
  </w:style>
  <w:style w:type="paragraph" w:styleId="15">
    <w:name w:val="List Paragraph"/>
    <w:basedOn w:val="1"/>
    <w:qFormat/>
    <w:uiPriority w:val="34"/>
    <w:pPr>
      <w:ind w:firstLine="420" w:firstLineChars="200"/>
    </w:pPr>
  </w:style>
  <w:style w:type="character" w:customStyle="1" w:styleId="16">
    <w:name w:val="正文文本 Char"/>
    <w:basedOn w:val="9"/>
    <w:link w:val="4"/>
    <w:semiHidden/>
    <w:qFormat/>
    <w:uiPriority w:val="0"/>
    <w:rPr>
      <w:rFonts w:ascii="宋体" w:hAnsi="宋体" w:eastAsia="宋体" w:cs="宋体"/>
      <w:snapToGrid w:val="0"/>
      <w:color w:val="000000"/>
      <w:kern w:val="0"/>
      <w:sz w:val="20"/>
      <w:szCs w:val="20"/>
      <w:lang w:eastAsia="en-US"/>
    </w:rPr>
  </w:style>
  <w:style w:type="table" w:customStyle="1" w:styleId="17">
    <w:name w:val="Table Normal"/>
    <w:autoRedefine/>
    <w:semiHidden/>
    <w:unhideWhenUsed/>
    <w:qFormat/>
    <w:uiPriority w:val="0"/>
    <w:tblPr>
      <w:tblCellMar>
        <w:top w:w="0" w:type="dxa"/>
        <w:left w:w="0" w:type="dxa"/>
        <w:bottom w:w="0" w:type="dxa"/>
        <w:right w:w="0" w:type="dxa"/>
      </w:tblCellMar>
    </w:tblPr>
  </w:style>
  <w:style w:type="paragraph" w:customStyle="1" w:styleId="18">
    <w:name w:val="Table Text"/>
    <w:basedOn w:val="1"/>
    <w:semiHidden/>
    <w:qFormat/>
    <w:uiPriority w:val="0"/>
    <w:pPr>
      <w:widowControl/>
      <w:kinsoku w:val="0"/>
      <w:autoSpaceDE w:val="0"/>
      <w:autoSpaceDN w:val="0"/>
      <w:adjustRightInd w:val="0"/>
      <w:snapToGrid w:val="0"/>
      <w:jc w:val="left"/>
      <w:textAlignment w:val="baseline"/>
    </w:pPr>
    <w:rPr>
      <w:rFonts w:ascii="宋体" w:hAnsi="宋体" w:eastAsia="宋体" w:cs="宋体"/>
      <w:snapToGrid w:val="0"/>
      <w:color w:val="000000"/>
      <w:kern w:val="0"/>
      <w:sz w:val="19"/>
      <w:szCs w:val="19"/>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microsoft.com/office/2006/relationships/keyMapCustomizations" Target="customizations.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A87B2E-0B0F-4CD5-91AE-F3B71CF46944}">
  <ds:schemaRefs/>
</ds:datastoreItem>
</file>

<file path=docProps/app.xml><?xml version="1.0" encoding="utf-8"?>
<Properties xmlns="http://schemas.openxmlformats.org/officeDocument/2006/extended-properties" xmlns:vt="http://schemas.openxmlformats.org/officeDocument/2006/docPropsVTypes">
  <Template>Normal</Template>
  <Pages>21</Pages>
  <Words>9983</Words>
  <Characters>10910</Characters>
  <Lines>123</Lines>
  <Paragraphs>34</Paragraphs>
  <TotalTime>80</TotalTime>
  <ScaleCrop>false</ScaleCrop>
  <LinksUpToDate>false</LinksUpToDate>
  <CharactersWithSpaces>11034</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2025-04-17T06:59:00Z</dcterms:created>
  <dc:creator>Thinkpad</dc:creator>
  <cp:lastModifiedBy>Die erde</cp:lastModifiedBy>
  <dcterms:modified xsi:type="dcterms:W3CDTF">2025-05-15T06:38:01Z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eyJoZGlkIjoiN2Y3OTI4NGM5OTFjMzk5ZjI0N2NlYzRhMmM0NzdlNzYiLCJ1c2VySWQiOiIyNTg3MTk3NzQifQ==</vt:lpwstr>
  </property>
  <property fmtid="{D5CDD505-2E9C-101B-9397-08002B2CF9AE}" pid="3" name="KSOProductBuildVer">
    <vt:lpwstr>2052-12.1.0.21171</vt:lpwstr>
  </property>
  <property fmtid="{D5CDD505-2E9C-101B-9397-08002B2CF9AE}" pid="4" name="ICV">
    <vt:lpwstr>BD26ED3EEBB84058A4602AAD1D002376_12</vt:lpwstr>
  </property>
</Properties>
</file>