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370" w:type="dxa"/>
        <w:tblInd w:w="0" w:type="dxa"/>
        <w:shd w:val="clear" w:color="auto" w:fill="auto"/>
        <w:tblLayout w:type="autofit"/>
        <w:tblCellMar>
          <w:top w:w="0" w:type="dxa"/>
          <w:left w:w="0" w:type="dxa"/>
          <w:bottom w:w="0" w:type="dxa"/>
          <w:right w:w="0" w:type="dxa"/>
        </w:tblCellMar>
      </w:tblPr>
      <w:tblGrid>
        <w:gridCol w:w="1175"/>
        <w:gridCol w:w="1126"/>
        <w:gridCol w:w="1309"/>
        <w:gridCol w:w="1309"/>
        <w:gridCol w:w="1377"/>
        <w:gridCol w:w="1309"/>
        <w:gridCol w:w="1309"/>
        <w:gridCol w:w="1309"/>
        <w:gridCol w:w="1309"/>
        <w:gridCol w:w="1309"/>
        <w:gridCol w:w="1529"/>
      </w:tblGrid>
      <w:tr>
        <w:tblPrEx>
          <w:shd w:val="clear" w:color="auto" w:fill="auto"/>
          <w:tblCellMar>
            <w:top w:w="0" w:type="dxa"/>
            <w:left w:w="0" w:type="dxa"/>
            <w:bottom w:w="0" w:type="dxa"/>
            <w:right w:w="0" w:type="dxa"/>
          </w:tblCellMar>
        </w:tblPrEx>
        <w:trPr>
          <w:trHeight w:val="900" w:hRule="atLeast"/>
        </w:trPr>
        <w:tc>
          <w:tcPr>
            <w:tcW w:w="14370" w:type="dxa"/>
            <w:gridSpan w:val="11"/>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方正小标宋简体" w:hAnsi="方正小标宋简体" w:eastAsia="方正小标宋简体" w:cs="方正小标宋简体"/>
                <w:i w:val="0"/>
                <w:color w:val="000000"/>
                <w:sz w:val="48"/>
                <w:szCs w:val="48"/>
                <w:u w:val="none"/>
              </w:rPr>
            </w:pPr>
            <w:r>
              <w:rPr>
                <w:rFonts w:hint="eastAsia" w:ascii="方正小标宋简体" w:hAnsi="方正小标宋简体" w:eastAsia="方正小标宋简体" w:cs="方正小标宋简体"/>
                <w:i w:val="0"/>
                <w:color w:val="000000"/>
                <w:kern w:val="0"/>
                <w:sz w:val="48"/>
                <w:szCs w:val="48"/>
                <w:u w:val="none"/>
                <w:lang w:val="en-US" w:eastAsia="zh-CN" w:bidi="ar"/>
              </w:rPr>
              <w:t>2020年11月份六安市公共资源交易数据统计</w:t>
            </w:r>
          </w:p>
        </w:tc>
      </w:tr>
      <w:tr>
        <w:tblPrEx>
          <w:shd w:val="clear" w:color="auto" w:fill="auto"/>
          <w:tblCellMar>
            <w:top w:w="0" w:type="dxa"/>
            <w:left w:w="0" w:type="dxa"/>
            <w:bottom w:w="0" w:type="dxa"/>
            <w:right w:w="0" w:type="dxa"/>
          </w:tblCellMar>
        </w:tblPrEx>
        <w:trPr>
          <w:trHeight w:val="630" w:hRule="atLeast"/>
        </w:trPr>
        <w:tc>
          <w:tcPr>
            <w:tcW w:w="0" w:type="auto"/>
            <w:gridSpan w:val="7"/>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方正小标宋_GBK" w:hAnsi="方正小标宋_GBK" w:eastAsia="方正小标宋_GBK" w:cs="方正小标宋_GBK"/>
                <w:i w:val="0"/>
                <w:color w:val="000000"/>
                <w:sz w:val="48"/>
                <w:szCs w:val="48"/>
                <w:u w:val="none"/>
              </w:rPr>
            </w:pPr>
          </w:p>
        </w:tc>
        <w:tc>
          <w:tcPr>
            <w:tcW w:w="0" w:type="auto"/>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单位：项目数（个）  金额单位（万元）</w:t>
            </w:r>
          </w:p>
        </w:tc>
      </w:tr>
      <w:tr>
        <w:tblPrEx>
          <w:shd w:val="clear" w:color="auto" w:fill="auto"/>
          <w:tblCellMar>
            <w:top w:w="0" w:type="dxa"/>
            <w:left w:w="0" w:type="dxa"/>
            <w:bottom w:w="0" w:type="dxa"/>
            <w:right w:w="0" w:type="dxa"/>
          </w:tblCellMar>
        </w:tblPrEx>
        <w:trPr>
          <w:trHeight w:val="559"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市本级</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叶集区</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霍邱县</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金寨县</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舒城县</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霍山县</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金安区</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裕安区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合计</w:t>
            </w:r>
          </w:p>
        </w:tc>
      </w:tr>
      <w:tr>
        <w:tblPrEx>
          <w:shd w:val="clear" w:color="auto" w:fill="auto"/>
          <w:tblCellMar>
            <w:top w:w="0" w:type="dxa"/>
            <w:left w:w="0" w:type="dxa"/>
            <w:bottom w:w="0" w:type="dxa"/>
            <w:right w:w="0" w:type="dxa"/>
          </w:tblCellMar>
        </w:tblPrEx>
        <w:trPr>
          <w:trHeight w:val="34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汇总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1216</w:t>
            </w:r>
          </w:p>
        </w:tc>
      </w:tr>
      <w:tr>
        <w:tblPrEx>
          <w:shd w:val="clear" w:color="auto" w:fill="auto"/>
          <w:tblCellMar>
            <w:top w:w="0" w:type="dxa"/>
            <w:left w:w="0" w:type="dxa"/>
            <w:bottom w:w="0" w:type="dxa"/>
            <w:right w:w="0"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成交金额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44371.56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34571.54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138957.61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24276.77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53817.63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42045.48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32400.07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13863.13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384303.7859</w:t>
            </w:r>
          </w:p>
        </w:tc>
      </w:tr>
      <w:tr>
        <w:tblPrEx>
          <w:shd w:val="clear" w:color="auto" w:fill="auto"/>
          <w:tblCellMar>
            <w:top w:w="0" w:type="dxa"/>
            <w:left w:w="0" w:type="dxa"/>
            <w:bottom w:w="0" w:type="dxa"/>
            <w:right w:w="0"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节约资金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20569.95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3031.69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11254.36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1768.04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10042.64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3252.63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3781.11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476.63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54177.05139</w:t>
            </w:r>
          </w:p>
        </w:tc>
      </w:tr>
      <w:tr>
        <w:tblPrEx>
          <w:shd w:val="clear" w:color="auto" w:fill="auto"/>
          <w:tblCellMar>
            <w:top w:w="0" w:type="dxa"/>
            <w:left w:w="0" w:type="dxa"/>
            <w:bottom w:w="0" w:type="dxa"/>
            <w:right w:w="0"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节约率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13.45%</w:t>
            </w:r>
          </w:p>
        </w:tc>
      </w:tr>
      <w:tr>
        <w:tblPrEx>
          <w:shd w:val="clear" w:color="auto" w:fill="auto"/>
          <w:tblCellMar>
            <w:top w:w="0" w:type="dxa"/>
            <w:left w:w="0" w:type="dxa"/>
            <w:bottom w:w="0" w:type="dxa"/>
            <w:right w:w="0"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增值资金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11522.46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46.12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11615.58</w:t>
            </w:r>
          </w:p>
        </w:tc>
      </w:tr>
      <w:tr>
        <w:tblPrEx>
          <w:shd w:val="clear" w:color="auto" w:fill="auto"/>
          <w:tblCellMar>
            <w:top w:w="0" w:type="dxa"/>
            <w:left w:w="0" w:type="dxa"/>
            <w:bottom w:w="0" w:type="dxa"/>
            <w:right w:w="0"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增值率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170.99%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#DIV/0!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48.26%</w:t>
            </w:r>
          </w:p>
        </w:tc>
      </w:tr>
      <w:tr>
        <w:tblPrEx>
          <w:shd w:val="clear" w:color="auto" w:fill="auto"/>
          <w:tblCellMar>
            <w:top w:w="0" w:type="dxa"/>
            <w:left w:w="0" w:type="dxa"/>
            <w:bottom w:w="0" w:type="dxa"/>
            <w:right w:w="0" w:type="dxa"/>
          </w:tblCellMar>
        </w:tblPrEx>
        <w:trPr>
          <w:trHeight w:val="34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工程建设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91 </w:t>
            </w:r>
          </w:p>
        </w:tc>
      </w:tr>
      <w:tr>
        <w:tblPrEx>
          <w:shd w:val="clear" w:color="auto" w:fill="auto"/>
          <w:tblCellMar>
            <w:top w:w="0" w:type="dxa"/>
            <w:left w:w="0" w:type="dxa"/>
            <w:bottom w:w="0" w:type="dxa"/>
            <w:right w:w="0"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成交金额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5741.81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333333"/>
                <w:sz w:val="21"/>
                <w:szCs w:val="21"/>
                <w:u w:val="none"/>
              </w:rPr>
            </w:pPr>
            <w:r>
              <w:rPr>
                <w:rFonts w:hint="eastAsia" w:ascii="微软雅黑" w:hAnsi="微软雅黑" w:eastAsia="微软雅黑" w:cs="微软雅黑"/>
                <w:i w:val="0"/>
                <w:color w:val="333333"/>
                <w:kern w:val="0"/>
                <w:sz w:val="21"/>
                <w:szCs w:val="21"/>
                <w:u w:val="none"/>
                <w:lang w:val="en-US" w:eastAsia="zh-CN" w:bidi="ar"/>
              </w:rPr>
              <w:t xml:space="preserve">31940.80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100218.46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7785.22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46547.03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32076.01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28117.52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4063.08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256489.94 </w:t>
            </w:r>
          </w:p>
        </w:tc>
      </w:tr>
      <w:tr>
        <w:tblPrEx>
          <w:shd w:val="clear" w:color="auto" w:fill="auto"/>
          <w:tblCellMar>
            <w:top w:w="0" w:type="dxa"/>
            <w:left w:w="0" w:type="dxa"/>
            <w:bottom w:w="0" w:type="dxa"/>
            <w:right w:w="0"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预算金额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7890.00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333333"/>
                <w:sz w:val="21"/>
                <w:szCs w:val="21"/>
                <w:u w:val="none"/>
              </w:rPr>
            </w:pPr>
            <w:r>
              <w:rPr>
                <w:rFonts w:hint="eastAsia" w:ascii="微软雅黑" w:hAnsi="微软雅黑" w:eastAsia="微软雅黑" w:cs="微软雅黑"/>
                <w:i w:val="0"/>
                <w:color w:val="333333"/>
                <w:kern w:val="0"/>
                <w:sz w:val="21"/>
                <w:szCs w:val="21"/>
                <w:u w:val="none"/>
                <w:lang w:val="en-US" w:eastAsia="zh-CN" w:bidi="ar"/>
              </w:rPr>
              <w:t xml:space="preserve">34714.92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110125.83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9293.01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55269.85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34798.64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31374.90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4320.86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287788.01 </w:t>
            </w:r>
          </w:p>
        </w:tc>
      </w:tr>
      <w:tr>
        <w:tblPrEx>
          <w:shd w:val="clear" w:color="auto" w:fill="auto"/>
          <w:tblCellMar>
            <w:top w:w="0" w:type="dxa"/>
            <w:left w:w="0" w:type="dxa"/>
            <w:bottom w:w="0" w:type="dxa"/>
            <w:right w:w="0"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节约资金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2148.19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333333"/>
                <w:sz w:val="21"/>
                <w:szCs w:val="21"/>
                <w:u w:val="none"/>
              </w:rPr>
            </w:pPr>
            <w:r>
              <w:rPr>
                <w:rFonts w:hint="eastAsia" w:ascii="微软雅黑" w:hAnsi="微软雅黑" w:eastAsia="微软雅黑" w:cs="微软雅黑"/>
                <w:i w:val="0"/>
                <w:color w:val="333333"/>
                <w:kern w:val="0"/>
                <w:sz w:val="21"/>
                <w:szCs w:val="21"/>
                <w:u w:val="none"/>
                <w:lang w:val="en-US" w:eastAsia="zh-CN" w:bidi="ar"/>
              </w:rPr>
              <w:t xml:space="preserve">2774.12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9907.37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1507.79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8722.82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2722.63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3257.38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257.78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31298.07 </w:t>
            </w:r>
          </w:p>
        </w:tc>
      </w:tr>
      <w:tr>
        <w:tblPrEx>
          <w:shd w:val="clear" w:color="auto" w:fill="auto"/>
          <w:tblCellMar>
            <w:top w:w="0" w:type="dxa"/>
            <w:left w:w="0" w:type="dxa"/>
            <w:bottom w:w="0" w:type="dxa"/>
            <w:right w:w="0"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节约率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333333"/>
                <w:sz w:val="21"/>
                <w:szCs w:val="21"/>
                <w:u w:val="none"/>
              </w:rPr>
            </w:pPr>
            <w:r>
              <w:rPr>
                <w:rFonts w:hint="eastAsia" w:ascii="微软雅黑" w:hAnsi="微软雅黑" w:eastAsia="微软雅黑" w:cs="微软雅黑"/>
                <w:i w:val="0"/>
                <w:color w:val="333333"/>
                <w:kern w:val="0"/>
                <w:sz w:val="21"/>
                <w:szCs w:val="21"/>
                <w:u w:val="none"/>
                <w:lang w:val="en-US" w:eastAsia="zh-CN" w:bidi="ar"/>
              </w:rPr>
              <w:t>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10.88%</w:t>
            </w:r>
          </w:p>
        </w:tc>
      </w:tr>
      <w:tr>
        <w:tblPrEx>
          <w:shd w:val="clear" w:color="auto" w:fill="auto"/>
          <w:tblCellMar>
            <w:top w:w="0" w:type="dxa"/>
            <w:left w:w="0" w:type="dxa"/>
            <w:bottom w:w="0" w:type="dxa"/>
            <w:right w:w="0" w:type="dxa"/>
          </w:tblCellMar>
        </w:tblPrEx>
        <w:trPr>
          <w:trHeight w:val="34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小型项目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124</w:t>
            </w:r>
          </w:p>
        </w:tc>
      </w:tr>
      <w:tr>
        <w:tblPrEx>
          <w:shd w:val="clear" w:color="auto" w:fill="auto"/>
          <w:tblCellMar>
            <w:top w:w="0" w:type="dxa"/>
            <w:left w:w="0" w:type="dxa"/>
            <w:bottom w:w="0" w:type="dxa"/>
            <w:right w:w="0"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成交金额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530.04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2453.88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4568.50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4388.77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2569.51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5446.60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19957.30 </w:t>
            </w:r>
          </w:p>
        </w:tc>
      </w:tr>
      <w:tr>
        <w:tblPrEx>
          <w:shd w:val="clear" w:color="auto" w:fill="auto"/>
          <w:tblCellMar>
            <w:top w:w="0" w:type="dxa"/>
            <w:left w:w="0" w:type="dxa"/>
            <w:bottom w:w="0" w:type="dxa"/>
            <w:right w:w="0"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预算金额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607.59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2584.19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5410.90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4682.41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2801.00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5471.77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21557.86 </w:t>
            </w:r>
          </w:p>
        </w:tc>
      </w:tr>
      <w:tr>
        <w:tblPrEx>
          <w:shd w:val="clear" w:color="auto" w:fill="auto"/>
          <w:tblCellMar>
            <w:top w:w="0" w:type="dxa"/>
            <w:left w:w="0" w:type="dxa"/>
            <w:bottom w:w="0" w:type="dxa"/>
            <w:right w:w="0"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节约资金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77.55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130.31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842.4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293.64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1600.56</w:t>
            </w:r>
          </w:p>
        </w:tc>
      </w:tr>
      <w:tr>
        <w:tblPrEx>
          <w:shd w:val="clear" w:color="auto" w:fill="auto"/>
          <w:tblCellMar>
            <w:top w:w="0" w:type="dxa"/>
            <w:left w:w="0" w:type="dxa"/>
            <w:bottom w:w="0" w:type="dxa"/>
            <w:right w:w="0"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节约率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#DIV/0!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7.42%</w:t>
            </w:r>
          </w:p>
        </w:tc>
      </w:tr>
      <w:tr>
        <w:tblPrEx>
          <w:shd w:val="clear" w:color="auto" w:fill="auto"/>
          <w:tblCellMar>
            <w:top w:w="0" w:type="dxa"/>
            <w:left w:w="0" w:type="dxa"/>
            <w:bottom w:w="0" w:type="dxa"/>
            <w:right w:w="0" w:type="dxa"/>
          </w:tblCellMar>
        </w:tblPrEx>
        <w:trPr>
          <w:trHeight w:val="34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政府采购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216</w:t>
            </w:r>
          </w:p>
        </w:tc>
      </w:tr>
      <w:tr>
        <w:tblPrEx>
          <w:shd w:val="clear" w:color="auto" w:fill="auto"/>
          <w:tblCellMar>
            <w:top w:w="0" w:type="dxa"/>
            <w:left w:w="0" w:type="dxa"/>
            <w:bottom w:w="0" w:type="dxa"/>
            <w:right w:w="0"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成交金额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37818.68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1421.18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17958.39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3121.63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1353.58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3461.85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1307.36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3748.45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70191.12 </w:t>
            </w:r>
          </w:p>
        </w:tc>
      </w:tr>
      <w:tr>
        <w:tblPrEx>
          <w:shd w:val="clear" w:color="auto" w:fill="auto"/>
          <w:tblCellMar>
            <w:top w:w="0" w:type="dxa"/>
            <w:left w:w="0" w:type="dxa"/>
            <w:bottom w:w="0" w:type="dxa"/>
            <w:right w:w="0"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预算金额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56233.88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1601.20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19175.07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3372.07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1831.00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3698.22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1592.22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3942.13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91445.78 </w:t>
            </w:r>
          </w:p>
        </w:tc>
      </w:tr>
      <w:tr>
        <w:tblPrEx>
          <w:shd w:val="clear" w:color="auto" w:fill="auto"/>
          <w:tblCellMar>
            <w:top w:w="0" w:type="dxa"/>
            <w:left w:w="0" w:type="dxa"/>
            <w:bottom w:w="0" w:type="dxa"/>
            <w:right w:w="0"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节约资金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18415.20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180.02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1216.68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250.44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477.42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236.36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284.86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193.68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21254.66 </w:t>
            </w:r>
          </w:p>
        </w:tc>
      </w:tr>
      <w:tr>
        <w:tblPrEx>
          <w:shd w:val="clear" w:color="auto" w:fill="auto"/>
          <w:tblCellMar>
            <w:top w:w="0" w:type="dxa"/>
            <w:left w:w="0" w:type="dxa"/>
            <w:bottom w:w="0" w:type="dxa"/>
            <w:right w:w="0"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节约率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23.24%</w:t>
            </w:r>
          </w:p>
        </w:tc>
      </w:tr>
      <w:tr>
        <w:tblPrEx>
          <w:shd w:val="clear" w:color="auto" w:fill="auto"/>
          <w:tblCellMar>
            <w:top w:w="0" w:type="dxa"/>
            <w:left w:w="0" w:type="dxa"/>
            <w:bottom w:w="0" w:type="dxa"/>
            <w:right w:w="0" w:type="dxa"/>
          </w:tblCellMar>
        </w:tblPrEx>
        <w:trPr>
          <w:trHeight w:val="34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产权交易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r>
      <w:tr>
        <w:tblPrEx>
          <w:shd w:val="clear" w:color="auto" w:fill="auto"/>
          <w:tblCellMar>
            <w:top w:w="0" w:type="dxa"/>
            <w:left w:w="0" w:type="dxa"/>
            <w:bottom w:w="0" w:type="dxa"/>
            <w:right w:w="0"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成交金额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604.48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17718.00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11561.05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79.80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13.06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29976.39 </w:t>
            </w:r>
          </w:p>
        </w:tc>
      </w:tr>
      <w:tr>
        <w:tblPrEx>
          <w:shd w:val="clear" w:color="auto" w:fill="auto"/>
          <w:tblCellMar>
            <w:top w:w="0" w:type="dxa"/>
            <w:left w:w="0" w:type="dxa"/>
            <w:bottom w:w="0" w:type="dxa"/>
            <w:right w:w="0"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底价金额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604.48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6270.79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11561.05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33.68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13.06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18483.06 </w:t>
            </w:r>
          </w:p>
        </w:tc>
      </w:tr>
      <w:tr>
        <w:tblPrEx>
          <w:shd w:val="clear" w:color="auto" w:fill="auto"/>
          <w:tblCellMar>
            <w:top w:w="0" w:type="dxa"/>
            <w:left w:w="0" w:type="dxa"/>
            <w:bottom w:w="0" w:type="dxa"/>
            <w:right w:w="0"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增值资金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11447.21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46.12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11493.33 </w:t>
            </w:r>
          </w:p>
        </w:tc>
      </w:tr>
      <w:tr>
        <w:tblPrEx>
          <w:shd w:val="clear" w:color="auto" w:fill="auto"/>
          <w:tblCellMar>
            <w:top w:w="0" w:type="dxa"/>
            <w:left w:w="0" w:type="dxa"/>
            <w:bottom w:w="0" w:type="dxa"/>
            <w:right w:w="0"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增值率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#DIV/0!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136.94%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#DIV/0!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#DIV/0!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62.18%</w:t>
            </w:r>
          </w:p>
        </w:tc>
      </w:tr>
      <w:tr>
        <w:tblPrEx>
          <w:shd w:val="clear" w:color="auto" w:fill="auto"/>
          <w:tblCellMar>
            <w:top w:w="0" w:type="dxa"/>
            <w:left w:w="0" w:type="dxa"/>
            <w:bottom w:w="0" w:type="dxa"/>
            <w:right w:w="0" w:type="dxa"/>
          </w:tblCellMar>
        </w:tblPrEx>
        <w:trPr>
          <w:trHeight w:val="34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土地出让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r>
      <w:tr>
        <w:tblPrEx>
          <w:shd w:val="clear" w:color="auto" w:fill="auto"/>
          <w:tblCellMar>
            <w:top w:w="0" w:type="dxa"/>
            <w:left w:w="0" w:type="dxa"/>
            <w:bottom w:w="0" w:type="dxa"/>
            <w:right w:w="0"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成交金额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605.00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542.95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1580.00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947.24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1975.56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5650.75 </w:t>
            </w:r>
          </w:p>
        </w:tc>
      </w:tr>
      <w:tr>
        <w:tblPrEx>
          <w:shd w:val="clear" w:color="auto" w:fill="auto"/>
          <w:tblCellMar>
            <w:top w:w="0" w:type="dxa"/>
            <w:left w:w="0" w:type="dxa"/>
            <w:bottom w:w="0" w:type="dxa"/>
            <w:right w:w="0"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底价金额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598.00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467.70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1540.00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947.24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1975.56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5528.5</w:t>
            </w:r>
          </w:p>
        </w:tc>
      </w:tr>
      <w:tr>
        <w:tblPrEx>
          <w:shd w:val="clear" w:color="auto" w:fill="auto"/>
          <w:tblCellMar>
            <w:top w:w="0" w:type="dxa"/>
            <w:left w:w="0" w:type="dxa"/>
            <w:bottom w:w="0" w:type="dxa"/>
            <w:right w:w="0"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增值资金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75.25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122.25</w:t>
            </w:r>
          </w:p>
        </w:tc>
      </w:tr>
      <w:tr>
        <w:tblPrEx>
          <w:shd w:val="clear" w:color="auto" w:fill="auto"/>
          <w:tblCellMar>
            <w:top w:w="0" w:type="dxa"/>
            <w:left w:w="0" w:type="dxa"/>
            <w:bottom w:w="0" w:type="dxa"/>
            <w:right w:w="0"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增值率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#DIV/0!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#DIV/0!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#DIV/0!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w:t>
            </w:r>
          </w:p>
        </w:tc>
      </w:tr>
      <w:tr>
        <w:tblPrEx>
          <w:shd w:val="clear" w:color="auto" w:fill="auto"/>
          <w:tblCellMar>
            <w:top w:w="0" w:type="dxa"/>
            <w:left w:w="0" w:type="dxa"/>
            <w:bottom w:w="0" w:type="dxa"/>
            <w:right w:w="0" w:type="dxa"/>
          </w:tblCellMar>
        </w:tblPrEx>
        <w:trPr>
          <w:trHeight w:val="34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其他</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交易</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r>
      <w:tr>
        <w:tblPrEx>
          <w:shd w:val="clear" w:color="auto" w:fill="auto"/>
          <w:tblCellMar>
            <w:top w:w="0" w:type="dxa"/>
            <w:left w:w="0" w:type="dxa"/>
            <w:bottom w:w="0" w:type="dxa"/>
            <w:right w:w="0"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成交金额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28.98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59.18 </w:t>
            </w:r>
          </w:p>
        </w:tc>
      </w:tr>
      <w:tr>
        <w:tblPrEx>
          <w:shd w:val="clear" w:color="auto" w:fill="auto"/>
          <w:tblCellMar>
            <w:top w:w="0" w:type="dxa"/>
            <w:left w:w="0" w:type="dxa"/>
            <w:bottom w:w="0" w:type="dxa"/>
            <w:right w:w="0"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底价金额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28.98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59.18 </w:t>
            </w:r>
          </w:p>
        </w:tc>
      </w:tr>
      <w:tr>
        <w:tblPrEx>
          <w:shd w:val="clear" w:color="auto" w:fill="auto"/>
          <w:tblCellMar>
            <w:top w:w="0" w:type="dxa"/>
            <w:left w:w="0" w:type="dxa"/>
            <w:bottom w:w="0" w:type="dxa"/>
            <w:right w:w="0"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增值资金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r>
      <w:tr>
        <w:tblPrEx>
          <w:shd w:val="clear" w:color="auto" w:fill="auto"/>
          <w:tblCellMar>
            <w:top w:w="0" w:type="dxa"/>
            <w:left w:w="0" w:type="dxa"/>
            <w:bottom w:w="0" w:type="dxa"/>
            <w:right w:w="0"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增值率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#DIV/0!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#DIV/0!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#DIV/0!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#DIV/0!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#DIV/0!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#DIV/0!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shd w:val="clear" w:color="auto" w:fill="auto"/>
          <w:tblCellMar>
            <w:top w:w="0" w:type="dxa"/>
            <w:left w:w="0" w:type="dxa"/>
            <w:bottom w:w="0" w:type="dxa"/>
            <w:right w:w="0" w:type="dxa"/>
          </w:tblCellMar>
        </w:tblPrEx>
        <w:trPr>
          <w:trHeight w:val="34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徽采商城订单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756</w:t>
            </w:r>
          </w:p>
        </w:tc>
      </w:tr>
      <w:tr>
        <w:tblPrEx>
          <w:shd w:val="clear" w:color="auto" w:fill="auto"/>
          <w:tblCellMar>
            <w:top w:w="0" w:type="dxa"/>
            <w:left w:w="0" w:type="dxa"/>
            <w:bottom w:w="0" w:type="dxa"/>
            <w:right w:w="0"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成交金额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177.61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74.52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65.93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198.67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321.48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143.28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392.62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605.00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1979.11079</w:t>
            </w:r>
          </w:p>
        </w:tc>
      </w:tr>
      <w:tr>
        <w:tblPrEx>
          <w:tblCellMar>
            <w:top w:w="0" w:type="dxa"/>
            <w:left w:w="0" w:type="dxa"/>
            <w:bottom w:w="0" w:type="dxa"/>
            <w:right w:w="0"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预算金额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184.17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74.52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65.93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208.49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321.48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143.28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605.00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2002.86579</w:t>
            </w:r>
          </w:p>
        </w:tc>
      </w:tr>
      <w:tr>
        <w:tblPrEx>
          <w:tblCellMar>
            <w:top w:w="0" w:type="dxa"/>
            <w:left w:w="0" w:type="dxa"/>
            <w:bottom w:w="0" w:type="dxa"/>
            <w:right w:w="0"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节约资金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6.56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9.81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7.38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23.755</w:t>
            </w:r>
          </w:p>
        </w:tc>
      </w:tr>
      <w:tr>
        <w:tblPrEx>
          <w:tblCellMar>
            <w:top w:w="0" w:type="dxa"/>
            <w:left w:w="0" w:type="dxa"/>
            <w:bottom w:w="0" w:type="dxa"/>
            <w:right w:w="0"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节约率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1.19%</w:t>
            </w:r>
          </w:p>
        </w:tc>
      </w:tr>
      <w:tr>
        <w:tblPrEx>
          <w:tblCellMar>
            <w:top w:w="0" w:type="dxa"/>
            <w:left w:w="0" w:type="dxa"/>
            <w:bottom w:w="0" w:type="dxa"/>
            <w:right w:w="0" w:type="dxa"/>
          </w:tblCellMar>
        </w:tblPrEx>
        <w:trPr>
          <w:trHeight w:val="2070" w:hRule="atLeast"/>
        </w:trPr>
        <w:tc>
          <w:tcPr>
            <w:tcW w:w="1437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备注：</w:t>
            </w:r>
            <w:r>
              <w:rPr>
                <w:rFonts w:hint="eastAsia" w:ascii="宋体" w:hAnsi="宋体" w:eastAsia="宋体" w:cs="宋体"/>
                <w:i w:val="0"/>
                <w:color w:val="000000"/>
                <w:kern w:val="0"/>
                <w:sz w:val="28"/>
                <w:szCs w:val="28"/>
                <w:u w:val="none"/>
                <w:lang w:val="en-US" w:eastAsia="zh-CN" w:bidi="ar"/>
              </w:rPr>
              <w:t>以上交易数据根据《安徽省公共资源交易统计调查方案（2018—2020年）》进行统计。</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b/>
                <w:i w:val="0"/>
                <w:color w:val="000000"/>
                <w:kern w:val="0"/>
                <w:sz w:val="28"/>
                <w:szCs w:val="28"/>
                <w:u w:val="none"/>
                <w:lang w:val="en-US" w:eastAsia="zh-CN" w:bidi="ar"/>
              </w:rPr>
              <w:t>统计口径：</w:t>
            </w:r>
            <w:r>
              <w:rPr>
                <w:rFonts w:hint="eastAsia" w:ascii="宋体" w:hAnsi="宋体" w:eastAsia="宋体" w:cs="宋体"/>
                <w:i w:val="0"/>
                <w:color w:val="000000"/>
                <w:kern w:val="0"/>
                <w:sz w:val="28"/>
                <w:szCs w:val="28"/>
                <w:u w:val="none"/>
                <w:lang w:val="en-US" w:eastAsia="zh-CN" w:bidi="ar"/>
              </w:rPr>
              <w:t>1、工程建设和政府采购项目以当月发放的中标通知书的时间为准，国有产权、土地、矿业权、其他产权项目以当月中标公示时间为准；2、工程建设由公开、邀请项目和小型项目组成；3、政府采购由政府采购和徽采商城完成订单组成。</w:t>
            </w:r>
          </w:p>
        </w:tc>
      </w:tr>
    </w:tbl>
    <w:p/>
    <w:p>
      <w:pPr>
        <w:spacing w:line="600" w:lineRule="exact"/>
        <w:jc w:val="center"/>
        <w:outlineLvl w:val="0"/>
        <w:rPr>
          <w:rFonts w:hint="eastAsia" w:ascii="方正小标宋_GBK" w:hAnsi="方正小标宋_GBK" w:eastAsia="方正小标宋_GBK" w:cs="方正小标宋_GBK"/>
          <w:sz w:val="44"/>
          <w:szCs w:val="44"/>
        </w:rPr>
        <w:sectPr>
          <w:pgSz w:w="16838" w:h="11906" w:orient="landscape"/>
          <w:pgMar w:top="1800" w:right="1440" w:bottom="1800" w:left="1440" w:header="851" w:footer="992" w:gutter="0"/>
          <w:cols w:space="425" w:num="1"/>
          <w:docGrid w:type="lines" w:linePitch="312" w:charSpace="0"/>
        </w:sectPr>
      </w:pPr>
      <w:bookmarkStart w:id="0" w:name="_Toc310330757"/>
    </w:p>
    <w:p>
      <w:pPr>
        <w:spacing w:line="600" w:lineRule="exact"/>
        <w:jc w:val="center"/>
        <w:outlineLvl w:val="0"/>
        <w:rPr>
          <w:rFonts w:hint="eastAsia" w:ascii="方正小标宋_GBK" w:hAnsi="方正小标宋_GBK" w:eastAsia="方正小标宋_GBK" w:cs="方正小标宋_GBK"/>
          <w:sz w:val="44"/>
          <w:szCs w:val="44"/>
        </w:rPr>
      </w:pPr>
    </w:p>
    <w:p>
      <w:pPr>
        <w:spacing w:line="600" w:lineRule="exact"/>
        <w:jc w:val="center"/>
        <w:outlineLvl w:val="0"/>
        <w:rPr>
          <w:rFonts w:eastAsia="方正小标宋简体"/>
          <w:sz w:val="44"/>
          <w:szCs w:val="44"/>
        </w:rPr>
      </w:pPr>
      <w:r>
        <w:rPr>
          <w:rFonts w:hint="eastAsia" w:ascii="方正小标宋_GBK" w:hAnsi="方正小标宋_GBK" w:eastAsia="方正小标宋_GBK" w:cs="方正小标宋_GBK"/>
          <w:sz w:val="44"/>
          <w:szCs w:val="44"/>
        </w:rPr>
        <w:t>主要指标解释</w:t>
      </w:r>
      <w:bookmarkEnd w:id="0"/>
    </w:p>
    <w:p>
      <w:pPr>
        <w:spacing w:line="600" w:lineRule="exact"/>
        <w:ind w:firstLine="640" w:firstLineChars="200"/>
        <w:rPr>
          <w:rFonts w:eastAsia="仿宋_GB2312"/>
          <w:sz w:val="32"/>
          <w:szCs w:val="32"/>
        </w:rPr>
      </w:pPr>
    </w:p>
    <w:p>
      <w:pPr>
        <w:spacing w:line="600" w:lineRule="exact"/>
        <w:ind w:firstLine="640" w:firstLineChars="200"/>
        <w:rPr>
          <w:rFonts w:eastAsia="仿宋_GB2312"/>
          <w:sz w:val="32"/>
          <w:szCs w:val="32"/>
        </w:rPr>
      </w:pPr>
      <w:r>
        <w:rPr>
          <w:rFonts w:eastAsia="仿宋_GB2312"/>
          <w:sz w:val="32"/>
          <w:szCs w:val="32"/>
        </w:rPr>
        <w:t>一、交易总量：是指以下各类公共资源的成交数量、成交金额（以万元人民币为单位，保留2位小数）的和。</w:t>
      </w:r>
    </w:p>
    <w:p>
      <w:pPr>
        <w:spacing w:line="600" w:lineRule="exact"/>
        <w:ind w:firstLine="640" w:firstLineChars="200"/>
        <w:rPr>
          <w:rFonts w:eastAsia="仿宋_GB2312"/>
          <w:sz w:val="32"/>
          <w:szCs w:val="32"/>
        </w:rPr>
      </w:pPr>
      <w:r>
        <w:rPr>
          <w:rFonts w:eastAsia="仿宋_GB2312"/>
          <w:sz w:val="32"/>
          <w:szCs w:val="32"/>
        </w:rPr>
        <w:t>二、工程建设项目招标投标：是指工程以及与工程建设有关的货物、服务的招标投标情况。</w:t>
      </w:r>
    </w:p>
    <w:p>
      <w:pPr>
        <w:spacing w:line="600" w:lineRule="exact"/>
        <w:ind w:firstLine="640" w:firstLineChars="200"/>
        <w:rPr>
          <w:rFonts w:eastAsia="仿宋_GB2312"/>
          <w:sz w:val="32"/>
          <w:szCs w:val="32"/>
        </w:rPr>
      </w:pPr>
      <w:r>
        <w:rPr>
          <w:rFonts w:eastAsia="仿宋_GB2312"/>
          <w:sz w:val="32"/>
          <w:szCs w:val="32"/>
        </w:rPr>
        <w:t>三、政府采购：是指国家机关、事业单位和团体组织，使用财政性资金采购依法制定的集中采购目录以内的或者采购限额标准以上的货物、工程和服务的采购情况。</w:t>
      </w:r>
    </w:p>
    <w:p>
      <w:pPr>
        <w:spacing w:line="600" w:lineRule="exact"/>
        <w:ind w:firstLine="640" w:firstLineChars="200"/>
        <w:rPr>
          <w:rFonts w:eastAsia="仿宋_GB2312"/>
          <w:sz w:val="32"/>
          <w:szCs w:val="32"/>
        </w:rPr>
      </w:pPr>
      <w:r>
        <w:rPr>
          <w:rFonts w:eastAsia="仿宋_GB2312"/>
          <w:sz w:val="32"/>
          <w:szCs w:val="32"/>
        </w:rPr>
        <w:t>四、国有产权交易：是指国有产权持有人将其国有产权有偿转让（出租）给境内外法人、自然人和其他组织的交易情况。</w:t>
      </w:r>
    </w:p>
    <w:p>
      <w:pPr>
        <w:spacing w:line="600" w:lineRule="exact"/>
        <w:ind w:firstLine="640" w:firstLineChars="200"/>
        <w:rPr>
          <w:rFonts w:eastAsia="仿宋_GB2312"/>
          <w:sz w:val="32"/>
          <w:szCs w:val="32"/>
        </w:rPr>
      </w:pPr>
      <w:r>
        <w:rPr>
          <w:rFonts w:eastAsia="仿宋_GB2312"/>
          <w:sz w:val="32"/>
          <w:szCs w:val="32"/>
        </w:rPr>
        <w:t>五、建设用地使用权出让：是指市、县人民政府国土资源行政主管部门出让建设用地使用权的情况。</w:t>
      </w:r>
    </w:p>
    <w:p>
      <w:pPr>
        <w:spacing w:line="600" w:lineRule="exact"/>
        <w:ind w:firstLine="640" w:firstLineChars="200"/>
        <w:rPr>
          <w:rFonts w:eastAsia="仿宋_GB2312"/>
          <w:sz w:val="32"/>
          <w:szCs w:val="32"/>
        </w:rPr>
      </w:pPr>
      <w:r>
        <w:rPr>
          <w:rFonts w:eastAsia="仿宋_GB2312"/>
          <w:sz w:val="32"/>
          <w:szCs w:val="32"/>
        </w:rPr>
        <w:t>六、矿业权出让：是指县级以上人民政府国土资源行政主管部门出让探矿权和采矿权的情况。</w:t>
      </w:r>
    </w:p>
    <w:p>
      <w:pPr>
        <w:spacing w:line="600" w:lineRule="exact"/>
        <w:ind w:firstLine="640" w:firstLineChars="200"/>
        <w:rPr>
          <w:rFonts w:eastAsia="仿宋_GB2312"/>
          <w:sz w:val="32"/>
          <w:szCs w:val="32"/>
        </w:rPr>
      </w:pPr>
      <w:r>
        <w:rPr>
          <w:rFonts w:eastAsia="仿宋_GB2312"/>
          <w:sz w:val="32"/>
          <w:szCs w:val="32"/>
        </w:rPr>
        <w:t>七、药品集中采购：是指公立医疗机构在依法制定的药品集中采购目录以内采购所需的药品情况。</w:t>
      </w:r>
    </w:p>
    <w:p>
      <w:pPr>
        <w:spacing w:line="600" w:lineRule="exact"/>
        <w:ind w:firstLine="640" w:firstLineChars="200"/>
        <w:rPr>
          <w:rFonts w:eastAsia="仿宋_GB2312"/>
          <w:sz w:val="32"/>
          <w:szCs w:val="32"/>
        </w:rPr>
      </w:pPr>
      <w:r>
        <w:rPr>
          <w:rFonts w:eastAsia="仿宋_GB2312"/>
          <w:sz w:val="32"/>
          <w:szCs w:val="32"/>
        </w:rPr>
        <w:t>八、医用耗材采购：是指公立医疗机构在依法制定的医用耗材网上交易目录以内采购所需的医用耗材情况。</w:t>
      </w:r>
    </w:p>
    <w:p>
      <w:pPr>
        <w:spacing w:line="600" w:lineRule="exact"/>
        <w:ind w:firstLine="640" w:firstLineChars="200"/>
        <w:rPr>
          <w:rFonts w:eastAsia="仿宋_GB2312"/>
          <w:sz w:val="32"/>
          <w:szCs w:val="32"/>
        </w:rPr>
      </w:pPr>
      <w:r>
        <w:rPr>
          <w:rFonts w:eastAsia="仿宋_GB2312"/>
          <w:sz w:val="32"/>
          <w:szCs w:val="32"/>
        </w:rPr>
        <w:t>九、医用设备采购：是指公立医疗机构使用非财政预算安排资金采购依法制定的医用设备集中采购目录以内的或者采购限额标准以上医用设备的情况。</w:t>
      </w:r>
    </w:p>
    <w:p>
      <w:pPr>
        <w:spacing w:line="600" w:lineRule="exact"/>
        <w:ind w:firstLine="640" w:firstLineChars="200"/>
        <w:rPr>
          <w:rFonts w:eastAsia="仿宋_GB2312"/>
          <w:sz w:val="32"/>
          <w:szCs w:val="32"/>
        </w:rPr>
      </w:pPr>
      <w:r>
        <w:rPr>
          <w:rFonts w:eastAsia="仿宋_GB2312"/>
          <w:sz w:val="32"/>
          <w:szCs w:val="32"/>
        </w:rPr>
        <w:t>十、农村产权流转：是指农村土地承包经营权、农村集体经营性资产所有权和使用权、集体林地经营权、林木所有权和使用权等项目的流转情况。</w:t>
      </w:r>
    </w:p>
    <w:p>
      <w:pPr>
        <w:spacing w:line="600" w:lineRule="exact"/>
        <w:ind w:firstLine="640" w:firstLineChars="200"/>
        <w:rPr>
          <w:rFonts w:eastAsia="仿宋_GB2312"/>
          <w:sz w:val="32"/>
          <w:szCs w:val="32"/>
        </w:rPr>
      </w:pPr>
      <w:r>
        <w:rPr>
          <w:rFonts w:eastAsia="仿宋_GB2312"/>
          <w:sz w:val="32"/>
          <w:szCs w:val="32"/>
        </w:rPr>
        <w:t>十一、投资主体性质：是指按不同投资主体的单位性质划分的交易项目。</w:t>
      </w:r>
    </w:p>
    <w:p>
      <w:pPr>
        <w:spacing w:line="600" w:lineRule="exact"/>
        <w:ind w:firstLine="640" w:firstLineChars="200"/>
        <w:rPr>
          <w:rFonts w:eastAsia="仿宋_GB2312"/>
          <w:sz w:val="32"/>
          <w:szCs w:val="32"/>
        </w:rPr>
      </w:pPr>
      <w:r>
        <w:rPr>
          <w:rFonts w:eastAsia="仿宋_GB2312"/>
          <w:sz w:val="32"/>
          <w:szCs w:val="32"/>
        </w:rPr>
        <w:t>政府投资：是指使用财政性资金和由政府负责偿还债务的借贷资金的政府机关、事业单位等投资的项目。</w:t>
      </w:r>
    </w:p>
    <w:p>
      <w:pPr>
        <w:spacing w:line="600" w:lineRule="exact"/>
        <w:ind w:firstLine="640" w:firstLineChars="200"/>
        <w:rPr>
          <w:rFonts w:eastAsia="仿宋_GB2312"/>
          <w:sz w:val="32"/>
          <w:szCs w:val="32"/>
        </w:rPr>
      </w:pPr>
      <w:r>
        <w:rPr>
          <w:rFonts w:eastAsia="仿宋_GB2312"/>
          <w:sz w:val="32"/>
          <w:szCs w:val="32"/>
        </w:rPr>
        <w:t>企业投资：是指使用企业自有资金和由企业负责偿还债务的借贷资金的企业（包括国有企业、外资企业、合资企业、民营企业等各类企业）投资的项目。</w:t>
      </w:r>
    </w:p>
    <w:p>
      <w:pPr>
        <w:spacing w:line="600" w:lineRule="exact"/>
        <w:ind w:firstLine="640" w:firstLineChars="200"/>
        <w:rPr>
          <w:rFonts w:eastAsia="仿宋_GB2312"/>
          <w:sz w:val="32"/>
          <w:szCs w:val="32"/>
        </w:rPr>
      </w:pPr>
      <w:r>
        <w:rPr>
          <w:rFonts w:eastAsia="仿宋_GB2312"/>
          <w:sz w:val="32"/>
          <w:szCs w:val="32"/>
        </w:rPr>
        <w:t>其它：是指除政府投资、企业投资外的其它项目。</w:t>
      </w:r>
    </w:p>
    <w:p>
      <w:pPr>
        <w:spacing w:line="600" w:lineRule="exact"/>
        <w:ind w:firstLine="640" w:firstLineChars="200"/>
        <w:rPr>
          <w:rFonts w:eastAsia="仿宋_GB2312"/>
          <w:sz w:val="32"/>
          <w:szCs w:val="32"/>
        </w:rPr>
      </w:pPr>
      <w:r>
        <w:rPr>
          <w:rFonts w:eastAsia="仿宋_GB2312"/>
          <w:sz w:val="32"/>
          <w:szCs w:val="32"/>
        </w:rPr>
        <w:t>十二、其他项目：是指没有列入统计表中的其他交易情况。</w:t>
      </w:r>
    </w:p>
    <w:p>
      <w:pPr>
        <w:spacing w:line="600" w:lineRule="exact"/>
        <w:ind w:firstLine="640" w:firstLineChars="200"/>
        <w:rPr>
          <w:rFonts w:eastAsia="仿宋_GB2312"/>
          <w:sz w:val="32"/>
          <w:szCs w:val="32"/>
        </w:rPr>
      </w:pPr>
      <w:r>
        <w:rPr>
          <w:rFonts w:eastAsia="仿宋_GB2312"/>
          <w:sz w:val="32"/>
          <w:szCs w:val="32"/>
        </w:rPr>
        <w:t>十三、政府和社会资本合作（PPP）：是指政府</w:t>
      </w:r>
      <w:r>
        <w:rPr>
          <w:rFonts w:hint="eastAsia" w:eastAsia="仿宋_GB2312"/>
          <w:sz w:val="32"/>
          <w:szCs w:val="32"/>
          <w:lang w:eastAsia="zh-CN"/>
        </w:rPr>
        <w:t>和</w:t>
      </w:r>
      <w:r>
        <w:rPr>
          <w:rFonts w:eastAsia="仿宋_GB2312"/>
          <w:sz w:val="32"/>
          <w:szCs w:val="32"/>
        </w:rPr>
        <w:t>社会资本合作的交易项目。</w:t>
      </w:r>
      <w:bookmarkStart w:id="1" w:name="_GoBack"/>
      <w:bookmarkEnd w:id="1"/>
    </w:p>
    <w:p>
      <w:pPr>
        <w:spacing w:line="600" w:lineRule="exact"/>
        <w:ind w:firstLine="640" w:firstLineChars="200"/>
        <w:rPr>
          <w:rFonts w:eastAsia="仿宋_GB2312"/>
          <w:sz w:val="32"/>
          <w:szCs w:val="32"/>
        </w:rPr>
      </w:pPr>
      <w:r>
        <w:rPr>
          <w:rFonts w:eastAsia="仿宋_GB2312"/>
          <w:sz w:val="32"/>
          <w:szCs w:val="32"/>
        </w:rPr>
        <w:t>十四、房屋建筑：是指包括各类房屋建筑及其附属设施和与其配套的线路、管道、设备安装工程及室内外装修工程。</w:t>
      </w:r>
    </w:p>
    <w:p>
      <w:pPr>
        <w:spacing w:line="600" w:lineRule="exact"/>
        <w:ind w:firstLine="640" w:firstLineChars="200"/>
        <w:rPr>
          <w:rFonts w:eastAsia="仿宋_GB2312"/>
          <w:sz w:val="32"/>
          <w:szCs w:val="32"/>
        </w:rPr>
      </w:pPr>
      <w:r>
        <w:rPr>
          <w:rFonts w:eastAsia="仿宋_GB2312"/>
          <w:sz w:val="32"/>
          <w:szCs w:val="32"/>
        </w:rPr>
        <w:t>十五、市政：是指包括城市道路、桥梁、地铁和轻轨交通、城市绿化、污水排放及处理、垃圾处理、地下管道、公共停车场、供水、供电、供气、供热等。</w:t>
      </w:r>
    </w:p>
    <w:p>
      <w:pPr>
        <w:spacing w:line="600" w:lineRule="exact"/>
        <w:ind w:firstLine="640" w:firstLineChars="200"/>
        <w:rPr>
          <w:rFonts w:eastAsia="仿宋_GB2312"/>
          <w:sz w:val="32"/>
          <w:szCs w:val="32"/>
        </w:rPr>
      </w:pPr>
      <w:r>
        <w:rPr>
          <w:rFonts w:eastAsia="仿宋_GB2312"/>
          <w:sz w:val="32"/>
          <w:szCs w:val="32"/>
        </w:rPr>
        <w:t>十六、公路：是指包括公路路基、路面、公路桥梁、公路隧道、公路机电、公路交通安全设施、房建、绿化等。</w:t>
      </w:r>
    </w:p>
    <w:p>
      <w:pPr>
        <w:spacing w:line="600" w:lineRule="exact"/>
        <w:ind w:firstLine="640" w:firstLineChars="200"/>
        <w:rPr>
          <w:rFonts w:eastAsia="仿宋_GB2312"/>
          <w:sz w:val="32"/>
          <w:szCs w:val="32"/>
        </w:rPr>
      </w:pPr>
      <w:r>
        <w:rPr>
          <w:rFonts w:eastAsia="仿宋_GB2312"/>
          <w:sz w:val="32"/>
          <w:szCs w:val="32"/>
        </w:rPr>
        <w:t>十七、铁路：是指包括铁路路基、铁路桥梁、铁路隧道、信号工程、电气化工程、场站工程等。</w:t>
      </w:r>
    </w:p>
    <w:p>
      <w:pPr>
        <w:spacing w:line="600" w:lineRule="exact"/>
        <w:ind w:firstLine="640" w:firstLineChars="200"/>
        <w:rPr>
          <w:rFonts w:eastAsia="仿宋_GB2312"/>
          <w:sz w:val="32"/>
          <w:szCs w:val="32"/>
        </w:rPr>
      </w:pPr>
      <w:r>
        <w:rPr>
          <w:rFonts w:eastAsia="仿宋_GB2312"/>
          <w:sz w:val="32"/>
          <w:szCs w:val="32"/>
        </w:rPr>
        <w:t>十八、民航：是指包括机场场道、目视助航、机电系统等。</w:t>
      </w:r>
    </w:p>
    <w:p>
      <w:pPr>
        <w:spacing w:line="600" w:lineRule="exact"/>
        <w:ind w:firstLine="640" w:firstLineChars="200"/>
        <w:rPr>
          <w:rFonts w:eastAsia="仿宋_GB2312"/>
          <w:sz w:val="32"/>
          <w:szCs w:val="32"/>
        </w:rPr>
      </w:pPr>
      <w:r>
        <w:rPr>
          <w:rFonts w:eastAsia="仿宋_GB2312"/>
          <w:sz w:val="32"/>
          <w:szCs w:val="32"/>
        </w:rPr>
        <w:t>十九、水利：是指包括防洪、灌溉、排涝、引（供）水、滩涂治理、水土保持、水利枢纽等。</w:t>
      </w:r>
    </w:p>
    <w:p>
      <w:pPr>
        <w:spacing w:line="600" w:lineRule="exact"/>
        <w:ind w:firstLine="640" w:firstLineChars="200"/>
        <w:rPr>
          <w:rFonts w:eastAsia="仿宋_GB2312"/>
          <w:sz w:val="32"/>
          <w:szCs w:val="32"/>
        </w:rPr>
      </w:pPr>
      <w:r>
        <w:rPr>
          <w:rFonts w:eastAsia="仿宋_GB2312"/>
          <w:sz w:val="32"/>
          <w:szCs w:val="32"/>
        </w:rPr>
        <w:t>二十、能源：是指包括煤炭、石油、天然气、电力、新能源等。</w:t>
      </w:r>
    </w:p>
    <w:p>
      <w:pPr>
        <w:spacing w:line="600" w:lineRule="exact"/>
        <w:ind w:firstLine="640" w:firstLineChars="200"/>
        <w:rPr>
          <w:rFonts w:eastAsia="仿宋_GB2312"/>
          <w:sz w:val="32"/>
          <w:szCs w:val="32"/>
        </w:rPr>
      </w:pPr>
      <w:r>
        <w:rPr>
          <w:rFonts w:eastAsia="仿宋_GB2312"/>
          <w:sz w:val="32"/>
          <w:szCs w:val="32"/>
        </w:rPr>
        <w:t>二十一、邮电通信：是指包括邮政、电信枢纽、通信、信息网络等。</w:t>
      </w:r>
    </w:p>
    <w:p>
      <w:pPr>
        <w:spacing w:line="600" w:lineRule="exact"/>
        <w:ind w:firstLine="640" w:firstLineChars="200"/>
        <w:rPr>
          <w:rFonts w:eastAsia="仿宋_GB2312"/>
          <w:sz w:val="32"/>
          <w:szCs w:val="32"/>
        </w:rPr>
      </w:pPr>
      <w:r>
        <w:rPr>
          <w:rFonts w:eastAsia="仿宋_GB2312"/>
          <w:sz w:val="32"/>
          <w:szCs w:val="32"/>
        </w:rPr>
        <w:t>二十二、省内企业中标（成交）：是指注册地在安徽省辖区内的企业在各地中标或成交的情况。</w:t>
      </w:r>
    </w:p>
    <w:p>
      <w:pPr>
        <w:spacing w:line="600" w:lineRule="exact"/>
        <w:ind w:firstLine="640" w:firstLineChars="200"/>
        <w:rPr>
          <w:rFonts w:eastAsia="仿宋_GB2312"/>
          <w:sz w:val="32"/>
          <w:szCs w:val="32"/>
        </w:rPr>
      </w:pPr>
      <w:r>
        <w:rPr>
          <w:rFonts w:eastAsia="仿宋_GB2312"/>
          <w:sz w:val="32"/>
          <w:szCs w:val="32"/>
        </w:rPr>
        <w:t>二十三、项目数量：是指招标人、采购人、出让人、转让人与中标人、供应商或受让人签订的合同个数。</w:t>
      </w:r>
    </w:p>
    <w:p>
      <w:pPr>
        <w:spacing w:line="600" w:lineRule="exact"/>
        <w:ind w:firstLine="640" w:firstLineChars="200"/>
        <w:rPr>
          <w:rFonts w:eastAsia="仿宋_GB2312"/>
          <w:sz w:val="32"/>
          <w:szCs w:val="32"/>
        </w:rPr>
      </w:pPr>
      <w:r>
        <w:rPr>
          <w:rFonts w:eastAsia="仿宋_GB2312"/>
          <w:sz w:val="32"/>
          <w:szCs w:val="32"/>
        </w:rPr>
        <w:t>二十四、成交金额：是指中标或成交通知书上载明的金额，以及网购同品种商品的总金额。</w:t>
      </w:r>
    </w:p>
    <w:p>
      <w:pPr>
        <w:spacing w:line="600" w:lineRule="exact"/>
        <w:ind w:firstLine="640" w:firstLineChars="200"/>
        <w:rPr>
          <w:rFonts w:eastAsia="仿宋_GB2312"/>
          <w:sz w:val="32"/>
          <w:szCs w:val="32"/>
        </w:rPr>
      </w:pPr>
      <w:r>
        <w:rPr>
          <w:rFonts w:eastAsia="仿宋_GB2312"/>
          <w:sz w:val="32"/>
          <w:szCs w:val="32"/>
        </w:rPr>
        <w:t>二十五、品种：是指政府采购网上商城按某种相同特征划分的商品种类。</w:t>
      </w:r>
    </w:p>
    <w:p>
      <w:pPr>
        <w:spacing w:line="600" w:lineRule="exact"/>
        <w:ind w:firstLine="640" w:firstLineChars="200"/>
        <w:rPr>
          <w:rFonts w:eastAsia="仿宋_GB2312"/>
          <w:sz w:val="32"/>
          <w:szCs w:val="32"/>
        </w:rPr>
      </w:pPr>
      <w:r>
        <w:rPr>
          <w:rFonts w:eastAsia="仿宋_GB2312"/>
          <w:sz w:val="32"/>
          <w:szCs w:val="32"/>
        </w:rPr>
        <w:t>二十六、电子竞价：是指竞争主体按照项目单位规定的方式和期限相继提交更高报价，由项目单位从中选择竞得人所使用的在线实时交易方式。</w:t>
      </w:r>
    </w:p>
    <w:p>
      <w:pPr>
        <w:spacing w:line="600" w:lineRule="exact"/>
        <w:ind w:firstLine="640" w:firstLineChars="200"/>
        <w:rPr>
          <w:rFonts w:eastAsia="仿宋_GB2312"/>
          <w:sz w:val="32"/>
          <w:szCs w:val="32"/>
        </w:rPr>
      </w:pPr>
      <w:r>
        <w:rPr>
          <w:rFonts w:eastAsia="仿宋_GB2312"/>
          <w:sz w:val="32"/>
          <w:szCs w:val="32"/>
        </w:rPr>
        <w:t>节资率＝（预算金额－成交金额）÷预算金额×100%；</w:t>
      </w:r>
    </w:p>
    <w:p>
      <w:pPr>
        <w:spacing w:line="600" w:lineRule="exact"/>
        <w:ind w:firstLine="640" w:firstLineChars="200"/>
      </w:pPr>
      <w:r>
        <w:rPr>
          <w:rFonts w:eastAsia="仿宋_GB2312"/>
          <w:sz w:val="32"/>
          <w:szCs w:val="32"/>
        </w:rPr>
        <w:t>增值率＝（成交金额－底价金额）÷底价金额×100%。</w:t>
      </w: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mNThiZmMyNjc5MGVkYWZmMTY2NGFiNGFiYjIwNmYifQ=="/>
  </w:docVars>
  <w:rsids>
    <w:rsidRoot w:val="00172A27"/>
    <w:rsid w:val="094D61F9"/>
    <w:rsid w:val="09A80B5E"/>
    <w:rsid w:val="0FB457DA"/>
    <w:rsid w:val="14CF539D"/>
    <w:rsid w:val="1CBD6AD0"/>
    <w:rsid w:val="1D5954FE"/>
    <w:rsid w:val="27F925FD"/>
    <w:rsid w:val="296E2F4C"/>
    <w:rsid w:val="404A47CB"/>
    <w:rsid w:val="454C73B0"/>
    <w:rsid w:val="458D353F"/>
    <w:rsid w:val="47C30C87"/>
    <w:rsid w:val="4E4F44FD"/>
    <w:rsid w:val="51121C40"/>
    <w:rsid w:val="520F257D"/>
    <w:rsid w:val="5D3059D6"/>
    <w:rsid w:val="5DCC506A"/>
    <w:rsid w:val="5FEB10CF"/>
    <w:rsid w:val="6F984BD8"/>
    <w:rsid w:val="7D762D55"/>
    <w:rsid w:val="7EFC7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32"/>
      <w:lang w:val="en-US" w:eastAsia="zh-CN" w:bidi="ar-SA"/>
    </w:rPr>
  </w:style>
  <w:style w:type="paragraph" w:styleId="2">
    <w:name w:val="heading 1"/>
    <w:basedOn w:val="1"/>
    <w:next w:val="1"/>
    <w:link w:val="8"/>
    <w:qFormat/>
    <w:uiPriority w:val="0"/>
    <w:pPr>
      <w:keepNext/>
      <w:keepLines/>
      <w:spacing w:before="340" w:after="330" w:line="579" w:lineRule="auto"/>
      <w:jc w:val="center"/>
      <w:outlineLvl w:val="0"/>
    </w:pPr>
    <w:rPr>
      <w:rFonts w:ascii="Times New Roman" w:hAnsi="Times New Roman" w:eastAsia="黑体" w:cs="Times New Roman"/>
      <w:b/>
      <w:bCs/>
      <w:kern w:val="44"/>
      <w:sz w:val="36"/>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rFonts w:ascii="Calibri" w:hAnsi="Calibri" w:cs="黑体"/>
      <w:sz w:val="18"/>
      <w:szCs w:val="18"/>
    </w:rPr>
  </w:style>
  <w:style w:type="character" w:styleId="6">
    <w:name w:val="page number"/>
    <w:basedOn w:val="5"/>
    <w:qFormat/>
    <w:uiPriority w:val="0"/>
  </w:style>
  <w:style w:type="paragraph" w:customStyle="1" w:styleId="7">
    <w:name w:val="样式3"/>
    <w:basedOn w:val="1"/>
    <w:qFormat/>
    <w:uiPriority w:val="0"/>
    <w:rPr>
      <w:rFonts w:ascii="Times New Roman" w:hAnsi="Times New Roman" w:eastAsia="楷体" w:cs="Times New Roman"/>
      <w:sz w:val="32"/>
      <w:szCs w:val="24"/>
    </w:rPr>
  </w:style>
  <w:style w:type="character" w:customStyle="1" w:styleId="8">
    <w:name w:val="标题 1 Char"/>
    <w:link w:val="2"/>
    <w:qFormat/>
    <w:uiPriority w:val="0"/>
    <w:rPr>
      <w:rFonts w:ascii="Times New Roman" w:hAnsi="Times New Roman" w:eastAsia="黑体" w:cs="Times New Roman"/>
      <w:b/>
      <w:bCs/>
      <w:kern w:val="44"/>
      <w:sz w:val="36"/>
      <w:szCs w:val="44"/>
      <w:lang w:val="en-US" w:eastAsia="zh-CN" w:bidi="ar-SA"/>
    </w:rPr>
  </w:style>
  <w:style w:type="character" w:customStyle="1" w:styleId="9">
    <w:name w:val="font01"/>
    <w:basedOn w:val="5"/>
    <w:qFormat/>
    <w:uiPriority w:val="0"/>
    <w:rPr>
      <w:rFonts w:hint="eastAsia" w:ascii="宋体" w:hAnsi="宋体" w:eastAsia="宋体" w:cs="宋体"/>
      <w:color w:val="000000"/>
      <w:sz w:val="28"/>
      <w:szCs w:val="28"/>
      <w:u w:val="none"/>
    </w:rPr>
  </w:style>
  <w:style w:type="character" w:customStyle="1" w:styleId="10">
    <w:name w:val="font41"/>
    <w:basedOn w:val="5"/>
    <w:qFormat/>
    <w:uiPriority w:val="0"/>
    <w:rPr>
      <w:rFonts w:hint="eastAsia" w:ascii="宋体" w:hAnsi="宋体" w:eastAsia="宋体" w:cs="宋体"/>
      <w:b/>
      <w:color w:val="000000"/>
      <w:sz w:val="28"/>
      <w:szCs w:val="28"/>
      <w:u w:val="none"/>
    </w:rPr>
  </w:style>
  <w:style w:type="character" w:customStyle="1" w:styleId="11">
    <w:name w:val="font11"/>
    <w:basedOn w:val="5"/>
    <w:qFormat/>
    <w:uiPriority w:val="0"/>
    <w:rPr>
      <w:rFonts w:hint="eastAsia" w:ascii="宋体" w:hAnsi="宋体" w:eastAsia="宋体" w:cs="宋体"/>
      <w:color w:val="000000"/>
      <w:sz w:val="28"/>
      <w:szCs w:val="28"/>
      <w:u w:val="none"/>
    </w:rPr>
  </w:style>
  <w:style w:type="character" w:customStyle="1" w:styleId="12">
    <w:name w:val="font51"/>
    <w:basedOn w:val="5"/>
    <w:qFormat/>
    <w:uiPriority w:val="0"/>
    <w:rPr>
      <w:rFonts w:hint="eastAsia" w:ascii="宋体" w:hAnsi="宋体" w:eastAsia="宋体" w:cs="宋体"/>
      <w:b/>
      <w:color w:val="000000"/>
      <w:sz w:val="28"/>
      <w:szCs w:val="28"/>
      <w:u w:val="none"/>
    </w:rPr>
  </w:style>
  <w:style w:type="character" w:customStyle="1" w:styleId="13">
    <w:name w:val="font71"/>
    <w:basedOn w:val="5"/>
    <w:qFormat/>
    <w:uiPriority w:val="0"/>
    <w:rPr>
      <w:rFonts w:hint="eastAsia" w:ascii="宋体" w:hAnsi="宋体" w:eastAsia="宋体" w:cs="宋体"/>
      <w:b/>
      <w:color w:val="000000"/>
      <w:sz w:val="28"/>
      <w:szCs w:val="28"/>
      <w:u w:val="none"/>
    </w:rPr>
  </w:style>
  <w:style w:type="character" w:customStyle="1" w:styleId="14">
    <w:name w:val="font31"/>
    <w:basedOn w:val="5"/>
    <w:qFormat/>
    <w:uiPriority w:val="0"/>
    <w:rPr>
      <w:rFonts w:hint="eastAsia" w:ascii="宋体" w:hAnsi="宋体" w:eastAsia="宋体" w:cs="宋体"/>
      <w:b/>
      <w:color w:val="000000"/>
      <w:sz w:val="28"/>
      <w:szCs w:val="28"/>
      <w:u w:val="none"/>
    </w:rPr>
  </w:style>
  <w:style w:type="character" w:customStyle="1" w:styleId="15">
    <w:name w:val="font21"/>
    <w:basedOn w:val="5"/>
    <w:qFormat/>
    <w:uiPriority w:val="0"/>
    <w:rPr>
      <w:rFonts w:hint="eastAsia" w:ascii="宋体" w:hAnsi="宋体" w:eastAsia="宋体" w:cs="宋体"/>
      <w:b/>
      <w:color w:val="000000"/>
      <w:sz w:val="28"/>
      <w:szCs w:val="28"/>
      <w:u w:val="none"/>
    </w:rPr>
  </w:style>
  <w:style w:type="character" w:customStyle="1" w:styleId="16">
    <w:name w:val="font61"/>
    <w:basedOn w:val="5"/>
    <w:qFormat/>
    <w:uiPriority w:val="0"/>
    <w:rPr>
      <w:rFonts w:hint="eastAsia" w:ascii="宋体" w:hAnsi="宋体" w:eastAsia="宋体" w:cs="宋体"/>
      <w:color w:val="000000"/>
      <w:sz w:val="28"/>
      <w:szCs w:val="28"/>
      <w:u w:val="none"/>
    </w:rPr>
  </w:style>
  <w:style w:type="character" w:customStyle="1" w:styleId="17">
    <w:name w:val="font81"/>
    <w:basedOn w:val="5"/>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6</Pages>
  <Words>2106</Words>
  <Characters>3605</Characters>
  <Lines>0</Lines>
  <Paragraphs>0</Paragraphs>
  <TotalTime>0</TotalTime>
  <ScaleCrop>false</ScaleCrop>
  <LinksUpToDate>false</LinksUpToDate>
  <CharactersWithSpaces>3796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ty1393581887</dc:creator>
  <cp:lastModifiedBy>迦若</cp:lastModifiedBy>
  <dcterms:modified xsi:type="dcterms:W3CDTF">2023-02-03T02:24:34Z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2FFF455E770E4A1EA08A0DBAAFE73BBF</vt:lpwstr>
  </property>
</Properties>
</file>