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DC72AEC">
      <w:pPr>
        <w:jc w:val="center"/>
        <w:rPr>
          <w:rFonts w:hint="eastAsia"/>
          <w:b/>
          <w:bCs/>
          <w:sz w:val="44"/>
          <w:szCs w:val="44"/>
          <w:lang w:val="en-US" w:eastAsia="zh-CN"/>
        </w:rPr>
      </w:pPr>
      <w:r>
        <w:rPr>
          <w:rFonts w:hint="eastAsia"/>
          <w:b/>
          <w:bCs/>
          <w:sz w:val="44"/>
          <w:szCs w:val="44"/>
          <w:lang w:val="en-US" w:eastAsia="zh-CN"/>
        </w:rPr>
        <w:t>评分标准</w:t>
      </w:r>
    </w:p>
    <w:p w14:paraId="3C6AB4FC">
      <w:pPr>
        <w:pStyle w:val="4"/>
        <w:spacing w:line="360" w:lineRule="auto"/>
        <w:ind w:firstLine="480" w:firstLineChars="200"/>
        <w:rPr>
          <w:rFonts w:hint="eastAsia" w:ascii="宋体" w:hAnsi="宋体" w:eastAsia="宋体"/>
          <w:b w:val="0"/>
          <w:bCs w:val="0"/>
          <w:sz w:val="24"/>
          <w:szCs w:val="24"/>
        </w:rPr>
      </w:pPr>
      <w:r>
        <w:rPr>
          <w:rFonts w:hint="eastAsia" w:ascii="宋体" w:hAnsi="宋体" w:eastAsia="宋体"/>
          <w:b w:val="0"/>
          <w:bCs w:val="0"/>
          <w:sz w:val="24"/>
          <w:szCs w:val="24"/>
        </w:rPr>
        <w:t xml:space="preserve">本次采用百分制评分法，商务（报价）权重 </w:t>
      </w:r>
      <w:r>
        <w:rPr>
          <w:rFonts w:hint="eastAsia" w:ascii="宋体" w:hAnsi="宋体" w:eastAsia="宋体"/>
          <w:b w:val="0"/>
          <w:bCs w:val="0"/>
          <w:sz w:val="24"/>
          <w:szCs w:val="24"/>
          <w:lang w:val="en-US" w:eastAsia="zh-CN"/>
        </w:rPr>
        <w:t>2</w:t>
      </w:r>
      <w:r>
        <w:rPr>
          <w:rFonts w:hint="eastAsia" w:ascii="宋体" w:hAnsi="宋体" w:eastAsia="宋体"/>
          <w:b w:val="0"/>
          <w:bCs w:val="0"/>
          <w:sz w:val="24"/>
          <w:szCs w:val="24"/>
        </w:rPr>
        <w:t xml:space="preserve">0%，经评审满足磋商文件要求且最后报价最低的供应商的价格为磋商基准价，其价格为满分，得 </w:t>
      </w:r>
      <w:r>
        <w:rPr>
          <w:rFonts w:hint="eastAsia" w:ascii="宋体" w:hAnsi="宋体" w:eastAsia="宋体"/>
          <w:b w:val="0"/>
          <w:bCs w:val="0"/>
          <w:sz w:val="24"/>
          <w:szCs w:val="24"/>
          <w:lang w:val="en-US" w:eastAsia="zh-CN"/>
        </w:rPr>
        <w:t>2</w:t>
      </w:r>
      <w:r>
        <w:rPr>
          <w:rFonts w:hint="eastAsia" w:ascii="宋体" w:hAnsi="宋体" w:eastAsia="宋体"/>
          <w:b w:val="0"/>
          <w:bCs w:val="0"/>
          <w:sz w:val="24"/>
          <w:szCs w:val="24"/>
        </w:rPr>
        <w:t>0 分。其他供应商的价格分统一按照下列公式计算：磋商报价得分=（磋商基准价/最后磋商报价）×</w:t>
      </w:r>
      <w:r>
        <w:rPr>
          <w:rFonts w:hint="eastAsia" w:ascii="宋体" w:hAnsi="宋体" w:eastAsia="宋体"/>
          <w:b w:val="0"/>
          <w:bCs w:val="0"/>
          <w:sz w:val="24"/>
          <w:szCs w:val="24"/>
          <w:lang w:val="en-US" w:eastAsia="zh-CN"/>
        </w:rPr>
        <w:t>2</w:t>
      </w:r>
      <w:r>
        <w:rPr>
          <w:rFonts w:hint="eastAsia" w:ascii="宋体" w:hAnsi="宋体" w:eastAsia="宋体"/>
          <w:b w:val="0"/>
          <w:bCs w:val="0"/>
          <w:sz w:val="24"/>
          <w:szCs w:val="24"/>
        </w:rPr>
        <w:t>0%×100。</w:t>
      </w:r>
    </w:p>
    <w:p w14:paraId="2EB756A8">
      <w:pPr>
        <w:pStyle w:val="4"/>
        <w:spacing w:line="360" w:lineRule="auto"/>
        <w:ind w:firstLine="480" w:firstLineChars="200"/>
        <w:rPr>
          <w:rFonts w:hint="eastAsia" w:ascii="宋体" w:hAnsi="宋体" w:eastAsia="宋体"/>
          <w:b w:val="0"/>
          <w:bCs w:val="0"/>
          <w:sz w:val="24"/>
          <w:szCs w:val="24"/>
        </w:rPr>
      </w:pPr>
      <w:r>
        <w:rPr>
          <w:rFonts w:hint="eastAsia" w:ascii="宋体" w:hAnsi="宋体" w:eastAsia="宋体"/>
          <w:b w:val="0"/>
          <w:bCs w:val="0"/>
          <w:sz w:val="24"/>
          <w:szCs w:val="24"/>
        </w:rPr>
        <w:t>注：超过最高限价的最后磋商报价为无效报价，按废标处理。</w:t>
      </w:r>
    </w:p>
    <w:p w14:paraId="60978CCA">
      <w:pPr>
        <w:pStyle w:val="4"/>
        <w:spacing w:line="360" w:lineRule="auto"/>
        <w:ind w:firstLine="480" w:firstLineChars="200"/>
        <w:rPr>
          <w:rFonts w:ascii="宋体" w:hAnsi="宋体" w:eastAsia="宋体"/>
          <w:b w:val="0"/>
          <w:bCs w:val="0"/>
          <w:sz w:val="24"/>
          <w:szCs w:val="24"/>
        </w:rPr>
      </w:pPr>
      <w:r>
        <w:rPr>
          <w:rFonts w:hint="eastAsia" w:ascii="宋体" w:hAnsi="宋体" w:eastAsia="宋体"/>
          <w:b w:val="0"/>
          <w:bCs w:val="0"/>
          <w:sz w:val="24"/>
          <w:szCs w:val="24"/>
        </w:rPr>
        <w:t>具体评分细则如下：</w:t>
      </w:r>
    </w:p>
    <w:tbl>
      <w:tblPr>
        <w:tblStyle w:val="6"/>
        <w:tblW w:w="968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28" w:type="dxa"/>
          <w:left w:w="51" w:type="dxa"/>
          <w:bottom w:w="28" w:type="dxa"/>
          <w:right w:w="51" w:type="dxa"/>
        </w:tblCellMar>
      </w:tblPr>
      <w:tblGrid>
        <w:gridCol w:w="1216"/>
        <w:gridCol w:w="1041"/>
        <w:gridCol w:w="6778"/>
        <w:gridCol w:w="653"/>
      </w:tblGrid>
      <w:tr w14:paraId="34054F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51" w:type="dxa"/>
            <w:bottom w:w="28" w:type="dxa"/>
            <w:right w:w="51" w:type="dxa"/>
          </w:tblCellMar>
        </w:tblPrEx>
        <w:trPr>
          <w:trHeight w:val="789" w:hRule="atLeast"/>
          <w:jc w:val="center"/>
        </w:trPr>
        <w:tc>
          <w:tcPr>
            <w:tcW w:w="1216" w:type="dxa"/>
            <w:tcBorders>
              <w:top w:val="single" w:color="auto" w:sz="4" w:space="0"/>
              <w:left w:val="single" w:color="auto" w:sz="4" w:space="0"/>
              <w:bottom w:val="single" w:color="auto" w:sz="4" w:space="0"/>
              <w:right w:val="single" w:color="auto" w:sz="4" w:space="0"/>
            </w:tcBorders>
            <w:noWrap w:val="0"/>
            <w:vAlign w:val="center"/>
          </w:tcPr>
          <w:p w14:paraId="1FC9781F">
            <w:pPr>
              <w:spacing w:line="400" w:lineRule="exact"/>
              <w:jc w:val="center"/>
              <w:rPr>
                <w:rFonts w:ascii="宋体" w:hAnsi="宋体" w:cs="宋体"/>
                <w:b/>
                <w:bCs/>
                <w:sz w:val="24"/>
                <w:szCs w:val="24"/>
              </w:rPr>
            </w:pPr>
            <w:r>
              <w:rPr>
                <w:rFonts w:hint="eastAsia" w:ascii="宋体" w:hAnsi="宋体" w:cs="宋体"/>
                <w:b/>
                <w:bCs/>
                <w:sz w:val="24"/>
                <w:szCs w:val="24"/>
              </w:rPr>
              <w:t>类别</w:t>
            </w:r>
          </w:p>
        </w:tc>
        <w:tc>
          <w:tcPr>
            <w:tcW w:w="1041" w:type="dxa"/>
            <w:tcBorders>
              <w:top w:val="single" w:color="auto" w:sz="4" w:space="0"/>
              <w:left w:val="single" w:color="auto" w:sz="4" w:space="0"/>
              <w:bottom w:val="single" w:color="auto" w:sz="4" w:space="0"/>
              <w:right w:val="single" w:color="auto" w:sz="4" w:space="0"/>
            </w:tcBorders>
            <w:noWrap w:val="0"/>
            <w:vAlign w:val="center"/>
          </w:tcPr>
          <w:p w14:paraId="175B522A">
            <w:pPr>
              <w:spacing w:line="400" w:lineRule="exact"/>
              <w:jc w:val="center"/>
              <w:rPr>
                <w:rFonts w:ascii="宋体" w:hAnsi="宋体" w:cs="宋体"/>
                <w:b/>
                <w:bCs/>
                <w:sz w:val="24"/>
                <w:szCs w:val="24"/>
              </w:rPr>
            </w:pPr>
            <w:r>
              <w:rPr>
                <w:rFonts w:hint="eastAsia" w:ascii="宋体" w:hAnsi="宋体" w:cs="宋体"/>
                <w:b/>
                <w:bCs/>
                <w:sz w:val="24"/>
                <w:szCs w:val="24"/>
              </w:rPr>
              <w:t>评分内容</w:t>
            </w:r>
          </w:p>
        </w:tc>
        <w:tc>
          <w:tcPr>
            <w:tcW w:w="6778" w:type="dxa"/>
            <w:tcBorders>
              <w:top w:val="single" w:color="auto" w:sz="4" w:space="0"/>
              <w:left w:val="single" w:color="auto" w:sz="4" w:space="0"/>
              <w:bottom w:val="single" w:color="auto" w:sz="4" w:space="0"/>
              <w:right w:val="single" w:color="auto" w:sz="4" w:space="0"/>
            </w:tcBorders>
            <w:noWrap w:val="0"/>
            <w:vAlign w:val="center"/>
          </w:tcPr>
          <w:p w14:paraId="703A5BE8">
            <w:pPr>
              <w:spacing w:line="400" w:lineRule="exact"/>
              <w:jc w:val="center"/>
              <w:rPr>
                <w:rFonts w:ascii="宋体" w:hAnsi="宋体" w:cs="宋体"/>
                <w:b/>
                <w:bCs/>
                <w:sz w:val="24"/>
                <w:szCs w:val="24"/>
              </w:rPr>
            </w:pPr>
            <w:r>
              <w:rPr>
                <w:rFonts w:hint="eastAsia" w:ascii="宋体" w:hAnsi="宋体" w:cs="宋体"/>
                <w:b/>
                <w:bCs/>
                <w:sz w:val="24"/>
                <w:szCs w:val="24"/>
              </w:rPr>
              <w:t>评分标准</w:t>
            </w:r>
          </w:p>
        </w:tc>
        <w:tc>
          <w:tcPr>
            <w:tcW w:w="653" w:type="dxa"/>
            <w:tcBorders>
              <w:top w:val="single" w:color="auto" w:sz="4" w:space="0"/>
              <w:left w:val="single" w:color="auto" w:sz="4" w:space="0"/>
              <w:bottom w:val="single" w:color="auto" w:sz="4" w:space="0"/>
              <w:right w:val="single" w:color="auto" w:sz="4" w:space="0"/>
            </w:tcBorders>
            <w:noWrap w:val="0"/>
            <w:vAlign w:val="center"/>
          </w:tcPr>
          <w:p w14:paraId="2CDC30CD">
            <w:pPr>
              <w:spacing w:line="400" w:lineRule="exact"/>
              <w:jc w:val="center"/>
              <w:rPr>
                <w:rFonts w:ascii="宋体" w:hAnsi="宋体" w:cs="宋体"/>
                <w:b/>
                <w:bCs/>
                <w:sz w:val="24"/>
                <w:szCs w:val="24"/>
              </w:rPr>
            </w:pPr>
            <w:r>
              <w:rPr>
                <w:rFonts w:hint="eastAsia" w:ascii="宋体" w:hAnsi="宋体" w:cs="宋体"/>
                <w:b/>
                <w:bCs/>
                <w:sz w:val="24"/>
                <w:szCs w:val="24"/>
              </w:rPr>
              <w:t>分值范围</w:t>
            </w:r>
          </w:p>
        </w:tc>
      </w:tr>
      <w:tr w14:paraId="6D02D2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51" w:type="dxa"/>
            <w:bottom w:w="28" w:type="dxa"/>
            <w:right w:w="51" w:type="dxa"/>
          </w:tblCellMar>
        </w:tblPrEx>
        <w:trPr>
          <w:trHeight w:val="433" w:hRule="atLeast"/>
          <w:jc w:val="center"/>
        </w:trPr>
        <w:tc>
          <w:tcPr>
            <w:tcW w:w="1216" w:type="dxa"/>
            <w:vMerge w:val="restart"/>
            <w:tcBorders>
              <w:top w:val="single" w:color="auto" w:sz="4" w:space="0"/>
              <w:left w:val="single" w:color="auto" w:sz="4" w:space="0"/>
              <w:right w:val="single" w:color="auto" w:sz="4" w:space="0"/>
            </w:tcBorders>
            <w:noWrap w:val="0"/>
            <w:vAlign w:val="center"/>
          </w:tcPr>
          <w:p w14:paraId="1FB853F7">
            <w:pPr>
              <w:spacing w:line="400" w:lineRule="exact"/>
              <w:jc w:val="center"/>
              <w:rPr>
                <w:rFonts w:ascii="宋体" w:hAnsi="宋体"/>
                <w:sz w:val="24"/>
                <w:szCs w:val="24"/>
              </w:rPr>
            </w:pPr>
            <w:r>
              <w:rPr>
                <w:rFonts w:hint="eastAsia" w:ascii="宋体" w:hAnsi="宋体" w:cs="宋体"/>
                <w:sz w:val="24"/>
                <w:szCs w:val="24"/>
              </w:rPr>
              <w:t>技</w:t>
            </w:r>
            <w:r>
              <w:rPr>
                <w:rFonts w:hint="eastAsia" w:ascii="宋体" w:hAnsi="宋体"/>
                <w:sz w:val="24"/>
                <w:szCs w:val="24"/>
              </w:rPr>
              <w:t>术分</w:t>
            </w:r>
          </w:p>
          <w:p w14:paraId="4B1D13AB">
            <w:pPr>
              <w:spacing w:line="400" w:lineRule="exact"/>
              <w:jc w:val="center"/>
              <w:rPr>
                <w:rFonts w:ascii="宋体" w:hAnsi="宋体" w:cs="宋体"/>
                <w:sz w:val="24"/>
                <w:szCs w:val="24"/>
              </w:rPr>
            </w:pPr>
            <w:r>
              <w:rPr>
                <w:rFonts w:hint="eastAsia" w:ascii="宋体" w:hAnsi="宋体"/>
                <w:sz w:val="24"/>
                <w:szCs w:val="24"/>
              </w:rPr>
              <w:t>（</w:t>
            </w:r>
            <w:r>
              <w:rPr>
                <w:rFonts w:hint="eastAsia" w:ascii="宋体" w:hAnsi="宋体"/>
                <w:sz w:val="24"/>
                <w:szCs w:val="24"/>
                <w:lang w:val="en-US" w:eastAsia="zh-CN"/>
              </w:rPr>
              <w:t>80</w:t>
            </w:r>
            <w:r>
              <w:rPr>
                <w:rFonts w:hint="eastAsia" w:ascii="宋体" w:hAnsi="宋体"/>
                <w:sz w:val="24"/>
                <w:szCs w:val="24"/>
              </w:rPr>
              <w:t>分）</w:t>
            </w:r>
          </w:p>
        </w:tc>
        <w:tc>
          <w:tcPr>
            <w:tcW w:w="1041" w:type="dxa"/>
            <w:tcBorders>
              <w:top w:val="single" w:color="auto" w:sz="4" w:space="0"/>
              <w:left w:val="single" w:color="auto" w:sz="4" w:space="0"/>
              <w:right w:val="single" w:color="auto" w:sz="4" w:space="0"/>
            </w:tcBorders>
            <w:noWrap w:val="0"/>
            <w:vAlign w:val="center"/>
          </w:tcPr>
          <w:p w14:paraId="0DF383BF">
            <w:pPr>
              <w:widowControl/>
              <w:spacing w:line="400" w:lineRule="exact"/>
              <w:jc w:val="center"/>
              <w:rPr>
                <w:rFonts w:ascii="宋体" w:hAnsi="宋体" w:cs="宋体"/>
                <w:bCs/>
                <w:sz w:val="24"/>
                <w:szCs w:val="24"/>
              </w:rPr>
            </w:pPr>
            <w:r>
              <w:rPr>
                <w:rFonts w:hint="eastAsia" w:ascii="宋体" w:hAnsi="宋体" w:cs="宋体"/>
                <w:bCs/>
                <w:sz w:val="24"/>
                <w:szCs w:val="24"/>
              </w:rPr>
              <w:t>项目管理方案</w:t>
            </w:r>
          </w:p>
        </w:tc>
        <w:tc>
          <w:tcPr>
            <w:tcW w:w="6778" w:type="dxa"/>
            <w:tcBorders>
              <w:top w:val="single" w:color="auto" w:sz="4" w:space="0"/>
              <w:left w:val="single" w:color="auto" w:sz="4" w:space="0"/>
              <w:right w:val="single" w:color="auto" w:sz="4" w:space="0"/>
            </w:tcBorders>
            <w:noWrap w:val="0"/>
            <w:vAlign w:val="center"/>
          </w:tcPr>
          <w:p w14:paraId="57354856">
            <w:pPr>
              <w:pStyle w:val="5"/>
              <w:spacing w:line="400" w:lineRule="exact"/>
              <w:ind w:right="-21" w:firstLine="542"/>
              <w:rPr>
                <w:rFonts w:hint="eastAsia" w:ascii="宋体" w:hAnsi="宋体" w:eastAsia="宋体" w:cs="Calibri"/>
              </w:rPr>
            </w:pPr>
            <w:r>
              <w:rPr>
                <w:rFonts w:hint="eastAsia" w:ascii="宋体" w:hAnsi="宋体" w:eastAsia="宋体" w:cs="Calibri"/>
              </w:rPr>
              <w:t>供应商根据采购需求提供项目管理方案，内容包括服务标准</w:t>
            </w:r>
            <w:r>
              <w:rPr>
                <w:rFonts w:hint="eastAsia" w:ascii="宋体" w:hAnsi="宋体" w:eastAsia="宋体" w:cs="Calibri"/>
                <w:lang w:val="en-US" w:eastAsia="zh-CN"/>
              </w:rPr>
              <w:t>梳</w:t>
            </w:r>
            <w:r>
              <w:rPr>
                <w:rFonts w:hint="eastAsia" w:ascii="宋体" w:hAnsi="宋体" w:eastAsia="宋体" w:cs="Calibri"/>
              </w:rPr>
              <w:t>理与制订、服务计划制订及监督执行、服务质量控制及改</w:t>
            </w:r>
            <w:r>
              <w:rPr>
                <w:rFonts w:hint="eastAsia" w:ascii="宋体" w:hAnsi="宋体" w:eastAsia="宋体" w:cs="Calibri"/>
                <w:lang w:val="en-US" w:eastAsia="zh-CN"/>
              </w:rPr>
              <w:t>进</w:t>
            </w:r>
            <w:r>
              <w:rPr>
                <w:rFonts w:hint="eastAsia" w:ascii="宋体" w:hAnsi="宋体" w:eastAsia="宋体" w:cs="Calibri"/>
              </w:rPr>
              <w:t>计划等。</w:t>
            </w:r>
            <w:r>
              <w:rPr>
                <w:rFonts w:hint="eastAsia" w:ascii="宋体" w:hAnsi="宋体" w:eastAsia="宋体" w:cs="宋体"/>
                <w:color w:val="000000"/>
                <w:kern w:val="0"/>
                <w:sz w:val="24"/>
                <w:szCs w:val="24"/>
                <w:lang w:val="en-US" w:eastAsia="zh-CN" w:bidi="ar"/>
              </w:rPr>
              <w:t>评标委员会</w:t>
            </w:r>
            <w:r>
              <w:rPr>
                <w:rFonts w:hint="eastAsia" w:ascii="宋体" w:hAnsi="宋体" w:eastAsia="宋体" w:cs="Calibri"/>
              </w:rPr>
              <w:t>根据供应商提供的方案，进行综合评审:</w:t>
            </w:r>
          </w:p>
          <w:p w14:paraId="334C7BF1">
            <w:pPr>
              <w:pStyle w:val="5"/>
              <w:numPr>
                <w:ilvl w:val="0"/>
                <w:numId w:val="0"/>
              </w:numPr>
              <w:spacing w:line="400" w:lineRule="exact"/>
              <w:ind w:right="-21" w:rightChars="-10"/>
              <w:rPr>
                <w:rFonts w:hint="eastAsia" w:ascii="宋体" w:hAnsi="宋体" w:eastAsia="宋体" w:cs="Calibri"/>
                <w:lang w:eastAsia="zh-CN"/>
              </w:rPr>
            </w:pPr>
            <w:r>
              <w:rPr>
                <w:rFonts w:hint="eastAsia" w:ascii="宋体" w:hAnsi="宋体" w:eastAsia="宋体" w:cs="Calibri"/>
                <w:lang w:eastAsia="zh-CN"/>
              </w:rPr>
              <w:t>（</w:t>
            </w:r>
            <w:r>
              <w:rPr>
                <w:rFonts w:hint="eastAsia" w:ascii="宋体" w:hAnsi="宋体" w:eastAsia="宋体" w:cs="Calibri"/>
                <w:lang w:val="en-US" w:eastAsia="zh-CN"/>
              </w:rPr>
              <w:t>1</w:t>
            </w:r>
            <w:r>
              <w:rPr>
                <w:rFonts w:hint="eastAsia" w:ascii="宋体" w:hAnsi="宋体" w:eastAsia="宋体" w:cs="Calibri"/>
                <w:lang w:eastAsia="zh-CN"/>
              </w:rPr>
              <w:t>）</w:t>
            </w:r>
            <w:r>
              <w:rPr>
                <w:rFonts w:hint="eastAsia" w:ascii="宋体" w:hAnsi="宋体" w:eastAsia="宋体" w:cs="Calibri"/>
              </w:rPr>
              <w:t>对本项目特点和难点理解准确，方案优于本项目采购需求，完整详细，可行性、实用性、针对性强，得</w:t>
            </w:r>
            <w:r>
              <w:rPr>
                <w:rFonts w:hint="eastAsia" w:ascii="宋体" w:hAnsi="宋体" w:eastAsia="宋体" w:cs="Calibri"/>
                <w:lang w:val="en-US" w:eastAsia="zh-CN"/>
              </w:rPr>
              <w:t xml:space="preserve"> 4 </w:t>
            </w:r>
            <w:r>
              <w:rPr>
                <w:rFonts w:hint="eastAsia" w:ascii="宋体" w:hAnsi="宋体" w:eastAsia="宋体" w:cs="Calibri"/>
              </w:rPr>
              <w:t>分</w:t>
            </w:r>
            <w:r>
              <w:rPr>
                <w:rFonts w:hint="eastAsia" w:ascii="宋体" w:hAnsi="宋体" w:eastAsia="宋体" w:cs="Calibri"/>
                <w:lang w:eastAsia="zh-CN"/>
              </w:rPr>
              <w:t>；</w:t>
            </w:r>
          </w:p>
          <w:p w14:paraId="3E4ECF96">
            <w:pPr>
              <w:pStyle w:val="5"/>
              <w:numPr>
                <w:ilvl w:val="0"/>
                <w:numId w:val="0"/>
              </w:numPr>
              <w:spacing w:line="400" w:lineRule="exact"/>
              <w:ind w:right="-21" w:rightChars="-10"/>
              <w:rPr>
                <w:rFonts w:hint="eastAsia" w:ascii="宋体" w:hAnsi="宋体" w:eastAsia="宋体" w:cs="Calibri"/>
                <w:lang w:eastAsia="zh-CN"/>
              </w:rPr>
            </w:pPr>
            <w:r>
              <w:rPr>
                <w:rFonts w:hint="eastAsia" w:ascii="宋体" w:hAnsi="宋体" w:eastAsia="宋体" w:cs="Calibri"/>
                <w:lang w:eastAsia="zh-CN"/>
              </w:rPr>
              <w:t>（</w:t>
            </w:r>
            <w:r>
              <w:rPr>
                <w:rFonts w:hint="eastAsia" w:ascii="宋体" w:hAnsi="宋体" w:eastAsia="宋体" w:cs="Calibri"/>
                <w:lang w:val="en-US" w:eastAsia="zh-CN"/>
              </w:rPr>
              <w:t>2</w:t>
            </w:r>
            <w:r>
              <w:rPr>
                <w:rFonts w:hint="eastAsia" w:ascii="宋体" w:hAnsi="宋体" w:eastAsia="宋体" w:cs="Calibri"/>
                <w:lang w:eastAsia="zh-CN"/>
              </w:rPr>
              <w:t>）</w:t>
            </w:r>
            <w:r>
              <w:rPr>
                <w:rFonts w:hint="eastAsia" w:ascii="宋体" w:hAnsi="宋体" w:eastAsia="宋体" w:cs="Calibri"/>
              </w:rPr>
              <w:t>对本项目特点和难点理解基本准确，方案适合本项目采需求，完整详细,具有可行性、实用性和针对性,得</w:t>
            </w:r>
            <w:r>
              <w:rPr>
                <w:rFonts w:hint="eastAsia" w:ascii="宋体" w:hAnsi="宋体" w:eastAsia="宋体" w:cs="Calibri"/>
                <w:lang w:val="en-US" w:eastAsia="zh-CN"/>
              </w:rPr>
              <w:t xml:space="preserve"> 2 </w:t>
            </w:r>
            <w:r>
              <w:rPr>
                <w:rFonts w:hint="eastAsia" w:ascii="宋体" w:hAnsi="宋体" w:eastAsia="宋体" w:cs="Calibri"/>
              </w:rPr>
              <w:t>分</w:t>
            </w:r>
            <w:r>
              <w:rPr>
                <w:rFonts w:hint="eastAsia" w:ascii="宋体" w:hAnsi="宋体" w:eastAsia="宋体" w:cs="Calibri"/>
                <w:lang w:eastAsia="zh-CN"/>
              </w:rPr>
              <w:t>；</w:t>
            </w:r>
          </w:p>
          <w:p w14:paraId="6D0A3854">
            <w:pPr>
              <w:pStyle w:val="5"/>
              <w:numPr>
                <w:ilvl w:val="0"/>
                <w:numId w:val="0"/>
              </w:numPr>
              <w:spacing w:line="400" w:lineRule="exact"/>
              <w:ind w:right="-21" w:rightChars="-10"/>
              <w:rPr>
                <w:rFonts w:hint="eastAsia" w:ascii="宋体" w:hAnsi="宋体" w:eastAsia="宋体" w:cs="Calibri"/>
                <w:lang w:eastAsia="zh-CN"/>
              </w:rPr>
            </w:pPr>
            <w:r>
              <w:rPr>
                <w:rFonts w:hint="eastAsia" w:ascii="宋体" w:hAnsi="宋体" w:eastAsia="宋体" w:cs="Calibri"/>
                <w:lang w:eastAsia="zh-CN"/>
              </w:rPr>
              <w:t>（</w:t>
            </w:r>
            <w:r>
              <w:rPr>
                <w:rFonts w:hint="eastAsia" w:ascii="宋体" w:hAnsi="宋体" w:eastAsia="宋体" w:cs="Calibri"/>
                <w:lang w:val="en-US" w:eastAsia="zh-CN"/>
              </w:rPr>
              <w:t>3</w:t>
            </w:r>
            <w:r>
              <w:rPr>
                <w:rFonts w:hint="eastAsia" w:ascii="宋体" w:hAnsi="宋体" w:eastAsia="宋体" w:cs="Calibri"/>
                <w:lang w:eastAsia="zh-CN"/>
              </w:rPr>
              <w:t>）</w:t>
            </w:r>
            <w:r>
              <w:rPr>
                <w:rFonts w:hint="eastAsia" w:ascii="宋体" w:hAnsi="宋体" w:eastAsia="宋体" w:cs="Calibri"/>
              </w:rPr>
              <w:t>对本项目特点和难点理解有待提升，方案基本适合本项目 采购需求，可行性、实用性、针对性有待改善，得</w:t>
            </w:r>
            <w:r>
              <w:rPr>
                <w:rFonts w:hint="eastAsia" w:ascii="宋体" w:hAnsi="宋体" w:eastAsia="宋体" w:cs="Calibri"/>
                <w:lang w:val="en-US" w:eastAsia="zh-CN"/>
              </w:rPr>
              <w:t xml:space="preserve"> 1 </w:t>
            </w:r>
            <w:r>
              <w:rPr>
                <w:rFonts w:hint="eastAsia" w:ascii="宋体" w:hAnsi="宋体" w:eastAsia="宋体" w:cs="Calibri"/>
              </w:rPr>
              <w:t>分</w:t>
            </w:r>
            <w:r>
              <w:rPr>
                <w:rFonts w:hint="eastAsia" w:ascii="宋体" w:hAnsi="宋体" w:eastAsia="宋体" w:cs="Calibri"/>
                <w:lang w:eastAsia="zh-CN"/>
              </w:rPr>
              <w:t>；</w:t>
            </w:r>
          </w:p>
          <w:p w14:paraId="3E5D7505">
            <w:pPr>
              <w:pStyle w:val="5"/>
              <w:numPr>
                <w:ilvl w:val="0"/>
                <w:numId w:val="0"/>
              </w:numPr>
              <w:spacing w:line="400" w:lineRule="exact"/>
              <w:ind w:right="-21" w:rightChars="-10"/>
              <w:rPr>
                <w:rFonts w:ascii="宋体" w:hAnsi="宋体" w:eastAsia="宋体" w:cs="Calibri"/>
              </w:rPr>
            </w:pPr>
            <w:r>
              <w:rPr>
                <w:rFonts w:hint="eastAsia" w:ascii="宋体" w:hAnsi="宋体" w:eastAsia="宋体" w:cs="Calibri"/>
                <w:lang w:eastAsia="zh-CN"/>
              </w:rPr>
              <w:t>（</w:t>
            </w:r>
            <w:r>
              <w:rPr>
                <w:rFonts w:hint="eastAsia" w:ascii="宋体" w:hAnsi="宋体" w:eastAsia="宋体" w:cs="Calibri"/>
                <w:lang w:val="en-US" w:eastAsia="zh-CN"/>
              </w:rPr>
              <w:t>4</w:t>
            </w:r>
            <w:r>
              <w:rPr>
                <w:rFonts w:hint="eastAsia" w:ascii="宋体" w:hAnsi="宋体" w:eastAsia="宋体" w:cs="Calibri"/>
                <w:lang w:eastAsia="zh-CN"/>
              </w:rPr>
              <w:t>）</w:t>
            </w:r>
            <w:r>
              <w:rPr>
                <w:rFonts w:hint="eastAsia" w:ascii="宋体" w:hAnsi="宋体" w:eastAsia="宋体" w:cs="Calibri"/>
              </w:rPr>
              <w:t>方案不可行或者未提供得0分。</w:t>
            </w:r>
          </w:p>
        </w:tc>
        <w:tc>
          <w:tcPr>
            <w:tcW w:w="653" w:type="dxa"/>
            <w:tcBorders>
              <w:top w:val="single" w:color="auto" w:sz="4" w:space="0"/>
              <w:left w:val="single" w:color="auto" w:sz="4" w:space="0"/>
              <w:right w:val="single" w:color="auto" w:sz="4" w:space="0"/>
            </w:tcBorders>
            <w:noWrap w:val="0"/>
            <w:vAlign w:val="center"/>
          </w:tcPr>
          <w:p w14:paraId="4935E5CD">
            <w:pPr>
              <w:adjustRightInd w:val="0"/>
              <w:snapToGrid w:val="0"/>
              <w:spacing w:line="400" w:lineRule="exact"/>
              <w:jc w:val="center"/>
              <w:rPr>
                <w:rFonts w:hint="eastAsia" w:ascii="宋体" w:hAnsi="宋体" w:eastAsia="宋体" w:cs="宋体"/>
                <w:b/>
                <w:color w:val="FF0000"/>
                <w:sz w:val="24"/>
                <w:szCs w:val="24"/>
                <w:lang w:val="en-US" w:eastAsia="zh-CN"/>
              </w:rPr>
            </w:pPr>
            <w:r>
              <w:rPr>
                <w:rFonts w:ascii="宋体" w:hAnsi="宋体"/>
                <w:color w:val="auto"/>
                <w:sz w:val="24"/>
                <w:szCs w:val="24"/>
              </w:rPr>
              <w:t>0-</w:t>
            </w:r>
            <w:r>
              <w:rPr>
                <w:rFonts w:hint="eastAsia" w:ascii="宋体" w:hAnsi="宋体"/>
                <w:color w:val="auto"/>
                <w:sz w:val="24"/>
                <w:szCs w:val="24"/>
                <w:lang w:val="en-US" w:eastAsia="zh-CN"/>
              </w:rPr>
              <w:t>4</w:t>
            </w:r>
          </w:p>
        </w:tc>
      </w:tr>
      <w:tr w14:paraId="0D65CD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51" w:type="dxa"/>
            <w:bottom w:w="28" w:type="dxa"/>
            <w:right w:w="51" w:type="dxa"/>
          </w:tblCellMar>
        </w:tblPrEx>
        <w:trPr>
          <w:trHeight w:val="455" w:hRule="atLeast"/>
          <w:jc w:val="center"/>
        </w:trPr>
        <w:tc>
          <w:tcPr>
            <w:tcW w:w="1216" w:type="dxa"/>
            <w:vMerge w:val="continue"/>
            <w:tcBorders>
              <w:left w:val="single" w:color="auto" w:sz="4" w:space="0"/>
              <w:right w:val="single" w:color="auto" w:sz="4" w:space="0"/>
            </w:tcBorders>
            <w:noWrap w:val="0"/>
            <w:vAlign w:val="center"/>
          </w:tcPr>
          <w:p w14:paraId="063CD892">
            <w:pPr>
              <w:spacing w:line="400" w:lineRule="exact"/>
              <w:jc w:val="center"/>
              <w:rPr>
                <w:rFonts w:ascii="宋体" w:hAnsi="宋体" w:cs="宋体"/>
                <w:sz w:val="24"/>
                <w:szCs w:val="24"/>
              </w:rPr>
            </w:pPr>
          </w:p>
        </w:tc>
        <w:tc>
          <w:tcPr>
            <w:tcW w:w="1041" w:type="dxa"/>
            <w:tcBorders>
              <w:left w:val="single" w:color="auto" w:sz="4" w:space="0"/>
              <w:right w:val="single" w:color="auto" w:sz="4" w:space="0"/>
            </w:tcBorders>
            <w:noWrap w:val="0"/>
            <w:vAlign w:val="center"/>
          </w:tcPr>
          <w:p w14:paraId="05463089">
            <w:pPr>
              <w:keepNext w:val="0"/>
              <w:keepLines w:val="0"/>
              <w:widowControl/>
              <w:suppressLineNumbers w:val="0"/>
              <w:jc w:val="left"/>
              <w:rPr>
                <w:rFonts w:hint="eastAsia" w:ascii="宋体" w:hAnsi="宋体" w:eastAsia="宋体" w:cs="宋体"/>
                <w:bCs/>
                <w:sz w:val="24"/>
                <w:szCs w:val="24"/>
              </w:rPr>
            </w:pPr>
            <w:r>
              <w:rPr>
                <w:rFonts w:hint="eastAsia" w:ascii="宋体" w:hAnsi="宋体" w:eastAsia="宋体" w:cs="宋体"/>
                <w:color w:val="000000"/>
                <w:kern w:val="0"/>
                <w:sz w:val="24"/>
                <w:szCs w:val="24"/>
                <w:lang w:val="en-US" w:eastAsia="zh-CN" w:bidi="ar"/>
              </w:rPr>
              <w:t>培</w:t>
            </w:r>
            <w:r>
              <w:rPr>
                <w:rFonts w:hint="eastAsia" w:ascii="宋体" w:hAnsi="宋体" w:eastAsia="宋体" w:cs="宋体"/>
                <w:bCs/>
                <w:sz w:val="24"/>
                <w:szCs w:val="24"/>
                <w:lang w:val="en-US" w:eastAsia="zh-CN"/>
              </w:rPr>
              <w:t>训服务方案</w:t>
            </w:r>
          </w:p>
          <w:p w14:paraId="2FD9AFF4">
            <w:pPr>
              <w:spacing w:line="400" w:lineRule="exact"/>
              <w:jc w:val="center"/>
              <w:rPr>
                <w:rFonts w:ascii="宋体" w:hAnsi="宋体"/>
                <w:sz w:val="24"/>
                <w:szCs w:val="24"/>
              </w:rPr>
            </w:pPr>
          </w:p>
        </w:tc>
        <w:tc>
          <w:tcPr>
            <w:tcW w:w="6778" w:type="dxa"/>
            <w:tcBorders>
              <w:top w:val="single" w:color="auto" w:sz="4" w:space="0"/>
              <w:left w:val="single" w:color="auto" w:sz="4" w:space="0"/>
              <w:bottom w:val="single" w:color="auto" w:sz="4" w:space="0"/>
              <w:right w:val="single" w:color="auto" w:sz="4" w:space="0"/>
            </w:tcBorders>
            <w:noWrap w:val="0"/>
            <w:vAlign w:val="center"/>
          </w:tcPr>
          <w:p w14:paraId="4F2113BC">
            <w:pPr>
              <w:pStyle w:val="5"/>
              <w:spacing w:line="400" w:lineRule="exact"/>
              <w:ind w:right="-21" w:firstLine="542"/>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 xml:space="preserve">供应商根据采购需求提供培训服务方案，内容包括人员配置及管理培训、管理维护运作制度及标准、管理人员考核制度及标准等。评标委员会根据供应商提供的方案，进行综合评审： </w:t>
            </w:r>
          </w:p>
          <w:p w14:paraId="5D691D94">
            <w:pPr>
              <w:pStyle w:val="5"/>
              <w:spacing w:line="400" w:lineRule="exact"/>
              <w:ind w:right="-21" w:firstLine="542"/>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 xml:space="preserve">（1）对本项目特点和难点理解准确，方案优于本项目采购需求，完整详细，可行性、实用性、针对性强，得 4 分； </w:t>
            </w:r>
          </w:p>
          <w:p w14:paraId="32781203">
            <w:pPr>
              <w:pStyle w:val="5"/>
              <w:spacing w:line="400" w:lineRule="exact"/>
              <w:ind w:right="-21" w:firstLine="542"/>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 xml:space="preserve">（2）对本项目特点和难点理解基本准确，方案适合本项目采购 需求，完整详细，具有可行性、实用性和针对性，得 2 分； </w:t>
            </w:r>
          </w:p>
          <w:p w14:paraId="08986E92">
            <w:pPr>
              <w:pStyle w:val="5"/>
              <w:spacing w:line="400" w:lineRule="exact"/>
              <w:ind w:right="-21" w:firstLine="542"/>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 xml:space="preserve">（3）对本项目特点和难点理解有待提升，方案基本适合本项目采购需求，可行性、实用性、针对性有待改善，得 1 分； </w:t>
            </w:r>
          </w:p>
          <w:p w14:paraId="38B3C607">
            <w:pPr>
              <w:pStyle w:val="5"/>
              <w:spacing w:line="400" w:lineRule="exact"/>
              <w:ind w:right="-21" w:firstLine="542"/>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（4）方案不可行或者未提供得 0 分。</w:t>
            </w:r>
          </w:p>
        </w:tc>
        <w:tc>
          <w:tcPr>
            <w:tcW w:w="653" w:type="dxa"/>
            <w:tcBorders>
              <w:top w:val="single" w:color="auto" w:sz="4" w:space="0"/>
              <w:left w:val="single" w:color="auto" w:sz="4" w:space="0"/>
              <w:bottom w:val="single" w:color="auto" w:sz="4" w:space="0"/>
              <w:right w:val="single" w:color="auto" w:sz="4" w:space="0"/>
            </w:tcBorders>
            <w:noWrap w:val="0"/>
            <w:vAlign w:val="center"/>
          </w:tcPr>
          <w:p w14:paraId="614ECEBE">
            <w:pPr>
              <w:spacing w:line="400" w:lineRule="exact"/>
              <w:jc w:val="center"/>
              <w:rPr>
                <w:rFonts w:hint="eastAsia" w:ascii="宋体" w:hAnsi="宋体" w:eastAsia="宋体"/>
                <w:sz w:val="24"/>
                <w:szCs w:val="24"/>
                <w:lang w:val="en-US" w:eastAsia="zh-CN"/>
              </w:rPr>
            </w:pPr>
            <w:r>
              <w:rPr>
                <w:rFonts w:hint="eastAsia" w:ascii="宋体" w:hAnsi="宋体"/>
                <w:color w:val="auto"/>
                <w:sz w:val="24"/>
                <w:szCs w:val="24"/>
              </w:rPr>
              <w:t>0</w:t>
            </w:r>
            <w:r>
              <w:rPr>
                <w:rFonts w:ascii="宋体" w:hAnsi="宋体"/>
                <w:color w:val="auto"/>
                <w:sz w:val="24"/>
                <w:szCs w:val="24"/>
              </w:rPr>
              <w:t>-</w:t>
            </w:r>
            <w:r>
              <w:rPr>
                <w:rFonts w:hint="eastAsia" w:ascii="宋体" w:hAnsi="宋体"/>
                <w:color w:val="auto"/>
                <w:sz w:val="24"/>
                <w:szCs w:val="24"/>
                <w:lang w:val="en-US" w:eastAsia="zh-CN"/>
              </w:rPr>
              <w:t>4</w:t>
            </w:r>
          </w:p>
        </w:tc>
      </w:tr>
      <w:tr w14:paraId="30DC45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51" w:type="dxa"/>
            <w:bottom w:w="28" w:type="dxa"/>
            <w:right w:w="51" w:type="dxa"/>
          </w:tblCellMar>
        </w:tblPrEx>
        <w:trPr>
          <w:trHeight w:val="425" w:hRule="atLeast"/>
          <w:jc w:val="center"/>
        </w:trPr>
        <w:tc>
          <w:tcPr>
            <w:tcW w:w="1216" w:type="dxa"/>
            <w:vMerge w:val="continue"/>
            <w:tcBorders>
              <w:left w:val="single" w:color="auto" w:sz="4" w:space="0"/>
              <w:right w:val="single" w:color="auto" w:sz="4" w:space="0"/>
            </w:tcBorders>
            <w:noWrap w:val="0"/>
            <w:vAlign w:val="center"/>
          </w:tcPr>
          <w:p w14:paraId="4F03A93F">
            <w:pPr>
              <w:spacing w:line="400" w:lineRule="exact"/>
              <w:jc w:val="center"/>
              <w:rPr>
                <w:rFonts w:ascii="宋体" w:hAnsi="宋体" w:cs="宋体"/>
                <w:sz w:val="24"/>
                <w:szCs w:val="24"/>
              </w:rPr>
            </w:pPr>
          </w:p>
        </w:tc>
        <w:tc>
          <w:tcPr>
            <w:tcW w:w="1041" w:type="dxa"/>
            <w:tcBorders>
              <w:left w:val="single" w:color="auto" w:sz="4" w:space="0"/>
              <w:bottom w:val="single" w:color="auto" w:sz="4" w:space="0"/>
              <w:right w:val="single" w:color="auto" w:sz="4" w:space="0"/>
            </w:tcBorders>
            <w:noWrap w:val="0"/>
            <w:vAlign w:val="center"/>
          </w:tcPr>
          <w:p w14:paraId="1C47C5C0">
            <w:pPr>
              <w:spacing w:line="400" w:lineRule="exact"/>
              <w:jc w:val="center"/>
              <w:rPr>
                <w:rFonts w:ascii="宋体" w:hAnsi="宋体" w:cs="宋体"/>
                <w:sz w:val="24"/>
                <w:szCs w:val="24"/>
              </w:rPr>
            </w:pPr>
            <w:r>
              <w:rPr>
                <w:rFonts w:hint="eastAsia" w:ascii="宋体" w:hAnsi="宋体" w:cs="宋体"/>
                <w:b w:val="0"/>
                <w:bCs/>
                <w:color w:val="000000"/>
                <w:sz w:val="24"/>
                <w:szCs w:val="24"/>
              </w:rPr>
              <w:t>操作规范方案</w:t>
            </w:r>
          </w:p>
        </w:tc>
        <w:tc>
          <w:tcPr>
            <w:tcW w:w="6778" w:type="dxa"/>
            <w:tcBorders>
              <w:top w:val="single" w:color="auto" w:sz="4" w:space="0"/>
              <w:left w:val="single" w:color="auto" w:sz="4" w:space="0"/>
              <w:bottom w:val="single" w:color="auto" w:sz="4" w:space="0"/>
              <w:right w:val="single" w:color="auto" w:sz="4" w:space="0"/>
            </w:tcBorders>
            <w:noWrap w:val="0"/>
            <w:vAlign w:val="center"/>
          </w:tcPr>
          <w:p w14:paraId="26A316B7">
            <w:pPr>
              <w:pStyle w:val="5"/>
              <w:spacing w:line="400" w:lineRule="exact"/>
              <w:ind w:right="-21" w:firstLine="542"/>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 xml:space="preserve">供应商根据采购需求提供食堂操作规范方案，内容包括培训规范操作控制管理方案、台账管理、食材保鲜措施等，评标委员会根据供应商提供的方案，进行综合评审：  </w:t>
            </w:r>
          </w:p>
          <w:p w14:paraId="03A6321D">
            <w:pPr>
              <w:pStyle w:val="5"/>
              <w:spacing w:line="400" w:lineRule="exact"/>
              <w:ind w:right="-21" w:firstLine="542"/>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 xml:space="preserve">（1）对本项目特点和难点理解准确，方案优于本项目采购需求，完整详细，可行性、实用性、针对性强，得 4 分； </w:t>
            </w:r>
          </w:p>
          <w:p w14:paraId="5CC2442C">
            <w:pPr>
              <w:pStyle w:val="5"/>
              <w:spacing w:line="400" w:lineRule="exact"/>
              <w:ind w:right="-21" w:firstLine="542"/>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 xml:space="preserve">（2）对本项目特点和难点理解基本准确，方案适合本项目采购 需求，完整详细，具有可行性、实用性和针对性，得 2 分； </w:t>
            </w:r>
          </w:p>
          <w:p w14:paraId="115FF99E">
            <w:pPr>
              <w:pStyle w:val="5"/>
              <w:spacing w:line="400" w:lineRule="exact"/>
              <w:ind w:right="-21" w:firstLine="542"/>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 xml:space="preserve">（3）对本项目特点和难点理解有待提升，方案基本适合本项目采购需求，可行性、实用性、针对性有待改善，得 1 分； </w:t>
            </w:r>
          </w:p>
          <w:p w14:paraId="312539B8">
            <w:pPr>
              <w:pStyle w:val="5"/>
              <w:spacing w:line="400" w:lineRule="exact"/>
              <w:ind w:right="-21" w:firstLine="542"/>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（4）方案不可行或者未提供得 0 分。</w:t>
            </w:r>
          </w:p>
        </w:tc>
        <w:tc>
          <w:tcPr>
            <w:tcW w:w="653" w:type="dxa"/>
            <w:tcBorders>
              <w:top w:val="single" w:color="auto" w:sz="4" w:space="0"/>
              <w:left w:val="single" w:color="auto" w:sz="4" w:space="0"/>
              <w:bottom w:val="single" w:color="auto" w:sz="4" w:space="0"/>
              <w:right w:val="single" w:color="auto" w:sz="4" w:space="0"/>
            </w:tcBorders>
            <w:noWrap w:val="0"/>
            <w:vAlign w:val="center"/>
          </w:tcPr>
          <w:p w14:paraId="13F523C8">
            <w:pPr>
              <w:spacing w:line="400" w:lineRule="exact"/>
              <w:jc w:val="center"/>
              <w:rPr>
                <w:rFonts w:hint="eastAsia" w:ascii="宋体" w:hAnsi="宋体" w:eastAsia="宋体" w:cs="宋体"/>
                <w:sz w:val="24"/>
                <w:szCs w:val="24"/>
                <w:lang w:val="en-US" w:eastAsia="zh-CN"/>
              </w:rPr>
            </w:pPr>
            <w:r>
              <w:rPr>
                <w:rFonts w:hint="eastAsia" w:ascii="宋体" w:hAnsi="宋体" w:cs="宋体"/>
                <w:color w:val="auto"/>
                <w:sz w:val="24"/>
                <w:szCs w:val="24"/>
              </w:rPr>
              <w:t>0</w:t>
            </w:r>
            <w:r>
              <w:rPr>
                <w:rFonts w:ascii="宋体" w:hAnsi="宋体" w:cs="宋体"/>
                <w:color w:val="auto"/>
                <w:sz w:val="24"/>
                <w:szCs w:val="24"/>
              </w:rPr>
              <w:t>-</w:t>
            </w:r>
            <w:r>
              <w:rPr>
                <w:rFonts w:hint="eastAsia" w:ascii="宋体" w:hAnsi="宋体" w:cs="宋体"/>
                <w:color w:val="auto"/>
                <w:sz w:val="24"/>
                <w:szCs w:val="24"/>
                <w:lang w:val="en-US" w:eastAsia="zh-CN"/>
              </w:rPr>
              <w:t>4</w:t>
            </w:r>
          </w:p>
        </w:tc>
      </w:tr>
      <w:tr w14:paraId="30F4EB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51" w:type="dxa"/>
            <w:bottom w:w="28" w:type="dxa"/>
            <w:right w:w="51" w:type="dxa"/>
          </w:tblCellMar>
        </w:tblPrEx>
        <w:trPr>
          <w:trHeight w:val="425" w:hRule="atLeast"/>
          <w:jc w:val="center"/>
        </w:trPr>
        <w:tc>
          <w:tcPr>
            <w:tcW w:w="1216" w:type="dxa"/>
            <w:vMerge w:val="continue"/>
            <w:tcBorders>
              <w:left w:val="single" w:color="auto" w:sz="4" w:space="0"/>
              <w:right w:val="single" w:color="auto" w:sz="4" w:space="0"/>
            </w:tcBorders>
            <w:noWrap w:val="0"/>
            <w:vAlign w:val="center"/>
          </w:tcPr>
          <w:p w14:paraId="7C70F3BB">
            <w:pPr>
              <w:spacing w:line="400" w:lineRule="exact"/>
              <w:jc w:val="center"/>
              <w:rPr>
                <w:rFonts w:ascii="宋体" w:hAnsi="宋体" w:cs="宋体"/>
                <w:sz w:val="24"/>
                <w:szCs w:val="24"/>
              </w:rPr>
            </w:pPr>
          </w:p>
        </w:tc>
        <w:tc>
          <w:tcPr>
            <w:tcW w:w="1041" w:type="dxa"/>
            <w:tcBorders>
              <w:left w:val="single" w:color="auto" w:sz="4" w:space="0"/>
              <w:bottom w:val="single" w:color="auto" w:sz="4" w:space="0"/>
              <w:right w:val="single" w:color="auto" w:sz="4" w:space="0"/>
            </w:tcBorders>
            <w:noWrap w:val="0"/>
            <w:vAlign w:val="center"/>
          </w:tcPr>
          <w:p w14:paraId="17E5D5ED">
            <w:pPr>
              <w:keepNext w:val="0"/>
              <w:keepLines w:val="0"/>
              <w:widowControl/>
              <w:suppressLineNumbers w:val="0"/>
              <w:jc w:val="left"/>
              <w:rPr>
                <w:rFonts w:hint="eastAsia" w:ascii="宋体" w:hAnsi="宋体" w:eastAsia="宋体" w:cs="宋体"/>
                <w:bCs/>
                <w:sz w:val="24"/>
                <w:szCs w:val="24"/>
                <w:lang w:val="en-US" w:eastAsia="zh-CN"/>
              </w:rPr>
            </w:pPr>
            <w:r>
              <w:rPr>
                <w:rFonts w:hint="eastAsia" w:ascii="宋体" w:hAnsi="宋体" w:eastAsia="宋体" w:cs="宋体"/>
                <w:bCs/>
                <w:sz w:val="24"/>
                <w:szCs w:val="24"/>
                <w:lang w:val="en-US" w:eastAsia="zh-CN"/>
              </w:rPr>
              <w:t>食品安全及卫生保障方案</w:t>
            </w:r>
          </w:p>
          <w:p w14:paraId="313FE05F">
            <w:pPr>
              <w:spacing w:line="400" w:lineRule="exact"/>
              <w:jc w:val="center"/>
              <w:rPr>
                <w:rFonts w:ascii="宋体" w:hAnsi="宋体" w:cs="宋体"/>
                <w:bCs/>
                <w:sz w:val="24"/>
                <w:szCs w:val="24"/>
              </w:rPr>
            </w:pPr>
          </w:p>
        </w:tc>
        <w:tc>
          <w:tcPr>
            <w:tcW w:w="6778" w:type="dxa"/>
            <w:tcBorders>
              <w:top w:val="single" w:color="auto" w:sz="4" w:space="0"/>
              <w:left w:val="single" w:color="auto" w:sz="4" w:space="0"/>
              <w:bottom w:val="single" w:color="auto" w:sz="4" w:space="0"/>
              <w:right w:val="single" w:color="auto" w:sz="4" w:space="0"/>
            </w:tcBorders>
            <w:noWrap w:val="0"/>
            <w:vAlign w:val="center"/>
          </w:tcPr>
          <w:p w14:paraId="7E4D377B">
            <w:pPr>
              <w:pStyle w:val="5"/>
              <w:spacing w:line="400" w:lineRule="exact"/>
              <w:ind w:right="-21" w:firstLine="542"/>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 xml:space="preserve">供应商根据采购需求提供食品安全及卫生保障方案，内容包括食品安全管理措施、传染性疾病防控措施、食堂及餐厅卫生保障措施等。评标委员会根据供应商提供的方案，进行综合评审： </w:t>
            </w:r>
          </w:p>
          <w:p w14:paraId="1A08F6EC">
            <w:pPr>
              <w:pStyle w:val="5"/>
              <w:spacing w:line="400" w:lineRule="exact"/>
              <w:ind w:right="-21" w:firstLine="542"/>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 xml:space="preserve">（1）对本项目特点和难点理解准确，方案优于本项目采购需求，完整详细，可行性、实用性、针对性强，得 4 分； </w:t>
            </w:r>
          </w:p>
          <w:p w14:paraId="67177A79">
            <w:pPr>
              <w:pStyle w:val="5"/>
              <w:spacing w:line="400" w:lineRule="exact"/>
              <w:ind w:right="-21" w:firstLine="542"/>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 xml:space="preserve">（2）对本项目特点和难点理解基本准确，方案适合本项目采购需求，完整详细，具有可行性、实用性和针对性，得 2 分； </w:t>
            </w:r>
          </w:p>
          <w:p w14:paraId="17731384">
            <w:pPr>
              <w:pStyle w:val="5"/>
              <w:spacing w:line="400" w:lineRule="exact"/>
              <w:ind w:right="-21" w:firstLine="542"/>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 xml:space="preserve">（3）对本项目特点和难点理解有待提升，方案基本适合本项目采购需求，可行性、实用性、针对性有待改善，得 1 分； </w:t>
            </w:r>
          </w:p>
          <w:p w14:paraId="29C5B488">
            <w:pPr>
              <w:pStyle w:val="5"/>
              <w:spacing w:line="400" w:lineRule="exact"/>
              <w:ind w:right="-21" w:firstLine="542"/>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（4）方案不可行或者未提供得 0 分。</w:t>
            </w:r>
          </w:p>
        </w:tc>
        <w:tc>
          <w:tcPr>
            <w:tcW w:w="653" w:type="dxa"/>
            <w:tcBorders>
              <w:top w:val="single" w:color="auto" w:sz="4" w:space="0"/>
              <w:left w:val="single" w:color="auto" w:sz="4" w:space="0"/>
              <w:bottom w:val="single" w:color="auto" w:sz="4" w:space="0"/>
              <w:right w:val="single" w:color="auto" w:sz="4" w:space="0"/>
            </w:tcBorders>
            <w:noWrap w:val="0"/>
            <w:vAlign w:val="center"/>
          </w:tcPr>
          <w:p w14:paraId="205F3480">
            <w:pPr>
              <w:spacing w:line="400" w:lineRule="exact"/>
              <w:jc w:val="center"/>
              <w:rPr>
                <w:rFonts w:hint="eastAsia" w:ascii="宋体" w:hAnsi="宋体" w:eastAsia="宋体"/>
                <w:sz w:val="24"/>
                <w:szCs w:val="24"/>
                <w:lang w:val="en-US" w:eastAsia="zh-CN"/>
              </w:rPr>
            </w:pPr>
            <w:r>
              <w:rPr>
                <w:rFonts w:hint="eastAsia" w:ascii="宋体" w:hAnsi="宋体"/>
                <w:color w:val="auto"/>
                <w:sz w:val="24"/>
                <w:szCs w:val="24"/>
              </w:rPr>
              <w:t>0</w:t>
            </w:r>
            <w:r>
              <w:rPr>
                <w:rFonts w:ascii="宋体" w:hAnsi="宋体"/>
                <w:color w:val="auto"/>
                <w:sz w:val="24"/>
                <w:szCs w:val="24"/>
              </w:rPr>
              <w:t>-</w:t>
            </w:r>
            <w:r>
              <w:rPr>
                <w:rFonts w:hint="eastAsia" w:ascii="宋体" w:hAnsi="宋体"/>
                <w:color w:val="auto"/>
                <w:sz w:val="24"/>
                <w:szCs w:val="24"/>
                <w:lang w:val="en-US" w:eastAsia="zh-CN"/>
              </w:rPr>
              <w:t>4</w:t>
            </w:r>
          </w:p>
        </w:tc>
      </w:tr>
      <w:tr w14:paraId="70C7C6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51" w:type="dxa"/>
            <w:bottom w:w="28" w:type="dxa"/>
            <w:right w:w="51" w:type="dxa"/>
          </w:tblCellMar>
        </w:tblPrEx>
        <w:trPr>
          <w:trHeight w:val="425" w:hRule="atLeast"/>
          <w:jc w:val="center"/>
        </w:trPr>
        <w:tc>
          <w:tcPr>
            <w:tcW w:w="1216" w:type="dxa"/>
            <w:vMerge w:val="continue"/>
            <w:tcBorders>
              <w:left w:val="single" w:color="auto" w:sz="4" w:space="0"/>
              <w:right w:val="single" w:color="auto" w:sz="4" w:space="0"/>
            </w:tcBorders>
            <w:noWrap w:val="0"/>
            <w:vAlign w:val="center"/>
          </w:tcPr>
          <w:p w14:paraId="77DC74AF">
            <w:pPr>
              <w:spacing w:line="400" w:lineRule="exact"/>
              <w:jc w:val="center"/>
              <w:rPr>
                <w:rFonts w:ascii="宋体" w:hAnsi="宋体" w:cs="宋体"/>
                <w:sz w:val="24"/>
                <w:szCs w:val="24"/>
              </w:rPr>
            </w:pPr>
          </w:p>
        </w:tc>
        <w:tc>
          <w:tcPr>
            <w:tcW w:w="1041" w:type="dxa"/>
            <w:tcBorders>
              <w:left w:val="single" w:color="auto" w:sz="4" w:space="0"/>
              <w:bottom w:val="single" w:color="auto" w:sz="4" w:space="0"/>
              <w:right w:val="single" w:color="auto" w:sz="4" w:space="0"/>
            </w:tcBorders>
            <w:noWrap w:val="0"/>
            <w:vAlign w:val="center"/>
          </w:tcPr>
          <w:p w14:paraId="3D3ECB0D">
            <w:pPr>
              <w:keepNext w:val="0"/>
              <w:keepLines w:val="0"/>
              <w:widowControl/>
              <w:suppressLineNumbers w:val="0"/>
              <w:jc w:val="left"/>
            </w:pPr>
            <w:r>
              <w:rPr>
                <w:rFonts w:hint="eastAsia" w:ascii="宋体" w:hAnsi="宋体" w:eastAsia="宋体" w:cs="宋体"/>
                <w:color w:val="000000"/>
                <w:kern w:val="0"/>
                <w:sz w:val="24"/>
                <w:szCs w:val="24"/>
                <w:lang w:val="en-US" w:eastAsia="zh-CN" w:bidi="ar"/>
              </w:rPr>
              <w:t>垃圾清运方案</w:t>
            </w:r>
          </w:p>
          <w:p w14:paraId="1DD526DF">
            <w:pPr>
              <w:widowControl/>
              <w:spacing w:line="400" w:lineRule="exact"/>
              <w:jc w:val="center"/>
              <w:rPr>
                <w:rFonts w:ascii="宋体" w:hAnsi="宋体" w:cs="宋体"/>
                <w:sz w:val="24"/>
                <w:szCs w:val="24"/>
              </w:rPr>
            </w:pPr>
          </w:p>
        </w:tc>
        <w:tc>
          <w:tcPr>
            <w:tcW w:w="6778" w:type="dxa"/>
            <w:tcBorders>
              <w:top w:val="single" w:color="auto" w:sz="4" w:space="0"/>
              <w:left w:val="single" w:color="auto" w:sz="4" w:space="0"/>
              <w:bottom w:val="single" w:color="auto" w:sz="4" w:space="0"/>
              <w:right w:val="single" w:color="auto" w:sz="4" w:space="0"/>
            </w:tcBorders>
            <w:noWrap w:val="0"/>
            <w:vAlign w:val="center"/>
          </w:tcPr>
          <w:p w14:paraId="726849B5">
            <w:pPr>
              <w:pStyle w:val="5"/>
              <w:spacing w:line="400" w:lineRule="exact"/>
              <w:ind w:right="-21" w:firstLine="542"/>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 xml:space="preserve">供应商根据采购需求提供垃圾清运方案，至少包含下列内容： 垃圾分类管理制度、厨余垃圾收集及清运措施、剩余饭菜及泔水处理措施等。评标委员会根据供应商提供的方案，进行综 </w:t>
            </w:r>
          </w:p>
          <w:p w14:paraId="27AF8CB3">
            <w:pPr>
              <w:pStyle w:val="5"/>
              <w:spacing w:line="400" w:lineRule="exact"/>
              <w:ind w:left="0" w:leftChars="0" w:right="-21" w:firstLine="0" w:firstLineChars="0"/>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 xml:space="preserve">合评审： </w:t>
            </w:r>
          </w:p>
          <w:p w14:paraId="0A147DB2">
            <w:pPr>
              <w:pStyle w:val="5"/>
              <w:spacing w:line="400" w:lineRule="exact"/>
              <w:ind w:right="-21" w:firstLine="542"/>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 xml:space="preserve">（1）对本项目特点和难点理解准确，方案优于本项目采购需求，完整详细，可行性、实用性、针对性强，得 4 分； </w:t>
            </w:r>
          </w:p>
          <w:p w14:paraId="6099B124">
            <w:pPr>
              <w:pStyle w:val="5"/>
              <w:spacing w:line="400" w:lineRule="exact"/>
              <w:ind w:right="-21" w:firstLine="542"/>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 xml:space="preserve">（2）对本项目特点和难点理解基本准确，方案适合本项目采购需求，完整详细，具有可行性、实用性和针对性，得 2 分； </w:t>
            </w:r>
          </w:p>
          <w:p w14:paraId="6784B0B2">
            <w:pPr>
              <w:pStyle w:val="5"/>
              <w:spacing w:line="400" w:lineRule="exact"/>
              <w:ind w:right="-21" w:firstLine="542"/>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 xml:space="preserve">（3）对本项目特点和难点理解有待提升，方案基本适合本项目采购需求，可行性、实用性、针对性有待改善，得 1 分； </w:t>
            </w:r>
          </w:p>
          <w:p w14:paraId="0619D468">
            <w:pPr>
              <w:pStyle w:val="5"/>
              <w:spacing w:line="400" w:lineRule="exact"/>
              <w:ind w:right="-21" w:firstLine="542"/>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（4）方案不可行或者未提供得 0 分。</w:t>
            </w:r>
          </w:p>
        </w:tc>
        <w:tc>
          <w:tcPr>
            <w:tcW w:w="653" w:type="dxa"/>
            <w:tcBorders>
              <w:top w:val="single" w:color="auto" w:sz="4" w:space="0"/>
              <w:left w:val="single" w:color="auto" w:sz="4" w:space="0"/>
              <w:bottom w:val="single" w:color="auto" w:sz="4" w:space="0"/>
              <w:right w:val="single" w:color="auto" w:sz="4" w:space="0"/>
            </w:tcBorders>
            <w:noWrap w:val="0"/>
            <w:vAlign w:val="center"/>
          </w:tcPr>
          <w:p w14:paraId="118EBFCF">
            <w:pPr>
              <w:widowControl/>
              <w:spacing w:line="400" w:lineRule="exact"/>
              <w:jc w:val="center"/>
              <w:rPr>
                <w:rFonts w:hint="eastAsia" w:ascii="宋体" w:hAnsi="宋体" w:eastAsia="宋体" w:cs="宋体"/>
                <w:sz w:val="24"/>
                <w:szCs w:val="24"/>
                <w:lang w:val="en-US" w:eastAsia="zh-CN"/>
              </w:rPr>
            </w:pPr>
            <w:r>
              <w:rPr>
                <w:rFonts w:hint="eastAsia" w:ascii="宋体" w:hAnsi="宋体" w:cs="宋体"/>
                <w:color w:val="auto"/>
                <w:sz w:val="24"/>
                <w:szCs w:val="24"/>
              </w:rPr>
              <w:t>0</w:t>
            </w:r>
            <w:r>
              <w:rPr>
                <w:rFonts w:ascii="宋体" w:hAnsi="宋体" w:cs="宋体"/>
                <w:color w:val="auto"/>
                <w:sz w:val="24"/>
                <w:szCs w:val="24"/>
              </w:rPr>
              <w:t>-</w:t>
            </w:r>
            <w:r>
              <w:rPr>
                <w:rFonts w:hint="eastAsia" w:ascii="宋体" w:hAnsi="宋体" w:cs="宋体"/>
                <w:color w:val="auto"/>
                <w:sz w:val="24"/>
                <w:szCs w:val="24"/>
                <w:lang w:val="en-US" w:eastAsia="zh-CN"/>
              </w:rPr>
              <w:t>4</w:t>
            </w:r>
          </w:p>
        </w:tc>
      </w:tr>
      <w:tr w14:paraId="21FA1C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51" w:type="dxa"/>
            <w:bottom w:w="28" w:type="dxa"/>
            <w:right w:w="51" w:type="dxa"/>
          </w:tblCellMar>
        </w:tblPrEx>
        <w:trPr>
          <w:trHeight w:val="425" w:hRule="atLeast"/>
          <w:jc w:val="center"/>
        </w:trPr>
        <w:tc>
          <w:tcPr>
            <w:tcW w:w="1216" w:type="dxa"/>
            <w:vMerge w:val="continue"/>
            <w:tcBorders>
              <w:left w:val="single" w:color="auto" w:sz="4" w:space="0"/>
              <w:right w:val="single" w:color="auto" w:sz="4" w:space="0"/>
            </w:tcBorders>
            <w:noWrap w:val="0"/>
            <w:vAlign w:val="center"/>
          </w:tcPr>
          <w:p w14:paraId="039D8871">
            <w:pPr>
              <w:spacing w:line="400" w:lineRule="exact"/>
              <w:jc w:val="center"/>
              <w:rPr>
                <w:rFonts w:ascii="宋体" w:hAnsi="宋体" w:cs="宋体"/>
                <w:sz w:val="24"/>
                <w:szCs w:val="24"/>
              </w:rPr>
            </w:pPr>
          </w:p>
        </w:tc>
        <w:tc>
          <w:tcPr>
            <w:tcW w:w="1041" w:type="dxa"/>
            <w:tcBorders>
              <w:left w:val="single" w:color="auto" w:sz="4" w:space="0"/>
              <w:bottom w:val="single" w:color="auto" w:sz="4" w:space="0"/>
              <w:right w:val="single" w:color="auto" w:sz="4" w:space="0"/>
            </w:tcBorders>
            <w:noWrap w:val="0"/>
            <w:vAlign w:val="center"/>
          </w:tcPr>
          <w:p w14:paraId="4420E64B">
            <w:pPr>
              <w:widowControl/>
              <w:spacing w:line="400" w:lineRule="exact"/>
              <w:jc w:val="center"/>
              <w:rPr>
                <w:rFonts w:ascii="宋体" w:hAnsi="宋体"/>
                <w:sz w:val="24"/>
                <w:szCs w:val="24"/>
              </w:rPr>
            </w:pPr>
            <w:r>
              <w:rPr>
                <w:rFonts w:ascii="宋体" w:hAnsi="宋体"/>
                <w:sz w:val="24"/>
                <w:szCs w:val="24"/>
              </w:rPr>
              <w:t>应急</w:t>
            </w:r>
          </w:p>
          <w:p w14:paraId="72581E9D">
            <w:pPr>
              <w:widowControl/>
              <w:spacing w:line="400" w:lineRule="exact"/>
              <w:jc w:val="center"/>
              <w:rPr>
                <w:rFonts w:ascii="宋体" w:hAnsi="宋体"/>
                <w:sz w:val="24"/>
                <w:szCs w:val="24"/>
              </w:rPr>
            </w:pPr>
            <w:r>
              <w:rPr>
                <w:rFonts w:ascii="宋体" w:hAnsi="宋体"/>
                <w:sz w:val="24"/>
                <w:szCs w:val="24"/>
              </w:rPr>
              <w:t>处理</w:t>
            </w:r>
          </w:p>
          <w:p w14:paraId="4331AC1A">
            <w:pPr>
              <w:widowControl/>
              <w:spacing w:line="400" w:lineRule="exact"/>
              <w:jc w:val="center"/>
              <w:rPr>
                <w:rFonts w:ascii="宋体" w:hAnsi="宋体" w:cs="宋体"/>
                <w:sz w:val="24"/>
                <w:szCs w:val="24"/>
              </w:rPr>
            </w:pPr>
            <w:r>
              <w:rPr>
                <w:rFonts w:ascii="宋体" w:hAnsi="宋体"/>
                <w:sz w:val="24"/>
                <w:szCs w:val="24"/>
              </w:rPr>
              <w:t>方案</w:t>
            </w:r>
          </w:p>
        </w:tc>
        <w:tc>
          <w:tcPr>
            <w:tcW w:w="6778" w:type="dxa"/>
            <w:tcBorders>
              <w:top w:val="single" w:color="auto" w:sz="4" w:space="0"/>
              <w:left w:val="single" w:color="auto" w:sz="4" w:space="0"/>
              <w:bottom w:val="single" w:color="auto" w:sz="4" w:space="0"/>
              <w:right w:val="single" w:color="auto" w:sz="4" w:space="0"/>
            </w:tcBorders>
            <w:noWrap w:val="0"/>
            <w:vAlign w:val="center"/>
          </w:tcPr>
          <w:p w14:paraId="146AB570">
            <w:pPr>
              <w:pStyle w:val="5"/>
              <w:spacing w:line="400" w:lineRule="exact"/>
              <w:ind w:right="-21" w:firstLine="542"/>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供应商根据采购需求提供应急处理方案，至少包含下列内容：突发食品安全事故处理、突发停水、停电、停气等紧急情况</w:t>
            </w:r>
          </w:p>
          <w:p w14:paraId="1197C765">
            <w:pPr>
              <w:pStyle w:val="5"/>
              <w:spacing w:line="400" w:lineRule="exact"/>
              <w:ind w:left="0" w:leftChars="0" w:right="-21" w:firstLine="0" w:firstLineChars="0"/>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 xml:space="preserve">处理措施等。评标委员会根据供应商提供的方案，进行综合评审： </w:t>
            </w:r>
          </w:p>
          <w:p w14:paraId="4E6D0373">
            <w:pPr>
              <w:pStyle w:val="5"/>
              <w:spacing w:line="400" w:lineRule="exact"/>
              <w:ind w:right="-21" w:firstLine="542"/>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 xml:space="preserve">（1）对本项目特点和难点理解准确，方案优于本项目采购需求，完整详细，可行性、实用性、针对性强，得 5 分； </w:t>
            </w:r>
          </w:p>
          <w:p w14:paraId="39DFDA55">
            <w:pPr>
              <w:pStyle w:val="5"/>
              <w:spacing w:line="400" w:lineRule="exact"/>
              <w:ind w:right="-21" w:firstLine="542"/>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 xml:space="preserve">（2）对本项目特点和难点理解基本准确，方案适合本项目采购需求，完整详细，具有可行性、实用性和针对性，得 3 分； </w:t>
            </w:r>
          </w:p>
          <w:p w14:paraId="7DC2590D">
            <w:pPr>
              <w:pStyle w:val="5"/>
              <w:spacing w:line="400" w:lineRule="exact"/>
              <w:ind w:right="-21" w:firstLine="542"/>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 xml:space="preserve">（3）对本项目特点和难点理解有待提升，方案基本适合本项目采购需求，可行性、实用性、针对性有待改善，得 1 分； </w:t>
            </w:r>
          </w:p>
          <w:p w14:paraId="4DA324A0">
            <w:pPr>
              <w:pStyle w:val="5"/>
              <w:spacing w:line="400" w:lineRule="exact"/>
              <w:ind w:right="-21" w:firstLine="542"/>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（4）方案不可行或者未提供得 0 分。</w:t>
            </w:r>
          </w:p>
        </w:tc>
        <w:tc>
          <w:tcPr>
            <w:tcW w:w="653" w:type="dxa"/>
            <w:tcBorders>
              <w:top w:val="single" w:color="auto" w:sz="4" w:space="0"/>
              <w:left w:val="single" w:color="auto" w:sz="4" w:space="0"/>
              <w:bottom w:val="single" w:color="auto" w:sz="4" w:space="0"/>
              <w:right w:val="single" w:color="auto" w:sz="4" w:space="0"/>
            </w:tcBorders>
            <w:noWrap w:val="0"/>
            <w:vAlign w:val="center"/>
          </w:tcPr>
          <w:p w14:paraId="5263C037">
            <w:pPr>
              <w:widowControl/>
              <w:spacing w:line="400" w:lineRule="exact"/>
              <w:jc w:val="center"/>
              <w:rPr>
                <w:rFonts w:hint="eastAsia" w:ascii="宋体" w:hAnsi="宋体" w:eastAsia="宋体" w:cs="宋体"/>
                <w:sz w:val="24"/>
                <w:szCs w:val="24"/>
                <w:lang w:val="en-US" w:eastAsia="zh-CN"/>
              </w:rPr>
            </w:pPr>
            <w:r>
              <w:rPr>
                <w:rFonts w:hint="eastAsia" w:ascii="宋体" w:hAnsi="宋体" w:cs="宋体"/>
                <w:color w:val="auto"/>
                <w:sz w:val="24"/>
                <w:szCs w:val="24"/>
              </w:rPr>
              <w:t>0</w:t>
            </w:r>
            <w:r>
              <w:rPr>
                <w:rFonts w:ascii="宋体" w:hAnsi="宋体" w:cs="宋体"/>
                <w:color w:val="auto"/>
                <w:sz w:val="24"/>
                <w:szCs w:val="24"/>
              </w:rPr>
              <w:t>-</w:t>
            </w:r>
            <w:r>
              <w:rPr>
                <w:rFonts w:hint="eastAsia" w:ascii="宋体" w:hAnsi="宋体" w:cs="宋体"/>
                <w:color w:val="auto"/>
                <w:sz w:val="24"/>
                <w:szCs w:val="24"/>
                <w:lang w:val="en-US" w:eastAsia="zh-CN"/>
              </w:rPr>
              <w:t>5</w:t>
            </w:r>
          </w:p>
        </w:tc>
      </w:tr>
      <w:tr w14:paraId="486DF2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51" w:type="dxa"/>
            <w:bottom w:w="28" w:type="dxa"/>
            <w:right w:w="51" w:type="dxa"/>
          </w:tblCellMar>
        </w:tblPrEx>
        <w:trPr>
          <w:trHeight w:val="425" w:hRule="atLeast"/>
          <w:jc w:val="center"/>
        </w:trPr>
        <w:tc>
          <w:tcPr>
            <w:tcW w:w="1216" w:type="dxa"/>
            <w:vMerge w:val="continue"/>
            <w:tcBorders>
              <w:left w:val="single" w:color="auto" w:sz="4" w:space="0"/>
              <w:right w:val="single" w:color="auto" w:sz="4" w:space="0"/>
            </w:tcBorders>
            <w:noWrap w:val="0"/>
            <w:vAlign w:val="center"/>
          </w:tcPr>
          <w:p w14:paraId="6E58117C">
            <w:pPr>
              <w:spacing w:line="400" w:lineRule="exact"/>
              <w:jc w:val="center"/>
              <w:rPr>
                <w:rFonts w:ascii="宋体" w:hAnsi="宋体" w:cs="宋体"/>
                <w:sz w:val="24"/>
                <w:szCs w:val="24"/>
              </w:rPr>
            </w:pPr>
          </w:p>
        </w:tc>
        <w:tc>
          <w:tcPr>
            <w:tcW w:w="1041" w:type="dxa"/>
            <w:tcBorders>
              <w:left w:val="single" w:color="auto" w:sz="4" w:space="0"/>
              <w:bottom w:val="single" w:color="auto" w:sz="4" w:space="0"/>
              <w:right w:val="single" w:color="auto" w:sz="4" w:space="0"/>
            </w:tcBorders>
            <w:noWrap w:val="0"/>
            <w:vAlign w:val="center"/>
          </w:tcPr>
          <w:p w14:paraId="7D675E03">
            <w:pPr>
              <w:widowControl/>
              <w:spacing w:line="400" w:lineRule="exact"/>
              <w:jc w:val="center"/>
              <w:rPr>
                <w:rFonts w:ascii="宋体" w:hAnsi="宋体" w:cs="宋体"/>
                <w:sz w:val="24"/>
                <w:szCs w:val="24"/>
              </w:rPr>
            </w:pPr>
            <w:r>
              <w:rPr>
                <w:rFonts w:hint="eastAsia" w:ascii="宋体" w:hAnsi="宋体" w:cs="宋体"/>
                <w:sz w:val="24"/>
                <w:szCs w:val="24"/>
              </w:rPr>
              <w:t>体系认证</w:t>
            </w:r>
          </w:p>
        </w:tc>
        <w:tc>
          <w:tcPr>
            <w:tcW w:w="6778" w:type="dxa"/>
            <w:tcBorders>
              <w:top w:val="single" w:color="auto" w:sz="4" w:space="0"/>
              <w:left w:val="single" w:color="auto" w:sz="4" w:space="0"/>
              <w:bottom w:val="single" w:color="auto" w:sz="4" w:space="0"/>
              <w:right w:val="single" w:color="auto" w:sz="4" w:space="0"/>
            </w:tcBorders>
            <w:noWrap w:val="0"/>
            <w:vAlign w:val="center"/>
          </w:tcPr>
          <w:p w14:paraId="613529E3">
            <w:pPr>
              <w:pStyle w:val="5"/>
              <w:spacing w:line="400" w:lineRule="exact"/>
              <w:ind w:right="-21" w:firstLine="542"/>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 xml:space="preserve">供应商具有经中国国家认证认可监督管理委员会认证机构颁发的在有效期内的下列证书，每提供一个得 5 分，满分25分。 </w:t>
            </w:r>
          </w:p>
          <w:p w14:paraId="0B1A727C">
            <w:pPr>
              <w:pStyle w:val="5"/>
              <w:spacing w:line="400" w:lineRule="exact"/>
              <w:ind w:right="-21" w:firstLine="542"/>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 xml:space="preserve">（1）质量管理体系认证证书； </w:t>
            </w:r>
          </w:p>
          <w:p w14:paraId="6AAD5E7A">
            <w:pPr>
              <w:pStyle w:val="5"/>
              <w:spacing w:line="400" w:lineRule="exact"/>
              <w:ind w:right="-21" w:firstLine="542"/>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 xml:space="preserve">（2）环境管理体系认证证书； </w:t>
            </w:r>
          </w:p>
          <w:p w14:paraId="08B898BC">
            <w:pPr>
              <w:pStyle w:val="5"/>
              <w:spacing w:line="400" w:lineRule="exact"/>
              <w:ind w:right="-21" w:firstLine="542"/>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 xml:space="preserve">（3）职业健康安全管理体系认证证书； </w:t>
            </w:r>
          </w:p>
          <w:p w14:paraId="065AF6F9">
            <w:pPr>
              <w:pStyle w:val="5"/>
              <w:spacing w:line="400" w:lineRule="exact"/>
              <w:ind w:right="-21" w:firstLine="542"/>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（4）食品安全管理体系认证证书；</w:t>
            </w:r>
          </w:p>
          <w:p w14:paraId="74E193E4">
            <w:pPr>
              <w:pStyle w:val="5"/>
              <w:spacing w:line="400" w:lineRule="exact"/>
              <w:ind w:right="-21" w:firstLine="542"/>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（5）餐饮管理服务体系认证证书；</w:t>
            </w:r>
          </w:p>
          <w:p w14:paraId="0D996382">
            <w:pPr>
              <w:pStyle w:val="5"/>
              <w:spacing w:line="400" w:lineRule="exact"/>
              <w:ind w:right="-21" w:firstLine="542"/>
              <w:rPr>
                <w:rFonts w:hint="default"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（6）HACCP管理体系认证证书。</w:t>
            </w:r>
          </w:p>
          <w:p w14:paraId="0CC1C41C">
            <w:pPr>
              <w:pStyle w:val="5"/>
              <w:spacing w:line="400" w:lineRule="exact"/>
              <w:ind w:right="-21" w:firstLine="542"/>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注：提供上述证书的清晰扫描件或复印件，未提供不得分。</w:t>
            </w:r>
          </w:p>
        </w:tc>
        <w:tc>
          <w:tcPr>
            <w:tcW w:w="653" w:type="dxa"/>
            <w:tcBorders>
              <w:top w:val="single" w:color="auto" w:sz="4" w:space="0"/>
              <w:left w:val="single" w:color="auto" w:sz="4" w:space="0"/>
              <w:bottom w:val="single" w:color="auto" w:sz="4" w:space="0"/>
              <w:right w:val="single" w:color="auto" w:sz="4" w:space="0"/>
            </w:tcBorders>
            <w:noWrap w:val="0"/>
            <w:vAlign w:val="center"/>
          </w:tcPr>
          <w:p w14:paraId="0E589AA6">
            <w:pPr>
              <w:widowControl/>
              <w:spacing w:line="400" w:lineRule="exact"/>
              <w:jc w:val="center"/>
              <w:rPr>
                <w:rFonts w:hint="default" w:ascii="宋体" w:hAnsi="宋体" w:eastAsia="宋体" w:cs="宋体"/>
                <w:sz w:val="24"/>
                <w:szCs w:val="24"/>
                <w:lang w:val="en-US" w:eastAsia="zh-CN"/>
              </w:rPr>
            </w:pPr>
            <w:r>
              <w:rPr>
                <w:rFonts w:hint="eastAsia" w:ascii="宋体" w:hAnsi="宋体" w:cs="宋体"/>
                <w:color w:val="auto"/>
                <w:sz w:val="24"/>
                <w:szCs w:val="24"/>
              </w:rPr>
              <w:t>0</w:t>
            </w:r>
            <w:r>
              <w:rPr>
                <w:rFonts w:ascii="宋体" w:hAnsi="宋体" w:cs="宋体"/>
                <w:color w:val="auto"/>
                <w:sz w:val="24"/>
                <w:szCs w:val="24"/>
              </w:rPr>
              <w:t>-</w:t>
            </w:r>
            <w:r>
              <w:rPr>
                <w:rFonts w:hint="eastAsia" w:ascii="宋体" w:hAnsi="宋体" w:cs="宋体"/>
                <w:color w:val="auto"/>
                <w:sz w:val="24"/>
                <w:szCs w:val="24"/>
                <w:lang w:val="en-US" w:eastAsia="zh-CN"/>
              </w:rPr>
              <w:t>25</w:t>
            </w:r>
          </w:p>
        </w:tc>
      </w:tr>
      <w:tr w14:paraId="75AF59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51" w:type="dxa"/>
            <w:bottom w:w="28" w:type="dxa"/>
            <w:right w:w="51" w:type="dxa"/>
          </w:tblCellMar>
        </w:tblPrEx>
        <w:trPr>
          <w:trHeight w:val="425" w:hRule="atLeast"/>
          <w:jc w:val="center"/>
        </w:trPr>
        <w:tc>
          <w:tcPr>
            <w:tcW w:w="1216" w:type="dxa"/>
            <w:vMerge w:val="continue"/>
            <w:tcBorders>
              <w:left w:val="single" w:color="auto" w:sz="4" w:space="0"/>
              <w:right w:val="single" w:color="auto" w:sz="4" w:space="0"/>
            </w:tcBorders>
            <w:noWrap w:val="0"/>
            <w:vAlign w:val="center"/>
          </w:tcPr>
          <w:p w14:paraId="1E94CB7B">
            <w:pPr>
              <w:spacing w:line="400" w:lineRule="exact"/>
              <w:jc w:val="center"/>
              <w:rPr>
                <w:rFonts w:ascii="宋体" w:hAnsi="宋体" w:cs="宋体"/>
                <w:sz w:val="24"/>
                <w:szCs w:val="24"/>
              </w:rPr>
            </w:pPr>
          </w:p>
        </w:tc>
        <w:tc>
          <w:tcPr>
            <w:tcW w:w="1041" w:type="dxa"/>
            <w:tcBorders>
              <w:left w:val="single" w:color="auto" w:sz="4" w:space="0"/>
              <w:right w:val="single" w:color="auto" w:sz="4" w:space="0"/>
            </w:tcBorders>
            <w:noWrap w:val="0"/>
            <w:vAlign w:val="center"/>
          </w:tcPr>
          <w:p w14:paraId="2ACB12A3">
            <w:pPr>
              <w:keepNext w:val="0"/>
              <w:keepLines w:val="0"/>
              <w:widowControl/>
              <w:suppressLineNumbers w:val="0"/>
              <w:jc w:val="left"/>
            </w:pPr>
            <w:r>
              <w:rPr>
                <w:rFonts w:hint="eastAsia" w:ascii="宋体" w:hAnsi="宋体" w:eastAsia="宋体" w:cs="宋体"/>
                <w:color w:val="000000"/>
                <w:kern w:val="0"/>
                <w:sz w:val="24"/>
                <w:szCs w:val="24"/>
                <w:lang w:val="en-US" w:eastAsia="zh-CN" w:bidi="ar"/>
              </w:rPr>
              <w:t>供应商业绩</w:t>
            </w:r>
          </w:p>
          <w:p w14:paraId="297579E6">
            <w:pPr>
              <w:spacing w:line="400" w:lineRule="exact"/>
              <w:jc w:val="center"/>
              <w:rPr>
                <w:rFonts w:ascii="宋体" w:hAnsi="宋体" w:cs="宋体"/>
                <w:bCs/>
                <w:sz w:val="24"/>
                <w:szCs w:val="24"/>
              </w:rPr>
            </w:pPr>
          </w:p>
        </w:tc>
        <w:tc>
          <w:tcPr>
            <w:tcW w:w="6778" w:type="dxa"/>
            <w:tcBorders>
              <w:top w:val="single" w:color="auto" w:sz="4" w:space="0"/>
              <w:left w:val="single" w:color="auto" w:sz="4" w:space="0"/>
              <w:bottom w:val="single" w:color="auto" w:sz="4" w:space="0"/>
              <w:right w:val="single" w:color="auto" w:sz="4" w:space="0"/>
            </w:tcBorders>
            <w:noWrap w:val="0"/>
            <w:vAlign w:val="center"/>
          </w:tcPr>
          <w:p w14:paraId="0A5593E2">
            <w:pPr>
              <w:pStyle w:val="5"/>
              <w:spacing w:line="400" w:lineRule="exact"/>
              <w:ind w:right="-21" w:firstLine="542"/>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 xml:space="preserve">供应商具有类似项目业绩的，每提供一个业绩得 6 分，本项最高得 18 分。 </w:t>
            </w:r>
          </w:p>
          <w:p w14:paraId="4AFDF511">
            <w:pPr>
              <w:pStyle w:val="5"/>
              <w:spacing w:line="400" w:lineRule="exact"/>
              <w:ind w:right="-21" w:firstLine="542"/>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 xml:space="preserve">注：响应文件中提供清晰的合同扫描件或复印件，若合同不 </w:t>
            </w:r>
          </w:p>
          <w:p w14:paraId="484719BA">
            <w:pPr>
              <w:pStyle w:val="5"/>
              <w:spacing w:line="400" w:lineRule="exact"/>
              <w:ind w:left="0" w:leftChars="0" w:right="-21" w:firstLine="0" w:firstLineChars="0"/>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能体现上述内容，可另行提供业主单位证明材料，未提供不得分。</w:t>
            </w:r>
          </w:p>
        </w:tc>
        <w:tc>
          <w:tcPr>
            <w:tcW w:w="653" w:type="dxa"/>
            <w:tcBorders>
              <w:top w:val="single" w:color="auto" w:sz="4" w:space="0"/>
              <w:left w:val="single" w:color="auto" w:sz="4" w:space="0"/>
              <w:bottom w:val="single" w:color="auto" w:sz="4" w:space="0"/>
              <w:right w:val="single" w:color="auto" w:sz="4" w:space="0"/>
            </w:tcBorders>
            <w:noWrap w:val="0"/>
            <w:vAlign w:val="center"/>
          </w:tcPr>
          <w:p w14:paraId="497790F3">
            <w:pPr>
              <w:spacing w:line="400" w:lineRule="exact"/>
              <w:jc w:val="center"/>
              <w:rPr>
                <w:rFonts w:hint="default" w:ascii="宋体" w:hAnsi="宋体" w:eastAsia="宋体" w:cs="宋体"/>
                <w:sz w:val="24"/>
                <w:szCs w:val="24"/>
                <w:lang w:val="en-US" w:eastAsia="zh-CN"/>
              </w:rPr>
            </w:pPr>
            <w:r>
              <w:rPr>
                <w:rFonts w:ascii="宋体" w:hAnsi="宋体"/>
                <w:color w:val="auto"/>
                <w:sz w:val="24"/>
                <w:szCs w:val="24"/>
              </w:rPr>
              <w:t>0-</w:t>
            </w:r>
            <w:r>
              <w:rPr>
                <w:rFonts w:hint="eastAsia" w:ascii="宋体" w:hAnsi="宋体"/>
                <w:color w:val="auto"/>
                <w:sz w:val="24"/>
                <w:szCs w:val="24"/>
                <w:lang w:val="en-US" w:eastAsia="zh-CN"/>
              </w:rPr>
              <w:t>18</w:t>
            </w:r>
          </w:p>
        </w:tc>
      </w:tr>
      <w:tr w14:paraId="187F49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51" w:type="dxa"/>
            <w:bottom w:w="28" w:type="dxa"/>
            <w:right w:w="51" w:type="dxa"/>
          </w:tblCellMar>
        </w:tblPrEx>
        <w:trPr>
          <w:trHeight w:val="425" w:hRule="atLeast"/>
          <w:jc w:val="center"/>
        </w:trPr>
        <w:tc>
          <w:tcPr>
            <w:tcW w:w="1216" w:type="dxa"/>
            <w:vMerge w:val="continue"/>
            <w:tcBorders>
              <w:left w:val="single" w:color="auto" w:sz="4" w:space="0"/>
              <w:right w:val="single" w:color="auto" w:sz="4" w:space="0"/>
            </w:tcBorders>
            <w:noWrap w:val="0"/>
            <w:vAlign w:val="center"/>
          </w:tcPr>
          <w:p w14:paraId="665164C8">
            <w:pPr>
              <w:spacing w:line="400" w:lineRule="exact"/>
              <w:jc w:val="center"/>
              <w:rPr>
                <w:rFonts w:ascii="宋体" w:hAnsi="宋体" w:cs="宋体"/>
                <w:sz w:val="24"/>
                <w:szCs w:val="24"/>
              </w:rPr>
            </w:pPr>
          </w:p>
        </w:tc>
        <w:tc>
          <w:tcPr>
            <w:tcW w:w="1041" w:type="dxa"/>
            <w:tcBorders>
              <w:left w:val="single" w:color="auto" w:sz="4" w:space="0"/>
              <w:right w:val="single" w:color="auto" w:sz="4" w:space="0"/>
            </w:tcBorders>
            <w:noWrap w:val="0"/>
            <w:vAlign w:val="center"/>
          </w:tcPr>
          <w:p w14:paraId="1F17F790">
            <w:pPr>
              <w:keepNext w:val="0"/>
              <w:keepLines w:val="0"/>
              <w:widowControl/>
              <w:suppressLineNumbers w:val="0"/>
              <w:jc w:val="left"/>
            </w:pPr>
            <w:r>
              <w:rPr>
                <w:rFonts w:hint="eastAsia" w:ascii="宋体" w:hAnsi="宋体" w:eastAsia="宋体" w:cs="宋体"/>
                <w:color w:val="000000"/>
                <w:kern w:val="0"/>
                <w:sz w:val="24"/>
                <w:szCs w:val="24"/>
                <w:lang w:val="en-US" w:eastAsia="zh-CN" w:bidi="ar"/>
              </w:rPr>
              <w:t>项目负责人业绩</w:t>
            </w:r>
          </w:p>
          <w:p w14:paraId="2A17255A">
            <w:pPr>
              <w:spacing w:line="400" w:lineRule="exact"/>
              <w:jc w:val="center"/>
              <w:rPr>
                <w:rFonts w:ascii="宋体" w:hAnsi="宋体" w:cs="宋体"/>
                <w:bCs/>
                <w:sz w:val="24"/>
                <w:szCs w:val="24"/>
              </w:rPr>
            </w:pPr>
          </w:p>
        </w:tc>
        <w:tc>
          <w:tcPr>
            <w:tcW w:w="6778" w:type="dxa"/>
            <w:tcBorders>
              <w:top w:val="single" w:color="auto" w:sz="4" w:space="0"/>
              <w:left w:val="single" w:color="auto" w:sz="4" w:space="0"/>
              <w:bottom w:val="single" w:color="auto" w:sz="4" w:space="0"/>
              <w:right w:val="single" w:color="auto" w:sz="4" w:space="0"/>
            </w:tcBorders>
            <w:noWrap w:val="0"/>
            <w:vAlign w:val="center"/>
          </w:tcPr>
          <w:p w14:paraId="76672607">
            <w:pPr>
              <w:pStyle w:val="5"/>
              <w:spacing w:line="400" w:lineRule="exact"/>
              <w:ind w:right="-21" w:firstLine="542"/>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 xml:space="preserve">供应商拟为本项目配备的项目负责人具有类似业绩的，每提 </w:t>
            </w:r>
          </w:p>
          <w:p w14:paraId="2ACEF74E">
            <w:pPr>
              <w:pStyle w:val="5"/>
              <w:spacing w:line="400" w:lineRule="exact"/>
              <w:ind w:left="0" w:leftChars="0" w:right="-21" w:firstLine="0" w:firstLineChars="0"/>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 xml:space="preserve">供一份业绩得 4 分，本项最高得 12 分。 </w:t>
            </w:r>
          </w:p>
          <w:p w14:paraId="5A97CB9E">
            <w:pPr>
              <w:pStyle w:val="5"/>
              <w:spacing w:line="400" w:lineRule="exact"/>
              <w:ind w:right="-21"/>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注：响应文件</w:t>
            </w:r>
            <w:bookmarkStart w:id="0" w:name="_GoBack"/>
            <w:bookmarkEnd w:id="0"/>
            <w:r>
              <w:rPr>
                <w:rFonts w:hint="eastAsia" w:ascii="宋体" w:hAnsi="宋体" w:eastAsia="宋体" w:cs="宋体"/>
                <w:color w:val="000000"/>
                <w:kern w:val="0"/>
                <w:sz w:val="24"/>
                <w:szCs w:val="24"/>
                <w:lang w:val="en-US" w:eastAsia="zh-CN" w:bidi="ar"/>
              </w:rPr>
              <w:t xml:space="preserve">中提供清晰的合同扫描件或复印件，若合同不 </w:t>
            </w:r>
          </w:p>
          <w:p w14:paraId="7F991911">
            <w:pPr>
              <w:pStyle w:val="5"/>
              <w:spacing w:line="400" w:lineRule="exact"/>
              <w:ind w:left="0" w:leftChars="0" w:right="-21" w:firstLine="0" w:firstLineChars="0"/>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能体现项目负责人姓名及上述内容，可另行提供业主单位证明材料，未提供不得分。</w:t>
            </w:r>
          </w:p>
        </w:tc>
        <w:tc>
          <w:tcPr>
            <w:tcW w:w="653" w:type="dxa"/>
            <w:tcBorders>
              <w:top w:val="single" w:color="auto" w:sz="4" w:space="0"/>
              <w:left w:val="single" w:color="auto" w:sz="4" w:space="0"/>
              <w:bottom w:val="single" w:color="auto" w:sz="4" w:space="0"/>
              <w:right w:val="single" w:color="auto" w:sz="4" w:space="0"/>
            </w:tcBorders>
            <w:noWrap w:val="0"/>
            <w:vAlign w:val="center"/>
          </w:tcPr>
          <w:p w14:paraId="116CFDD9">
            <w:pPr>
              <w:keepNext w:val="0"/>
              <w:keepLines w:val="0"/>
              <w:widowControl/>
              <w:suppressLineNumbers w:val="0"/>
              <w:jc w:val="left"/>
              <w:rPr>
                <w:rFonts w:hint="default"/>
                <w:color w:val="auto"/>
                <w:lang w:val="en-US"/>
              </w:rPr>
            </w:pPr>
            <w:r>
              <w:rPr>
                <w:rFonts w:hint="eastAsia" w:ascii="宋体" w:hAnsi="宋体" w:eastAsia="宋体" w:cs="宋体"/>
                <w:color w:val="auto"/>
                <w:kern w:val="0"/>
                <w:sz w:val="24"/>
                <w:szCs w:val="24"/>
                <w:lang w:val="en-US" w:eastAsia="zh-CN" w:bidi="ar"/>
              </w:rPr>
              <w:t>0-12</w:t>
            </w:r>
          </w:p>
          <w:p w14:paraId="40D67276">
            <w:pPr>
              <w:spacing w:line="400" w:lineRule="exact"/>
              <w:jc w:val="center"/>
              <w:rPr>
                <w:rFonts w:ascii="宋体" w:hAnsi="宋体"/>
                <w:sz w:val="24"/>
                <w:szCs w:val="24"/>
              </w:rPr>
            </w:pPr>
          </w:p>
        </w:tc>
      </w:tr>
      <w:tr w14:paraId="4D87F3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28" w:type="dxa"/>
            <w:left w:w="51" w:type="dxa"/>
            <w:bottom w:w="28" w:type="dxa"/>
            <w:right w:w="51" w:type="dxa"/>
          </w:tblCellMar>
        </w:tblPrEx>
        <w:trPr>
          <w:trHeight w:val="425" w:hRule="atLeast"/>
          <w:jc w:val="center"/>
        </w:trPr>
        <w:tc>
          <w:tcPr>
            <w:tcW w:w="1216" w:type="dxa"/>
            <w:tcBorders>
              <w:left w:val="single" w:color="auto" w:sz="4" w:space="0"/>
              <w:right w:val="single" w:color="auto" w:sz="4" w:space="0"/>
            </w:tcBorders>
            <w:noWrap w:val="0"/>
            <w:vAlign w:val="center"/>
          </w:tcPr>
          <w:p w14:paraId="751ABFB5">
            <w:pPr>
              <w:keepNext w:val="0"/>
              <w:keepLines w:val="0"/>
              <w:widowControl/>
              <w:suppressLineNumbers w:val="0"/>
              <w:jc w:val="left"/>
            </w:pPr>
            <w:r>
              <w:rPr>
                <w:rFonts w:hint="eastAsia" w:ascii="宋体" w:hAnsi="宋体" w:eastAsia="宋体" w:cs="宋体"/>
                <w:color w:val="000000"/>
                <w:kern w:val="0"/>
                <w:sz w:val="24"/>
                <w:szCs w:val="24"/>
                <w:lang w:val="en-US" w:eastAsia="zh-CN" w:bidi="ar"/>
              </w:rPr>
              <w:t xml:space="preserve">价格分 </w:t>
            </w:r>
          </w:p>
          <w:p w14:paraId="5A7573A9">
            <w:pPr>
              <w:keepNext w:val="0"/>
              <w:keepLines w:val="0"/>
              <w:widowControl/>
              <w:suppressLineNumbers w:val="0"/>
              <w:jc w:val="left"/>
              <w:rPr>
                <w:rFonts w:ascii="宋体" w:hAnsi="宋体" w:cs="宋体"/>
                <w:sz w:val="24"/>
                <w:szCs w:val="24"/>
              </w:rPr>
            </w:pPr>
            <w:r>
              <w:rPr>
                <w:rFonts w:hint="eastAsia" w:ascii="宋体" w:hAnsi="宋体" w:eastAsia="宋体" w:cs="宋体"/>
                <w:color w:val="000000"/>
                <w:kern w:val="0"/>
                <w:sz w:val="24"/>
                <w:szCs w:val="24"/>
                <w:lang w:val="en-US" w:eastAsia="zh-CN" w:bidi="ar"/>
              </w:rPr>
              <w:t>（20 分）</w:t>
            </w:r>
          </w:p>
        </w:tc>
        <w:tc>
          <w:tcPr>
            <w:tcW w:w="8472" w:type="dxa"/>
            <w:gridSpan w:val="3"/>
            <w:tcBorders>
              <w:left w:val="single" w:color="auto" w:sz="4" w:space="0"/>
              <w:bottom w:val="single" w:color="auto" w:sz="4" w:space="0"/>
              <w:right w:val="single" w:color="auto" w:sz="4" w:space="0"/>
            </w:tcBorders>
            <w:noWrap w:val="0"/>
            <w:vAlign w:val="center"/>
          </w:tcPr>
          <w:p w14:paraId="4AF29968">
            <w:pPr>
              <w:pStyle w:val="5"/>
              <w:spacing w:line="400" w:lineRule="exact"/>
              <w:ind w:right="-21"/>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 xml:space="preserve">价格分统一采用低价优先法，即满足磋商文件要求且最终报价最低的价格作 </w:t>
            </w:r>
          </w:p>
          <w:p w14:paraId="32BE0112">
            <w:pPr>
              <w:pStyle w:val="5"/>
              <w:spacing w:line="400" w:lineRule="exact"/>
              <w:ind w:left="0" w:leftChars="0" w:right="-21" w:firstLine="0" w:firstLineChars="0"/>
              <w:rPr>
                <w:rFonts w:hint="eastAsia" w:ascii="宋体" w:hAnsi="宋体" w:eastAsia="宋体" w:cs="宋体"/>
                <w:color w:val="000000"/>
                <w:kern w:val="0"/>
                <w:sz w:val="24"/>
                <w:szCs w:val="24"/>
                <w:lang w:val="en-US" w:eastAsia="zh-CN" w:bidi="ar"/>
              </w:rPr>
            </w:pPr>
            <w:r>
              <w:rPr>
                <w:rFonts w:hint="eastAsia" w:ascii="宋体" w:hAnsi="宋体" w:eastAsia="宋体" w:cs="宋体"/>
                <w:color w:val="000000"/>
                <w:kern w:val="0"/>
                <w:sz w:val="24"/>
                <w:szCs w:val="24"/>
                <w:lang w:val="en-US" w:eastAsia="zh-CN" w:bidi="ar"/>
              </w:rPr>
              <w:t xml:space="preserve">为评标基准价，其价格分为满分 20 分。其他磋商供应商的价格分统一按照下列公式计算（四舍五入保留至小数点后两位数）： </w:t>
            </w:r>
          </w:p>
          <w:p w14:paraId="2C41705A">
            <w:pPr>
              <w:pStyle w:val="5"/>
              <w:spacing w:line="400" w:lineRule="exact"/>
              <w:ind w:right="-21"/>
              <w:rPr>
                <w:rFonts w:ascii="宋体" w:hAnsi="宋体"/>
                <w:sz w:val="24"/>
                <w:szCs w:val="24"/>
              </w:rPr>
            </w:pPr>
            <w:r>
              <w:rPr>
                <w:rFonts w:hint="eastAsia" w:ascii="宋体" w:hAnsi="宋体" w:eastAsia="宋体" w:cs="宋体"/>
                <w:color w:val="000000"/>
                <w:kern w:val="0"/>
                <w:sz w:val="24"/>
                <w:szCs w:val="24"/>
                <w:lang w:val="en-US" w:eastAsia="zh-CN" w:bidi="ar"/>
              </w:rPr>
              <w:t xml:space="preserve">磋商报价得分＝（评标基准价/磋商报价）×20％×100 </w:t>
            </w:r>
          </w:p>
        </w:tc>
      </w:tr>
    </w:tbl>
    <w:p w14:paraId="05865F12">
      <w:pPr>
        <w:spacing w:line="560" w:lineRule="exact"/>
        <w:ind w:firstLine="566" w:firstLineChars="236"/>
      </w:pPr>
      <w:r>
        <w:rPr>
          <w:rFonts w:hint="eastAsia" w:ascii="宋体" w:hAnsi="宋体"/>
          <w:sz w:val="24"/>
          <w:szCs w:val="24"/>
        </w:rPr>
        <w:t>3、技术标分的汇总方法为：对某一投标供应商的技术标的每一个指标项得分，取各位评委评分之平均值，四舍五入保留至小数点后两位数，得到该投标供应商该指标项的得分。再将投标供应商每个技术标的指标项得分进行汇总，得到该投标供应商的技术标分之和。</w:t>
      </w:r>
    </w:p>
    <w:p w14:paraId="560BFC72">
      <w:pPr>
        <w:pStyle w:val="4"/>
        <w:spacing w:line="560" w:lineRule="exact"/>
        <w:ind w:right="-11" w:firstLine="495"/>
        <w:rPr>
          <w:rFonts w:hint="eastAsia" w:ascii="宋体" w:hAnsi="宋体" w:eastAsia="宋体"/>
          <w:sz w:val="24"/>
          <w:szCs w:val="24"/>
        </w:rPr>
      </w:pPr>
      <w:r>
        <w:rPr>
          <w:rFonts w:hint="eastAsia" w:ascii="宋体" w:hAnsi="宋体" w:eastAsia="宋体"/>
          <w:sz w:val="24"/>
          <w:szCs w:val="24"/>
        </w:rPr>
        <w:t>4、得分汇总</w:t>
      </w:r>
    </w:p>
    <w:p w14:paraId="6C03D049">
      <w:pPr>
        <w:pStyle w:val="4"/>
        <w:spacing w:line="560" w:lineRule="exact"/>
        <w:ind w:right="-11" w:firstLine="495"/>
        <w:rPr>
          <w:rFonts w:ascii="宋体" w:hAnsi="宋体" w:eastAsia="宋体"/>
          <w:sz w:val="24"/>
          <w:szCs w:val="24"/>
        </w:rPr>
      </w:pPr>
      <w:r>
        <w:rPr>
          <w:rFonts w:hint="eastAsia" w:ascii="宋体" w:hAnsi="宋体" w:eastAsia="宋体"/>
          <w:sz w:val="24"/>
          <w:szCs w:val="24"/>
        </w:rPr>
        <w:t>（1）将每个有效投标供应商的技术标分之和</w:t>
      </w:r>
      <w:r>
        <w:rPr>
          <w:rFonts w:hint="eastAsia" w:ascii="宋体" w:hAnsi="宋体" w:eastAsia="宋体" w:cs="宋体"/>
          <w:color w:val="000000"/>
          <w:kern w:val="0"/>
          <w:sz w:val="24"/>
          <w:szCs w:val="24"/>
          <w:lang w:val="en-US" w:eastAsia="zh-CN" w:bidi="ar"/>
        </w:rPr>
        <w:t>和加上根据上述标准计算出的价格分</w:t>
      </w:r>
      <w:r>
        <w:rPr>
          <w:rFonts w:hint="eastAsia" w:ascii="宋体" w:hAnsi="宋体" w:eastAsia="宋体"/>
          <w:sz w:val="24"/>
          <w:szCs w:val="24"/>
        </w:rPr>
        <w:t>，即为该投标供应商的综合总得分。</w:t>
      </w:r>
    </w:p>
    <w:p w14:paraId="5E1F50B5">
      <w:pPr>
        <w:pStyle w:val="4"/>
        <w:spacing w:line="560" w:lineRule="exact"/>
        <w:ind w:right="-11" w:firstLine="495"/>
        <w:rPr>
          <w:rFonts w:ascii="宋体" w:hAnsi="宋体" w:eastAsia="宋体"/>
          <w:sz w:val="24"/>
          <w:szCs w:val="24"/>
        </w:rPr>
      </w:pPr>
      <w:r>
        <w:rPr>
          <w:rFonts w:hint="eastAsia" w:ascii="宋体" w:hAnsi="宋体" w:eastAsia="宋体"/>
          <w:sz w:val="24"/>
          <w:szCs w:val="24"/>
        </w:rPr>
        <w:t>（2）按照有效投标供应商综合总得分由高到低依次排出中标供应商及中标候选供应商</w:t>
      </w:r>
      <w:r>
        <w:rPr>
          <w:rFonts w:hint="eastAsia" w:ascii="宋体" w:hAnsi="宋体" w:eastAsia="宋体"/>
          <w:sz w:val="24"/>
          <w:szCs w:val="24"/>
          <w:lang w:eastAsia="zh-CN"/>
        </w:rPr>
        <w:t>，</w:t>
      </w:r>
      <w:r>
        <w:rPr>
          <w:rFonts w:hint="eastAsia" w:ascii="宋体" w:hAnsi="宋体" w:eastAsia="宋体"/>
          <w:sz w:val="24"/>
          <w:szCs w:val="24"/>
        </w:rPr>
        <w:t>如得分相同，则</w:t>
      </w:r>
      <w:r>
        <w:rPr>
          <w:rFonts w:hint="eastAsia" w:ascii="宋体" w:hAnsi="宋体" w:eastAsia="宋体"/>
          <w:sz w:val="24"/>
          <w:szCs w:val="24"/>
          <w:lang w:val="en-US" w:eastAsia="zh-CN"/>
        </w:rPr>
        <w:t>由评标委员会</w:t>
      </w:r>
      <w:r>
        <w:rPr>
          <w:rFonts w:hint="eastAsia" w:ascii="宋体" w:hAnsi="宋体" w:eastAsia="宋体"/>
          <w:sz w:val="24"/>
          <w:szCs w:val="24"/>
        </w:rPr>
        <w:t>确定中标候选供应商的排列顺序。</w:t>
      </w:r>
    </w:p>
    <w:p w14:paraId="5C4E4155">
      <w:pPr>
        <w:rPr>
          <w:rFonts w:hint="default"/>
          <w:lang w:val="en-US"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楷体_GB2312">
    <w:altName w:val="楷体"/>
    <w:panose1 w:val="02010609030101010101"/>
    <w:charset w:val="86"/>
    <w:family w:val="modern"/>
    <w:pitch w:val="default"/>
    <w:sig w:usb0="00000000" w:usb1="00000000" w:usb2="00000000" w:usb3="00000000" w:csb0="00040000" w:csb1="00000000"/>
  </w:font>
  <w:font w:name="仿宋_GB2312">
    <w:altName w:val="仿宋"/>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B580DB5"/>
    <w:rsid w:val="6B580DB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7">
    <w:name w:val="Default Paragraph Font"/>
    <w:semiHidden/>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2">
    <w:name w:val="Body Text"/>
    <w:basedOn w:val="1"/>
    <w:next w:val="3"/>
    <w:uiPriority w:val="0"/>
    <w:rPr>
      <w:rFonts w:ascii="宋体" w:hAnsi="Arial"/>
      <w:sz w:val="28"/>
    </w:rPr>
  </w:style>
  <w:style w:type="paragraph" w:customStyle="1" w:styleId="3">
    <w:name w:val="Default"/>
    <w:qFormat/>
    <w:uiPriority w:val="0"/>
    <w:pPr>
      <w:widowControl w:val="0"/>
      <w:autoSpaceDE w:val="0"/>
      <w:autoSpaceDN w:val="0"/>
      <w:adjustRightInd w:val="0"/>
    </w:pPr>
    <w:rPr>
      <w:rFonts w:ascii="黑体" w:hAnsi="Times New Roman" w:eastAsia="黑体" w:cs="Times New Roman"/>
      <w:lang w:val="en-US" w:eastAsia="zh-CN" w:bidi="ar-SA"/>
    </w:rPr>
  </w:style>
  <w:style w:type="paragraph" w:styleId="4">
    <w:name w:val="Body Text Indent"/>
    <w:basedOn w:val="1"/>
    <w:uiPriority w:val="0"/>
    <w:pPr>
      <w:ind w:firstLine="645"/>
    </w:pPr>
    <w:rPr>
      <w:rFonts w:ascii="楷体_GB2312" w:eastAsia="楷体_GB2312"/>
      <w:sz w:val="32"/>
    </w:rPr>
  </w:style>
  <w:style w:type="paragraph" w:styleId="5">
    <w:name w:val="Body Text First Indent"/>
    <w:basedOn w:val="2"/>
    <w:uiPriority w:val="0"/>
    <w:pPr>
      <w:autoSpaceDE w:val="0"/>
      <w:autoSpaceDN w:val="0"/>
      <w:adjustRightInd w:val="0"/>
      <w:spacing w:line="360" w:lineRule="auto"/>
      <w:ind w:right="-24" w:rightChars="-10" w:firstLine="425" w:firstLineChars="225"/>
    </w:pPr>
    <w:rPr>
      <w:rFonts w:ascii="Arial" w:hAnsi="Arial" w:eastAsia="仿宋_GB2312" w:cs="Arial"/>
      <w:kern w:val="0"/>
      <w:sz w:val="24"/>
      <w:szCs w:val="32"/>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4</Pages>
  <Words>0</Words>
  <Characters>0</Characters>
  <Lines>0</Lines>
  <Paragraphs>0</Paragraphs>
  <TotalTime>0</TotalTime>
  <ScaleCrop>false</ScaleCrop>
  <LinksUpToDate>false</LinksUpToDate>
  <CharactersWithSpaces>0</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2025-04-22T12:51:00Z</dcterms:created>
  <dc:creator>崔启文ૢ</dc:creator>
  <cp:lastModifiedBy>崔启文ૢ</cp:lastModifiedBy>
  <dcterms:modified xsi:type="dcterms:W3CDTF">2025-04-22T13:02:04Z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76F4C1F58B3E426B98FD54C4E53CEA58_11</vt:lpwstr>
  </property>
  <property fmtid="{D5CDD505-2E9C-101B-9397-08002B2CF9AE}" pid="4" name="KSOTemplateDocerSaveRecord">
    <vt:lpwstr>eyJoZGlkIjoiOTViNzI5NzFlOTczYWUyMzAwNzU3OTM0ZjM5MzYyMTkiLCJ1c2VySWQiOiI0MDkzNzU0NzEifQ==</vt:lpwstr>
  </property>
</Properties>
</file>