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AD787">
      <w:pPr>
        <w:pStyle w:val="2"/>
        <w:spacing w:line="360" w:lineRule="exact"/>
        <w:jc w:val="center"/>
        <w:outlineLvl w:val="0"/>
        <w:rPr>
          <w:rFonts w:hint="eastAsia" w:hAnsi="宋体" w:cs="宋体"/>
          <w:b/>
          <w:color w:val="auto"/>
          <w:sz w:val="32"/>
          <w:szCs w:val="32"/>
        </w:rPr>
      </w:pPr>
      <w:r>
        <w:rPr>
          <w:rFonts w:hint="eastAsia" w:hAnsi="宋体" w:cs="宋体"/>
          <w:b/>
          <w:color w:val="auto"/>
          <w:sz w:val="32"/>
          <w:szCs w:val="32"/>
        </w:rPr>
        <w:t>招标需求及主要设备技术规格要求</w:t>
      </w:r>
    </w:p>
    <w:p w14:paraId="3DF3F72D">
      <w:pPr>
        <w:shd w:val="clear" w:color="auto" w:fill="auto"/>
        <w:adjustRightInd w:val="0"/>
        <w:spacing w:line="440" w:lineRule="exact"/>
        <w:ind w:firstLine="420"/>
        <w:outlineLvl w:val="9"/>
        <w:rPr>
          <w:rFonts w:ascii="Times New Roman" w:hAnsi="Times New Roman"/>
          <w:b/>
          <w:bCs/>
          <w:color w:val="auto"/>
          <w:sz w:val="24"/>
          <w:highlight w:val="none"/>
          <w:lang w:eastAsia="zh-CN"/>
        </w:rPr>
      </w:pPr>
      <w:r>
        <w:rPr>
          <w:rFonts w:hint="eastAsia" w:ascii="Times New Roman" w:hAnsi="Times New Roman"/>
          <w:b/>
          <w:bCs/>
          <w:color w:val="auto"/>
          <w:sz w:val="24"/>
          <w:highlight w:val="none"/>
          <w:lang w:eastAsia="zh-CN"/>
        </w:rPr>
        <w:t>一、</w:t>
      </w:r>
      <w:r>
        <w:rPr>
          <w:rFonts w:ascii="Times New Roman" w:hAnsi="Times New Roman"/>
          <w:b/>
          <w:bCs/>
          <w:color w:val="auto"/>
          <w:sz w:val="24"/>
          <w:highlight w:val="none"/>
          <w:lang w:eastAsia="zh-CN"/>
        </w:rPr>
        <w:t>工程概况</w:t>
      </w:r>
    </w:p>
    <w:p w14:paraId="76EF314E">
      <w:pPr>
        <w:shd w:val="clear" w:color="auto" w:fill="auto"/>
        <w:adjustRightInd w:val="0"/>
        <w:spacing w:line="440" w:lineRule="exact"/>
        <w:ind w:firstLine="420"/>
        <w:outlineLvl w:val="9"/>
        <w:rPr>
          <w:rFonts w:hint="default" w:ascii="Times New Roman" w:hAnsi="Times New Roman"/>
          <w:color w:val="auto"/>
          <w:sz w:val="24"/>
          <w:highlight w:val="none"/>
          <w:lang w:val="en-US" w:eastAsia="zh-CN"/>
        </w:rPr>
      </w:pP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w:t>
      </w:r>
      <w:r>
        <w:rPr>
          <w:rFonts w:ascii="Times New Roman" w:hAnsi="Times New Roman"/>
          <w:color w:val="auto"/>
          <w:sz w:val="24"/>
          <w:highlight w:val="none"/>
          <w:lang w:eastAsia="zh-CN"/>
        </w:rPr>
        <w:t>工程名称：</w:t>
      </w:r>
      <w:r>
        <w:rPr>
          <w:rFonts w:hint="eastAsia" w:ascii="Times New Roman" w:hAnsi="Times New Roman"/>
          <w:color w:val="auto"/>
          <w:sz w:val="24"/>
          <w:highlight w:val="none"/>
          <w:lang w:eastAsia="zh-CN"/>
        </w:rPr>
        <w:t>安徽省九龙监狱迁建工程供配电工程</w:t>
      </w:r>
    </w:p>
    <w:p w14:paraId="41F13A60">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2</w:t>
      </w:r>
      <w:r>
        <w:rPr>
          <w:rFonts w:hint="eastAsia" w:ascii="Times New Roman" w:hAnsi="Times New Roman"/>
          <w:color w:val="auto"/>
          <w:sz w:val="24"/>
          <w:highlight w:val="none"/>
          <w:lang w:eastAsia="zh-CN"/>
        </w:rPr>
        <w:t>、</w:t>
      </w:r>
      <w:r>
        <w:rPr>
          <w:rFonts w:ascii="Times New Roman" w:hAnsi="Times New Roman"/>
          <w:color w:val="auto"/>
          <w:sz w:val="24"/>
          <w:highlight w:val="none"/>
          <w:lang w:eastAsia="zh-CN"/>
        </w:rPr>
        <w:t>业主单位：</w:t>
      </w:r>
      <w:r>
        <w:rPr>
          <w:rFonts w:hint="eastAsia" w:ascii="Times New Roman" w:hAnsi="Times New Roman"/>
          <w:color w:val="auto"/>
          <w:sz w:val="24"/>
          <w:highlight w:val="none"/>
          <w:lang w:eastAsia="zh-CN"/>
        </w:rPr>
        <w:t>中铁四局集团有限公司、安徽省九龙监狱</w:t>
      </w:r>
    </w:p>
    <w:p w14:paraId="08BD3204">
      <w:pPr>
        <w:shd w:val="clear" w:color="auto" w:fill="auto"/>
        <w:adjustRightInd w:val="0"/>
        <w:spacing w:line="440" w:lineRule="exact"/>
        <w:ind w:firstLine="420"/>
        <w:outlineLvl w:val="9"/>
        <w:rPr>
          <w:rFonts w:hint="eastAsia" w:ascii="Times New Roman" w:hAnsi="Times New Roman"/>
          <w:color w:val="auto"/>
          <w:sz w:val="24"/>
          <w:highlight w:val="none"/>
          <w:lang w:eastAsia="zh-CN"/>
        </w:rPr>
      </w:pPr>
      <w:r>
        <w:rPr>
          <w:rFonts w:ascii="Times New Roman" w:hAnsi="Times New Roman"/>
          <w:color w:val="auto"/>
          <w:sz w:val="24"/>
          <w:highlight w:val="none"/>
          <w:lang w:eastAsia="zh-CN"/>
        </w:rPr>
        <w:t>3</w:t>
      </w:r>
      <w:r>
        <w:rPr>
          <w:rFonts w:hint="eastAsia" w:ascii="Times New Roman" w:hAnsi="Times New Roman"/>
          <w:color w:val="auto"/>
          <w:sz w:val="24"/>
          <w:highlight w:val="none"/>
          <w:lang w:eastAsia="zh-CN"/>
        </w:rPr>
        <w:t>、</w:t>
      </w:r>
      <w:r>
        <w:rPr>
          <w:rFonts w:ascii="Times New Roman" w:hAnsi="Times New Roman"/>
          <w:color w:val="auto"/>
          <w:sz w:val="24"/>
          <w:highlight w:val="none"/>
          <w:lang w:eastAsia="zh-CN"/>
        </w:rPr>
        <w:t>建设概况：</w:t>
      </w:r>
      <w:r>
        <w:rPr>
          <w:rFonts w:hint="eastAsia" w:ascii="Times New Roman" w:hAnsi="Times New Roman"/>
          <w:color w:val="auto"/>
          <w:sz w:val="24"/>
          <w:highlight w:val="none"/>
          <w:lang w:eastAsia="zh-CN"/>
        </w:rPr>
        <w:t>项目建设内容为配电房内设备采购、安装及其管线、充电桩采购及安装等附属工程施工。具体内容详见图纸及工程量清单控制价。</w:t>
      </w:r>
    </w:p>
    <w:p w14:paraId="56F69F36">
      <w:pPr>
        <w:shd w:val="clear" w:color="auto" w:fill="auto"/>
        <w:adjustRightInd w:val="0"/>
        <w:spacing w:line="440" w:lineRule="exact"/>
        <w:ind w:firstLine="420"/>
        <w:outlineLvl w:val="9"/>
        <w:rPr>
          <w:rFonts w:hint="eastAsia" w:ascii="Times New Roman" w:hAnsi="Times New Roman"/>
          <w:b/>
          <w:bCs/>
          <w:color w:val="auto"/>
          <w:sz w:val="24"/>
          <w:highlight w:val="none"/>
          <w:lang w:eastAsia="zh-CN"/>
        </w:rPr>
      </w:pPr>
      <w:r>
        <w:rPr>
          <w:rFonts w:hint="eastAsia" w:ascii="Times New Roman" w:hAnsi="Times New Roman" w:eastAsia="宋体" w:cs="Times New Roman"/>
          <w:color w:val="auto"/>
          <w:sz w:val="24"/>
          <w:highlight w:val="none"/>
          <w:lang w:val="en-US" w:eastAsia="zh-CN"/>
        </w:rPr>
        <w:t>4、本次招标范围：招标文件、图纸、工程量清单范围内的全部工程施工内容。</w:t>
      </w:r>
    </w:p>
    <w:p w14:paraId="158AD404">
      <w:pPr>
        <w:shd w:val="clear" w:color="auto" w:fill="auto"/>
        <w:adjustRightInd w:val="0"/>
        <w:spacing w:line="440" w:lineRule="exact"/>
        <w:ind w:firstLine="420"/>
        <w:outlineLvl w:val="9"/>
        <w:rPr>
          <w:rFonts w:ascii="Times New Roman" w:hAnsi="Times New Roman"/>
          <w:b/>
          <w:bCs/>
          <w:color w:val="auto"/>
          <w:sz w:val="24"/>
          <w:highlight w:val="none"/>
          <w:lang w:eastAsia="zh-CN"/>
        </w:rPr>
      </w:pPr>
      <w:r>
        <w:rPr>
          <w:rFonts w:hint="eastAsia" w:ascii="Times New Roman" w:hAnsi="Times New Roman"/>
          <w:b/>
          <w:bCs/>
          <w:color w:val="auto"/>
          <w:sz w:val="24"/>
          <w:highlight w:val="none"/>
          <w:lang w:eastAsia="zh-CN"/>
        </w:rPr>
        <w:t>二</w:t>
      </w:r>
      <w:r>
        <w:rPr>
          <w:rFonts w:ascii="Times New Roman" w:hAnsi="Times New Roman"/>
          <w:b/>
          <w:bCs/>
          <w:color w:val="auto"/>
          <w:sz w:val="24"/>
          <w:highlight w:val="none"/>
          <w:lang w:eastAsia="zh-CN"/>
        </w:rPr>
        <w:t>、相关要求</w:t>
      </w:r>
    </w:p>
    <w:p w14:paraId="45D0F292">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1</w:t>
      </w: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本工程须严格按照设计图纸、验收规范、招标文件的技术要求等验收，决不允许降低质量标准及要求。</w:t>
      </w:r>
    </w:p>
    <w:p w14:paraId="33E2DF82">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2</w:t>
      </w:r>
      <w:r>
        <w:rPr>
          <w:rFonts w:ascii="Times New Roman" w:hAnsi="Times New Roman"/>
          <w:color w:val="auto"/>
          <w:sz w:val="24"/>
          <w:highlight w:val="none"/>
          <w:lang w:eastAsia="zh-CN"/>
        </w:rPr>
        <w:t>、招标人提供现场水、电接驳口，由承包人自行接驳；承包范围内施工水电费用由承包人自行承担，包含在投标报价内，招标人不另行支付。</w:t>
      </w:r>
    </w:p>
    <w:p w14:paraId="7CA74D77">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3</w:t>
      </w:r>
      <w:r>
        <w:rPr>
          <w:rFonts w:ascii="Times New Roman" w:hAnsi="Times New Roman"/>
          <w:color w:val="auto"/>
          <w:sz w:val="24"/>
          <w:highlight w:val="none"/>
          <w:lang w:eastAsia="zh-CN"/>
        </w:rPr>
        <w:t>、本工程现场对环境保护、文明施工要求高，全部外运垃圾均不能就地掩埋，投标人应考虑各种潜在风险因素、认真仔细踏勘现场，充分考虑，根据自身实力合理报价,中标后不得以未踏勘现场为由增加费用。</w:t>
      </w:r>
    </w:p>
    <w:p w14:paraId="0F87E03A">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4</w:t>
      </w:r>
      <w:r>
        <w:rPr>
          <w:rFonts w:ascii="Times New Roman" w:hAnsi="Times New Roman"/>
          <w:color w:val="auto"/>
          <w:sz w:val="24"/>
          <w:highlight w:val="none"/>
          <w:lang w:eastAsia="zh-CN"/>
        </w:rPr>
        <w:t>、所有涉及本工程施工的与其他相关管理部门的协调及配合工作均由中标人负责处理，与此有关发生的一切费用含在报价中，招标人不另行支付。</w:t>
      </w:r>
    </w:p>
    <w:p w14:paraId="1800D6E8">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5</w:t>
      </w:r>
      <w:r>
        <w:rPr>
          <w:rFonts w:ascii="Times New Roman" w:hAnsi="Times New Roman"/>
          <w:color w:val="auto"/>
          <w:sz w:val="24"/>
          <w:highlight w:val="none"/>
          <w:lang w:eastAsia="zh-CN"/>
        </w:rPr>
        <w:t>、中标人进场后，施工人员、管理人员及车辆须到招标人处登记并接受管理；</w:t>
      </w:r>
    </w:p>
    <w:p w14:paraId="70C02590">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6</w:t>
      </w:r>
      <w:r>
        <w:rPr>
          <w:rFonts w:ascii="Times New Roman" w:hAnsi="Times New Roman"/>
          <w:color w:val="auto"/>
          <w:sz w:val="24"/>
          <w:highlight w:val="none"/>
          <w:lang w:eastAsia="zh-CN"/>
        </w:rPr>
        <w:t>、中标人应详细踏勘施工现场，根据现有图纸，对需要处理的费用进行合理报价，费用含在投标报价中；</w:t>
      </w:r>
    </w:p>
    <w:p w14:paraId="06611E4A">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7</w:t>
      </w:r>
      <w:r>
        <w:rPr>
          <w:rFonts w:ascii="Times New Roman" w:hAnsi="Times New Roman"/>
          <w:color w:val="auto"/>
          <w:sz w:val="24"/>
          <w:highlight w:val="none"/>
          <w:lang w:eastAsia="zh-CN"/>
        </w:rPr>
        <w:t>、在中标人承包范围内的工程，因中标人原因未能按进度计划组织实施，招标人可另行发包给第三方施工，另行发包造成工期延误以及所产生的费用，全部由中标人承担。</w:t>
      </w:r>
    </w:p>
    <w:p w14:paraId="4F167DBB">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8</w:t>
      </w:r>
      <w:r>
        <w:rPr>
          <w:rFonts w:ascii="Times New Roman" w:hAnsi="Times New Roman"/>
          <w:color w:val="auto"/>
          <w:sz w:val="24"/>
          <w:highlight w:val="none"/>
          <w:lang w:eastAsia="zh-CN"/>
        </w:rPr>
        <w:t>、施工范围包括招标图纸及清单中的一切内容。投标人应仔细踏勘现场，一旦递交投标文件，报价中没有列示的项目视为已包含在其它分项中，报价中的漏项或工程量错误等在施工过程中均不能得到计量与支付。承包人须对施工现场进行充分考察，并对施工方法、施工工艺内容、费用进行充分考虑。</w:t>
      </w:r>
    </w:p>
    <w:p w14:paraId="7FE721F0">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9</w:t>
      </w:r>
      <w:r>
        <w:rPr>
          <w:rFonts w:ascii="Times New Roman" w:hAnsi="Times New Roman"/>
          <w:color w:val="auto"/>
          <w:sz w:val="24"/>
          <w:highlight w:val="none"/>
          <w:lang w:eastAsia="zh-CN"/>
        </w:rPr>
        <w:t>、如遇到地方关系协调，投标人自行处理，费用在投标报价中考虑。</w:t>
      </w:r>
    </w:p>
    <w:p w14:paraId="44965BC2">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10</w:t>
      </w:r>
      <w:r>
        <w:rPr>
          <w:rFonts w:ascii="Times New Roman" w:hAnsi="Times New Roman"/>
          <w:color w:val="auto"/>
          <w:sz w:val="24"/>
          <w:highlight w:val="none"/>
          <w:lang w:eastAsia="zh-CN"/>
        </w:rPr>
        <w:t>、本项目最高投标限价已计扬尘污染防治费，中标人应按照建筑工程施工扬尘污染防治相关规定做好扬尘污染防治工作，重点做好现场工地围挡、车辆冲洗、道路和堆场硬化、裸土覆盖（绿化）等抑尘降尘措施。</w:t>
      </w:r>
    </w:p>
    <w:p w14:paraId="0720CFEB">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11</w:t>
      </w:r>
      <w:r>
        <w:rPr>
          <w:rFonts w:ascii="Times New Roman" w:hAnsi="Times New Roman"/>
          <w:color w:val="auto"/>
          <w:sz w:val="24"/>
          <w:highlight w:val="none"/>
          <w:lang w:eastAsia="zh-CN"/>
        </w:rPr>
        <w:t>、本工程在发放工程量清单、控制价后，投标人应对工程量清单和控制价等数据进行复核。如投标单位认为数据有误，可在开标前按疑问提交时限（投标人要求澄清招标文件时间）要求书面提出。如在规定时间内未提出书面异议的，清单和控制价中数据将被作为有效数据用于判定投标报价是否低于成本价的依据（清单工程量出现重大错误除外）。投标前若投标人对清单和控制价未提出相关书面异议，视同认可工程量清单和控制价编制合理。中标后，投标人应按其报价完成招标范围和图纸内的全部内容，不得以工程量清单和控制价编制存在数量偏差或者不合理提出各种形式的索赔。</w:t>
      </w:r>
    </w:p>
    <w:p w14:paraId="1469952C">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12</w:t>
      </w:r>
      <w:r>
        <w:rPr>
          <w:rFonts w:ascii="Times New Roman" w:hAnsi="Times New Roman"/>
          <w:color w:val="auto"/>
          <w:sz w:val="24"/>
          <w:highlight w:val="none"/>
          <w:lang w:eastAsia="zh-CN"/>
        </w:rPr>
        <w:t>、中标人须自行建设必要的办公和生活设施。同时按政府规定及发包人要求提供为保障现场安全所需的围挡、监控、护网及护板等，承包人承担因现场施工需对围挡、监控、护网及护板拆除修复的责任，费用已包含在签约合同价中。</w:t>
      </w:r>
    </w:p>
    <w:p w14:paraId="7C853768">
      <w:pPr>
        <w:keepNext w:val="0"/>
        <w:keepLines w:val="0"/>
        <w:pageBreakBefore w:val="0"/>
        <w:shd w:val="clear" w:color="auto" w:fill="auto"/>
        <w:kinsoku/>
        <w:wordWrap/>
        <w:overflowPunct/>
        <w:topLinePunct w:val="0"/>
        <w:autoSpaceDE/>
        <w:autoSpaceDN/>
        <w:bidi w:val="0"/>
        <w:adjustRightInd w:val="0"/>
        <w:spacing w:line="360" w:lineRule="auto"/>
        <w:ind w:left="0"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w:t>
      </w:r>
      <w:bookmarkStart w:id="0" w:name="_Toc24851"/>
      <w:bookmarkStart w:id="1" w:name="_Toc32539"/>
      <w:bookmarkStart w:id="2" w:name="_Toc5595"/>
      <w:bookmarkStart w:id="3" w:name="_Toc5193"/>
      <w:r>
        <w:rPr>
          <w:rFonts w:hint="eastAsia" w:ascii="宋体" w:hAnsi="宋体" w:eastAsia="宋体" w:cs="宋体"/>
          <w:color w:val="auto"/>
          <w:sz w:val="24"/>
          <w:highlight w:val="none"/>
          <w:lang w:val="en-US" w:eastAsia="zh-CN"/>
        </w:rPr>
        <w:t>智慧用电（无人值守配电房）</w:t>
      </w:r>
    </w:p>
    <w:p w14:paraId="5761CE90">
      <w:pPr>
        <w:keepNext w:val="0"/>
        <w:keepLines w:val="0"/>
        <w:pageBreakBefore w:val="0"/>
        <w:shd w:val="clear" w:color="auto" w:fill="auto"/>
        <w:kinsoku/>
        <w:wordWrap/>
        <w:overflowPunct/>
        <w:topLinePunct w:val="0"/>
        <w:autoSpaceDE/>
        <w:autoSpaceDN/>
        <w:bidi w:val="0"/>
        <w:adjustRightInd w:val="0"/>
        <w:spacing w:line="360" w:lineRule="auto"/>
        <w:ind w:left="0" w:firstLine="482" w:firstLineChars="200"/>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13.1.关键参数要求</w:t>
      </w:r>
      <w:bookmarkEnd w:id="0"/>
      <w:bookmarkEnd w:id="1"/>
      <w:bookmarkEnd w:id="2"/>
      <w:bookmarkEnd w:id="3"/>
    </w:p>
    <w:tbl>
      <w:tblPr>
        <w:tblStyle w:val="3"/>
        <w:tblW w:w="8521" w:type="dxa"/>
        <w:jc w:val="center"/>
        <w:tblLayout w:type="autofit"/>
        <w:tblCellMar>
          <w:top w:w="0" w:type="dxa"/>
          <w:left w:w="108" w:type="dxa"/>
          <w:bottom w:w="0" w:type="dxa"/>
          <w:right w:w="108" w:type="dxa"/>
        </w:tblCellMar>
      </w:tblPr>
      <w:tblGrid>
        <w:gridCol w:w="832"/>
        <w:gridCol w:w="1328"/>
        <w:gridCol w:w="1169"/>
        <w:gridCol w:w="5192"/>
      </w:tblGrid>
      <w:tr w14:paraId="47AF99B0">
        <w:tblPrEx>
          <w:tblCellMar>
            <w:top w:w="0" w:type="dxa"/>
            <w:left w:w="108" w:type="dxa"/>
            <w:bottom w:w="0" w:type="dxa"/>
            <w:right w:w="108" w:type="dxa"/>
          </w:tblCellMar>
        </w:tblPrEx>
        <w:trPr>
          <w:trHeight w:val="0" w:hRule="atLeast"/>
          <w:tblHeader/>
          <w:jc w:val="center"/>
        </w:trPr>
        <w:tc>
          <w:tcPr>
            <w:tcW w:w="832" w:type="dxa"/>
            <w:tcBorders>
              <w:top w:val="single" w:color="000000" w:sz="4" w:space="0"/>
              <w:left w:val="single" w:color="000000" w:sz="4" w:space="0"/>
              <w:bottom w:val="single" w:color="000000" w:sz="4" w:space="0"/>
              <w:right w:val="single" w:color="000000" w:sz="4" w:space="0"/>
            </w:tcBorders>
            <w:noWrap w:val="0"/>
            <w:vAlign w:val="center"/>
          </w:tcPr>
          <w:p w14:paraId="7E94467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序号</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2DFF677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项目</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7AB2101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特征项</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76D417E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指标要求</w:t>
            </w:r>
          </w:p>
        </w:tc>
      </w:tr>
      <w:tr w14:paraId="57979ED0">
        <w:tblPrEx>
          <w:tblCellMar>
            <w:top w:w="0" w:type="dxa"/>
            <w:left w:w="108" w:type="dxa"/>
            <w:bottom w:w="0" w:type="dxa"/>
            <w:right w:w="108" w:type="dxa"/>
          </w:tblCellMar>
        </w:tblPrEx>
        <w:trPr>
          <w:trHeight w:val="0" w:hRule="atLeast"/>
          <w:jc w:val="center"/>
        </w:trPr>
        <w:tc>
          <w:tcPr>
            <w:tcW w:w="832" w:type="dxa"/>
            <w:vMerge w:val="restart"/>
            <w:tcBorders>
              <w:top w:val="single" w:color="000000" w:sz="4" w:space="0"/>
              <w:left w:val="single" w:color="000000" w:sz="4" w:space="0"/>
              <w:right w:val="single" w:color="000000" w:sz="4" w:space="0"/>
            </w:tcBorders>
            <w:noWrap w:val="0"/>
            <w:vAlign w:val="center"/>
          </w:tcPr>
          <w:p w14:paraId="3A95D7A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328" w:type="dxa"/>
            <w:vMerge w:val="restart"/>
            <w:tcBorders>
              <w:top w:val="single" w:color="000000" w:sz="4" w:space="0"/>
              <w:left w:val="single" w:color="000000" w:sz="4" w:space="0"/>
              <w:right w:val="single" w:color="000000" w:sz="4" w:space="0"/>
            </w:tcBorders>
            <w:noWrap w:val="0"/>
            <w:vAlign w:val="center"/>
          </w:tcPr>
          <w:p w14:paraId="4814A3E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动环监控</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56A6228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环境监测</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30C3196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温湿度监测频次比不高于5分钟，上报时间不低于10分钟。温度测量范围 - 10℃~+50℃，精度 ±0.5℃；湿度测量范围 0~100% RH，精度 ±3% RH，支持温湿度超标告警，具备485通讯支持 Modbus-RTU 协议。</w:t>
            </w:r>
          </w:p>
          <w:p w14:paraId="111FE4E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水浸传感器监测采用多点位监测，响应时间不大于 2 秒，监测长度不低于5米，具备485通讯支持 Modbus-RTU 协议。</w:t>
            </w:r>
          </w:p>
        </w:tc>
      </w:tr>
      <w:tr w14:paraId="77E0E05E">
        <w:tblPrEx>
          <w:tblCellMar>
            <w:top w:w="0" w:type="dxa"/>
            <w:left w:w="108" w:type="dxa"/>
            <w:bottom w:w="0" w:type="dxa"/>
            <w:right w:w="108" w:type="dxa"/>
          </w:tblCellMar>
        </w:tblPrEx>
        <w:trPr>
          <w:trHeight w:val="0" w:hRule="atLeast"/>
          <w:jc w:val="center"/>
        </w:trPr>
        <w:tc>
          <w:tcPr>
            <w:tcW w:w="832" w:type="dxa"/>
            <w:vMerge w:val="continue"/>
            <w:tcBorders>
              <w:left w:val="single" w:color="000000" w:sz="4" w:space="0"/>
              <w:right w:val="single" w:color="000000" w:sz="4" w:space="0"/>
            </w:tcBorders>
            <w:noWrap w:val="0"/>
            <w:vAlign w:val="center"/>
          </w:tcPr>
          <w:p w14:paraId="4D5159E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328" w:type="dxa"/>
            <w:vMerge w:val="continue"/>
            <w:tcBorders>
              <w:left w:val="single" w:color="000000" w:sz="4" w:space="0"/>
              <w:right w:val="single" w:color="000000" w:sz="4" w:space="0"/>
            </w:tcBorders>
            <w:noWrap w:val="0"/>
            <w:vAlign w:val="center"/>
          </w:tcPr>
          <w:p w14:paraId="03CD082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291C537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空调控制</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1051913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根据温湿度、来电自动启停，系统监测空调状态并实现远程测控，具备485通讯支持Modbus-RTU 协议。</w:t>
            </w:r>
          </w:p>
        </w:tc>
      </w:tr>
      <w:tr w14:paraId="3EB06DA5">
        <w:tblPrEx>
          <w:tblCellMar>
            <w:top w:w="0" w:type="dxa"/>
            <w:left w:w="108" w:type="dxa"/>
            <w:bottom w:w="0" w:type="dxa"/>
            <w:right w:w="108" w:type="dxa"/>
          </w:tblCellMar>
        </w:tblPrEx>
        <w:trPr>
          <w:trHeight w:val="0" w:hRule="atLeast"/>
          <w:jc w:val="center"/>
        </w:trPr>
        <w:tc>
          <w:tcPr>
            <w:tcW w:w="832" w:type="dxa"/>
            <w:vMerge w:val="continue"/>
            <w:tcBorders>
              <w:left w:val="single" w:color="000000" w:sz="4" w:space="0"/>
              <w:right w:val="single" w:color="000000" w:sz="4" w:space="0"/>
            </w:tcBorders>
            <w:noWrap w:val="0"/>
            <w:vAlign w:val="center"/>
          </w:tcPr>
          <w:p w14:paraId="374FA64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328" w:type="dxa"/>
            <w:vMerge w:val="continue"/>
            <w:tcBorders>
              <w:left w:val="single" w:color="000000" w:sz="4" w:space="0"/>
              <w:right w:val="single" w:color="000000" w:sz="4" w:space="0"/>
            </w:tcBorders>
            <w:noWrap w:val="0"/>
            <w:vAlign w:val="center"/>
          </w:tcPr>
          <w:p w14:paraId="769B176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6E18FEF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风机控制</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00E517C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根据温湿度自动及远程启停风机，具备485通讯支持 Modbus-RTU 协议。</w:t>
            </w:r>
          </w:p>
        </w:tc>
      </w:tr>
      <w:tr w14:paraId="0130D6E0">
        <w:tblPrEx>
          <w:tblCellMar>
            <w:top w:w="0" w:type="dxa"/>
            <w:left w:w="108" w:type="dxa"/>
            <w:bottom w:w="0" w:type="dxa"/>
            <w:right w:w="108" w:type="dxa"/>
          </w:tblCellMar>
        </w:tblPrEx>
        <w:trPr>
          <w:trHeight w:val="0" w:hRule="atLeast"/>
          <w:jc w:val="center"/>
        </w:trPr>
        <w:tc>
          <w:tcPr>
            <w:tcW w:w="832" w:type="dxa"/>
            <w:vMerge w:val="continue"/>
            <w:tcBorders>
              <w:left w:val="single" w:color="000000" w:sz="4" w:space="0"/>
              <w:bottom w:val="single" w:color="000000" w:sz="4" w:space="0"/>
              <w:right w:val="single" w:color="000000" w:sz="4" w:space="0"/>
            </w:tcBorders>
            <w:noWrap w:val="0"/>
            <w:vAlign w:val="center"/>
          </w:tcPr>
          <w:p w14:paraId="416F9B9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328" w:type="dxa"/>
            <w:vMerge w:val="continue"/>
            <w:tcBorders>
              <w:left w:val="single" w:color="000000" w:sz="4" w:space="0"/>
              <w:bottom w:val="single" w:color="000000" w:sz="4" w:space="0"/>
              <w:right w:val="single" w:color="000000" w:sz="4" w:space="0"/>
            </w:tcBorders>
            <w:noWrap w:val="0"/>
            <w:vAlign w:val="center"/>
          </w:tcPr>
          <w:p w14:paraId="5AAA455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347146B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除湿控制</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27F8D7C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根据温湿度自动及远程启停除湿控制，具备485通讯支持 Modbus-RTU 协议。</w:t>
            </w:r>
          </w:p>
        </w:tc>
      </w:tr>
      <w:tr w14:paraId="4275864E">
        <w:tblPrEx>
          <w:tblCellMar>
            <w:top w:w="0" w:type="dxa"/>
            <w:left w:w="108" w:type="dxa"/>
            <w:bottom w:w="0" w:type="dxa"/>
            <w:right w:w="108" w:type="dxa"/>
          </w:tblCellMar>
        </w:tblPrEx>
        <w:trPr>
          <w:trHeight w:val="0" w:hRule="atLeast"/>
          <w:jc w:val="center"/>
        </w:trPr>
        <w:tc>
          <w:tcPr>
            <w:tcW w:w="832" w:type="dxa"/>
            <w:vMerge w:val="restart"/>
            <w:tcBorders>
              <w:top w:val="single" w:color="000000" w:sz="4" w:space="0"/>
              <w:left w:val="single" w:color="000000" w:sz="4" w:space="0"/>
              <w:bottom w:val="single" w:color="000000" w:sz="4" w:space="0"/>
              <w:right w:val="single" w:color="000000" w:sz="4" w:space="0"/>
            </w:tcBorders>
            <w:noWrap w:val="0"/>
            <w:vAlign w:val="center"/>
          </w:tcPr>
          <w:p w14:paraId="09D417A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13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09361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安防监控</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390A1C9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门禁门磁</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0999051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采用指纹+密码+刷卡三合一门禁一体机，支持远程开门授权、开门记录查询、门禁控制器需具备防撬告警功能，门磁具有开关量通讯。门禁一体机具有具备485通讯支持 Modbus-RTU 协议或以太网TCP协议并与NVR兼容；</w:t>
            </w:r>
          </w:p>
        </w:tc>
      </w:tr>
      <w:tr w14:paraId="27BE3C02">
        <w:tblPrEx>
          <w:tblCellMar>
            <w:top w:w="0" w:type="dxa"/>
            <w:left w:w="108" w:type="dxa"/>
            <w:bottom w:w="0" w:type="dxa"/>
            <w:right w:w="108" w:type="dxa"/>
          </w:tblCellMar>
        </w:tblPrEx>
        <w:trPr>
          <w:trHeight w:val="0"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C916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3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FEF1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7EF4FEB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视频监控</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42526A6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7寸网络高清高速云台球机，分辨率不低于800万，23倍变焦，水平360度，垂直-15°-90°，POE供电具有区域入侵监测，物品遗留监测，自动巡检。</w:t>
            </w:r>
          </w:p>
        </w:tc>
      </w:tr>
      <w:tr w14:paraId="73B92050">
        <w:tblPrEx>
          <w:tblCellMar>
            <w:top w:w="0" w:type="dxa"/>
            <w:left w:w="108" w:type="dxa"/>
            <w:bottom w:w="0" w:type="dxa"/>
            <w:right w:w="108" w:type="dxa"/>
          </w:tblCellMar>
        </w:tblPrEx>
        <w:trPr>
          <w:trHeight w:val="0"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82AF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3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4E37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10900C6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红外双鉴探器</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45B729A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探测速度0.3-1米/秒，范围不低于10米，具备485通讯支持 Modbus-RTU 协议。</w:t>
            </w:r>
          </w:p>
        </w:tc>
      </w:tr>
      <w:tr w14:paraId="223BDDBB">
        <w:tblPrEx>
          <w:tblCellMar>
            <w:top w:w="0" w:type="dxa"/>
            <w:left w:w="108" w:type="dxa"/>
            <w:bottom w:w="0" w:type="dxa"/>
            <w:right w:w="108" w:type="dxa"/>
          </w:tblCellMar>
        </w:tblPrEx>
        <w:trPr>
          <w:trHeight w:val="0" w:hRule="atLeast"/>
          <w:jc w:val="center"/>
        </w:trPr>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B6FB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3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05A44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3F3F7E1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网络视频录像机（NVR）</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48C85E7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16路8盘位，16T存储设备支持以太网接口，具有iusp5.0协议。</w:t>
            </w:r>
          </w:p>
        </w:tc>
      </w:tr>
      <w:tr w14:paraId="1299CCAD">
        <w:tblPrEx>
          <w:tblCellMar>
            <w:top w:w="0" w:type="dxa"/>
            <w:left w:w="108" w:type="dxa"/>
            <w:bottom w:w="0" w:type="dxa"/>
            <w:right w:w="108" w:type="dxa"/>
          </w:tblCellMar>
        </w:tblPrEx>
        <w:trPr>
          <w:trHeight w:val="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0FACF4D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p w14:paraId="7424B08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050010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设备监测</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69DBCCE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仪表及</w:t>
            </w:r>
          </w:p>
          <w:p w14:paraId="71A2C6C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设备监测</w:t>
            </w:r>
          </w:p>
        </w:tc>
        <w:tc>
          <w:tcPr>
            <w:tcW w:w="5192" w:type="dxa"/>
            <w:tcBorders>
              <w:top w:val="single" w:color="000000" w:sz="4" w:space="0"/>
              <w:left w:val="single" w:color="auto" w:sz="4" w:space="0"/>
              <w:bottom w:val="single" w:color="auto" w:sz="4" w:space="0"/>
              <w:right w:val="single" w:color="000000" w:sz="4" w:space="0"/>
            </w:tcBorders>
            <w:noWrap w:val="0"/>
            <w:vAlign w:val="center"/>
          </w:tcPr>
          <w:p w14:paraId="1C8FD01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对设备智能操控、温控仪、开关状态显示仪、多功能仪表、一体化电源控制器、测温装置、微机保护、DTU设备、框架断路器、塑壳断路器、无功补偿仪表等仪表遥测及遥信信号进行监测。遥测信号采集频次可根据采集设备数网关自定义设置，可配置最小采集周期不大于1秒。遥信信号设备变化2秒内上传至后台监控系统。</w:t>
            </w:r>
          </w:p>
        </w:tc>
      </w:tr>
      <w:tr w14:paraId="4C3C0AC1">
        <w:tblPrEx>
          <w:tblCellMar>
            <w:top w:w="0" w:type="dxa"/>
            <w:left w:w="108" w:type="dxa"/>
            <w:bottom w:w="0" w:type="dxa"/>
            <w:right w:w="108" w:type="dxa"/>
          </w:tblCellMar>
        </w:tblPrEx>
        <w:trPr>
          <w:trHeight w:val="0" w:hRule="atLeast"/>
          <w:jc w:val="center"/>
        </w:trPr>
        <w:tc>
          <w:tcPr>
            <w:tcW w:w="832" w:type="dxa"/>
            <w:vMerge w:val="restart"/>
            <w:tcBorders>
              <w:top w:val="single" w:color="auto" w:sz="4" w:space="0"/>
              <w:left w:val="single" w:color="auto" w:sz="4" w:space="0"/>
              <w:bottom w:val="single" w:color="auto" w:sz="4" w:space="0"/>
              <w:right w:val="single" w:color="auto" w:sz="4" w:space="0"/>
            </w:tcBorders>
            <w:noWrap w:val="0"/>
            <w:vAlign w:val="center"/>
          </w:tcPr>
          <w:p w14:paraId="162B597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328" w:type="dxa"/>
            <w:vMerge w:val="restart"/>
            <w:tcBorders>
              <w:top w:val="single" w:color="auto" w:sz="4" w:space="0"/>
              <w:left w:val="single" w:color="auto" w:sz="4" w:space="0"/>
              <w:bottom w:val="single" w:color="auto" w:sz="4" w:space="0"/>
              <w:right w:val="single" w:color="auto" w:sz="4" w:space="0"/>
            </w:tcBorders>
            <w:noWrap w:val="0"/>
            <w:vAlign w:val="center"/>
          </w:tcPr>
          <w:p w14:paraId="45BF223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通讯设施</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4EDE6DF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通讯管理机</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6FFA737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设备至少4路 RS485，采集点不低于1024个。具有4G/WIFI/有线网络通讯，具有Modbus、DL/T 645、TCP等电力协议采集，具有mqtt、tcpip等上传。实现断点续传，本地存储数据大于1天，断电电池持续不低于10分钟。具有与服务器校时功能，支持本地及远程维护。数据采集周期：可配置最小采集周期不大于 1 秒。具有加密芯片，具有电力科学院试验报告。AC 220V±10% 或 DC 12V/24V支持宽电压输入，导轨式安装。</w:t>
            </w:r>
          </w:p>
        </w:tc>
      </w:tr>
      <w:tr w14:paraId="55DB457F">
        <w:tblPrEx>
          <w:tblCellMar>
            <w:top w:w="0" w:type="dxa"/>
            <w:left w:w="108" w:type="dxa"/>
            <w:bottom w:w="0" w:type="dxa"/>
            <w:right w:w="108" w:type="dxa"/>
          </w:tblCellMar>
        </w:tblPrEx>
        <w:trPr>
          <w:trHeight w:val="0"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189BD3C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14:paraId="58C7D4C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6CBA52C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网络交换设备</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3D3A7AF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指挥中心采用机架式三层核心网络交换机，24个千兆电口，4个万兆光口，配备交换机同品牌单模光模块。不低于336Gbps/3.36Tbps交换容量。</w:t>
            </w:r>
          </w:p>
          <w:p w14:paraId="5DFBE13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配电房内采用机架式二层网管交换机，16个千兆电口交，2个千兆光口交换机，配备交换机同品牌单模光模块。</w:t>
            </w:r>
          </w:p>
        </w:tc>
      </w:tr>
      <w:tr w14:paraId="5B58BBE1">
        <w:tblPrEx>
          <w:tblCellMar>
            <w:top w:w="0" w:type="dxa"/>
            <w:left w:w="108" w:type="dxa"/>
            <w:bottom w:w="0" w:type="dxa"/>
            <w:right w:w="108" w:type="dxa"/>
          </w:tblCellMar>
        </w:tblPrEx>
        <w:trPr>
          <w:trHeight w:val="0"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0023376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14:paraId="7AD1697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1B6A0BD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服务器</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00F587B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CPU不低2.3GHZ\内存不低于ECCR16G\支持磁盘冗余整列RAID\27英寸显示器\正版支持操作系统及数据库。以上配置要求为最低要求，根据系统功能要求完成配置。硬盘容量≥2.4TB×4 块，系统盘大于100GB×2</w:t>
            </w:r>
          </w:p>
        </w:tc>
      </w:tr>
      <w:tr w14:paraId="55D71B3E">
        <w:tblPrEx>
          <w:tblCellMar>
            <w:top w:w="0" w:type="dxa"/>
            <w:left w:w="108" w:type="dxa"/>
            <w:bottom w:w="0" w:type="dxa"/>
            <w:right w:w="108" w:type="dxa"/>
          </w:tblCellMar>
        </w:tblPrEx>
        <w:trPr>
          <w:trHeight w:val="0"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5AF18DA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14:paraId="04B3D33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0C3F731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监控主机</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7251537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CPU </w:t>
            </w:r>
            <w:r>
              <w:rPr>
                <w:rFonts w:hint="eastAsia" w:ascii="宋体" w:hAnsi="宋体" w:cs="宋体"/>
                <w:color w:val="auto"/>
                <w:kern w:val="0"/>
                <w:sz w:val="24"/>
                <w:szCs w:val="24"/>
                <w:lang w:val="en-US" w:eastAsia="zh-CN" w:bidi="ar"/>
              </w:rPr>
              <w:t>14</w:t>
            </w:r>
            <w:r>
              <w:rPr>
                <w:rFonts w:hint="eastAsia" w:ascii="宋体" w:hAnsi="宋体" w:eastAsia="宋体" w:cs="宋体"/>
                <w:color w:val="auto"/>
                <w:kern w:val="0"/>
                <w:sz w:val="24"/>
                <w:szCs w:val="24"/>
                <w:lang w:val="en-US" w:eastAsia="zh-CN" w:bidi="ar"/>
              </w:rPr>
              <w:t>代酷睿i5-</w:t>
            </w:r>
            <w:r>
              <w:rPr>
                <w:rFonts w:hint="eastAsia" w:ascii="宋体" w:hAnsi="宋体" w:cs="宋体"/>
                <w:color w:val="auto"/>
                <w:kern w:val="0"/>
                <w:sz w:val="24"/>
                <w:szCs w:val="24"/>
                <w:lang w:val="en-US" w:eastAsia="zh-CN" w:bidi="ar"/>
              </w:rPr>
              <w:t>14600</w:t>
            </w:r>
            <w:r>
              <w:rPr>
                <w:rFonts w:hint="eastAsia" w:ascii="宋体" w:hAnsi="宋体" w:eastAsia="宋体" w:cs="宋体"/>
                <w:color w:val="auto"/>
                <w:kern w:val="0"/>
                <w:sz w:val="24"/>
                <w:szCs w:val="24"/>
                <w:lang w:val="en-US" w:eastAsia="zh-CN" w:bidi="ar"/>
              </w:rPr>
              <w:t>/16G内存 /512G固态/27英寸显示器。</w:t>
            </w:r>
          </w:p>
        </w:tc>
      </w:tr>
      <w:tr w14:paraId="449997D5">
        <w:tblPrEx>
          <w:tblCellMar>
            <w:top w:w="0" w:type="dxa"/>
            <w:left w:w="108" w:type="dxa"/>
            <w:bottom w:w="0" w:type="dxa"/>
            <w:right w:w="108" w:type="dxa"/>
          </w:tblCellMar>
        </w:tblPrEx>
        <w:trPr>
          <w:trHeight w:val="0"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0B61E73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14:paraId="17D695C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1601D25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站房电力屏柜</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5603B24F">
            <w:pPr>
              <w:keepNext w:val="0"/>
              <w:keepLines w:val="0"/>
              <w:pageBreakBefore w:val="0"/>
              <w:widowControl/>
              <w:tabs>
                <w:tab w:val="center" w:pos="2546"/>
              </w:tabs>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采用600*600*2260电力屏柜。</w:t>
            </w:r>
          </w:p>
        </w:tc>
      </w:tr>
      <w:tr w14:paraId="74A5270B">
        <w:tblPrEx>
          <w:tblCellMar>
            <w:top w:w="0" w:type="dxa"/>
            <w:left w:w="108" w:type="dxa"/>
            <w:bottom w:w="0" w:type="dxa"/>
            <w:right w:w="108" w:type="dxa"/>
          </w:tblCellMar>
        </w:tblPrEx>
        <w:trPr>
          <w:trHeight w:val="0"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1117A84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14:paraId="5B504E4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6E950B5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网络通讯机柜</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4BACACE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采用600*800*2200网络机柜。</w:t>
            </w:r>
          </w:p>
        </w:tc>
      </w:tr>
      <w:tr w14:paraId="6806FE00">
        <w:tblPrEx>
          <w:tblCellMar>
            <w:top w:w="0" w:type="dxa"/>
            <w:left w:w="108" w:type="dxa"/>
            <w:bottom w:w="0" w:type="dxa"/>
            <w:right w:w="108" w:type="dxa"/>
          </w:tblCellMar>
        </w:tblPrEx>
        <w:trPr>
          <w:trHeight w:val="0" w:hRule="atLeast"/>
          <w:jc w:val="center"/>
        </w:trPr>
        <w:tc>
          <w:tcPr>
            <w:tcW w:w="832" w:type="dxa"/>
            <w:vMerge w:val="restart"/>
            <w:tcBorders>
              <w:top w:val="single" w:color="auto" w:sz="4" w:space="0"/>
              <w:left w:val="single" w:color="auto" w:sz="4" w:space="0"/>
              <w:right w:val="single" w:color="auto" w:sz="4" w:space="0"/>
            </w:tcBorders>
            <w:shd w:val="clear" w:color="auto" w:fill="auto"/>
            <w:noWrap w:val="0"/>
            <w:vAlign w:val="center"/>
          </w:tcPr>
          <w:p w14:paraId="7BF1DAB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328" w:type="dxa"/>
            <w:vMerge w:val="restart"/>
            <w:tcBorders>
              <w:top w:val="single" w:color="auto" w:sz="4" w:space="0"/>
              <w:left w:val="single" w:color="auto" w:sz="4" w:space="0"/>
              <w:right w:val="single" w:color="auto" w:sz="4" w:space="0"/>
            </w:tcBorders>
            <w:shd w:val="clear" w:color="auto" w:fill="auto"/>
            <w:noWrap w:val="0"/>
            <w:vAlign w:val="center"/>
          </w:tcPr>
          <w:p w14:paraId="5D5170A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系统平台</w:t>
            </w:r>
          </w:p>
        </w:tc>
        <w:tc>
          <w:tcPr>
            <w:tcW w:w="116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C7760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性能参数要求</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5FD76A2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Style w:val="5"/>
                <w:rFonts w:hint="eastAsia" w:ascii="宋体" w:hAnsi="宋体" w:eastAsia="宋体" w:cs="宋体"/>
                <w:color w:val="auto"/>
                <w:sz w:val="24"/>
                <w:szCs w:val="24"/>
                <w:lang w:val="en-US" w:eastAsia="zh-CN" w:bidi="ar"/>
              </w:rPr>
              <w:t>正常状态服务器</w:t>
            </w:r>
            <w:r>
              <w:rPr>
                <w:rFonts w:hint="eastAsia" w:ascii="宋体" w:hAnsi="宋体" w:eastAsia="宋体" w:cs="宋体"/>
                <w:i w:val="0"/>
                <w:iCs w:val="0"/>
                <w:color w:val="auto"/>
                <w:kern w:val="0"/>
                <w:sz w:val="24"/>
                <w:szCs w:val="24"/>
                <w:u w:val="none"/>
                <w:lang w:val="en-US" w:eastAsia="zh-CN" w:bidi="ar"/>
              </w:rPr>
              <w:t xml:space="preserve"> CPU </w:t>
            </w:r>
            <w:r>
              <w:rPr>
                <w:rStyle w:val="5"/>
                <w:rFonts w:hint="eastAsia" w:ascii="宋体" w:hAnsi="宋体" w:eastAsia="宋体" w:cs="宋体"/>
                <w:color w:val="auto"/>
                <w:sz w:val="24"/>
                <w:szCs w:val="24"/>
                <w:lang w:val="en-US" w:eastAsia="zh-CN" w:bidi="ar"/>
              </w:rPr>
              <w:t>负荷率</w:t>
            </w:r>
            <w:r>
              <w:rPr>
                <w:rFonts w:hint="eastAsia" w:ascii="宋体" w:hAnsi="宋体" w:eastAsia="宋体" w:cs="宋体"/>
                <w:i w:val="0"/>
                <w:iCs w:val="0"/>
                <w:color w:val="auto"/>
                <w:kern w:val="0"/>
                <w:sz w:val="24"/>
                <w:szCs w:val="24"/>
                <w:u w:val="none"/>
                <w:lang w:val="en-US" w:eastAsia="zh-CN" w:bidi="ar"/>
              </w:rPr>
              <w:t>≤30%</w:t>
            </w:r>
            <w:r>
              <w:rPr>
                <w:rStyle w:val="5"/>
                <w:rFonts w:hint="eastAsia" w:ascii="宋体" w:hAnsi="宋体" w:eastAsia="宋体" w:cs="宋体"/>
                <w:color w:val="auto"/>
                <w:sz w:val="24"/>
                <w:szCs w:val="24"/>
                <w:lang w:val="en-US" w:eastAsia="zh-CN" w:bidi="ar"/>
              </w:rPr>
              <w:t>，报警状态</w:t>
            </w:r>
            <w:r>
              <w:rPr>
                <w:rFonts w:hint="eastAsia" w:ascii="宋体" w:hAnsi="宋体" w:eastAsia="宋体" w:cs="宋体"/>
                <w:i w:val="0"/>
                <w:iCs w:val="0"/>
                <w:color w:val="auto"/>
                <w:kern w:val="0"/>
                <w:sz w:val="24"/>
                <w:szCs w:val="24"/>
                <w:u w:val="none"/>
                <w:lang w:val="en-US" w:eastAsia="zh-CN" w:bidi="ar"/>
              </w:rPr>
              <w:t>≤50%。</w:t>
            </w:r>
          </w:p>
        </w:tc>
      </w:tr>
      <w:tr w14:paraId="6135DDE3">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3D7497B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left w:val="single" w:color="auto" w:sz="4" w:space="0"/>
              <w:right w:val="single" w:color="auto" w:sz="4" w:space="0"/>
            </w:tcBorders>
            <w:shd w:val="clear" w:color="auto" w:fill="auto"/>
            <w:noWrap w:val="0"/>
            <w:vAlign w:val="center"/>
          </w:tcPr>
          <w:p w14:paraId="6A20243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C8521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宋体" w:hAnsi="宋体" w:eastAsia="宋体" w:cs="宋体"/>
                <w:i w:val="0"/>
                <w:iCs w:val="0"/>
                <w:color w:val="auto"/>
                <w:kern w:val="2"/>
                <w:sz w:val="24"/>
                <w:szCs w:val="24"/>
                <w:u w:val="none"/>
                <w:lang w:val="en-US" w:eastAsia="zh-CN" w:bidi="ar-SA"/>
              </w:rPr>
            </w:pPr>
          </w:p>
        </w:tc>
        <w:tc>
          <w:tcPr>
            <w:tcW w:w="5192" w:type="dxa"/>
            <w:tcBorders>
              <w:top w:val="single" w:color="auto" w:sz="4" w:space="0"/>
              <w:left w:val="single" w:color="auto" w:sz="4" w:space="0"/>
              <w:bottom w:val="single" w:color="auto" w:sz="4" w:space="0"/>
              <w:right w:val="single" w:color="auto" w:sz="4" w:space="0"/>
            </w:tcBorders>
            <w:noWrap w:val="0"/>
            <w:vAlign w:val="center"/>
          </w:tcPr>
          <w:p w14:paraId="08780BA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Style w:val="5"/>
                <w:rFonts w:hint="eastAsia" w:ascii="宋体" w:hAnsi="宋体" w:eastAsia="宋体" w:cs="宋体"/>
                <w:color w:val="auto"/>
                <w:sz w:val="24"/>
                <w:szCs w:val="24"/>
                <w:lang w:val="en-US" w:eastAsia="zh-CN" w:bidi="ar"/>
              </w:rPr>
              <w:t>系统</w:t>
            </w:r>
            <w:r>
              <w:rPr>
                <w:rFonts w:hint="eastAsia" w:ascii="宋体" w:hAnsi="宋体" w:eastAsia="宋体" w:cs="宋体"/>
                <w:i w:val="0"/>
                <w:iCs w:val="0"/>
                <w:color w:val="auto"/>
                <w:kern w:val="0"/>
                <w:sz w:val="24"/>
                <w:szCs w:val="24"/>
                <w:u w:val="none"/>
                <w:lang w:val="en-US" w:eastAsia="zh-CN" w:bidi="ar"/>
              </w:rPr>
              <w:t xml:space="preserve"> MTBF&gt;1000 </w:t>
            </w:r>
            <w:r>
              <w:rPr>
                <w:rStyle w:val="5"/>
                <w:rFonts w:hint="eastAsia" w:ascii="宋体" w:hAnsi="宋体" w:eastAsia="宋体" w:cs="宋体"/>
                <w:color w:val="auto"/>
                <w:sz w:val="24"/>
                <w:szCs w:val="24"/>
                <w:lang w:val="en-US" w:eastAsia="zh-CN" w:bidi="ar"/>
              </w:rPr>
              <w:t>小时，数据监测单元及通讯装置</w:t>
            </w:r>
            <w:r>
              <w:rPr>
                <w:rFonts w:hint="eastAsia" w:ascii="宋体" w:hAnsi="宋体" w:eastAsia="宋体" w:cs="宋体"/>
                <w:i w:val="0"/>
                <w:iCs w:val="0"/>
                <w:color w:val="auto"/>
                <w:kern w:val="0"/>
                <w:sz w:val="24"/>
                <w:szCs w:val="24"/>
                <w:u w:val="none"/>
                <w:lang w:val="en-US" w:eastAsia="zh-CN" w:bidi="ar"/>
              </w:rPr>
              <w:t xml:space="preserve"> MTBF&gt;1000 </w:t>
            </w:r>
            <w:r>
              <w:rPr>
                <w:rStyle w:val="5"/>
                <w:rFonts w:hint="eastAsia" w:ascii="宋体" w:hAnsi="宋体" w:eastAsia="宋体" w:cs="宋体"/>
                <w:color w:val="auto"/>
                <w:sz w:val="24"/>
                <w:szCs w:val="24"/>
                <w:lang w:val="en-US" w:eastAsia="zh-CN" w:bidi="ar"/>
              </w:rPr>
              <w:t>小时。</w:t>
            </w:r>
          </w:p>
        </w:tc>
      </w:tr>
      <w:tr w14:paraId="0A1E9117">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1EB7D40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left w:val="single" w:color="auto" w:sz="4" w:space="0"/>
              <w:right w:val="single" w:color="auto" w:sz="4" w:space="0"/>
            </w:tcBorders>
            <w:shd w:val="clear" w:color="auto" w:fill="auto"/>
            <w:noWrap w:val="0"/>
            <w:vAlign w:val="center"/>
          </w:tcPr>
          <w:p w14:paraId="298E400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3C56D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宋体" w:hAnsi="宋体" w:eastAsia="宋体" w:cs="宋体"/>
                <w:i w:val="0"/>
                <w:iCs w:val="0"/>
                <w:color w:val="auto"/>
                <w:kern w:val="2"/>
                <w:sz w:val="24"/>
                <w:szCs w:val="24"/>
                <w:u w:val="none"/>
                <w:lang w:val="en-US" w:eastAsia="zh-CN" w:bidi="ar-SA"/>
              </w:rPr>
            </w:pPr>
          </w:p>
        </w:tc>
        <w:tc>
          <w:tcPr>
            <w:tcW w:w="5192" w:type="dxa"/>
            <w:tcBorders>
              <w:top w:val="single" w:color="auto" w:sz="4" w:space="0"/>
              <w:left w:val="single" w:color="auto" w:sz="4" w:space="0"/>
              <w:bottom w:val="single" w:color="auto" w:sz="4" w:space="0"/>
              <w:right w:val="single" w:color="auto" w:sz="4" w:space="0"/>
            </w:tcBorders>
            <w:noWrap w:val="0"/>
            <w:vAlign w:val="center"/>
          </w:tcPr>
          <w:p w14:paraId="1E8D434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Style w:val="5"/>
                <w:rFonts w:hint="eastAsia" w:ascii="宋体" w:hAnsi="宋体" w:eastAsia="宋体" w:cs="宋体"/>
                <w:color w:val="auto"/>
                <w:sz w:val="24"/>
                <w:szCs w:val="24"/>
                <w:lang w:val="en-US" w:eastAsia="zh-CN" w:bidi="ar"/>
              </w:rPr>
              <w:t>数据库存储记录</w:t>
            </w:r>
            <w:r>
              <w:rPr>
                <w:rFonts w:hint="eastAsia" w:ascii="宋体" w:hAnsi="宋体" w:eastAsia="宋体" w:cs="宋体"/>
                <w:i w:val="0"/>
                <w:iCs w:val="0"/>
                <w:color w:val="auto"/>
                <w:kern w:val="0"/>
                <w:sz w:val="24"/>
                <w:szCs w:val="24"/>
                <w:u w:val="none"/>
                <w:lang w:val="en-US" w:eastAsia="zh-CN" w:bidi="ar"/>
              </w:rPr>
              <w:t>≥200</w:t>
            </w:r>
            <w:r>
              <w:rPr>
                <w:rStyle w:val="5"/>
                <w:rFonts w:hint="eastAsia" w:ascii="宋体" w:hAnsi="宋体" w:eastAsia="宋体" w:cs="宋体"/>
                <w:color w:val="auto"/>
                <w:sz w:val="24"/>
                <w:szCs w:val="24"/>
                <w:lang w:val="en-US" w:eastAsia="zh-CN" w:bidi="ar"/>
              </w:rPr>
              <w:t>万条，存储频率</w:t>
            </w:r>
            <w:r>
              <w:rPr>
                <w:rFonts w:hint="eastAsia" w:ascii="宋体" w:hAnsi="宋体" w:eastAsia="宋体" w:cs="宋体"/>
                <w:i w:val="0"/>
                <w:iCs w:val="0"/>
                <w:color w:val="auto"/>
                <w:kern w:val="0"/>
                <w:sz w:val="24"/>
                <w:szCs w:val="24"/>
                <w:u w:val="none"/>
                <w:lang w:val="en-US" w:eastAsia="zh-CN" w:bidi="ar"/>
              </w:rPr>
              <w:t>1</w:t>
            </w:r>
            <w:r>
              <w:rPr>
                <w:rStyle w:val="5"/>
                <w:rFonts w:hint="eastAsia" w:ascii="宋体" w:hAnsi="宋体" w:eastAsia="宋体" w:cs="宋体"/>
                <w:color w:val="auto"/>
                <w:sz w:val="24"/>
                <w:szCs w:val="24"/>
                <w:lang w:val="en-US" w:eastAsia="zh-CN" w:bidi="ar"/>
              </w:rPr>
              <w:t>分钟，时长</w:t>
            </w:r>
            <w:r>
              <w:rPr>
                <w:rFonts w:hint="eastAsia" w:ascii="宋体" w:hAnsi="宋体" w:eastAsia="宋体" w:cs="宋体"/>
                <w:i w:val="0"/>
                <w:iCs w:val="0"/>
                <w:color w:val="auto"/>
                <w:kern w:val="0"/>
                <w:sz w:val="24"/>
                <w:szCs w:val="24"/>
                <w:u w:val="none"/>
                <w:lang w:val="en-US" w:eastAsia="zh-CN" w:bidi="ar"/>
              </w:rPr>
              <w:t>≥24</w:t>
            </w:r>
            <w:r>
              <w:rPr>
                <w:rStyle w:val="5"/>
                <w:rFonts w:hint="eastAsia" w:ascii="宋体" w:hAnsi="宋体" w:eastAsia="宋体" w:cs="宋体"/>
                <w:color w:val="auto"/>
                <w:sz w:val="24"/>
                <w:szCs w:val="24"/>
                <w:lang w:val="en-US" w:eastAsia="zh-CN" w:bidi="ar"/>
              </w:rPr>
              <w:t>个月。</w:t>
            </w:r>
          </w:p>
        </w:tc>
      </w:tr>
      <w:tr w14:paraId="72F1EFA4">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1CA09EC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left w:val="single" w:color="auto" w:sz="4" w:space="0"/>
              <w:right w:val="single" w:color="auto" w:sz="4" w:space="0"/>
            </w:tcBorders>
            <w:shd w:val="clear" w:color="auto" w:fill="auto"/>
            <w:noWrap w:val="0"/>
            <w:vAlign w:val="center"/>
          </w:tcPr>
          <w:p w14:paraId="6374EFA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D1C25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宋体" w:hAnsi="宋体" w:eastAsia="宋体" w:cs="宋体"/>
                <w:i w:val="0"/>
                <w:iCs w:val="0"/>
                <w:color w:val="auto"/>
                <w:kern w:val="2"/>
                <w:sz w:val="24"/>
                <w:szCs w:val="24"/>
                <w:u w:val="none"/>
                <w:lang w:val="en-US" w:eastAsia="zh-CN" w:bidi="ar-SA"/>
              </w:rPr>
            </w:pPr>
          </w:p>
        </w:tc>
        <w:tc>
          <w:tcPr>
            <w:tcW w:w="5192" w:type="dxa"/>
            <w:tcBorders>
              <w:top w:val="single" w:color="auto" w:sz="4" w:space="0"/>
              <w:left w:val="single" w:color="auto" w:sz="4" w:space="0"/>
              <w:bottom w:val="single" w:color="auto" w:sz="4" w:space="0"/>
              <w:right w:val="single" w:color="auto" w:sz="4" w:space="0"/>
            </w:tcBorders>
            <w:noWrap w:val="0"/>
            <w:vAlign w:val="center"/>
          </w:tcPr>
          <w:p w14:paraId="15BBD3B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color w:val="auto"/>
                <w:kern w:val="0"/>
                <w:sz w:val="24"/>
                <w:szCs w:val="24"/>
                <w:lang w:val="en-US" w:eastAsia="zh-CN" w:bidi="ar"/>
              </w:rPr>
            </w:pPr>
            <w:r>
              <w:rPr>
                <w:rStyle w:val="5"/>
                <w:rFonts w:hint="eastAsia" w:ascii="宋体" w:hAnsi="宋体" w:eastAsia="宋体" w:cs="宋体"/>
                <w:color w:val="auto"/>
                <w:sz w:val="24"/>
                <w:szCs w:val="24"/>
                <w:lang w:val="en-US" w:eastAsia="zh-CN" w:bidi="ar"/>
              </w:rPr>
              <w:t>系统使用寿命＞</w:t>
            </w:r>
            <w:r>
              <w:rPr>
                <w:rFonts w:hint="eastAsia" w:ascii="宋体" w:hAnsi="宋体" w:eastAsia="宋体" w:cs="宋体"/>
                <w:i w:val="0"/>
                <w:iCs w:val="0"/>
                <w:color w:val="auto"/>
                <w:kern w:val="0"/>
                <w:sz w:val="24"/>
                <w:szCs w:val="24"/>
                <w:u w:val="none"/>
                <w:lang w:val="en-US" w:eastAsia="zh-CN" w:bidi="ar"/>
              </w:rPr>
              <w:t xml:space="preserve">5 </w:t>
            </w:r>
            <w:r>
              <w:rPr>
                <w:rStyle w:val="5"/>
                <w:rFonts w:hint="eastAsia" w:ascii="宋体" w:hAnsi="宋体" w:eastAsia="宋体" w:cs="宋体"/>
                <w:color w:val="auto"/>
                <w:sz w:val="24"/>
                <w:szCs w:val="24"/>
                <w:lang w:val="en-US" w:eastAsia="zh-CN" w:bidi="ar"/>
              </w:rPr>
              <w:t>年，支持终端数无限制。</w:t>
            </w:r>
          </w:p>
        </w:tc>
      </w:tr>
      <w:tr w14:paraId="69AB49E2">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56E13D6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left w:val="single" w:color="auto" w:sz="4" w:space="0"/>
              <w:right w:val="single" w:color="auto" w:sz="4" w:space="0"/>
            </w:tcBorders>
            <w:shd w:val="clear" w:color="auto" w:fill="auto"/>
            <w:noWrap w:val="0"/>
            <w:vAlign w:val="center"/>
          </w:tcPr>
          <w:p w14:paraId="3C70DCC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8ACA1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响应时间要求</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1C6666D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Style w:val="5"/>
                <w:rFonts w:hint="eastAsia" w:ascii="宋体" w:hAnsi="宋体" w:eastAsia="宋体" w:cs="宋体"/>
                <w:color w:val="auto"/>
                <w:sz w:val="24"/>
                <w:szCs w:val="24"/>
                <w:lang w:val="en-US" w:eastAsia="zh-CN" w:bidi="ar"/>
              </w:rPr>
              <w:t>抄表成功率、数据准确率均</w:t>
            </w:r>
            <w:r>
              <w:rPr>
                <w:rFonts w:hint="eastAsia" w:ascii="宋体" w:hAnsi="宋体" w:eastAsia="宋体" w:cs="宋体"/>
                <w:i w:val="0"/>
                <w:iCs w:val="0"/>
                <w:color w:val="auto"/>
                <w:kern w:val="0"/>
                <w:sz w:val="24"/>
                <w:szCs w:val="24"/>
                <w:u w:val="none"/>
                <w:lang w:val="en-US" w:eastAsia="zh-CN" w:bidi="ar"/>
              </w:rPr>
              <w:t xml:space="preserve"> 100%。</w:t>
            </w:r>
          </w:p>
        </w:tc>
      </w:tr>
      <w:tr w14:paraId="0F9E60F6">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036CFB4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left w:val="single" w:color="auto" w:sz="4" w:space="0"/>
              <w:right w:val="single" w:color="auto" w:sz="4" w:space="0"/>
            </w:tcBorders>
            <w:shd w:val="clear" w:color="auto" w:fill="auto"/>
            <w:noWrap w:val="0"/>
            <w:vAlign w:val="center"/>
          </w:tcPr>
          <w:p w14:paraId="7F6E2EA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10355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宋体" w:hAnsi="宋体" w:eastAsia="宋体" w:cs="宋体"/>
                <w:i w:val="0"/>
                <w:iCs w:val="0"/>
                <w:color w:val="auto"/>
                <w:kern w:val="2"/>
                <w:sz w:val="24"/>
                <w:szCs w:val="24"/>
                <w:u w:val="none"/>
                <w:lang w:val="en-US" w:eastAsia="zh-CN" w:bidi="ar-SA"/>
              </w:rPr>
            </w:pPr>
          </w:p>
        </w:tc>
        <w:tc>
          <w:tcPr>
            <w:tcW w:w="5192" w:type="dxa"/>
            <w:tcBorders>
              <w:top w:val="single" w:color="auto" w:sz="4" w:space="0"/>
              <w:left w:val="single" w:color="auto" w:sz="4" w:space="0"/>
              <w:bottom w:val="single" w:color="auto" w:sz="4" w:space="0"/>
              <w:right w:val="single" w:color="auto" w:sz="4" w:space="0"/>
            </w:tcBorders>
            <w:noWrap w:val="0"/>
            <w:vAlign w:val="center"/>
          </w:tcPr>
          <w:p w14:paraId="0A8BA40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Style w:val="5"/>
                <w:rFonts w:hint="eastAsia" w:ascii="宋体" w:hAnsi="宋体" w:eastAsia="宋体" w:cs="宋体"/>
                <w:color w:val="auto"/>
                <w:sz w:val="24"/>
                <w:szCs w:val="24"/>
                <w:lang w:val="en-US" w:eastAsia="zh-CN" w:bidi="ar"/>
              </w:rPr>
              <w:t>简单查询响应</w:t>
            </w:r>
            <w:r>
              <w:rPr>
                <w:rFonts w:hint="eastAsia" w:ascii="宋体" w:hAnsi="宋体" w:eastAsia="宋体" w:cs="宋体"/>
                <w:i w:val="0"/>
                <w:iCs w:val="0"/>
                <w:color w:val="auto"/>
                <w:kern w:val="0"/>
                <w:sz w:val="24"/>
                <w:szCs w:val="24"/>
                <w:u w:val="none"/>
                <w:lang w:val="en-US" w:eastAsia="zh-CN" w:bidi="ar"/>
              </w:rPr>
              <w:t xml:space="preserve">≤5 </w:t>
            </w:r>
            <w:r>
              <w:rPr>
                <w:rStyle w:val="5"/>
                <w:rFonts w:hint="eastAsia" w:ascii="宋体" w:hAnsi="宋体" w:eastAsia="宋体" w:cs="宋体"/>
                <w:color w:val="auto"/>
                <w:sz w:val="24"/>
                <w:szCs w:val="24"/>
                <w:lang w:val="en-US" w:eastAsia="zh-CN" w:bidi="ar"/>
              </w:rPr>
              <w:t>秒，复杂</w:t>
            </w:r>
            <w:r>
              <w:rPr>
                <w:rFonts w:hint="eastAsia" w:ascii="宋体" w:hAnsi="宋体" w:eastAsia="宋体" w:cs="宋体"/>
                <w:i w:val="0"/>
                <w:iCs w:val="0"/>
                <w:color w:val="auto"/>
                <w:kern w:val="0"/>
                <w:sz w:val="24"/>
                <w:szCs w:val="24"/>
                <w:u w:val="none"/>
                <w:lang w:val="en-US" w:eastAsia="zh-CN" w:bidi="ar"/>
              </w:rPr>
              <w:t xml:space="preserve"> / </w:t>
            </w:r>
            <w:r>
              <w:rPr>
                <w:rStyle w:val="5"/>
                <w:rFonts w:hint="eastAsia" w:ascii="宋体" w:hAnsi="宋体" w:eastAsia="宋体" w:cs="宋体"/>
                <w:color w:val="auto"/>
                <w:sz w:val="24"/>
                <w:szCs w:val="24"/>
                <w:lang w:val="en-US" w:eastAsia="zh-CN" w:bidi="ar"/>
              </w:rPr>
              <w:t>组合查询</w:t>
            </w:r>
            <w:r>
              <w:rPr>
                <w:rFonts w:hint="eastAsia" w:ascii="宋体" w:hAnsi="宋体" w:eastAsia="宋体" w:cs="宋体"/>
                <w:i w:val="0"/>
                <w:iCs w:val="0"/>
                <w:color w:val="auto"/>
                <w:kern w:val="0"/>
                <w:sz w:val="24"/>
                <w:szCs w:val="24"/>
                <w:u w:val="none"/>
                <w:lang w:val="en-US" w:eastAsia="zh-CN" w:bidi="ar"/>
              </w:rPr>
              <w:t xml:space="preserve">≤10 </w:t>
            </w:r>
            <w:r>
              <w:rPr>
                <w:rStyle w:val="5"/>
                <w:rFonts w:hint="eastAsia" w:ascii="宋体" w:hAnsi="宋体" w:eastAsia="宋体" w:cs="宋体"/>
                <w:color w:val="auto"/>
                <w:sz w:val="24"/>
                <w:szCs w:val="24"/>
                <w:lang w:val="en-US" w:eastAsia="zh-CN" w:bidi="ar"/>
              </w:rPr>
              <w:t>秒。</w:t>
            </w:r>
          </w:p>
        </w:tc>
      </w:tr>
      <w:tr w14:paraId="3264DD6F">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22767B5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left w:val="single" w:color="auto" w:sz="4" w:space="0"/>
              <w:right w:val="single" w:color="auto" w:sz="4" w:space="0"/>
            </w:tcBorders>
            <w:shd w:val="clear" w:color="auto" w:fill="auto"/>
            <w:noWrap w:val="0"/>
            <w:vAlign w:val="center"/>
          </w:tcPr>
          <w:p w14:paraId="254A543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E5474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宋体" w:hAnsi="宋体" w:eastAsia="宋体" w:cs="宋体"/>
                <w:i w:val="0"/>
                <w:iCs w:val="0"/>
                <w:color w:val="auto"/>
                <w:kern w:val="2"/>
                <w:sz w:val="24"/>
                <w:szCs w:val="24"/>
                <w:u w:val="none"/>
                <w:lang w:val="en-US" w:eastAsia="zh-CN" w:bidi="ar-SA"/>
              </w:rPr>
            </w:pPr>
          </w:p>
        </w:tc>
        <w:tc>
          <w:tcPr>
            <w:tcW w:w="5192" w:type="dxa"/>
            <w:tcBorders>
              <w:top w:val="single" w:color="auto" w:sz="4" w:space="0"/>
              <w:left w:val="single" w:color="auto" w:sz="4" w:space="0"/>
              <w:bottom w:val="single" w:color="auto" w:sz="4" w:space="0"/>
              <w:right w:val="single" w:color="auto" w:sz="4" w:space="0"/>
            </w:tcBorders>
            <w:noWrap w:val="0"/>
            <w:vAlign w:val="center"/>
          </w:tcPr>
          <w:p w14:paraId="38B57FA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Style w:val="5"/>
                <w:rFonts w:hint="eastAsia" w:ascii="宋体" w:hAnsi="宋体" w:eastAsia="宋体" w:cs="宋体"/>
                <w:color w:val="auto"/>
                <w:sz w:val="24"/>
                <w:szCs w:val="24"/>
                <w:lang w:val="en-US" w:eastAsia="zh-CN" w:bidi="ar"/>
              </w:rPr>
              <w:t>固定制表导出</w:t>
            </w:r>
            <w:r>
              <w:rPr>
                <w:rFonts w:hint="eastAsia" w:ascii="宋体" w:hAnsi="宋体" w:eastAsia="宋体" w:cs="宋体"/>
                <w:i w:val="0"/>
                <w:iCs w:val="0"/>
                <w:color w:val="auto"/>
                <w:kern w:val="0"/>
                <w:sz w:val="24"/>
                <w:szCs w:val="24"/>
                <w:u w:val="none"/>
                <w:lang w:val="en-US" w:eastAsia="zh-CN" w:bidi="ar"/>
              </w:rPr>
              <w:t xml:space="preserve">≤5 </w:t>
            </w:r>
            <w:r>
              <w:rPr>
                <w:rStyle w:val="5"/>
                <w:rFonts w:hint="eastAsia" w:ascii="宋体" w:hAnsi="宋体" w:eastAsia="宋体" w:cs="宋体"/>
                <w:color w:val="auto"/>
                <w:sz w:val="24"/>
                <w:szCs w:val="24"/>
                <w:lang w:val="en-US" w:eastAsia="zh-CN" w:bidi="ar"/>
              </w:rPr>
              <w:t>秒，组合</w:t>
            </w:r>
            <w:r>
              <w:rPr>
                <w:rFonts w:hint="eastAsia" w:ascii="宋体" w:hAnsi="宋体" w:eastAsia="宋体" w:cs="宋体"/>
                <w:i w:val="0"/>
                <w:iCs w:val="0"/>
                <w:color w:val="auto"/>
                <w:kern w:val="0"/>
                <w:sz w:val="24"/>
                <w:szCs w:val="24"/>
                <w:u w:val="none"/>
                <w:lang w:val="en-US" w:eastAsia="zh-CN" w:bidi="ar"/>
              </w:rPr>
              <w:t xml:space="preserve"> / </w:t>
            </w:r>
            <w:r>
              <w:rPr>
                <w:rStyle w:val="5"/>
                <w:rFonts w:hint="eastAsia" w:ascii="宋体" w:hAnsi="宋体" w:eastAsia="宋体" w:cs="宋体"/>
                <w:color w:val="auto"/>
                <w:sz w:val="24"/>
                <w:szCs w:val="24"/>
                <w:lang w:val="en-US" w:eastAsia="zh-CN" w:bidi="ar"/>
              </w:rPr>
              <w:t>动态</w:t>
            </w:r>
            <w:r>
              <w:rPr>
                <w:rFonts w:hint="eastAsia" w:ascii="宋体" w:hAnsi="宋体" w:eastAsia="宋体" w:cs="宋体"/>
                <w:i w:val="0"/>
                <w:iCs w:val="0"/>
                <w:color w:val="auto"/>
                <w:kern w:val="0"/>
                <w:sz w:val="24"/>
                <w:szCs w:val="24"/>
                <w:u w:val="none"/>
                <w:lang w:val="en-US" w:eastAsia="zh-CN" w:bidi="ar"/>
              </w:rPr>
              <w:t xml:space="preserve"> / </w:t>
            </w:r>
            <w:r>
              <w:rPr>
                <w:rStyle w:val="5"/>
                <w:rFonts w:hint="eastAsia" w:ascii="宋体" w:hAnsi="宋体" w:eastAsia="宋体" w:cs="宋体"/>
                <w:color w:val="auto"/>
                <w:sz w:val="24"/>
                <w:szCs w:val="24"/>
                <w:lang w:val="en-US" w:eastAsia="zh-CN" w:bidi="ar"/>
              </w:rPr>
              <w:t>复杂制表导出</w:t>
            </w:r>
            <w:r>
              <w:rPr>
                <w:rFonts w:hint="eastAsia" w:ascii="宋体" w:hAnsi="宋体" w:eastAsia="宋体" w:cs="宋体"/>
                <w:i w:val="0"/>
                <w:iCs w:val="0"/>
                <w:color w:val="auto"/>
                <w:kern w:val="0"/>
                <w:sz w:val="24"/>
                <w:szCs w:val="24"/>
                <w:u w:val="none"/>
                <w:lang w:val="en-US" w:eastAsia="zh-CN" w:bidi="ar"/>
              </w:rPr>
              <w:t xml:space="preserve">≤10 </w:t>
            </w:r>
            <w:r>
              <w:rPr>
                <w:rStyle w:val="5"/>
                <w:rFonts w:hint="eastAsia" w:ascii="宋体" w:hAnsi="宋体" w:eastAsia="宋体" w:cs="宋体"/>
                <w:color w:val="auto"/>
                <w:sz w:val="24"/>
                <w:szCs w:val="24"/>
                <w:lang w:val="en-US" w:eastAsia="zh-CN" w:bidi="ar"/>
              </w:rPr>
              <w:t>秒。</w:t>
            </w:r>
          </w:p>
        </w:tc>
      </w:tr>
      <w:tr w14:paraId="5E2521E0">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5511E78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left w:val="single" w:color="auto" w:sz="4" w:space="0"/>
              <w:right w:val="single" w:color="auto" w:sz="4" w:space="0"/>
            </w:tcBorders>
            <w:shd w:val="clear" w:color="auto" w:fill="auto"/>
            <w:noWrap w:val="0"/>
            <w:vAlign w:val="center"/>
          </w:tcPr>
          <w:p w14:paraId="5A7D952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E5AEA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宋体" w:hAnsi="宋体" w:eastAsia="宋体" w:cs="宋体"/>
                <w:i w:val="0"/>
                <w:iCs w:val="0"/>
                <w:color w:val="auto"/>
                <w:kern w:val="2"/>
                <w:sz w:val="24"/>
                <w:szCs w:val="24"/>
                <w:u w:val="none"/>
                <w:lang w:val="en-US" w:eastAsia="zh-CN" w:bidi="ar-SA"/>
              </w:rPr>
            </w:pPr>
          </w:p>
        </w:tc>
        <w:tc>
          <w:tcPr>
            <w:tcW w:w="5192" w:type="dxa"/>
            <w:tcBorders>
              <w:top w:val="single" w:color="auto" w:sz="4" w:space="0"/>
              <w:left w:val="single" w:color="auto" w:sz="4" w:space="0"/>
              <w:bottom w:val="single" w:color="auto" w:sz="4" w:space="0"/>
              <w:right w:val="single" w:color="auto" w:sz="4" w:space="0"/>
            </w:tcBorders>
            <w:noWrap w:val="0"/>
            <w:vAlign w:val="center"/>
          </w:tcPr>
          <w:p w14:paraId="58BF50D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Style w:val="5"/>
                <w:rFonts w:hint="eastAsia" w:ascii="宋体" w:hAnsi="宋体" w:eastAsia="宋体" w:cs="宋体"/>
                <w:color w:val="auto"/>
                <w:sz w:val="24"/>
                <w:szCs w:val="24"/>
                <w:lang w:val="en-US" w:eastAsia="zh-CN" w:bidi="ar"/>
              </w:rPr>
              <w:t>查询结果支持排序、筛选、保存及图形化展示。</w:t>
            </w:r>
          </w:p>
        </w:tc>
      </w:tr>
      <w:tr w14:paraId="3259524A">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3B7C56D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left w:val="single" w:color="auto" w:sz="4" w:space="0"/>
              <w:right w:val="single" w:color="auto" w:sz="4" w:space="0"/>
            </w:tcBorders>
            <w:shd w:val="clear" w:color="auto" w:fill="auto"/>
            <w:noWrap w:val="0"/>
            <w:vAlign w:val="center"/>
          </w:tcPr>
          <w:p w14:paraId="6EFAD9B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1919D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数据处理要求</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1A7EDC8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Style w:val="5"/>
                <w:rFonts w:hint="eastAsia" w:ascii="宋体" w:hAnsi="宋体" w:eastAsia="宋体" w:cs="宋体"/>
                <w:color w:val="auto"/>
                <w:sz w:val="24"/>
                <w:szCs w:val="24"/>
                <w:lang w:val="en-US" w:eastAsia="zh-CN" w:bidi="ar"/>
              </w:rPr>
              <w:t>自动采集仪表数据，支持无仪表数据手工录入</w:t>
            </w:r>
            <w:r>
              <w:rPr>
                <w:rFonts w:hint="eastAsia" w:ascii="宋体" w:hAnsi="宋体" w:eastAsia="宋体" w:cs="宋体"/>
                <w:i w:val="0"/>
                <w:iCs w:val="0"/>
                <w:color w:val="auto"/>
                <w:kern w:val="0"/>
                <w:sz w:val="24"/>
                <w:szCs w:val="24"/>
                <w:u w:val="none"/>
                <w:lang w:val="en-US" w:eastAsia="zh-CN" w:bidi="ar"/>
              </w:rPr>
              <w:t>/</w:t>
            </w:r>
            <w:r>
              <w:rPr>
                <w:rStyle w:val="5"/>
                <w:rFonts w:hint="eastAsia" w:ascii="宋体" w:hAnsi="宋体" w:eastAsia="宋体" w:cs="宋体"/>
                <w:color w:val="auto"/>
                <w:sz w:val="24"/>
                <w:szCs w:val="24"/>
                <w:lang w:val="en-US" w:eastAsia="zh-CN" w:bidi="ar"/>
              </w:rPr>
              <w:t>导出。</w:t>
            </w:r>
          </w:p>
        </w:tc>
      </w:tr>
      <w:tr w14:paraId="26948C62">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7DE70A9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left w:val="single" w:color="auto" w:sz="4" w:space="0"/>
              <w:bottom w:val="single" w:color="auto" w:sz="4" w:space="0"/>
              <w:right w:val="single" w:color="auto" w:sz="4" w:space="0"/>
            </w:tcBorders>
            <w:shd w:val="clear" w:color="auto" w:fill="auto"/>
            <w:noWrap w:val="0"/>
            <w:vAlign w:val="center"/>
          </w:tcPr>
          <w:p w14:paraId="2C50CE7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F4331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宋体" w:hAnsi="宋体" w:eastAsia="宋体" w:cs="宋体"/>
                <w:i w:val="0"/>
                <w:iCs w:val="0"/>
                <w:color w:val="auto"/>
                <w:kern w:val="2"/>
                <w:sz w:val="24"/>
                <w:szCs w:val="24"/>
                <w:u w:val="none"/>
                <w:lang w:val="en-US" w:eastAsia="zh-CN" w:bidi="ar-SA"/>
              </w:rPr>
            </w:pPr>
          </w:p>
        </w:tc>
        <w:tc>
          <w:tcPr>
            <w:tcW w:w="5192" w:type="dxa"/>
            <w:tcBorders>
              <w:top w:val="single" w:color="auto" w:sz="4" w:space="0"/>
              <w:left w:val="single" w:color="auto" w:sz="4" w:space="0"/>
              <w:bottom w:val="single" w:color="auto" w:sz="4" w:space="0"/>
              <w:right w:val="single" w:color="auto" w:sz="4" w:space="0"/>
            </w:tcBorders>
            <w:noWrap w:val="0"/>
            <w:vAlign w:val="center"/>
          </w:tcPr>
          <w:p w14:paraId="0D5E8EC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电量统计数据计算不大于1小时。</w:t>
            </w:r>
          </w:p>
        </w:tc>
      </w:tr>
      <w:tr w14:paraId="5B0EE8E3">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48DDA10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6D6060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6C40E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宋体" w:hAnsi="宋体" w:eastAsia="宋体" w:cs="宋体"/>
                <w:i w:val="0"/>
                <w:iCs w:val="0"/>
                <w:color w:val="auto"/>
                <w:kern w:val="2"/>
                <w:sz w:val="24"/>
                <w:szCs w:val="24"/>
                <w:u w:val="none"/>
                <w:lang w:val="en-US" w:eastAsia="zh-CN" w:bidi="ar-SA"/>
              </w:rPr>
            </w:pPr>
          </w:p>
        </w:tc>
        <w:tc>
          <w:tcPr>
            <w:tcW w:w="5192" w:type="dxa"/>
            <w:tcBorders>
              <w:top w:val="single" w:color="auto" w:sz="4" w:space="0"/>
              <w:left w:val="single" w:color="auto" w:sz="4" w:space="0"/>
              <w:bottom w:val="single" w:color="auto" w:sz="4" w:space="0"/>
              <w:right w:val="single" w:color="auto" w:sz="4" w:space="0"/>
            </w:tcBorders>
            <w:noWrap w:val="0"/>
            <w:vAlign w:val="center"/>
          </w:tcPr>
          <w:p w14:paraId="6A28670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Style w:val="5"/>
                <w:rFonts w:hint="eastAsia" w:ascii="宋体" w:hAnsi="宋体" w:eastAsia="宋体" w:cs="宋体"/>
                <w:color w:val="auto"/>
                <w:sz w:val="24"/>
                <w:szCs w:val="24"/>
                <w:lang w:val="en-US" w:eastAsia="zh-CN" w:bidi="ar"/>
              </w:rPr>
              <w:t>提供接口服务，支持采集其他系统数据及第三方应用授权访问或推送第三方系统平台。</w:t>
            </w:r>
          </w:p>
        </w:tc>
      </w:tr>
      <w:tr w14:paraId="1A84B44F">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28E75A7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C4F65E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67F60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安全策略</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52B6F3C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Style w:val="5"/>
                <w:rFonts w:hint="eastAsia" w:ascii="宋体" w:hAnsi="宋体" w:eastAsia="宋体" w:cs="宋体"/>
                <w:color w:val="auto"/>
                <w:sz w:val="24"/>
                <w:szCs w:val="24"/>
                <w:lang w:val="en-US" w:eastAsia="zh-CN" w:bidi="ar"/>
              </w:rPr>
              <w:t>具备安全访问机制，防护</w:t>
            </w:r>
            <w:r>
              <w:rPr>
                <w:rFonts w:hint="eastAsia" w:ascii="宋体" w:hAnsi="宋体" w:eastAsia="宋体" w:cs="宋体"/>
                <w:i w:val="0"/>
                <w:iCs w:val="0"/>
                <w:color w:val="auto"/>
                <w:kern w:val="0"/>
                <w:sz w:val="24"/>
                <w:szCs w:val="24"/>
                <w:u w:val="none"/>
                <w:lang w:val="en-US" w:eastAsia="zh-CN" w:bidi="ar"/>
              </w:rPr>
              <w:t xml:space="preserve"> SQL </w:t>
            </w:r>
            <w:r>
              <w:rPr>
                <w:rStyle w:val="5"/>
                <w:rFonts w:hint="eastAsia" w:ascii="宋体" w:hAnsi="宋体" w:eastAsia="宋体" w:cs="宋体"/>
                <w:color w:val="auto"/>
                <w:sz w:val="24"/>
                <w:szCs w:val="24"/>
                <w:lang w:val="en-US" w:eastAsia="zh-CN" w:bidi="ar"/>
              </w:rPr>
              <w:t>注入、跨站攻击等，修复操作系统及数据库已知漏洞。</w:t>
            </w:r>
          </w:p>
        </w:tc>
      </w:tr>
      <w:tr w14:paraId="228A0D7C">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02B4067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E9310E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C0FAB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数据安全</w:t>
            </w:r>
          </w:p>
        </w:tc>
        <w:tc>
          <w:tcPr>
            <w:tcW w:w="5192" w:type="dxa"/>
            <w:tcBorders>
              <w:top w:val="single" w:color="auto" w:sz="4" w:space="0"/>
              <w:left w:val="single" w:color="auto" w:sz="4" w:space="0"/>
              <w:bottom w:val="single" w:color="auto" w:sz="4" w:space="0"/>
              <w:right w:val="single" w:color="auto" w:sz="4" w:space="0"/>
            </w:tcBorders>
            <w:noWrap w:val="0"/>
            <w:vAlign w:val="center"/>
          </w:tcPr>
          <w:p w14:paraId="33F374A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Style w:val="5"/>
                <w:rFonts w:hint="eastAsia" w:ascii="宋体" w:hAnsi="宋体" w:eastAsia="宋体" w:cs="宋体"/>
                <w:color w:val="auto"/>
                <w:sz w:val="24"/>
                <w:szCs w:val="24"/>
                <w:lang w:val="en-US" w:eastAsia="zh-CN" w:bidi="ar"/>
              </w:rPr>
              <w:t>权限管理</w:t>
            </w:r>
            <w:r>
              <w:rPr>
                <w:rFonts w:hint="eastAsia" w:ascii="宋体" w:hAnsi="宋体" w:eastAsia="宋体" w:cs="宋体"/>
                <w:i w:val="0"/>
                <w:iCs w:val="0"/>
                <w:color w:val="auto"/>
                <w:kern w:val="0"/>
                <w:sz w:val="24"/>
                <w:szCs w:val="24"/>
                <w:u w:val="none"/>
                <w:lang w:val="en-US" w:eastAsia="zh-CN" w:bidi="ar"/>
              </w:rPr>
              <w:t xml:space="preserve"> + </w:t>
            </w:r>
            <w:r>
              <w:rPr>
                <w:rStyle w:val="5"/>
                <w:rFonts w:hint="eastAsia" w:ascii="宋体" w:hAnsi="宋体" w:eastAsia="宋体" w:cs="宋体"/>
                <w:color w:val="auto"/>
                <w:sz w:val="24"/>
                <w:szCs w:val="24"/>
                <w:lang w:val="en-US" w:eastAsia="zh-CN" w:bidi="ar"/>
              </w:rPr>
              <w:t>密码加密存储，按用户级别授权访问，防止越权。禁止预留系统后门。</w:t>
            </w:r>
          </w:p>
        </w:tc>
      </w:tr>
      <w:tr w14:paraId="09CC31D8">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right w:val="single" w:color="auto" w:sz="4" w:space="0"/>
            </w:tcBorders>
            <w:shd w:val="clear" w:color="auto" w:fill="auto"/>
            <w:noWrap w:val="0"/>
            <w:vAlign w:val="center"/>
          </w:tcPr>
          <w:p w14:paraId="51F87E1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EDD46C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8D8F5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宋体" w:hAnsi="宋体" w:eastAsia="宋体" w:cs="宋体"/>
                <w:i w:val="0"/>
                <w:iCs w:val="0"/>
                <w:color w:val="auto"/>
                <w:kern w:val="2"/>
                <w:sz w:val="24"/>
                <w:szCs w:val="24"/>
                <w:u w:val="none"/>
                <w:lang w:val="en-US" w:eastAsia="zh-CN" w:bidi="ar-SA"/>
              </w:rPr>
            </w:pPr>
          </w:p>
        </w:tc>
        <w:tc>
          <w:tcPr>
            <w:tcW w:w="5192" w:type="dxa"/>
            <w:tcBorders>
              <w:top w:val="single" w:color="auto" w:sz="4" w:space="0"/>
              <w:left w:val="single" w:color="auto" w:sz="4" w:space="0"/>
              <w:bottom w:val="single" w:color="auto" w:sz="4" w:space="0"/>
              <w:right w:val="single" w:color="auto" w:sz="4" w:space="0"/>
            </w:tcBorders>
            <w:noWrap w:val="0"/>
            <w:vAlign w:val="center"/>
          </w:tcPr>
          <w:p w14:paraId="4D9C38F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大于7天</w:t>
            </w:r>
            <w:r>
              <w:rPr>
                <w:rStyle w:val="5"/>
                <w:rFonts w:hint="eastAsia" w:ascii="宋体" w:hAnsi="宋体" w:eastAsia="宋体" w:cs="宋体"/>
                <w:color w:val="auto"/>
                <w:sz w:val="24"/>
                <w:szCs w:val="24"/>
                <w:lang w:val="en-US" w:eastAsia="zh-CN" w:bidi="ar"/>
              </w:rPr>
              <w:t>定期全量备份数据，10天的增量备份。具备安全恢复策略。</w:t>
            </w:r>
          </w:p>
        </w:tc>
      </w:tr>
      <w:tr w14:paraId="2B0AE89B">
        <w:tblPrEx>
          <w:tblCellMar>
            <w:top w:w="0" w:type="dxa"/>
            <w:left w:w="108" w:type="dxa"/>
            <w:bottom w:w="0" w:type="dxa"/>
            <w:right w:w="108" w:type="dxa"/>
          </w:tblCellMar>
        </w:tblPrEx>
        <w:trPr>
          <w:trHeight w:val="0" w:hRule="atLeast"/>
          <w:jc w:val="center"/>
        </w:trPr>
        <w:tc>
          <w:tcPr>
            <w:tcW w:w="832" w:type="dxa"/>
            <w:vMerge w:val="continue"/>
            <w:tcBorders>
              <w:left w:val="single" w:color="auto" w:sz="4" w:space="0"/>
              <w:bottom w:val="single" w:color="auto" w:sz="4" w:space="0"/>
              <w:right w:val="single" w:color="auto" w:sz="4" w:space="0"/>
            </w:tcBorders>
            <w:shd w:val="clear" w:color="auto" w:fill="auto"/>
            <w:noWrap w:val="0"/>
            <w:vAlign w:val="center"/>
          </w:tcPr>
          <w:p w14:paraId="529AF5D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sz w:val="24"/>
                <w:szCs w:val="24"/>
                <w:lang w:val="en-US" w:eastAsia="zh-CN"/>
              </w:rPr>
            </w:pPr>
          </w:p>
        </w:tc>
        <w:tc>
          <w:tcPr>
            <w:tcW w:w="132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46E08B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outlineLvl w:val="9"/>
              <w:rPr>
                <w:rFonts w:hint="eastAsia" w:ascii="宋体" w:hAnsi="宋体" w:eastAsia="宋体" w:cs="宋体"/>
                <w:color w:val="auto"/>
                <w:kern w:val="2"/>
                <w:sz w:val="24"/>
                <w:szCs w:val="24"/>
                <w:lang w:val="en-US" w:eastAsia="zh-CN" w:bidi="ar-SA"/>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27713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宋体" w:hAnsi="宋体" w:eastAsia="宋体" w:cs="宋体"/>
                <w:i w:val="0"/>
                <w:iCs w:val="0"/>
                <w:color w:val="auto"/>
                <w:kern w:val="2"/>
                <w:sz w:val="24"/>
                <w:szCs w:val="24"/>
                <w:u w:val="none"/>
                <w:lang w:val="en-US" w:eastAsia="zh-CN" w:bidi="ar-SA"/>
              </w:rPr>
            </w:pPr>
          </w:p>
        </w:tc>
        <w:tc>
          <w:tcPr>
            <w:tcW w:w="5192" w:type="dxa"/>
            <w:tcBorders>
              <w:top w:val="single" w:color="auto" w:sz="4" w:space="0"/>
              <w:left w:val="single" w:color="auto" w:sz="4" w:space="0"/>
              <w:bottom w:val="single" w:color="auto" w:sz="4" w:space="0"/>
              <w:right w:val="single" w:color="auto" w:sz="4" w:space="0"/>
            </w:tcBorders>
            <w:noWrap w:val="0"/>
            <w:vAlign w:val="center"/>
          </w:tcPr>
          <w:p w14:paraId="52CBDF9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4"/>
                <w:szCs w:val="24"/>
                <w:u w:val="none"/>
                <w:lang w:val="en-US" w:eastAsia="zh-CN" w:bidi="ar"/>
              </w:rPr>
            </w:pPr>
            <w:r>
              <w:rPr>
                <w:rStyle w:val="5"/>
                <w:rFonts w:hint="eastAsia" w:ascii="宋体" w:hAnsi="宋体" w:eastAsia="宋体" w:cs="宋体"/>
                <w:color w:val="auto"/>
                <w:sz w:val="24"/>
                <w:szCs w:val="24"/>
                <w:lang w:val="en-US" w:eastAsia="zh-CN" w:bidi="ar"/>
              </w:rPr>
              <w:t>操作日志审计（记录登录</w:t>
            </w:r>
            <w:r>
              <w:rPr>
                <w:rFonts w:hint="eastAsia" w:ascii="宋体" w:hAnsi="宋体" w:eastAsia="宋体" w:cs="宋体"/>
                <w:i w:val="0"/>
                <w:iCs w:val="0"/>
                <w:color w:val="auto"/>
                <w:kern w:val="0"/>
                <w:sz w:val="24"/>
                <w:szCs w:val="24"/>
                <w:u w:val="none"/>
                <w:lang w:val="en-US" w:eastAsia="zh-CN" w:bidi="ar"/>
              </w:rPr>
              <w:t xml:space="preserve"> IP</w:t>
            </w:r>
            <w:r>
              <w:rPr>
                <w:rStyle w:val="5"/>
                <w:rFonts w:hint="eastAsia" w:ascii="宋体" w:hAnsi="宋体" w:eastAsia="宋体" w:cs="宋体"/>
                <w:color w:val="auto"/>
                <w:sz w:val="24"/>
                <w:szCs w:val="24"/>
                <w:lang w:val="en-US" w:eastAsia="zh-CN" w:bidi="ar"/>
              </w:rPr>
              <w:t>、操作人、时间、内容及前后数据）。</w:t>
            </w:r>
          </w:p>
        </w:tc>
      </w:tr>
    </w:tbl>
    <w:p w14:paraId="56BA13AB">
      <w:pPr>
        <w:pStyle w:val="6"/>
        <w:keepNext w:val="0"/>
        <w:keepLines w:val="0"/>
        <w:pageBreakBefore w:val="0"/>
        <w:numPr>
          <w:ilvl w:val="0"/>
          <w:numId w:val="0"/>
        </w:numPr>
        <w:kinsoku/>
        <w:wordWrap/>
        <w:overflowPunct/>
        <w:topLinePunct w:val="0"/>
        <w:autoSpaceDE/>
        <w:autoSpaceDN/>
        <w:bidi w:val="0"/>
        <w:snapToGrid w:val="0"/>
        <w:spacing w:line="360" w:lineRule="auto"/>
        <w:ind w:left="0" w:firstLine="482" w:firstLineChars="200"/>
        <w:outlineLvl w:val="9"/>
        <w:rPr>
          <w:rFonts w:hint="eastAsia" w:ascii="宋体" w:hAnsi="宋体" w:eastAsia="宋体" w:cs="宋体"/>
          <w:b/>
          <w:bCs/>
          <w:color w:val="auto"/>
          <w:sz w:val="24"/>
          <w:szCs w:val="24"/>
          <w:lang w:val="en-US" w:eastAsia="zh-CN"/>
        </w:rPr>
      </w:pPr>
      <w:bookmarkStart w:id="4" w:name="_Toc4867"/>
      <w:r>
        <w:rPr>
          <w:rFonts w:hint="eastAsia" w:ascii="宋体" w:hAnsi="宋体" w:eastAsia="宋体" w:cs="宋体"/>
          <w:b/>
          <w:bCs/>
          <w:color w:val="auto"/>
          <w:sz w:val="24"/>
          <w:szCs w:val="24"/>
          <w:lang w:val="en-US" w:eastAsia="zh-CN"/>
        </w:rPr>
        <w:t>13.2.验收标准</w:t>
      </w:r>
      <w:bookmarkEnd w:id="4"/>
    </w:p>
    <w:p w14:paraId="1935DA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SA"/>
        </w:rPr>
        <w:t>本协议作为甲乙双方确认的最终设备验收依据，如有变更，以双方确认的书面文件为准。技术协议未覆盖的部分依据国家标准和行业规范进行验收。</w:t>
      </w:r>
      <w:r>
        <w:rPr>
          <w:rFonts w:hint="eastAsia" w:ascii="宋体" w:hAnsi="宋体" w:eastAsia="宋体" w:cs="宋体"/>
          <w:color w:val="000000"/>
          <w:sz w:val="24"/>
          <w:szCs w:val="24"/>
        </w:rPr>
        <w:t> </w:t>
      </w:r>
    </w:p>
    <w:p w14:paraId="103C731A">
      <w:pPr>
        <w:pStyle w:val="6"/>
        <w:keepNext w:val="0"/>
        <w:keepLines w:val="0"/>
        <w:pageBreakBefore w:val="0"/>
        <w:numPr>
          <w:ilvl w:val="0"/>
          <w:numId w:val="0"/>
        </w:numPr>
        <w:kinsoku/>
        <w:wordWrap/>
        <w:overflowPunct/>
        <w:topLinePunct w:val="0"/>
        <w:autoSpaceDE/>
        <w:autoSpaceDN/>
        <w:bidi w:val="0"/>
        <w:snapToGrid w:val="0"/>
        <w:spacing w:line="360" w:lineRule="auto"/>
        <w:ind w:left="0" w:firstLine="482" w:firstLineChars="200"/>
        <w:outlineLvl w:val="9"/>
        <w:rPr>
          <w:rFonts w:hint="eastAsia" w:ascii="宋体" w:hAnsi="宋体" w:eastAsia="宋体" w:cs="宋体"/>
          <w:b/>
          <w:bCs/>
          <w:color w:val="auto"/>
          <w:sz w:val="24"/>
          <w:szCs w:val="24"/>
          <w:lang w:val="en-US" w:eastAsia="zh-CN"/>
        </w:rPr>
      </w:pPr>
      <w:bookmarkStart w:id="5" w:name="_Toc23242"/>
      <w:r>
        <w:rPr>
          <w:rFonts w:hint="eastAsia" w:ascii="宋体" w:hAnsi="宋体" w:eastAsia="宋体" w:cs="宋体"/>
          <w:b/>
          <w:bCs/>
          <w:color w:val="auto"/>
          <w:kern w:val="0"/>
          <w:sz w:val="24"/>
          <w:szCs w:val="24"/>
          <w:lang w:val="en-US" w:eastAsia="zh-CN" w:bidi="ar-SA"/>
        </w:rPr>
        <w:t>13.3.</w:t>
      </w:r>
      <w:r>
        <w:rPr>
          <w:rFonts w:hint="eastAsia" w:ascii="宋体" w:hAnsi="宋体" w:eastAsia="宋体" w:cs="宋体"/>
          <w:b/>
          <w:bCs/>
          <w:color w:val="auto"/>
          <w:sz w:val="24"/>
          <w:szCs w:val="24"/>
          <w:lang w:val="en-US" w:eastAsia="zh-CN"/>
        </w:rPr>
        <w:t>售后服务</w:t>
      </w:r>
      <w:bookmarkEnd w:id="5"/>
    </w:p>
    <w:p w14:paraId="677BFE66">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1、乙方须提供设备维修服务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质保期内提供无偿服务，质保期外只收取成本费。</w:t>
      </w:r>
    </w:p>
    <w:p w14:paraId="03A3651D">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rPr>
        <w:t>2、电话支持：乙方提供全天候电话支持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发生故障时乙方在收到甲方通知</w:t>
      </w: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小时内必须给予正式的答复并派维修人员48小时内到达现场。</w:t>
      </w:r>
    </w:p>
    <w:p w14:paraId="2056DBEC">
      <w:pPr>
        <w:pStyle w:val="6"/>
        <w:keepNext w:val="0"/>
        <w:keepLines w:val="0"/>
        <w:pageBreakBefore w:val="0"/>
        <w:numPr>
          <w:ilvl w:val="0"/>
          <w:numId w:val="0"/>
        </w:numPr>
        <w:kinsoku/>
        <w:wordWrap/>
        <w:overflowPunct/>
        <w:topLinePunct w:val="0"/>
        <w:autoSpaceDE/>
        <w:autoSpaceDN/>
        <w:bidi w:val="0"/>
        <w:snapToGrid w:val="0"/>
        <w:spacing w:line="360" w:lineRule="auto"/>
        <w:ind w:left="0" w:firstLine="482" w:firstLineChars="200"/>
        <w:outlineLvl w:val="9"/>
        <w:rPr>
          <w:rFonts w:hint="eastAsia" w:ascii="宋体" w:hAnsi="宋体" w:eastAsia="宋体" w:cs="宋体"/>
          <w:b/>
          <w:bCs/>
          <w:color w:val="auto"/>
          <w:kern w:val="0"/>
          <w:sz w:val="24"/>
          <w:szCs w:val="24"/>
          <w:lang w:val="en-US" w:eastAsia="zh-CN" w:bidi="ar-SA"/>
        </w:rPr>
      </w:pPr>
      <w:bookmarkStart w:id="6" w:name="_Toc31843"/>
      <w:r>
        <w:rPr>
          <w:rFonts w:hint="eastAsia" w:ascii="宋体" w:hAnsi="宋体" w:eastAsia="宋体" w:cs="宋体"/>
          <w:b/>
          <w:bCs/>
          <w:color w:val="auto"/>
          <w:kern w:val="0"/>
          <w:sz w:val="24"/>
          <w:szCs w:val="24"/>
          <w:lang w:val="en-US" w:eastAsia="zh-CN" w:bidi="ar-SA"/>
        </w:rPr>
        <w:t>13.4.培训</w:t>
      </w:r>
      <w:bookmarkEnd w:id="6"/>
    </w:p>
    <w:p w14:paraId="2778D2DE">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乙方应免费为甲方人员提供操作及维护培训，以保证甲方人员能独立、正确地使用和管理本协议所涉及的产品；可以在乙方工厂或项目现场，就所供设备的组装、调试、运行、维修对甲方人员进行培训。</w:t>
      </w:r>
    </w:p>
    <w:p w14:paraId="06E39811">
      <w:pPr>
        <w:shd w:val="clear" w:color="auto" w:fill="auto"/>
        <w:adjustRightInd w:val="0"/>
        <w:spacing w:line="440" w:lineRule="exact"/>
        <w:ind w:firstLine="420"/>
        <w:outlineLvl w:val="9"/>
        <w:rPr>
          <w:rFonts w:hint="default" w:ascii="Times New Roman" w:hAnsi="Times New Roman"/>
          <w:color w:val="auto"/>
          <w:sz w:val="24"/>
          <w:highlight w:val="none"/>
          <w:lang w:val="en-US" w:eastAsia="zh-CN"/>
        </w:rPr>
      </w:pPr>
      <w:r>
        <w:rPr>
          <w:rFonts w:hint="eastAsia"/>
          <w:color w:val="auto"/>
          <w:sz w:val="24"/>
          <w:highlight w:val="none"/>
          <w:lang w:val="en-US" w:eastAsia="zh-CN"/>
        </w:rPr>
        <w:t>14</w:t>
      </w:r>
      <w:bookmarkStart w:id="7" w:name="_GoBack"/>
      <w:bookmarkEnd w:id="7"/>
      <w:r>
        <w:rPr>
          <w:rFonts w:hint="eastAsia"/>
          <w:color w:val="auto"/>
          <w:sz w:val="24"/>
          <w:highlight w:val="none"/>
          <w:lang w:val="en-US" w:eastAsia="zh-CN"/>
        </w:rPr>
        <w:t>.投标人所提供的所有的产品必须为全新，不得有二手零部件。</w:t>
      </w:r>
    </w:p>
    <w:p w14:paraId="312728C2">
      <w:pPr>
        <w:shd w:val="clear" w:color="auto" w:fill="auto"/>
        <w:adjustRightInd w:val="0"/>
        <w:spacing w:line="440" w:lineRule="exact"/>
        <w:ind w:firstLine="420"/>
        <w:outlineLvl w:val="9"/>
        <w:rPr>
          <w:rFonts w:ascii="Times New Roman" w:hAnsi="Times New Roman"/>
          <w:b/>
          <w:bCs/>
          <w:color w:val="auto"/>
          <w:sz w:val="24"/>
          <w:highlight w:val="none"/>
          <w:lang w:eastAsia="zh-CN"/>
        </w:rPr>
      </w:pPr>
      <w:r>
        <w:rPr>
          <w:rFonts w:hint="eastAsia" w:ascii="Times New Roman" w:hAnsi="Times New Roman"/>
          <w:b/>
          <w:bCs/>
          <w:color w:val="auto"/>
          <w:sz w:val="24"/>
          <w:highlight w:val="none"/>
          <w:lang w:eastAsia="zh-CN"/>
        </w:rPr>
        <w:t>三</w:t>
      </w:r>
      <w:r>
        <w:rPr>
          <w:rFonts w:ascii="Times New Roman" w:hAnsi="Times New Roman"/>
          <w:b/>
          <w:bCs/>
          <w:color w:val="auto"/>
          <w:sz w:val="24"/>
          <w:highlight w:val="none"/>
          <w:lang w:eastAsia="zh-CN"/>
        </w:rPr>
        <w:t>、承包人应履行的义务</w:t>
      </w:r>
    </w:p>
    <w:p w14:paraId="59F7409F">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1、投标文件规定的项目管理机构，承包人需在合同签署后3日内组建完成。项目管理人员应常驻施工现场。项目经理必须常驻施工现场履行职责，驻场时间每月不少于22天，每天在岗工作时间不得少于8小时。包括项目经理在内的承包人工程项目管理人员更换，须经发包人书面同意；未经发包人书面同意而更换视为承包人严重违约。发包人认为承包人派驻的项目经理及其他管理人员不称职，有权要求承包人撤换，撤换要求的通知送达承包人之日起7日内，承包人应指派新的符合要求项目经理及其他管理人员。</w:t>
      </w:r>
    </w:p>
    <w:p w14:paraId="17F96A9D">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2、承包人应按投标文件列明的拟投入本工程的施工周转材料、施工机具，承包人按批准后的施工组织设计运抵现场并投入使用。在施工过程中应根据工程施工需要增加相应的施工机械设备及其他临时或永久性物品、设施。如发包人发现承包人不按投标文件的承诺配置资源时，发包人向承包人发出书面通知，在通知到达承包人后三个日历天内，承包人的资源配置必须到位，否则，从通知到达后的第四日起，视为承包人严重违约，同时承包人资源配置每延误一天到位需向发包人支付3000元/天的违约金。</w:t>
      </w:r>
    </w:p>
    <w:p w14:paraId="19D53C27">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3、负责做好施工现场内的安全保卫工作，承担由于自身安全防护措施不当造成的经济损失和责任，与发包人无关。</w:t>
      </w:r>
      <w:r>
        <w:rPr>
          <w:rFonts w:hint="eastAsia" w:ascii="Times New Roman" w:hAnsi="Times New Roman"/>
          <w:color w:val="auto"/>
          <w:sz w:val="24"/>
          <w:highlight w:val="none"/>
          <w:lang w:eastAsia="zh-CN"/>
        </w:rPr>
        <w:t>因施工地点特殊，所有进场人员施工时间必须遵守建设方需求，投标人报价时务必充分考虑可能带来的不利影响，否则一旦中标不得以任何理由提出相关要求。因本项目为涉密项目，投标单位需严格对本项目涉及的图纸及相关技术文件保密，发生泄密情况，将严肃追究法律责任，施工项目部配备班子成员，必须投标企业自有人员。（</w:t>
      </w:r>
      <w:r>
        <w:rPr>
          <w:rFonts w:hint="eastAsia" w:ascii="Times New Roman" w:hAnsi="Times New Roman"/>
          <w:color w:val="auto"/>
          <w:sz w:val="24"/>
          <w:highlight w:val="none"/>
          <w:lang w:val="en-US" w:eastAsia="zh-CN"/>
        </w:rPr>
        <w:t>中标后需</w:t>
      </w:r>
      <w:r>
        <w:rPr>
          <w:rFonts w:hint="eastAsia" w:ascii="Times New Roman" w:hAnsi="Times New Roman"/>
          <w:color w:val="auto"/>
          <w:sz w:val="24"/>
          <w:highlight w:val="none"/>
          <w:lang w:eastAsia="zh-CN"/>
        </w:rPr>
        <w:t>提供2年以上社保证明，同步提供5年保密协议，并承诺5年内项目班子成员不得存在泄密行为）</w:t>
      </w:r>
    </w:p>
    <w:p w14:paraId="08E7BA41">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4、应遵守工程所在地对施工场地市容、环卫、交通、治安、施工噪音、防疫等管理规定和要求，搞好环境卫生和文明施工，其费用由承包人在措施费中考虑，并办理有关手续。</w:t>
      </w:r>
    </w:p>
    <w:p w14:paraId="148927A6">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5、做好施工现场周围地下管线和邻近建筑物、构筑物的保护工作。</w:t>
      </w:r>
    </w:p>
    <w:p w14:paraId="304C0B0F">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6、承包人必须服从工程所在地建设行政管理部门的管理，凡涉及到承包单位的施工备案、车辆准运等有关证、照，均由承包人自行办理，发生的费用全部由承包人承担，包括但不限于外地施工单位进项目所在地施工备案费用、排污管理费、噪声管理费、垃圾管理费、渣土处置费等。</w:t>
      </w:r>
    </w:p>
    <w:p w14:paraId="43AA7480">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7、节假日、工程所在地重大活动期间以及发包人需要的时间段内，可能对施工作出某些限制（如监区内施工）和配合要求，承包人应按照要求作出必要的配合，并承担有可能因此而引起工效降低需增加的费用。</w:t>
      </w:r>
    </w:p>
    <w:p w14:paraId="4F9FEA1A">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8、承包人应将垃圾堆放至指定地点（发包人不负责协调垃圾外运、处置地点），外运费用由承包人承担，如发现垃圾乱放、作业面清理、外运不到位，则由承包人进行清理，所发生的费用由承包人承担。</w:t>
      </w:r>
    </w:p>
    <w:p w14:paraId="23D0D290">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9、在竣工移交前按监理单位书面通知的时间和要求拆除、清运所有临时设施及产生的垃圾，并堆放至指定地点，同时承担相应费用。</w:t>
      </w:r>
    </w:p>
    <w:p w14:paraId="710CBD27">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10、承包人不履行合同规定的各项工作，造成工期延误或经济损失，应承担违约责任，并赔偿损失。</w:t>
      </w:r>
    </w:p>
    <w:p w14:paraId="249937AB">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11、单体工程竣工验收合格后在30天内不按时上报结算资料的，每推迟一天需支付违约金1000元。</w:t>
      </w:r>
    </w:p>
    <w:p w14:paraId="470EC10C">
      <w:pPr>
        <w:shd w:val="clear" w:color="auto" w:fill="auto"/>
        <w:adjustRightInd w:val="0"/>
        <w:spacing w:line="440" w:lineRule="exact"/>
        <w:ind w:firstLine="420"/>
        <w:outlineLvl w:val="9"/>
        <w:rPr>
          <w:rFonts w:hint="eastAsia" w:ascii="Times New Roman" w:hAnsi="Times New Roman"/>
          <w:color w:val="auto"/>
          <w:sz w:val="24"/>
          <w:highlight w:val="none"/>
          <w:lang w:eastAsia="zh-CN"/>
        </w:rPr>
      </w:pPr>
      <w:r>
        <w:rPr>
          <w:rFonts w:ascii="Times New Roman" w:hAnsi="Times New Roman"/>
          <w:color w:val="auto"/>
          <w:sz w:val="24"/>
          <w:highlight w:val="none"/>
          <w:lang w:eastAsia="zh-CN"/>
        </w:rPr>
        <w:t>12、</w:t>
      </w:r>
      <w:r>
        <w:rPr>
          <w:rFonts w:hint="eastAsia" w:ascii="Times New Roman" w:hAnsi="Times New Roman"/>
          <w:color w:val="auto"/>
          <w:sz w:val="24"/>
          <w:highlight w:val="none"/>
          <w:lang w:eastAsia="zh-CN"/>
        </w:rPr>
        <w:t>室外套管预埋工程，线路复杂，工程量大，工期紧，任务重，需充分考虑相关工期保障措施。沟槽开挖、套管预埋工作要与总包室外工程配合施工，交叉作业面多，需充分考虑 与总包方的沟通配合，服从总包、监理及建设单位的统一管理。 项目实施过程中可能涉及土建、安装、装饰、室外、景观、铺装、智能化、雕塑、电梯等各专业施工交叉，中标后要服从总包、监理和建设单位管理，做好统筹协调工作，并做好成品保护。本项目室外套管预埋工程包括沟槽开挖、套管埋设、套管保护、土方回填、工井施工等，线路复杂，工程量大，工期紧，投标人熟悉图纸，自行勘察现场。</w:t>
      </w:r>
    </w:p>
    <w:p w14:paraId="0284150F">
      <w:pPr>
        <w:shd w:val="clear" w:color="auto" w:fill="auto"/>
        <w:adjustRightInd w:val="0"/>
        <w:spacing w:line="440" w:lineRule="exact"/>
        <w:ind w:firstLine="420"/>
        <w:outlineLvl w:val="9"/>
        <w:rPr>
          <w:rFonts w:hint="eastAsia" w:ascii="Times New Roman" w:hAnsi="Times New Roman"/>
          <w:color w:val="auto"/>
          <w:sz w:val="24"/>
          <w:highlight w:val="none"/>
          <w:lang w:eastAsia="zh-CN"/>
        </w:rPr>
      </w:pPr>
      <w:r>
        <w:rPr>
          <w:rFonts w:hint="eastAsia" w:ascii="Times New Roman" w:hAnsi="Times New Roman"/>
          <w:color w:val="auto"/>
          <w:sz w:val="24"/>
          <w:highlight w:val="none"/>
          <w:lang w:val="en-US" w:eastAsia="zh-CN"/>
        </w:rPr>
        <w:t>13</w:t>
      </w:r>
      <w:r>
        <w:rPr>
          <w:rFonts w:hint="eastAsia" w:ascii="Times New Roman" w:hAnsi="Times New Roman"/>
          <w:color w:val="auto"/>
          <w:sz w:val="24"/>
          <w:highlight w:val="none"/>
          <w:lang w:eastAsia="zh-CN"/>
        </w:rPr>
        <w:t>、投标人仔细查看设计文件，配电房内空间紧凑，对电缆沟布置、设备摆放进行优化（优化方案经设计、监理、业主认可），满足供电规范要求，自行考虑优化解决方案，确保设备的安装和验收，费用含在综合报价中，不予调整。</w:t>
      </w:r>
    </w:p>
    <w:p w14:paraId="0CA28A89">
      <w:pPr>
        <w:shd w:val="clear" w:color="auto" w:fill="auto"/>
        <w:adjustRightInd w:val="0"/>
        <w:spacing w:line="440" w:lineRule="exact"/>
        <w:ind w:firstLine="420"/>
        <w:outlineLvl w:val="9"/>
        <w:rPr>
          <w:rFonts w:hint="eastAsia" w:ascii="Times New Roman" w:hAnsi="Times New Roman"/>
          <w:color w:val="auto"/>
          <w:sz w:val="24"/>
          <w:highlight w:val="none"/>
          <w:lang w:eastAsia="zh-CN"/>
        </w:rPr>
      </w:pPr>
      <w:r>
        <w:rPr>
          <w:rFonts w:hint="eastAsia" w:ascii="Times New Roman" w:hAnsi="Times New Roman"/>
          <w:color w:val="auto"/>
          <w:sz w:val="24"/>
          <w:highlight w:val="none"/>
          <w:lang w:val="en-US" w:eastAsia="zh-CN"/>
        </w:rPr>
        <w:t>14</w:t>
      </w:r>
      <w:r>
        <w:rPr>
          <w:rFonts w:hint="eastAsia" w:ascii="Times New Roman" w:hAnsi="Times New Roman"/>
          <w:color w:val="auto"/>
          <w:sz w:val="24"/>
          <w:highlight w:val="none"/>
          <w:lang w:eastAsia="zh-CN"/>
        </w:rPr>
        <w:t>、本项目防水要求高，中标单位慎重考虑对墙体进行穿墙套管作业，该部分施工渗漏隐患较大，中标人必须采用防水材料进行该分部处理，确保一级防水，并针对该部分说明施工方案，该部分费用包含在综合报价内，进场后不得以任何理由提出增加费用。</w:t>
      </w:r>
    </w:p>
    <w:p w14:paraId="0B0EC8EF">
      <w:pPr>
        <w:shd w:val="clear" w:color="auto" w:fill="auto"/>
        <w:adjustRightInd w:val="0"/>
        <w:spacing w:line="440" w:lineRule="exact"/>
        <w:ind w:firstLine="420"/>
        <w:outlineLvl w:val="9"/>
        <w:rPr>
          <w:rFonts w:hint="eastAsia" w:ascii="Times New Roman" w:hAnsi="Times New Roman"/>
          <w:color w:val="auto"/>
          <w:sz w:val="24"/>
          <w:highlight w:val="none"/>
          <w:lang w:eastAsia="zh-CN"/>
        </w:rPr>
      </w:pPr>
      <w:r>
        <w:rPr>
          <w:rFonts w:hint="eastAsia" w:ascii="Times New Roman" w:hAnsi="Times New Roman"/>
          <w:color w:val="auto"/>
          <w:sz w:val="24"/>
          <w:highlight w:val="none"/>
          <w:lang w:val="en-US" w:eastAsia="zh-CN"/>
        </w:rPr>
        <w:t>15</w:t>
      </w:r>
      <w:r>
        <w:rPr>
          <w:rFonts w:hint="eastAsia" w:ascii="Times New Roman" w:hAnsi="Times New Roman"/>
          <w:color w:val="auto"/>
          <w:sz w:val="24"/>
          <w:highlight w:val="none"/>
          <w:lang w:eastAsia="zh-CN"/>
        </w:rPr>
        <w:t>、中标人需确保通过供电部门验收合格。</w:t>
      </w:r>
    </w:p>
    <w:p w14:paraId="35BAF35D">
      <w:pPr>
        <w:shd w:val="clear" w:color="auto" w:fill="auto"/>
        <w:adjustRightInd w:val="0"/>
        <w:spacing w:line="440" w:lineRule="exact"/>
        <w:ind w:firstLine="420"/>
        <w:outlineLvl w:val="9"/>
        <w:rPr>
          <w:rFonts w:ascii="Times New Roman" w:hAnsi="Times New Roman" w:eastAsia="宋体" w:cs="Times New Roman"/>
          <w:color w:val="auto"/>
          <w:sz w:val="24"/>
          <w:highlight w:val="none"/>
          <w:lang w:eastAsia="zh-CN"/>
        </w:rPr>
      </w:pPr>
      <w:r>
        <w:rPr>
          <w:rFonts w:hint="eastAsia" w:ascii="Times New Roman" w:hAnsi="Times New Roman"/>
          <w:color w:val="auto"/>
          <w:sz w:val="24"/>
          <w:highlight w:val="none"/>
          <w:lang w:val="en-US" w:eastAsia="zh-CN"/>
        </w:rPr>
        <w:t>16</w:t>
      </w:r>
      <w:r>
        <w:rPr>
          <w:rFonts w:hint="eastAsia" w:ascii="Times New Roman" w:hAnsi="Times New Roman"/>
          <w:color w:val="auto"/>
          <w:sz w:val="24"/>
          <w:highlight w:val="none"/>
          <w:lang w:eastAsia="zh-CN"/>
        </w:rPr>
        <w:t>、中标人采购的供配电设备需经过招标人委托的检测单位（机构）进行检测，如检测不合格，检测费用及造成的损失由中标人承担，并按照每次1%的中标价进行违约处罚。（累计2次招标人有权单方解除合同。）</w:t>
      </w:r>
    </w:p>
    <w:p w14:paraId="1C153744">
      <w:pPr>
        <w:shd w:val="clear" w:color="auto" w:fill="auto"/>
        <w:adjustRightInd w:val="0"/>
        <w:spacing w:line="440" w:lineRule="exact"/>
        <w:ind w:firstLine="420"/>
        <w:outlineLvl w:val="9"/>
        <w:rPr>
          <w:rFonts w:ascii="Times New Roman" w:hAnsi="Times New Roman"/>
          <w:b/>
          <w:bCs/>
          <w:color w:val="auto"/>
          <w:sz w:val="24"/>
          <w:highlight w:val="none"/>
          <w:lang w:eastAsia="zh-CN"/>
        </w:rPr>
      </w:pPr>
      <w:r>
        <w:rPr>
          <w:rFonts w:hint="eastAsia" w:ascii="Times New Roman" w:hAnsi="Times New Roman"/>
          <w:b/>
          <w:bCs/>
          <w:color w:val="auto"/>
          <w:sz w:val="24"/>
          <w:highlight w:val="none"/>
          <w:lang w:eastAsia="zh-CN"/>
        </w:rPr>
        <w:t>四</w:t>
      </w:r>
      <w:r>
        <w:rPr>
          <w:rFonts w:ascii="Times New Roman" w:hAnsi="Times New Roman"/>
          <w:b/>
          <w:bCs/>
          <w:color w:val="auto"/>
          <w:sz w:val="24"/>
          <w:highlight w:val="none"/>
          <w:lang w:eastAsia="zh-CN"/>
        </w:rPr>
        <w:t>、合同主要条款</w:t>
      </w:r>
    </w:p>
    <w:p w14:paraId="237C2A3E">
      <w:pPr>
        <w:shd w:val="clear" w:color="auto" w:fill="auto"/>
        <w:adjustRightInd w:val="0"/>
        <w:spacing w:line="440" w:lineRule="exact"/>
        <w:ind w:firstLine="420"/>
        <w:outlineLvl w:val="9"/>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1、供电设备货到现场后付至合同总价（扣除暂列金）的40%，安装并调试完成后付至已完工程合同总价（扣除暂列金）的70%，验收完成并送电后移交后付至合同总价（扣除暂列金）的 80%， 结算审核完成后付至审定价款的 97%，其余3%为工程质保金， 待缺陷责任期满后无质量问题且质量回访合格，一次性无息付清。</w:t>
      </w:r>
    </w:p>
    <w:p w14:paraId="03BFB0D1">
      <w:pPr>
        <w:shd w:val="clear" w:color="auto" w:fill="auto"/>
        <w:adjustRightInd w:val="0"/>
        <w:spacing w:line="440" w:lineRule="exact"/>
        <w:ind w:firstLine="420"/>
        <w:outlineLvl w:val="9"/>
        <w:rPr>
          <w:rFonts w:hint="eastAsia" w:ascii="Times New Roman" w:hAnsi="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2、违约责任</w:t>
      </w:r>
      <w:r>
        <w:rPr>
          <w:rFonts w:hint="eastAsia" w:ascii="Times New Roman" w:hAnsi="Times New Roman"/>
          <w:color w:val="auto"/>
          <w:sz w:val="24"/>
          <w:highlight w:val="none"/>
          <w:lang w:eastAsia="zh-CN"/>
        </w:rPr>
        <w:t>：</w:t>
      </w:r>
    </w:p>
    <w:p w14:paraId="18B56F57">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（1）</w:t>
      </w:r>
      <w:r>
        <w:rPr>
          <w:rFonts w:ascii="Times New Roman" w:hAnsi="Times New Roman"/>
          <w:color w:val="auto"/>
          <w:sz w:val="24"/>
          <w:highlight w:val="none"/>
          <w:lang w:eastAsia="zh-CN"/>
        </w:rPr>
        <w:t>项目经理未经批准，擅自离开施工现场的违约责任：</w:t>
      </w:r>
      <w:r>
        <w:rPr>
          <w:rFonts w:hint="eastAsia" w:ascii="Times New Roman" w:hAnsi="Times New Roman"/>
          <w:color w:val="auto"/>
          <w:sz w:val="24"/>
          <w:highlight w:val="none"/>
          <w:lang w:eastAsia="zh-CN"/>
        </w:rPr>
        <w:t>承包人应按每少</w:t>
      </w: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天3</w:t>
      </w:r>
      <w:r>
        <w:rPr>
          <w:rFonts w:ascii="Times New Roman" w:hAnsi="Times New Roman"/>
          <w:color w:val="auto"/>
          <w:sz w:val="24"/>
          <w:highlight w:val="none"/>
          <w:lang w:eastAsia="zh-CN"/>
        </w:rPr>
        <w:t>000</w:t>
      </w:r>
      <w:r>
        <w:rPr>
          <w:rFonts w:hint="eastAsia" w:ascii="Times New Roman" w:hAnsi="Times New Roman"/>
          <w:color w:val="auto"/>
          <w:sz w:val="24"/>
          <w:highlight w:val="none"/>
          <w:lang w:eastAsia="zh-CN"/>
        </w:rPr>
        <w:t>元的标准向发包人支付违约金。每月累计达少于</w:t>
      </w:r>
      <w:r>
        <w:rPr>
          <w:rFonts w:ascii="Times New Roman" w:hAnsi="Times New Roman"/>
          <w:color w:val="auto"/>
          <w:sz w:val="24"/>
          <w:highlight w:val="none"/>
          <w:lang w:eastAsia="zh-CN"/>
        </w:rPr>
        <w:t>4</w:t>
      </w:r>
      <w:r>
        <w:rPr>
          <w:rFonts w:hint="eastAsia" w:ascii="Times New Roman" w:hAnsi="Times New Roman"/>
          <w:color w:val="auto"/>
          <w:sz w:val="24"/>
          <w:highlight w:val="none"/>
          <w:lang w:eastAsia="zh-CN"/>
        </w:rPr>
        <w:t>天以上（含</w:t>
      </w:r>
      <w:r>
        <w:rPr>
          <w:rFonts w:ascii="Times New Roman" w:hAnsi="Times New Roman"/>
          <w:color w:val="auto"/>
          <w:sz w:val="24"/>
          <w:highlight w:val="none"/>
          <w:lang w:eastAsia="zh-CN"/>
        </w:rPr>
        <w:t>4</w:t>
      </w:r>
      <w:r>
        <w:rPr>
          <w:rFonts w:hint="eastAsia" w:ascii="Times New Roman" w:hAnsi="Times New Roman"/>
          <w:color w:val="auto"/>
          <w:sz w:val="24"/>
          <w:highlight w:val="none"/>
          <w:lang w:eastAsia="zh-CN"/>
        </w:rPr>
        <w:t>天）或开工后累计少于</w:t>
      </w:r>
      <w:r>
        <w:rPr>
          <w:rFonts w:ascii="Times New Roman" w:hAnsi="Times New Roman"/>
          <w:color w:val="auto"/>
          <w:sz w:val="24"/>
          <w:highlight w:val="none"/>
          <w:lang w:eastAsia="zh-CN"/>
        </w:rPr>
        <w:t>20</w:t>
      </w:r>
      <w:r>
        <w:rPr>
          <w:rFonts w:hint="eastAsia" w:ascii="Times New Roman" w:hAnsi="Times New Roman"/>
          <w:color w:val="auto"/>
          <w:sz w:val="24"/>
          <w:highlight w:val="none"/>
          <w:lang w:eastAsia="zh-CN"/>
        </w:rPr>
        <w:t>天以上（含</w:t>
      </w:r>
      <w:r>
        <w:rPr>
          <w:rFonts w:ascii="Times New Roman" w:hAnsi="Times New Roman"/>
          <w:color w:val="auto"/>
          <w:sz w:val="24"/>
          <w:highlight w:val="none"/>
          <w:lang w:eastAsia="zh-CN"/>
        </w:rPr>
        <w:t>20</w:t>
      </w:r>
      <w:r>
        <w:rPr>
          <w:rFonts w:hint="eastAsia" w:ascii="Times New Roman" w:hAnsi="Times New Roman"/>
          <w:color w:val="auto"/>
          <w:sz w:val="24"/>
          <w:highlight w:val="none"/>
          <w:lang w:eastAsia="zh-CN"/>
        </w:rPr>
        <w:t>天）的，发包人除按上述标准要求承包人支付违约金外，还可再处以</w:t>
      </w:r>
      <w:r>
        <w:rPr>
          <w:rFonts w:ascii="Times New Roman" w:hAnsi="Times New Roman"/>
          <w:color w:val="auto"/>
          <w:sz w:val="24"/>
          <w:highlight w:val="none"/>
          <w:lang w:eastAsia="zh-CN"/>
        </w:rPr>
        <w:t>5000</w:t>
      </w:r>
      <w:r>
        <w:rPr>
          <w:rFonts w:hint="eastAsia" w:ascii="Times New Roman" w:hAnsi="Times New Roman"/>
          <w:color w:val="auto"/>
          <w:sz w:val="24"/>
          <w:highlight w:val="none"/>
          <w:lang w:eastAsia="zh-CN"/>
        </w:rPr>
        <w:t>0元的违约金或通知承包人解除合同。发包人依据前述理由解除合同的，通知送达承包人后即产生合同解除效力，发包人还将停止支付工程款项，扣留任何未付的工程进度款项补偿发包人的有关损失或工期延误的损失，并就此向承包人索赔</w:t>
      </w:r>
      <w:r>
        <w:rPr>
          <w:rFonts w:ascii="Times New Roman" w:hAnsi="Times New Roman"/>
          <w:color w:val="auto"/>
          <w:sz w:val="24"/>
          <w:highlight w:val="none"/>
          <w:lang w:eastAsia="zh-CN"/>
        </w:rPr>
        <w:t>。</w:t>
      </w:r>
    </w:p>
    <w:p w14:paraId="0881DD9B">
      <w:pPr>
        <w:shd w:val="clear" w:color="auto" w:fill="auto"/>
        <w:adjustRightInd w:val="0"/>
        <w:spacing w:line="440" w:lineRule="exact"/>
        <w:ind w:firstLine="420"/>
        <w:outlineLvl w:val="9"/>
        <w:rPr>
          <w:rFonts w:hint="eastAsia" w:ascii="Times New Roman" w:hAnsi="Times New Roman"/>
          <w:color w:val="auto"/>
          <w:sz w:val="24"/>
          <w:highlight w:val="none"/>
          <w:lang w:val="en-US" w:eastAsia="zh-CN"/>
        </w:rPr>
      </w:pPr>
      <w:r>
        <w:rPr>
          <w:rFonts w:hint="eastAsia" w:ascii="Times New Roman" w:hAnsi="Times New Roman"/>
          <w:color w:val="auto"/>
          <w:sz w:val="24"/>
          <w:highlight w:val="none"/>
          <w:lang w:eastAsia="zh-CN"/>
        </w:rPr>
        <w:t>（2）承包人擅自更换项目经理的违约责任：承包人不得擅自更换投标时所报项目经理，否则发包人有权解除合同，由此造成的损失由承包人自行承担，承包人还应赔偿由此造成发包人的全部损失。因特殊情况确需更换的，须提前14天通知发包人，并征得发包人同意；该行为视为违约，承包人须支付发包人</w:t>
      </w:r>
      <w:r>
        <w:rPr>
          <w:rFonts w:hint="eastAsia" w:ascii="Times New Roman" w:hAnsi="Times New Roman"/>
          <w:color w:val="auto"/>
          <w:sz w:val="24"/>
          <w:highlight w:val="none"/>
          <w:lang w:val="en-US" w:eastAsia="zh-CN"/>
        </w:rPr>
        <w:t>50</w:t>
      </w:r>
      <w:r>
        <w:rPr>
          <w:rFonts w:hint="eastAsia" w:ascii="Times New Roman" w:hAnsi="Times New Roman"/>
          <w:color w:val="auto"/>
          <w:sz w:val="24"/>
          <w:highlight w:val="none"/>
          <w:lang w:eastAsia="zh-CN"/>
        </w:rPr>
        <w:t>万元违约金。更换后的项目经理资历、技术水平不得降低。</w:t>
      </w:r>
      <w:r>
        <w:rPr>
          <w:rFonts w:hint="eastAsia" w:ascii="Times New Roman" w:hAnsi="Times New Roman"/>
          <w:color w:val="auto"/>
          <w:sz w:val="24"/>
          <w:highlight w:val="none"/>
          <w:lang w:val="en-US" w:eastAsia="zh-CN"/>
        </w:rPr>
        <w:t xml:space="preserve"> </w:t>
      </w:r>
    </w:p>
    <w:p w14:paraId="793E8E0D">
      <w:pPr>
        <w:shd w:val="clear" w:color="auto" w:fill="auto"/>
        <w:adjustRightInd w:val="0"/>
        <w:spacing w:line="440" w:lineRule="exact"/>
        <w:ind w:firstLine="420"/>
        <w:outlineLvl w:val="9"/>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 xml:space="preserve">（3）承包人无正当理由拒绝更换项目经理的违约责任：发包人认为承包人派驻的项目经理不称职，有权要求承包人撤换，撤换要求的通知送达承包人之日起 7 日内，承包人应指派新的符合要求项目经理。否则，承包人应向发包人支付违约金人民币 </w:t>
      </w:r>
      <w:r>
        <w:rPr>
          <w:rFonts w:hint="eastAsia" w:ascii="Times New Roman" w:hAnsi="Times New Roman" w:eastAsia="宋体" w:cs="Times New Roman"/>
          <w:color w:val="auto"/>
          <w:sz w:val="24"/>
          <w:highlight w:val="none"/>
          <w:lang w:val="en-US" w:eastAsia="zh-CN"/>
        </w:rPr>
        <w:t>50</w:t>
      </w:r>
      <w:r>
        <w:rPr>
          <w:rFonts w:hint="eastAsia" w:ascii="Times New Roman" w:hAnsi="Times New Roman" w:eastAsia="宋体" w:cs="Times New Roman"/>
          <w:color w:val="auto"/>
          <w:sz w:val="24"/>
          <w:highlight w:val="none"/>
          <w:lang w:eastAsia="zh-CN"/>
        </w:rPr>
        <w:t xml:space="preserve"> 万元/次，逾期超过 10 日未更换项目经理的，发包人有权解除合同，由此造成的全部损失由承包人自行承担。</w:t>
      </w:r>
    </w:p>
    <w:p w14:paraId="63DCC1C0">
      <w:pPr>
        <w:shd w:val="clear" w:color="auto" w:fill="auto"/>
        <w:adjustRightInd w:val="0"/>
        <w:spacing w:line="440" w:lineRule="exact"/>
        <w:outlineLvl w:val="9"/>
        <w:rPr>
          <w:rFonts w:hint="eastAsia" w:ascii="Times New Roman" w:hAnsi="Times New Roman"/>
          <w:color w:val="auto"/>
          <w:sz w:val="24"/>
          <w:highlight w:val="none"/>
          <w:lang w:eastAsia="zh-CN"/>
        </w:rPr>
      </w:pP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4</w:t>
      </w:r>
      <w:r>
        <w:rPr>
          <w:rFonts w:ascii="Times New Roman" w:hAnsi="Times New Roman"/>
          <w:color w:val="auto"/>
          <w:sz w:val="24"/>
          <w:highlight w:val="none"/>
          <w:lang w:eastAsia="zh-CN"/>
        </w:rPr>
        <w:t>）承包人无正当理由拒绝撤换主要施工管理人员的违约责任：</w:t>
      </w:r>
      <w:r>
        <w:rPr>
          <w:rFonts w:hint="eastAsia" w:ascii="Times New Roman" w:hAnsi="Times New Roman"/>
          <w:color w:val="auto"/>
          <w:sz w:val="24"/>
          <w:highlight w:val="none"/>
          <w:lang w:eastAsia="zh-CN"/>
        </w:rPr>
        <w:t>发包人认为承包人派驻主要施工管理人员不称职，有权要求承包人撤换，撤换要求的通知送达承包人之日起</w:t>
      </w:r>
      <w:r>
        <w:rPr>
          <w:rFonts w:ascii="Times New Roman" w:hAnsi="Times New Roman"/>
          <w:color w:val="auto"/>
          <w:sz w:val="24"/>
          <w:highlight w:val="none"/>
          <w:lang w:eastAsia="zh-CN"/>
        </w:rPr>
        <w:t>7</w:t>
      </w:r>
      <w:r>
        <w:rPr>
          <w:rFonts w:hint="eastAsia" w:ascii="Times New Roman" w:hAnsi="Times New Roman"/>
          <w:color w:val="auto"/>
          <w:sz w:val="24"/>
          <w:highlight w:val="none"/>
          <w:lang w:eastAsia="zh-CN"/>
        </w:rPr>
        <w:t>日内，承包人应指派新的符合要求管理人员。否则，承包人每逾期一日更换管理人员应向发包人支付违约金人民币</w:t>
      </w:r>
      <w:r>
        <w:rPr>
          <w:rFonts w:ascii="Times New Roman" w:hAnsi="Times New Roman"/>
          <w:color w:val="auto"/>
          <w:sz w:val="24"/>
          <w:highlight w:val="none"/>
          <w:lang w:eastAsia="zh-CN"/>
        </w:rPr>
        <w:t>2000</w:t>
      </w:r>
      <w:r>
        <w:rPr>
          <w:rFonts w:hint="eastAsia" w:ascii="Times New Roman" w:hAnsi="Times New Roman"/>
          <w:color w:val="auto"/>
          <w:sz w:val="24"/>
          <w:highlight w:val="none"/>
          <w:lang w:eastAsia="zh-CN"/>
        </w:rPr>
        <w:t>元</w:t>
      </w: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天</w:t>
      </w: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人</w:t>
      </w:r>
      <w:r>
        <w:rPr>
          <w:rFonts w:ascii="Times New Roman" w:hAnsi="Times New Roman"/>
          <w:color w:val="auto"/>
          <w:sz w:val="24"/>
          <w:highlight w:val="none"/>
          <w:lang w:eastAsia="zh-CN"/>
        </w:rPr>
        <w:t>。</w:t>
      </w:r>
    </w:p>
    <w:p w14:paraId="2E777011">
      <w:pPr>
        <w:shd w:val="clear" w:color="auto" w:fill="auto"/>
        <w:adjustRightInd w:val="0"/>
        <w:spacing w:line="440" w:lineRule="exact"/>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5</w:t>
      </w:r>
      <w:r>
        <w:rPr>
          <w:rFonts w:ascii="Times New Roman" w:hAnsi="Times New Roman"/>
          <w:color w:val="auto"/>
          <w:sz w:val="24"/>
          <w:highlight w:val="none"/>
          <w:lang w:eastAsia="zh-CN"/>
        </w:rPr>
        <w:t>）承包人擅自更换主要施工管理人员的违约责任：</w:t>
      </w:r>
      <w:r>
        <w:rPr>
          <w:rFonts w:hint="eastAsia" w:ascii="Times New Roman" w:hAnsi="Times New Roman"/>
          <w:color w:val="auto"/>
          <w:sz w:val="24"/>
          <w:highlight w:val="none"/>
          <w:lang w:eastAsia="zh-CN"/>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r>
        <w:rPr>
          <w:rFonts w:ascii="Times New Roman" w:hAnsi="Times New Roman"/>
          <w:color w:val="auto"/>
          <w:sz w:val="24"/>
          <w:highlight w:val="none"/>
          <w:lang w:eastAsia="zh-CN"/>
        </w:rPr>
        <w:t>。</w:t>
      </w:r>
    </w:p>
    <w:p w14:paraId="0A3039BF">
      <w:pPr>
        <w:shd w:val="clear" w:color="auto" w:fill="auto"/>
        <w:adjustRightInd w:val="0"/>
        <w:spacing w:line="440" w:lineRule="exact"/>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6</w:t>
      </w:r>
      <w:r>
        <w:rPr>
          <w:rFonts w:ascii="Times New Roman" w:hAnsi="Times New Roman"/>
          <w:color w:val="auto"/>
          <w:sz w:val="24"/>
          <w:highlight w:val="none"/>
          <w:lang w:eastAsia="zh-CN"/>
        </w:rPr>
        <w:t>）承包人主要施工管理人员擅自离开施工现场的违约责任：</w:t>
      </w:r>
      <w:r>
        <w:rPr>
          <w:rFonts w:hint="eastAsia" w:ascii="Times New Roman" w:hAnsi="Times New Roman"/>
          <w:color w:val="auto"/>
          <w:sz w:val="24"/>
          <w:highlight w:val="none"/>
          <w:lang w:eastAsia="zh-CN"/>
        </w:rPr>
        <w:t>承包人应按每少1天2000元的标准向发包人支付违约金。每月累计达少于4天以上（含4天）或开工后累计少于20天以上（含20天）的，发包人除按上述标准要求承包人支付违约金外，还可再处以20000元的违约金，违约金直接在当期工程进度款中扣除。</w:t>
      </w:r>
    </w:p>
    <w:p w14:paraId="6E08A511">
      <w:pPr>
        <w:shd w:val="clear" w:color="auto" w:fill="auto"/>
        <w:adjustRightInd w:val="0"/>
        <w:spacing w:line="440" w:lineRule="exact"/>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（7）因承包人原因造成工期延误，逾期竣工违约金的计算方法为：因承包人原因延误竣工日期的，每延长一天扣除1000元，逾期竣工达 30 日的，发包人有权解除合同，发包人解除合同的，承包人需支付合同价款 5%的违约金，承包人在接到发包人解除通知后七日内撤场（因承包人未按要求撤场的，发包人对现场公证后有权自行或委托第三方清理施工现场，因此产生的费用及损失由承包人承担），履约保证金/保函不予退还，如履约保证金/保函不足以弥补发包人损失的，不足部分由承包人承担。</w:t>
      </w:r>
    </w:p>
    <w:p w14:paraId="79E9E7AC">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承包人违约</w:t>
      </w:r>
    </w:p>
    <w:p w14:paraId="768C8AA6">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val="en-US" w:eastAsia="zh-CN"/>
        </w:rPr>
        <w:t>3</w:t>
      </w:r>
      <w:r>
        <w:rPr>
          <w:rFonts w:hint="eastAsia" w:ascii="Times New Roman" w:hAnsi="Times New Roman"/>
          <w:color w:val="auto"/>
          <w:sz w:val="24"/>
          <w:highlight w:val="none"/>
          <w:lang w:eastAsia="zh-CN"/>
        </w:rPr>
        <w:t>、</w:t>
      </w:r>
      <w:r>
        <w:rPr>
          <w:rFonts w:ascii="Times New Roman" w:hAnsi="Times New Roman"/>
          <w:color w:val="auto"/>
          <w:sz w:val="24"/>
          <w:highlight w:val="none"/>
          <w:lang w:eastAsia="zh-CN"/>
        </w:rPr>
        <w:t>承包人违约的情形</w:t>
      </w:r>
    </w:p>
    <w:p w14:paraId="0164D419">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1</w:t>
      </w: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工程质量方面的违约</w:t>
      </w:r>
    </w:p>
    <w:p w14:paraId="0FF11E43">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发包人和总监理工程师按照相关的规定和约定抽查承包人的（</w:t>
      </w:r>
      <w:r>
        <w:rPr>
          <w:rFonts w:hint="eastAsia" w:ascii="Times New Roman" w:hAnsi="Times New Roman"/>
          <w:color w:val="auto"/>
          <w:sz w:val="24"/>
          <w:highlight w:val="none"/>
          <w:lang w:val="en-US" w:eastAsia="zh-CN"/>
        </w:rPr>
        <w:t>除设备外）</w:t>
      </w:r>
      <w:r>
        <w:rPr>
          <w:rFonts w:hint="eastAsia" w:ascii="Times New Roman" w:hAnsi="Times New Roman"/>
          <w:color w:val="auto"/>
          <w:sz w:val="24"/>
          <w:highlight w:val="none"/>
          <w:lang w:eastAsia="zh-CN"/>
        </w:rPr>
        <w:t>工程材料时，发现所检查的材料与规定和约定的标准的任何一项不符合时，承包人除必须全部退货、返工，并赔偿由此造成的损失外，承包人应当按照该批次材料的价值，按照如下方式承担违约责任：</w:t>
      </w:r>
    </w:p>
    <w:p w14:paraId="0151991C">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单宗或批次材料价值在5万元以上30万元以下（含30万元），承包人承担</w:t>
      </w: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次一般违约责任。</w:t>
      </w:r>
    </w:p>
    <w:p w14:paraId="60D64EC9">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单宗或批次材料价值30</w:t>
      </w: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8</w:t>
      </w:r>
      <w:r>
        <w:rPr>
          <w:rFonts w:ascii="Times New Roman" w:hAnsi="Times New Roman"/>
          <w:color w:val="auto"/>
          <w:sz w:val="24"/>
          <w:highlight w:val="none"/>
          <w:lang w:eastAsia="zh-CN"/>
        </w:rPr>
        <w:t>0</w:t>
      </w:r>
      <w:r>
        <w:rPr>
          <w:rFonts w:hint="eastAsia" w:ascii="Times New Roman" w:hAnsi="Times New Roman"/>
          <w:color w:val="auto"/>
          <w:sz w:val="24"/>
          <w:highlight w:val="none"/>
          <w:lang w:eastAsia="zh-CN"/>
        </w:rPr>
        <w:t>万元（含8</w:t>
      </w:r>
      <w:r>
        <w:rPr>
          <w:rFonts w:ascii="Times New Roman" w:hAnsi="Times New Roman"/>
          <w:color w:val="auto"/>
          <w:sz w:val="24"/>
          <w:highlight w:val="none"/>
          <w:lang w:eastAsia="zh-CN"/>
        </w:rPr>
        <w:t>0</w:t>
      </w:r>
      <w:r>
        <w:rPr>
          <w:rFonts w:hint="eastAsia" w:ascii="Times New Roman" w:hAnsi="Times New Roman"/>
          <w:color w:val="auto"/>
          <w:sz w:val="24"/>
          <w:highlight w:val="none"/>
          <w:lang w:eastAsia="zh-CN"/>
        </w:rPr>
        <w:t>万元），承包人承担</w:t>
      </w:r>
      <w:r>
        <w:rPr>
          <w:rFonts w:ascii="Times New Roman" w:hAnsi="Times New Roman"/>
          <w:color w:val="auto"/>
          <w:sz w:val="24"/>
          <w:highlight w:val="none"/>
          <w:lang w:eastAsia="zh-CN"/>
        </w:rPr>
        <w:t xml:space="preserve">1 </w:t>
      </w:r>
      <w:r>
        <w:rPr>
          <w:rFonts w:hint="eastAsia" w:ascii="Times New Roman" w:hAnsi="Times New Roman"/>
          <w:color w:val="auto"/>
          <w:sz w:val="24"/>
          <w:highlight w:val="none"/>
          <w:lang w:eastAsia="zh-CN"/>
        </w:rPr>
        <w:t>次严重违约责任。</w:t>
      </w:r>
    </w:p>
    <w:p w14:paraId="76C2D942">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单宗或批次材料价值在8</w:t>
      </w:r>
      <w:r>
        <w:rPr>
          <w:rFonts w:ascii="Times New Roman" w:hAnsi="Times New Roman"/>
          <w:color w:val="auto"/>
          <w:sz w:val="24"/>
          <w:highlight w:val="none"/>
          <w:lang w:eastAsia="zh-CN"/>
        </w:rPr>
        <w:t>0</w:t>
      </w:r>
      <w:r>
        <w:rPr>
          <w:rFonts w:hint="eastAsia" w:ascii="Times New Roman" w:hAnsi="Times New Roman"/>
          <w:color w:val="auto"/>
          <w:sz w:val="24"/>
          <w:highlight w:val="none"/>
          <w:lang w:eastAsia="zh-CN"/>
        </w:rPr>
        <w:t>万元以上的，发包人有权部分解除合同或解除合同，并要求承包人赔偿发包人由此遭受的实际损失。</w:t>
      </w:r>
    </w:p>
    <w:p w14:paraId="52F21702">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对于单宗或批次材料价值不高于5万元的（含5万元），但累计抽检不合格达</w:t>
      </w:r>
      <w:r>
        <w:rPr>
          <w:rFonts w:ascii="Times New Roman" w:hAnsi="Times New Roman"/>
          <w:color w:val="auto"/>
          <w:sz w:val="24"/>
          <w:highlight w:val="none"/>
          <w:lang w:eastAsia="zh-CN"/>
        </w:rPr>
        <w:t>3</w:t>
      </w:r>
      <w:r>
        <w:rPr>
          <w:rFonts w:hint="eastAsia" w:ascii="Times New Roman" w:hAnsi="Times New Roman"/>
          <w:color w:val="auto"/>
          <w:sz w:val="24"/>
          <w:highlight w:val="none"/>
          <w:lang w:eastAsia="zh-CN"/>
        </w:rPr>
        <w:t>次，承包人承担</w:t>
      </w: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次一般违约责任。</w:t>
      </w:r>
    </w:p>
    <w:p w14:paraId="74FBAF25">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2)</w:t>
      </w:r>
      <w:r>
        <w:rPr>
          <w:rFonts w:hint="eastAsia" w:ascii="Times New Roman" w:hAnsi="Times New Roman"/>
          <w:color w:val="auto"/>
          <w:sz w:val="24"/>
          <w:highlight w:val="none"/>
          <w:lang w:eastAsia="zh-CN"/>
        </w:rPr>
        <w:t>对于施工过程中的出现的质量方面的问题以及最终工程质量没有达到约定标准，承包人应按发包人要求修复直至达到竣工验收标准，所产生的费用由承包人承担，同时赔偿发包人的损失。</w:t>
      </w:r>
    </w:p>
    <w:p w14:paraId="109E09A4">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3)</w:t>
      </w:r>
      <w:r>
        <w:rPr>
          <w:rFonts w:hint="eastAsia" w:ascii="Times New Roman" w:hAnsi="Times New Roman"/>
          <w:color w:val="auto"/>
          <w:sz w:val="24"/>
          <w:highlight w:val="none"/>
          <w:lang w:eastAsia="zh-CN"/>
        </w:rPr>
        <w:t>工程保修期内发现重大质量不合格问题（该重大质量问题应界定为达不到要求的质量标准，属质量保修的问题除外），承包人必须在规定的期限返工并达到合同约定的质量等级，并按该不合格项目所处分项工程造价</w:t>
      </w:r>
      <w:r>
        <w:rPr>
          <w:rFonts w:ascii="Times New Roman" w:hAnsi="Times New Roman"/>
          <w:color w:val="auto"/>
          <w:sz w:val="24"/>
          <w:highlight w:val="none"/>
          <w:lang w:eastAsia="zh-CN"/>
        </w:rPr>
        <w:t>5%</w:t>
      </w:r>
      <w:r>
        <w:rPr>
          <w:rFonts w:hint="eastAsia" w:ascii="Times New Roman" w:hAnsi="Times New Roman"/>
          <w:color w:val="auto"/>
          <w:sz w:val="24"/>
          <w:highlight w:val="none"/>
          <w:lang w:eastAsia="zh-CN"/>
        </w:rPr>
        <w:t>计算向发包人承担支付违约金的责任。</w:t>
      </w:r>
    </w:p>
    <w:p w14:paraId="754B9E6E">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（2）安全生产方面的违约</w:t>
      </w:r>
    </w:p>
    <w:p w14:paraId="28072F14">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承包人在政府行政主管部门组织的质量安全检查中，被发现存在严重的安全隐患，被通报批评，或被新闻媒体曝光造成不良影响的，被通报或被曝光</w:t>
      </w:r>
      <w:r>
        <w:rPr>
          <w:rFonts w:ascii="Times New Roman" w:hAnsi="Times New Roman"/>
          <w:color w:val="auto"/>
          <w:sz w:val="24"/>
          <w:highlight w:val="none"/>
          <w:lang w:eastAsia="zh-CN"/>
        </w:rPr>
        <w:t xml:space="preserve">1 </w:t>
      </w:r>
      <w:r>
        <w:rPr>
          <w:rFonts w:hint="eastAsia" w:ascii="Times New Roman" w:hAnsi="Times New Roman"/>
          <w:color w:val="auto"/>
          <w:sz w:val="24"/>
          <w:highlight w:val="none"/>
          <w:lang w:eastAsia="zh-CN"/>
        </w:rPr>
        <w:t>次，承包人必须承担严重违约责任；造成严重社会影响或累计被通报或被曝光</w:t>
      </w:r>
      <w:r>
        <w:rPr>
          <w:rFonts w:ascii="Times New Roman" w:hAnsi="Times New Roman"/>
          <w:color w:val="auto"/>
          <w:sz w:val="24"/>
          <w:highlight w:val="none"/>
          <w:lang w:eastAsia="zh-CN"/>
        </w:rPr>
        <w:t xml:space="preserve">3 </w:t>
      </w:r>
      <w:r>
        <w:rPr>
          <w:rFonts w:hint="eastAsia" w:ascii="Times New Roman" w:hAnsi="Times New Roman"/>
          <w:color w:val="auto"/>
          <w:sz w:val="24"/>
          <w:highlight w:val="none"/>
          <w:lang w:eastAsia="zh-CN"/>
        </w:rPr>
        <w:t>次以上（含本数）的，发包人有权解除合同，将本工程另行发包，并不免除承包人应承担的违约赔偿责任及相关主管部门的处罚。</w:t>
      </w:r>
    </w:p>
    <w:p w14:paraId="3D72A4AF">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 xml:space="preserve">2) </w:t>
      </w:r>
      <w:r>
        <w:rPr>
          <w:rFonts w:hint="eastAsia" w:ascii="Times New Roman" w:hAnsi="Times New Roman"/>
          <w:color w:val="auto"/>
          <w:sz w:val="24"/>
          <w:highlight w:val="none"/>
          <w:lang w:eastAsia="zh-CN"/>
        </w:rPr>
        <w:t>承包人在发包人、总监理工程师进行的日常质量安全检查中，被发现存在安全隐患的，承包人应限期改正。若同样问题被发现</w:t>
      </w:r>
      <w:r>
        <w:rPr>
          <w:rFonts w:ascii="Times New Roman" w:hAnsi="Times New Roman"/>
          <w:color w:val="auto"/>
          <w:sz w:val="24"/>
          <w:highlight w:val="none"/>
          <w:lang w:eastAsia="zh-CN"/>
        </w:rPr>
        <w:t>2</w:t>
      </w:r>
      <w:r>
        <w:rPr>
          <w:rFonts w:hint="eastAsia" w:ascii="Times New Roman" w:hAnsi="Times New Roman"/>
          <w:color w:val="auto"/>
          <w:sz w:val="24"/>
          <w:highlight w:val="none"/>
          <w:lang w:eastAsia="zh-CN"/>
        </w:rPr>
        <w:t>次的或累计类似问题被发现</w:t>
      </w:r>
      <w:r>
        <w:rPr>
          <w:rFonts w:ascii="Times New Roman" w:hAnsi="Times New Roman"/>
          <w:color w:val="auto"/>
          <w:sz w:val="24"/>
          <w:highlight w:val="none"/>
          <w:lang w:eastAsia="zh-CN"/>
        </w:rPr>
        <w:t>3</w:t>
      </w:r>
      <w:r>
        <w:rPr>
          <w:rFonts w:hint="eastAsia" w:ascii="Times New Roman" w:hAnsi="Times New Roman"/>
          <w:color w:val="auto"/>
          <w:sz w:val="24"/>
          <w:highlight w:val="none"/>
          <w:lang w:eastAsia="zh-CN"/>
        </w:rPr>
        <w:t>次，承包人必须承担一般违约责任</w:t>
      </w: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次；此类问题的认定，以发包人、总监理工程师书面通知、指令、通报和会议纪要为准。</w:t>
      </w:r>
    </w:p>
    <w:p w14:paraId="0D9628AA">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 xml:space="preserve">3) </w:t>
      </w:r>
      <w:r>
        <w:rPr>
          <w:rFonts w:hint="eastAsia" w:ascii="Times New Roman" w:hAnsi="Times New Roman"/>
          <w:color w:val="auto"/>
          <w:sz w:val="24"/>
          <w:highlight w:val="none"/>
          <w:lang w:eastAsia="zh-CN"/>
        </w:rPr>
        <w:t>承包人因自身原因造成的重大安全事故（含工程质量事故）的，除按国家规定由行政管部门处罚外，发包人视情况严重性，有权对承包人作出限期改正至严重违约的处罚，并有权部分或全部解除合同。承包人依照约定支付违约金后，所支付的违约金不足以弥补发包人损失的，承包人必须据实赔偿。</w:t>
      </w:r>
    </w:p>
    <w:p w14:paraId="1356275B">
      <w:pPr>
        <w:shd w:val="clear" w:color="auto" w:fill="auto"/>
        <w:adjustRightInd w:val="0"/>
        <w:spacing w:line="440" w:lineRule="exact"/>
        <w:ind w:firstLine="420"/>
        <w:outlineLvl w:val="9"/>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（3）文明施工、环境保护方面的违约</w:t>
      </w:r>
    </w:p>
    <w:p w14:paraId="53130D1C">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发包人、总监理工程师按照相关的要求和投标文件及承诺的约定，对承包人文明施工措施进行对照检查。经检查发现承包人因自身原因未能落实的，承包人必须承担一般违约责任，并限期改正；如不限期改正，承包人须承担严重违约责任。</w:t>
      </w:r>
    </w:p>
    <w:p w14:paraId="2697697F">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 xml:space="preserve">2) </w:t>
      </w:r>
      <w:r>
        <w:rPr>
          <w:rFonts w:hint="eastAsia" w:ascii="Times New Roman" w:hAnsi="Times New Roman"/>
          <w:color w:val="auto"/>
          <w:sz w:val="24"/>
          <w:highlight w:val="none"/>
          <w:lang w:eastAsia="zh-CN"/>
        </w:rPr>
        <w:t>在政府行政主管部门的检查中，承包人的施工场地被评为不合格工地的，或者被通报批评的，或者被新闻媒体曝光的，承包人必须承担严重违约责任，并立即采取切实有效措施予以整改；拒不采取切实有效的措施整改的，或整改效果不明显的，发包人有权部分或全部解除合同，并要求承包人赔偿由此造成的损失。</w:t>
      </w:r>
    </w:p>
    <w:p w14:paraId="5EC7315D">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 xml:space="preserve">3) </w:t>
      </w:r>
      <w:r>
        <w:rPr>
          <w:rFonts w:hint="eastAsia" w:ascii="Times New Roman" w:hAnsi="Times New Roman"/>
          <w:color w:val="auto"/>
          <w:sz w:val="24"/>
          <w:highlight w:val="none"/>
          <w:lang w:eastAsia="zh-CN"/>
        </w:rPr>
        <w:t>承包人在施工过程中因其自身原因造成周围环境卫生状况较差，被其他施工单位或周围居民投诉的，承包人必须在当天内整改。若故意拖延或同样问题被投诉</w:t>
      </w:r>
      <w:r>
        <w:rPr>
          <w:rFonts w:ascii="Times New Roman" w:hAnsi="Times New Roman"/>
          <w:color w:val="auto"/>
          <w:sz w:val="24"/>
          <w:highlight w:val="none"/>
          <w:lang w:eastAsia="zh-CN"/>
        </w:rPr>
        <w:t>2</w:t>
      </w:r>
      <w:r>
        <w:rPr>
          <w:rFonts w:hint="eastAsia" w:ascii="Times New Roman" w:hAnsi="Times New Roman"/>
          <w:color w:val="auto"/>
          <w:sz w:val="24"/>
          <w:highlight w:val="none"/>
          <w:lang w:eastAsia="zh-CN"/>
        </w:rPr>
        <w:t>次，或累计被投诉</w:t>
      </w:r>
      <w:r>
        <w:rPr>
          <w:rFonts w:ascii="Times New Roman" w:hAnsi="Times New Roman"/>
          <w:color w:val="auto"/>
          <w:sz w:val="24"/>
          <w:highlight w:val="none"/>
          <w:lang w:eastAsia="zh-CN"/>
        </w:rPr>
        <w:t>3</w:t>
      </w:r>
      <w:r>
        <w:rPr>
          <w:rFonts w:hint="eastAsia" w:ascii="Times New Roman" w:hAnsi="Times New Roman"/>
          <w:color w:val="auto"/>
          <w:sz w:val="24"/>
          <w:highlight w:val="none"/>
          <w:lang w:eastAsia="zh-CN"/>
        </w:rPr>
        <w:t>次，经查实，承包人必须承担一般违约责任</w:t>
      </w: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次。</w:t>
      </w:r>
    </w:p>
    <w:p w14:paraId="71AF867D">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（4）工程分包、转包方面的违约</w:t>
      </w:r>
    </w:p>
    <w:p w14:paraId="000EC5D6">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承包人擅自分包或者转包工程的，发包人有权单方部分解除合同或全部解除合同，由此而造成的经济损失由承包人负责赔偿。</w:t>
      </w:r>
    </w:p>
    <w:p w14:paraId="53882FA3">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（5）人员和设备投入不到位的违约</w:t>
      </w:r>
    </w:p>
    <w:p w14:paraId="0DEA4F58">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承包人必须服从发包人、监理单位管理，主动支持发包人、监理单位的工作，对发包人、监理单位的指令，若无正当理由而公开或变相拒不执行的，发包人、监理单位视情节严重程度有权给予一般违约及以上的处罚，并承担由此造成的一切经济损失。</w:t>
      </w:r>
    </w:p>
    <w:p w14:paraId="7547F988">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2)</w:t>
      </w:r>
      <w:r>
        <w:rPr>
          <w:rFonts w:hint="eastAsia" w:ascii="Times New Roman" w:hAnsi="Times New Roman"/>
          <w:color w:val="auto"/>
          <w:sz w:val="24"/>
          <w:highlight w:val="none"/>
          <w:lang w:eastAsia="zh-CN"/>
        </w:rPr>
        <w:t>承包人的项目经理及技术负责人必须参加监理单位或发包人主持的工程例会和其他要求的专题会议。除获得监理单位或发包人批准外，每缺席</w:t>
      </w: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次，承包人须承担</w:t>
      </w: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次一般违约责任。</w:t>
      </w:r>
    </w:p>
    <w:p w14:paraId="68D29443">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3)</w:t>
      </w:r>
      <w:r>
        <w:rPr>
          <w:rFonts w:hint="eastAsia" w:ascii="Times New Roman" w:hAnsi="Times New Roman"/>
          <w:color w:val="auto"/>
          <w:sz w:val="24"/>
          <w:highlight w:val="none"/>
          <w:lang w:eastAsia="zh-CN"/>
        </w:rPr>
        <w:t>经考评小组考评，对每次考评不合格的承包人必须按照总监理工程师或者发包人的指令限期改正，并承担一般违约责任。承包人拒不限期改正的，或整改效果不明显的，承包人必须承担严重违约责任。若连续</w:t>
      </w:r>
      <w:r>
        <w:rPr>
          <w:rFonts w:ascii="Times New Roman" w:hAnsi="Times New Roman"/>
          <w:color w:val="auto"/>
          <w:sz w:val="24"/>
          <w:highlight w:val="none"/>
          <w:lang w:eastAsia="zh-CN"/>
        </w:rPr>
        <w:t>2</w:t>
      </w:r>
      <w:r>
        <w:rPr>
          <w:rFonts w:hint="eastAsia" w:ascii="Times New Roman" w:hAnsi="Times New Roman"/>
          <w:color w:val="auto"/>
          <w:sz w:val="24"/>
          <w:highlight w:val="none"/>
          <w:lang w:eastAsia="zh-CN"/>
        </w:rPr>
        <w:t>次或累计</w:t>
      </w:r>
      <w:r>
        <w:rPr>
          <w:rFonts w:ascii="Times New Roman" w:hAnsi="Times New Roman"/>
          <w:color w:val="auto"/>
          <w:sz w:val="24"/>
          <w:highlight w:val="none"/>
          <w:lang w:eastAsia="zh-CN"/>
        </w:rPr>
        <w:t>3</w:t>
      </w:r>
      <w:r>
        <w:rPr>
          <w:rFonts w:hint="eastAsia" w:ascii="Times New Roman" w:hAnsi="Times New Roman"/>
          <w:color w:val="auto"/>
          <w:sz w:val="24"/>
          <w:highlight w:val="none"/>
          <w:lang w:eastAsia="zh-CN"/>
        </w:rPr>
        <w:t>次考评不合格，承包人必须承担严重违约责任，并必须按照总监理工程师或者发包人的指令限期改正。承包人拒不限期改正的，或整改效果不明显的，发包人有权单方部分解除合同或全部解除合同。若连续</w:t>
      </w:r>
      <w:r>
        <w:rPr>
          <w:rFonts w:ascii="Times New Roman" w:hAnsi="Times New Roman"/>
          <w:color w:val="auto"/>
          <w:sz w:val="24"/>
          <w:highlight w:val="none"/>
          <w:lang w:eastAsia="zh-CN"/>
        </w:rPr>
        <w:t>3</w:t>
      </w:r>
      <w:r>
        <w:rPr>
          <w:rFonts w:hint="eastAsia" w:ascii="Times New Roman" w:hAnsi="Times New Roman"/>
          <w:color w:val="auto"/>
          <w:sz w:val="24"/>
          <w:highlight w:val="none"/>
          <w:lang w:eastAsia="zh-CN"/>
        </w:rPr>
        <w:t>次或累计</w:t>
      </w:r>
      <w:r>
        <w:rPr>
          <w:rFonts w:ascii="Times New Roman" w:hAnsi="Times New Roman"/>
          <w:color w:val="auto"/>
          <w:sz w:val="24"/>
          <w:highlight w:val="none"/>
          <w:lang w:eastAsia="zh-CN"/>
        </w:rPr>
        <w:t>4</w:t>
      </w:r>
      <w:r>
        <w:rPr>
          <w:rFonts w:hint="eastAsia" w:ascii="Times New Roman" w:hAnsi="Times New Roman"/>
          <w:color w:val="auto"/>
          <w:sz w:val="24"/>
          <w:highlight w:val="none"/>
          <w:lang w:eastAsia="zh-CN"/>
        </w:rPr>
        <w:t>次考评不合格，发包人有权全部解除合同，承包人必须无条件服从，由此所造成的损失（含另行发包的合同价差）全部由承包人承担，同时，并不免除承包人的违约赔偿责任。</w:t>
      </w:r>
    </w:p>
    <w:p w14:paraId="7FF12C97">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4</w:t>
      </w:r>
      <w:r>
        <w:rPr>
          <w:rFonts w:hint="eastAsia" w:ascii="Times New Roman" w:hAnsi="Times New Roman"/>
          <w:color w:val="auto"/>
          <w:sz w:val="24"/>
          <w:highlight w:val="none"/>
          <w:lang w:eastAsia="zh-CN"/>
        </w:rPr>
        <w:t>）承包人未按照合同约定提供项目经理及主要施工管理人员的考勤记录的，每缺少一次应向发包人支付</w:t>
      </w:r>
      <w:r>
        <w:rPr>
          <w:rFonts w:ascii="Times New Roman" w:hAnsi="Times New Roman"/>
          <w:color w:val="auto"/>
          <w:sz w:val="24"/>
          <w:highlight w:val="none"/>
          <w:lang w:eastAsia="zh-CN"/>
        </w:rPr>
        <w:t>1000</w:t>
      </w:r>
      <w:r>
        <w:rPr>
          <w:rFonts w:hint="eastAsia" w:ascii="Times New Roman" w:hAnsi="Times New Roman"/>
          <w:color w:val="auto"/>
          <w:sz w:val="24"/>
          <w:highlight w:val="none"/>
          <w:lang w:eastAsia="zh-CN"/>
        </w:rPr>
        <w:t>元的违约金。</w:t>
      </w:r>
    </w:p>
    <w:p w14:paraId="474EEBE5">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（6）民工工资支付方面的违约</w:t>
      </w:r>
    </w:p>
    <w:p w14:paraId="2D87C5D8">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承包人违反本合同关于民工工资支付的规定，被民工投诉属实的，承包人必须在</w:t>
      </w:r>
      <w:r>
        <w:rPr>
          <w:rFonts w:ascii="Times New Roman" w:hAnsi="Times New Roman"/>
          <w:color w:val="auto"/>
          <w:sz w:val="24"/>
          <w:highlight w:val="none"/>
          <w:lang w:eastAsia="zh-CN"/>
        </w:rPr>
        <w:t>3</w:t>
      </w:r>
      <w:r>
        <w:rPr>
          <w:rFonts w:hint="eastAsia" w:ascii="Times New Roman" w:hAnsi="Times New Roman"/>
          <w:color w:val="auto"/>
          <w:sz w:val="24"/>
          <w:highlight w:val="none"/>
          <w:lang w:eastAsia="zh-CN"/>
        </w:rPr>
        <w:t>天内予以发放拖欠的款项。若继续拖延被投诉</w:t>
      </w:r>
      <w:r>
        <w:rPr>
          <w:rFonts w:ascii="Times New Roman" w:hAnsi="Times New Roman"/>
          <w:color w:val="auto"/>
          <w:sz w:val="24"/>
          <w:highlight w:val="none"/>
          <w:lang w:eastAsia="zh-CN"/>
        </w:rPr>
        <w:t>2</w:t>
      </w:r>
      <w:r>
        <w:rPr>
          <w:rFonts w:hint="eastAsia" w:ascii="Times New Roman" w:hAnsi="Times New Roman"/>
          <w:color w:val="auto"/>
          <w:sz w:val="24"/>
          <w:highlight w:val="none"/>
          <w:lang w:eastAsia="zh-CN"/>
        </w:rPr>
        <w:t>次及以上，经查实，承包人必须承担一般违约责任</w:t>
      </w: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次。</w:t>
      </w:r>
    </w:p>
    <w:p w14:paraId="20256082">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若仍然不予整改并不发放拖欠的款项，使民工采取停工、集聚围阻发包人办公地点甚至政府办公部门等过激行动的，承包人必须承担严重违约责任，并立即采取切实有效措施予以整改；拒不采取切实有效的措施整改的，或整改效果不明显的，发包人有权部分或全部解除合同，并要求承包人赔偿由此造成的损失。</w:t>
      </w:r>
    </w:p>
    <w:p w14:paraId="5911EEEC">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（7）因承包人原因达不到一次性验收合格的，承包人承担违约责任，按签约合同价的5％支付违约金。</w:t>
      </w:r>
    </w:p>
    <w:p w14:paraId="555FB437">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hint="eastAsia" w:ascii="Times New Roman" w:hAnsi="Times New Roman"/>
          <w:color w:val="auto"/>
          <w:sz w:val="24"/>
          <w:highlight w:val="none"/>
          <w:lang w:eastAsia="zh-CN"/>
        </w:rPr>
        <w:t>（8）承包人承担违约责任形式包括但不限于：</w:t>
      </w:r>
    </w:p>
    <w:p w14:paraId="4C914DBF">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书面警告。承包人未履行或未按时履行或未按质履行义务及监理工程师或发包人（含主管人员）的指示时，监理工程师或发包人有权向承包人发出书面警告，每次书面警告，承包人应当支付违约金人民币</w:t>
      </w:r>
      <w:r>
        <w:rPr>
          <w:rFonts w:ascii="Times New Roman" w:hAnsi="Times New Roman"/>
          <w:color w:val="auto"/>
          <w:sz w:val="24"/>
          <w:highlight w:val="none"/>
          <w:lang w:eastAsia="zh-CN"/>
        </w:rPr>
        <w:t>500</w:t>
      </w:r>
      <w:r>
        <w:rPr>
          <w:rFonts w:hint="eastAsia" w:ascii="Times New Roman" w:hAnsi="Times New Roman"/>
          <w:color w:val="auto"/>
          <w:sz w:val="24"/>
          <w:highlight w:val="none"/>
          <w:lang w:eastAsia="zh-CN"/>
        </w:rPr>
        <w:t>元给发包人。</w:t>
      </w:r>
    </w:p>
    <w:p w14:paraId="658E291E">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2)</w:t>
      </w:r>
      <w:r>
        <w:rPr>
          <w:rFonts w:hint="eastAsia" w:ascii="Times New Roman" w:hAnsi="Times New Roman"/>
          <w:color w:val="auto"/>
          <w:sz w:val="24"/>
          <w:highlight w:val="none"/>
          <w:lang w:eastAsia="zh-CN"/>
        </w:rPr>
        <w:t>限期改正。监理工程师或发包人在日常工作检查中发现承包人有违约行为，有权向承包人发出违约通知，要求承包人必须在监理工程师或发包人限定的时间内履行义务。同时，承包人应当向发包人支付违约金人民币</w:t>
      </w:r>
      <w:r>
        <w:rPr>
          <w:rFonts w:ascii="Times New Roman" w:hAnsi="Times New Roman"/>
          <w:color w:val="auto"/>
          <w:sz w:val="24"/>
          <w:highlight w:val="none"/>
          <w:lang w:eastAsia="zh-CN"/>
        </w:rPr>
        <w:t>1000</w:t>
      </w:r>
      <w:r>
        <w:rPr>
          <w:rFonts w:hint="eastAsia" w:ascii="Times New Roman" w:hAnsi="Times New Roman"/>
          <w:color w:val="auto"/>
          <w:sz w:val="24"/>
          <w:highlight w:val="none"/>
          <w:lang w:eastAsia="zh-CN"/>
        </w:rPr>
        <w:t>元。</w:t>
      </w:r>
    </w:p>
    <w:p w14:paraId="1A884530">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3)</w:t>
      </w:r>
      <w:r>
        <w:rPr>
          <w:rFonts w:hint="eastAsia" w:ascii="Times New Roman" w:hAnsi="Times New Roman"/>
          <w:color w:val="auto"/>
          <w:sz w:val="24"/>
          <w:highlight w:val="none"/>
          <w:lang w:eastAsia="zh-CN"/>
        </w:rPr>
        <w:t>一般违约责任。承包人违反本合同的约定须承担一般违约责任时，必须主动向发包人交纳违约金人民币</w:t>
      </w:r>
      <w:r>
        <w:rPr>
          <w:rFonts w:ascii="Times New Roman" w:hAnsi="Times New Roman"/>
          <w:color w:val="auto"/>
          <w:sz w:val="24"/>
          <w:highlight w:val="none"/>
          <w:lang w:eastAsia="zh-CN"/>
        </w:rPr>
        <w:t>2000</w:t>
      </w:r>
      <w:r>
        <w:rPr>
          <w:rFonts w:hint="eastAsia" w:ascii="Times New Roman" w:hAnsi="Times New Roman"/>
          <w:color w:val="auto"/>
          <w:sz w:val="24"/>
          <w:highlight w:val="none"/>
          <w:lang w:eastAsia="zh-CN"/>
        </w:rPr>
        <w:t>元</w:t>
      </w: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次；若承包人再犯性质相同的违约行为，第</w:t>
      </w:r>
      <w:r>
        <w:rPr>
          <w:rFonts w:ascii="Times New Roman" w:hAnsi="Times New Roman"/>
          <w:color w:val="auto"/>
          <w:sz w:val="24"/>
          <w:highlight w:val="none"/>
          <w:lang w:eastAsia="zh-CN"/>
        </w:rPr>
        <w:t>2</w:t>
      </w:r>
      <w:r>
        <w:rPr>
          <w:rFonts w:hint="eastAsia" w:ascii="Times New Roman" w:hAnsi="Times New Roman"/>
          <w:color w:val="auto"/>
          <w:sz w:val="24"/>
          <w:highlight w:val="none"/>
          <w:lang w:eastAsia="zh-CN"/>
        </w:rPr>
        <w:t>次</w:t>
      </w:r>
      <w:r>
        <w:rPr>
          <w:rFonts w:ascii="Times New Roman" w:hAnsi="Times New Roman"/>
          <w:color w:val="auto"/>
          <w:sz w:val="24"/>
          <w:highlight w:val="none"/>
          <w:lang w:eastAsia="zh-CN"/>
        </w:rPr>
        <w:t>0.5</w:t>
      </w:r>
      <w:r>
        <w:rPr>
          <w:rFonts w:hint="eastAsia" w:ascii="Times New Roman" w:hAnsi="Times New Roman"/>
          <w:color w:val="auto"/>
          <w:sz w:val="24"/>
          <w:highlight w:val="none"/>
          <w:lang w:eastAsia="zh-CN"/>
        </w:rPr>
        <w:t>万元，</w:t>
      </w:r>
      <w:r>
        <w:rPr>
          <w:rFonts w:ascii="Times New Roman" w:hAnsi="Times New Roman"/>
          <w:color w:val="auto"/>
          <w:sz w:val="24"/>
          <w:highlight w:val="none"/>
          <w:lang w:eastAsia="zh-CN"/>
        </w:rPr>
        <w:t>2</w:t>
      </w:r>
      <w:r>
        <w:rPr>
          <w:rFonts w:hint="eastAsia" w:ascii="Times New Roman" w:hAnsi="Times New Roman"/>
          <w:color w:val="auto"/>
          <w:sz w:val="24"/>
          <w:highlight w:val="none"/>
          <w:lang w:eastAsia="zh-CN"/>
        </w:rPr>
        <w:t>次以上（不含本数）</w:t>
      </w: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万元</w:t>
      </w: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次。</w:t>
      </w:r>
    </w:p>
    <w:p w14:paraId="4F084720">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4)</w:t>
      </w:r>
      <w:r>
        <w:rPr>
          <w:rFonts w:hint="eastAsia" w:ascii="Times New Roman" w:hAnsi="Times New Roman"/>
          <w:color w:val="auto"/>
          <w:sz w:val="24"/>
          <w:highlight w:val="none"/>
          <w:lang w:eastAsia="zh-CN"/>
        </w:rPr>
        <w:t>严重违约责任。承包人违反本合同的约定须承担严重违约责任时，必须向发包人交纳违约金人民币</w:t>
      </w:r>
      <w:r>
        <w:rPr>
          <w:rFonts w:ascii="Times New Roman" w:hAnsi="Times New Roman"/>
          <w:color w:val="auto"/>
          <w:sz w:val="24"/>
          <w:highlight w:val="none"/>
          <w:lang w:eastAsia="zh-CN"/>
        </w:rPr>
        <w:t>1</w:t>
      </w:r>
      <w:r>
        <w:rPr>
          <w:rFonts w:hint="eastAsia" w:ascii="Times New Roman" w:hAnsi="Times New Roman"/>
          <w:color w:val="auto"/>
          <w:sz w:val="24"/>
          <w:highlight w:val="none"/>
          <w:lang w:eastAsia="zh-CN"/>
        </w:rPr>
        <w:t>万元</w:t>
      </w:r>
      <w:r>
        <w:rPr>
          <w:rFonts w:ascii="Times New Roman" w:hAnsi="Times New Roman"/>
          <w:color w:val="auto"/>
          <w:sz w:val="24"/>
          <w:highlight w:val="none"/>
          <w:lang w:eastAsia="zh-CN"/>
        </w:rPr>
        <w:t>/</w:t>
      </w:r>
      <w:r>
        <w:rPr>
          <w:rFonts w:hint="eastAsia" w:ascii="Times New Roman" w:hAnsi="Times New Roman"/>
          <w:color w:val="auto"/>
          <w:sz w:val="24"/>
          <w:highlight w:val="none"/>
          <w:lang w:eastAsia="zh-CN"/>
        </w:rPr>
        <w:t>次。</w:t>
      </w:r>
    </w:p>
    <w:p w14:paraId="487AD3FD">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5)</w:t>
      </w:r>
      <w:r>
        <w:rPr>
          <w:rFonts w:hint="eastAsia" w:ascii="Times New Roman" w:hAnsi="Times New Roman"/>
          <w:color w:val="auto"/>
          <w:sz w:val="24"/>
          <w:highlight w:val="none"/>
          <w:lang w:eastAsia="zh-CN"/>
        </w:rPr>
        <w:t>部分解除合同。当承包人违反本合同的约定符合解除部分合同的条件时，发包人有权向承包人发出书面解除部分合同的通知，该通知在送达承包人时部分解除合同即生效。部分解除合同的法律后果依照附件四的相关约定执行。</w:t>
      </w:r>
    </w:p>
    <w:p w14:paraId="2F1BC020">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6)</w:t>
      </w:r>
      <w:r>
        <w:rPr>
          <w:rFonts w:hint="eastAsia" w:ascii="Times New Roman" w:hAnsi="Times New Roman"/>
          <w:color w:val="auto"/>
          <w:sz w:val="24"/>
          <w:highlight w:val="none"/>
          <w:lang w:eastAsia="zh-CN"/>
        </w:rPr>
        <w:t>解除合同。当承包人违反本合同的约定符合解除全部合同的条件时，发包人有权向承包人发出书面解除全部合同的通知，该通知在送达承包人时解除合同即生效。</w:t>
      </w:r>
    </w:p>
    <w:p w14:paraId="65782C03">
      <w:pPr>
        <w:shd w:val="clear" w:color="auto" w:fill="auto"/>
        <w:adjustRightInd w:val="0"/>
        <w:spacing w:line="440" w:lineRule="exact"/>
        <w:ind w:firstLine="420"/>
        <w:outlineLvl w:val="9"/>
        <w:rPr>
          <w:rFonts w:ascii="Times New Roman" w:hAnsi="Times New Roman"/>
          <w:color w:val="auto"/>
          <w:sz w:val="24"/>
          <w:highlight w:val="none"/>
          <w:lang w:eastAsia="zh-CN"/>
        </w:rPr>
      </w:pPr>
      <w:r>
        <w:rPr>
          <w:rFonts w:ascii="Times New Roman" w:hAnsi="Times New Roman"/>
          <w:color w:val="auto"/>
          <w:sz w:val="24"/>
          <w:highlight w:val="none"/>
          <w:lang w:eastAsia="zh-CN"/>
        </w:rPr>
        <w:t>7)</w:t>
      </w:r>
      <w:r>
        <w:rPr>
          <w:rFonts w:hint="eastAsia" w:ascii="Times New Roman" w:hAnsi="Times New Roman"/>
          <w:color w:val="auto"/>
          <w:sz w:val="24"/>
          <w:highlight w:val="none"/>
          <w:lang w:eastAsia="zh-CN"/>
        </w:rPr>
        <w:t>赔偿损失。因承包人原因造成发包人经济损失的，承包人应向发包人赔偿全部损失，包括直接损失和间接损失，但不超过承包方在订立合同时预见或应预见到的因违反合同可能造成的损失。</w:t>
      </w:r>
    </w:p>
    <w:p w14:paraId="7C8CD0DC">
      <w:pPr>
        <w:shd w:val="clear" w:color="auto" w:fill="auto"/>
        <w:adjustRightInd w:val="0"/>
        <w:spacing w:line="440" w:lineRule="exact"/>
        <w:ind w:firstLine="420"/>
        <w:jc w:val="left"/>
        <w:outlineLvl w:val="9"/>
        <w:rPr>
          <w:rFonts w:hint="eastAsia" w:ascii="Times New Roman" w:hAnsi="Times New Roman" w:eastAsia="宋体" w:cs="Times New Roman"/>
          <w:color w:val="auto"/>
          <w:sz w:val="24"/>
          <w:highlight w:val="none"/>
          <w:lang w:eastAsia="zh-CN"/>
        </w:rPr>
      </w:pPr>
      <w:r>
        <w:rPr>
          <w:rFonts w:hint="eastAsia" w:ascii="Times New Roman" w:hAnsi="Times New Roman"/>
          <w:color w:val="auto"/>
          <w:sz w:val="24"/>
          <w:highlight w:val="none"/>
          <w:lang w:eastAsia="zh-CN"/>
        </w:rPr>
        <w:t>8）</w:t>
      </w:r>
      <w:r>
        <w:rPr>
          <w:rFonts w:hint="eastAsia" w:ascii="Times New Roman" w:hAnsi="Times New Roman" w:eastAsia="宋体" w:cs="Times New Roman"/>
          <w:color w:val="auto"/>
          <w:sz w:val="24"/>
          <w:highlight w:val="none"/>
          <w:lang w:eastAsia="zh-CN"/>
        </w:rPr>
        <w:t>三次限期改正责任相当于一次一般违约责任；三次一般违约责任相当于一次严重违约责任。</w:t>
      </w:r>
    </w:p>
    <w:p w14:paraId="0D06608D">
      <w:pPr>
        <w:shd w:val="clear" w:color="auto" w:fill="auto"/>
        <w:adjustRightInd w:val="0"/>
        <w:spacing w:line="440" w:lineRule="exact"/>
        <w:ind w:firstLine="420"/>
        <w:jc w:val="center"/>
        <w:outlineLvl w:val="1"/>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eastAsia="zh-CN"/>
        </w:rPr>
        <w:br w:type="page"/>
      </w:r>
      <w:r>
        <w:rPr>
          <w:rFonts w:hint="eastAsia" w:ascii="Times New Roman" w:hAnsi="Times New Roman" w:eastAsia="宋体" w:cs="Times New Roman"/>
          <w:color w:val="auto"/>
          <w:sz w:val="24"/>
          <w:highlight w:val="none"/>
          <w:lang w:val="en-US" w:eastAsia="zh-CN"/>
        </w:rPr>
        <w:t>附件一工程量清单</w:t>
      </w:r>
    </w:p>
    <w:p w14:paraId="5B602DDA">
      <w:pPr>
        <w:shd w:val="clear" w:color="auto" w:fill="auto"/>
        <w:adjustRightInd w:val="0"/>
        <w:spacing w:line="440" w:lineRule="exact"/>
        <w:ind w:firstLine="420"/>
        <w:jc w:val="center"/>
        <w:outlineLvl w:val="1"/>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br w:type="page"/>
      </w:r>
      <w:r>
        <w:rPr>
          <w:rFonts w:hint="eastAsia" w:ascii="Times New Roman" w:hAnsi="Times New Roman" w:eastAsia="宋体" w:cs="Times New Roman"/>
          <w:color w:val="auto"/>
          <w:sz w:val="24"/>
          <w:highlight w:val="none"/>
          <w:lang w:val="en-US" w:eastAsia="zh-CN"/>
        </w:rPr>
        <w:t>附件二图纸</w:t>
      </w:r>
    </w:p>
    <w:p w14:paraId="6EE067E9">
      <w:pPr>
        <w:shd w:val="clear" w:color="auto" w:fill="auto"/>
        <w:adjustRightInd w:val="0"/>
        <w:spacing w:line="440" w:lineRule="exact"/>
        <w:ind w:firstLine="420"/>
        <w:jc w:val="center"/>
        <w:outlineLvl w:val="1"/>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br w:type="page"/>
      </w:r>
      <w:r>
        <w:rPr>
          <w:rFonts w:hint="eastAsia" w:ascii="Times New Roman" w:hAnsi="Times New Roman" w:eastAsia="宋体" w:cs="Times New Roman"/>
          <w:color w:val="auto"/>
          <w:sz w:val="24"/>
          <w:highlight w:val="none"/>
          <w:lang w:val="en-US" w:eastAsia="zh-CN"/>
        </w:rPr>
        <w:t>附件三主要配电设备、元器件品牌推荐表</w:t>
      </w:r>
    </w:p>
    <w:tbl>
      <w:tblPr>
        <w:tblStyle w:val="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7"/>
        <w:gridCol w:w="1236"/>
        <w:gridCol w:w="1892"/>
        <w:gridCol w:w="1623"/>
        <w:gridCol w:w="3264"/>
      </w:tblGrid>
      <w:tr w14:paraId="62CD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522" w:type="dxa"/>
            <w:gridSpan w:val="5"/>
            <w:tcBorders>
              <w:top w:val="single" w:color="000000" w:sz="8" w:space="0"/>
              <w:left w:val="single" w:color="000000" w:sz="8" w:space="0"/>
              <w:bottom w:val="single" w:color="000000" w:sz="8" w:space="0"/>
              <w:right w:val="single" w:color="000000" w:sz="8" w:space="0"/>
            </w:tcBorders>
            <w:noWrap w:val="0"/>
            <w:vAlign w:val="center"/>
          </w:tcPr>
          <w:p w14:paraId="7D056DAF">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b/>
                <w:bCs/>
                <w:i w:val="0"/>
                <w:iCs w:val="0"/>
                <w:color w:val="auto"/>
                <w:sz w:val="44"/>
                <w:szCs w:val="44"/>
                <w:highlight w:val="none"/>
                <w:u w:val="none"/>
              </w:rPr>
            </w:pPr>
            <w:r>
              <w:rPr>
                <w:rFonts w:hint="eastAsia" w:ascii="宋体" w:hAnsi="宋体" w:eastAsia="宋体" w:cs="宋体"/>
                <w:b/>
                <w:bCs/>
                <w:i w:val="0"/>
                <w:iCs w:val="0"/>
                <w:color w:val="auto"/>
                <w:kern w:val="0"/>
                <w:sz w:val="44"/>
                <w:szCs w:val="44"/>
                <w:highlight w:val="none"/>
                <w:u w:val="none"/>
                <w:lang w:val="en-US" w:eastAsia="zh-CN" w:bidi="ar"/>
              </w:rPr>
              <w:t>主要配电设备、元器件品牌推荐表</w:t>
            </w:r>
          </w:p>
        </w:tc>
      </w:tr>
      <w:tr w14:paraId="2B1E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07" w:type="dxa"/>
            <w:tcBorders>
              <w:top w:val="single" w:color="000000" w:sz="8" w:space="0"/>
              <w:left w:val="single" w:color="000000" w:sz="8" w:space="0"/>
              <w:bottom w:val="single" w:color="000000" w:sz="4" w:space="0"/>
              <w:right w:val="single" w:color="000000" w:sz="4" w:space="0"/>
            </w:tcBorders>
            <w:shd w:val="clear" w:color="auto" w:fill="FFFF00"/>
            <w:noWrap w:val="0"/>
            <w:vAlign w:val="center"/>
          </w:tcPr>
          <w:p w14:paraId="6ECC7FC8">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236" w:type="dxa"/>
            <w:tcBorders>
              <w:top w:val="single" w:color="000000" w:sz="8" w:space="0"/>
              <w:left w:val="single" w:color="000000" w:sz="4" w:space="0"/>
              <w:bottom w:val="single" w:color="000000" w:sz="4" w:space="0"/>
              <w:right w:val="single" w:color="000000" w:sz="4" w:space="0"/>
            </w:tcBorders>
            <w:shd w:val="clear" w:color="auto" w:fill="FFFF00"/>
            <w:noWrap w:val="0"/>
            <w:vAlign w:val="center"/>
          </w:tcPr>
          <w:p w14:paraId="35BFDAB1">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商品/元器件名称</w:t>
            </w:r>
          </w:p>
        </w:tc>
        <w:tc>
          <w:tcPr>
            <w:tcW w:w="1892" w:type="dxa"/>
            <w:tcBorders>
              <w:top w:val="single" w:color="000000" w:sz="8" w:space="0"/>
              <w:left w:val="single" w:color="000000" w:sz="4" w:space="0"/>
              <w:bottom w:val="single" w:color="000000" w:sz="4" w:space="0"/>
              <w:right w:val="single" w:color="000000" w:sz="4" w:space="0"/>
            </w:tcBorders>
            <w:shd w:val="clear" w:color="auto" w:fill="FFFF00"/>
            <w:noWrap w:val="0"/>
            <w:vAlign w:val="center"/>
          </w:tcPr>
          <w:p w14:paraId="47FE1FFC">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厂家或品牌</w:t>
            </w:r>
          </w:p>
        </w:tc>
        <w:tc>
          <w:tcPr>
            <w:tcW w:w="1623" w:type="dxa"/>
            <w:tcBorders>
              <w:top w:val="single" w:color="000000" w:sz="8" w:space="0"/>
              <w:left w:val="single" w:color="000000" w:sz="4" w:space="0"/>
              <w:bottom w:val="single" w:color="000000" w:sz="4" w:space="0"/>
              <w:right w:val="single" w:color="000000" w:sz="4" w:space="0"/>
            </w:tcBorders>
            <w:shd w:val="clear" w:color="auto" w:fill="FFFF00"/>
            <w:noWrap w:val="0"/>
            <w:vAlign w:val="center"/>
          </w:tcPr>
          <w:p w14:paraId="2E437C79">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型号/编号</w:t>
            </w:r>
          </w:p>
        </w:tc>
        <w:tc>
          <w:tcPr>
            <w:tcW w:w="3264" w:type="dxa"/>
            <w:tcBorders>
              <w:top w:val="single" w:color="000000" w:sz="8" w:space="0"/>
              <w:left w:val="single" w:color="000000" w:sz="4" w:space="0"/>
              <w:bottom w:val="single" w:color="000000" w:sz="4" w:space="0"/>
              <w:right w:val="single" w:color="000000" w:sz="8" w:space="0"/>
            </w:tcBorders>
            <w:shd w:val="clear" w:color="auto" w:fill="FFFF00"/>
            <w:noWrap w:val="0"/>
            <w:vAlign w:val="center"/>
          </w:tcPr>
          <w:p w14:paraId="421F12FC">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783E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12E8B4F">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3D969">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固封极柱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真空断路器</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69ED5">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ABB</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69F7A">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VD4-12系列</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AD3FEE8">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进口合资品牌</w:t>
            </w:r>
          </w:p>
        </w:tc>
      </w:tr>
      <w:tr w14:paraId="515F1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6D978491">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6D88F">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1E560">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西门子</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70B2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3AE-12系列</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69769BCE">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进口合资品牌</w:t>
            </w:r>
          </w:p>
        </w:tc>
      </w:tr>
      <w:tr w14:paraId="1CC37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9C59606">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CEB24">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5B9F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施耐德</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25B8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HVX12系列</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1BB8E2C1">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进口合资品牌</w:t>
            </w:r>
          </w:p>
        </w:tc>
      </w:tr>
      <w:tr w14:paraId="63986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109FB6E">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FC24A">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电压/电流互感器</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0CF54">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大连第一互感器有限责任公司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F61E6">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114F843">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国产一线品牌</w:t>
            </w:r>
          </w:p>
        </w:tc>
      </w:tr>
      <w:tr w14:paraId="393E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15EE793">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70C3B">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36F0A">
            <w:pPr>
              <w:keepNext w:val="0"/>
              <w:keepLines w:val="0"/>
              <w:widowControl/>
              <w:suppressLineNumbers w:val="0"/>
              <w:shd w:val="clear" w:color="auto" w:fill="auto"/>
              <w:snapToGrid w:val="0"/>
              <w:ind w:left="0" w:leftChars="0" w:right="0" w:rightChars="0" w:firstLine="0" w:firstLineChars="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大连第二互感器有限公司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2F617">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4C63045">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国产一线品牌</w:t>
            </w:r>
          </w:p>
        </w:tc>
      </w:tr>
      <w:tr w14:paraId="36711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50FDAE60">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37935">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60728">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大连北方互感器集团有限公司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94C6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B8EA467">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国产一线品牌</w:t>
            </w:r>
          </w:p>
        </w:tc>
      </w:tr>
      <w:tr w14:paraId="070B5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1DF644FE">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500D8">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微机保护装置及后台监控系统</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67332">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南京南瑞继保工程技术有限公司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74ED7">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PCS-9600系列</w:t>
            </w:r>
          </w:p>
        </w:tc>
        <w:tc>
          <w:tcPr>
            <w:tcW w:w="3264" w:type="dxa"/>
            <w:vMerge w:val="restart"/>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0754D1DD">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国产一线品牌，后台监控系统及微机保护要求厂家保持一致，全部接入后台电能质量、电量系统，便于统一管理</w:t>
            </w:r>
          </w:p>
        </w:tc>
      </w:tr>
      <w:tr w14:paraId="0B17B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3C7EDB9">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F7CE5">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BD35E">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许继电气股份有限公司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DD5BF">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XZH-820系列</w:t>
            </w:r>
          </w:p>
        </w:tc>
        <w:tc>
          <w:tcPr>
            <w:tcW w:w="3264" w:type="dxa"/>
            <w:vMerge w:val="continue"/>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326E622E">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4021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A89EF1D">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C2DA2">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D96B1">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国电南京自动化股份有限公司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9BF82">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PS-640U系列系列</w:t>
            </w:r>
          </w:p>
        </w:tc>
        <w:tc>
          <w:tcPr>
            <w:tcW w:w="3264" w:type="dxa"/>
            <w:vMerge w:val="continue"/>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390AD470">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2532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773EEDD">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C548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电流表、电压表、多功能仪表</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658D3">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珠海优特</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90B42">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UT-800</w:t>
            </w:r>
          </w:p>
        </w:tc>
        <w:tc>
          <w:tcPr>
            <w:tcW w:w="3264" w:type="dxa"/>
            <w:vMerge w:val="restart"/>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7ED3096">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国产一线品牌，保护仪表要求：全部接入后台电能质量、电量系统，便于统一管理</w:t>
            </w:r>
          </w:p>
        </w:tc>
      </w:tr>
      <w:tr w14:paraId="26F7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7276FE8">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F13F7">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8EBE2">
            <w:pPr>
              <w:keepNext w:val="0"/>
              <w:keepLines w:val="0"/>
              <w:widowControl/>
              <w:suppressLineNumbers w:val="0"/>
              <w:shd w:val="clear" w:color="auto" w:fill="auto"/>
              <w:snapToGrid w:val="0"/>
              <w:ind w:left="0" w:leftChars="0" w:right="0" w:rightChars="0" w:firstLine="0" w:firstLineChars="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深圳中电</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833A7">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EM600 plus</w:t>
            </w:r>
          </w:p>
        </w:tc>
        <w:tc>
          <w:tcPr>
            <w:tcW w:w="3264" w:type="dxa"/>
            <w:vMerge w:val="continue"/>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22BD9E8">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65ED7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4154FCC">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2E5B0">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A32F6">
            <w:pPr>
              <w:keepNext w:val="0"/>
              <w:keepLines w:val="0"/>
              <w:widowControl/>
              <w:suppressLineNumbers w:val="0"/>
              <w:shd w:val="clear" w:color="auto" w:fill="auto"/>
              <w:snapToGrid w:val="0"/>
              <w:ind w:left="0" w:leftChars="0" w:right="0" w:rightChars="0" w:firstLine="0" w:firstLineChars="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江苏斯菲尔</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878D0">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HJD2000E系列</w:t>
            </w:r>
          </w:p>
        </w:tc>
        <w:tc>
          <w:tcPr>
            <w:tcW w:w="3264" w:type="dxa"/>
            <w:vMerge w:val="continue"/>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169BD98C">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55B7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7A980BB7">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5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54E4F">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直流屏、交流屏</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B12C4">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许继电气股份有限公司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00477">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  德国阳光</w:t>
            </w:r>
          </w:p>
        </w:tc>
        <w:tc>
          <w:tcPr>
            <w:tcW w:w="3264" w:type="dxa"/>
            <w:vMerge w:val="restart"/>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09D4197">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国产一线品牌，后台监控系统要求：保护仪表要求全部接入 后台电能质量、电量系统，便于统一管理，电池要求为德国阳光</w:t>
            </w:r>
          </w:p>
        </w:tc>
      </w:tr>
      <w:tr w14:paraId="71963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14C9CC6">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A4CF6">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63339">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正大工控科技有限公司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CD2D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  德国阳光</w:t>
            </w:r>
          </w:p>
        </w:tc>
        <w:tc>
          <w:tcPr>
            <w:tcW w:w="3264" w:type="dxa"/>
            <w:vMerge w:val="continue"/>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322D20A3">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30D2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5873A652">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51BC9">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56854">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国电南京自动化股份有限公司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8DCF2">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64" w:type="dxa"/>
            <w:vMerge w:val="continue"/>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3741DF2E">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3D9F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1A463D0B">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CD5FD">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框架断路器</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D1D79">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ABB</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D42CD">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71AAF09">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进口合资品牌</w:t>
            </w:r>
          </w:p>
        </w:tc>
      </w:tr>
      <w:tr w14:paraId="2385D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6170FA65">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F3DEA">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BE2C4">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西门子</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E153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81C2702">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进口合资品牌</w:t>
            </w:r>
          </w:p>
        </w:tc>
      </w:tr>
      <w:tr w14:paraId="7866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7BD838E2">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27EAA">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89A5F">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施耐德</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C205F">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9AA717D">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进口合资品牌</w:t>
            </w:r>
          </w:p>
        </w:tc>
      </w:tr>
      <w:tr w14:paraId="090F6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E871CBE">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7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002FD">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塑壳断路器</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DE33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ABB</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CD329">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129CD68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进口合资品牌</w:t>
            </w:r>
          </w:p>
        </w:tc>
      </w:tr>
      <w:tr w14:paraId="24771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15C30857">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2E162">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9B587">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西门子</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9CFAE">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BF55806">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进口合资品牌</w:t>
            </w:r>
          </w:p>
        </w:tc>
      </w:tr>
      <w:tr w14:paraId="4075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385003D9">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FD4BF">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89EE0">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施耐德</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2215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A2D273D">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进口合资品牌</w:t>
            </w:r>
          </w:p>
        </w:tc>
      </w:tr>
      <w:tr w14:paraId="41A4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534428AA">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AD2A5">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电容器</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CAD21">
            <w:pPr>
              <w:keepNext w:val="0"/>
              <w:keepLines w:val="0"/>
              <w:widowControl/>
              <w:suppressLineNumbers w:val="0"/>
              <w:shd w:val="clear" w:color="auto" w:fill="auto"/>
              <w:snapToGrid w:val="0"/>
              <w:ind w:left="0" w:leftChars="0" w:right="0" w:rightChars="0" w:firstLine="0" w:firstLineChars="0"/>
              <w:jc w:val="left"/>
              <w:textAlignment w:val="center"/>
              <w:rPr>
                <w:rFonts w:hint="default"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德国拉塞</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7D39B">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264C78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kern w:val="0"/>
                <w:sz w:val="24"/>
                <w:szCs w:val="24"/>
                <w:lang w:val="en-US" w:eastAsia="zh-CN" w:bidi="ar"/>
              </w:rPr>
              <w:t>进口合资品牌</w:t>
            </w:r>
          </w:p>
        </w:tc>
      </w:tr>
      <w:tr w14:paraId="4C8A4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89106BE">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BB38D">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B0199">
            <w:pPr>
              <w:keepNext w:val="0"/>
              <w:keepLines w:val="0"/>
              <w:widowControl/>
              <w:suppressLineNumbers w:val="0"/>
              <w:shd w:val="clear" w:color="auto" w:fill="auto"/>
              <w:snapToGrid w:val="0"/>
              <w:ind w:left="0" w:leftChars="0" w:right="0" w:rightChars="0" w:firstLine="0" w:firstLineChars="0"/>
              <w:jc w:val="left"/>
              <w:textAlignment w:val="center"/>
              <w:rPr>
                <w:rFonts w:hint="default"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意大利督凯提</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835F5">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2E3F14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kern w:val="0"/>
                <w:sz w:val="24"/>
                <w:szCs w:val="24"/>
                <w:lang w:val="en-US" w:eastAsia="zh-CN" w:bidi="ar"/>
              </w:rPr>
              <w:t>进口合资品牌</w:t>
            </w:r>
          </w:p>
        </w:tc>
      </w:tr>
      <w:tr w14:paraId="796C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A29FD66">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94239">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51D2D">
            <w:pPr>
              <w:keepNext w:val="0"/>
              <w:keepLines w:val="0"/>
              <w:widowControl/>
              <w:suppressLineNumbers w:val="0"/>
              <w:shd w:val="clear" w:color="auto" w:fill="auto"/>
              <w:snapToGrid w:val="0"/>
              <w:ind w:left="0" w:leftChars="0" w:right="0" w:rightChars="0" w:firstLine="0" w:firstLineChars="0"/>
              <w:jc w:val="left"/>
              <w:textAlignment w:val="center"/>
              <w:rPr>
                <w:rFonts w:hint="default"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芬兰诺基亚</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C5BCA">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7636A1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kern w:val="0"/>
                <w:sz w:val="24"/>
                <w:szCs w:val="24"/>
                <w:lang w:val="en-US" w:eastAsia="zh-CN" w:bidi="ar"/>
              </w:rPr>
              <w:t>进口合资品牌</w:t>
            </w:r>
          </w:p>
        </w:tc>
      </w:tr>
      <w:tr w14:paraId="439C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nil"/>
              <w:left w:val="single" w:color="000000" w:sz="8" w:space="0"/>
              <w:bottom w:val="nil"/>
              <w:right w:val="single" w:color="000000" w:sz="4" w:space="0"/>
            </w:tcBorders>
            <w:shd w:val="clear" w:color="auto" w:fill="auto"/>
            <w:noWrap w:val="0"/>
            <w:vAlign w:val="center"/>
          </w:tcPr>
          <w:p w14:paraId="23EDC2F5">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restart"/>
            <w:tcBorders>
              <w:top w:val="nil"/>
              <w:left w:val="single" w:color="000000" w:sz="4" w:space="0"/>
              <w:bottom w:val="nil"/>
              <w:right w:val="single" w:color="000000" w:sz="4" w:space="0"/>
            </w:tcBorders>
            <w:shd w:val="clear" w:color="auto" w:fill="auto"/>
            <w:noWrap w:val="0"/>
            <w:vAlign w:val="center"/>
          </w:tcPr>
          <w:p w14:paraId="626E501B">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智能监控系统</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E4ADB">
            <w:pPr>
              <w:keepNext w:val="0"/>
              <w:keepLines w:val="0"/>
              <w:widowControl/>
              <w:suppressLineNumbers w:val="0"/>
              <w:shd w:val="clear" w:color="auto" w:fill="auto"/>
              <w:snapToGrid w:val="0"/>
              <w:ind w:left="0" w:leftChars="0" w:right="0" w:rightChars="0" w:firstLine="0" w:firstLineChars="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shd w:val="clear" w:color="auto" w:fill="auto"/>
                <w:lang w:val="en-US" w:eastAsia="zh-CN" w:bidi="ar"/>
              </w:rPr>
              <w:t xml:space="preserve">上海罗湖斯自动化技术有限公司  </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54878">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88692AD">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5A4A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nil"/>
              <w:left w:val="single" w:color="000000" w:sz="8" w:space="0"/>
              <w:bottom w:val="nil"/>
              <w:right w:val="single" w:color="000000" w:sz="4" w:space="0"/>
            </w:tcBorders>
            <w:shd w:val="clear" w:color="auto" w:fill="auto"/>
            <w:noWrap w:val="0"/>
            <w:vAlign w:val="center"/>
          </w:tcPr>
          <w:p w14:paraId="530F2EB7">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nil"/>
              <w:left w:val="single" w:color="000000" w:sz="4" w:space="0"/>
              <w:bottom w:val="nil"/>
              <w:right w:val="single" w:color="000000" w:sz="4" w:space="0"/>
            </w:tcBorders>
            <w:shd w:val="clear" w:color="auto" w:fill="auto"/>
            <w:noWrap w:val="0"/>
            <w:vAlign w:val="center"/>
          </w:tcPr>
          <w:p w14:paraId="6D9331C9">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5630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合肥一祥电气技术有限公司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40195">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32076912">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 品牌</w:t>
            </w:r>
          </w:p>
        </w:tc>
      </w:tr>
      <w:tr w14:paraId="511E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nil"/>
              <w:left w:val="single" w:color="000000" w:sz="8" w:space="0"/>
              <w:bottom w:val="nil"/>
              <w:right w:val="single" w:color="000000" w:sz="4" w:space="0"/>
            </w:tcBorders>
            <w:shd w:val="clear" w:color="auto" w:fill="auto"/>
            <w:noWrap w:val="0"/>
            <w:vAlign w:val="center"/>
          </w:tcPr>
          <w:p w14:paraId="1974B2BB">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nil"/>
              <w:left w:val="single" w:color="000000" w:sz="4" w:space="0"/>
              <w:bottom w:val="nil"/>
              <w:right w:val="single" w:color="000000" w:sz="4" w:space="0"/>
            </w:tcBorders>
            <w:shd w:val="clear" w:color="auto" w:fill="auto"/>
            <w:noWrap w:val="0"/>
            <w:vAlign w:val="center"/>
          </w:tcPr>
          <w:p w14:paraId="14649139">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03CDA">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国电南京自动化股份有限公司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1E29A">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698154D4">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618B0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F0F516F">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E3CDA">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电力变压器</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FD129">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顺特电气设备有限公司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C406E">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一级能耗，满足图纸清单要求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2E45171E">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0D30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54AA961">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A0D0D">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66B35">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特变电工股份有限公司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CD9D1">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一级能耗，满足图纸清单要求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F10196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3566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1100AEA9">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631C1">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B3E71">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许继变压器有限公司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92EA4">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一级能耗，满足图纸清单要求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E590907">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7052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668B59D">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10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914ED">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高低压成套设备</w:t>
            </w:r>
          </w:p>
        </w:tc>
        <w:tc>
          <w:tcPr>
            <w:tcW w:w="1892" w:type="dxa"/>
            <w:vMerge w:val="restart"/>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28EB780B">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进口合资品牌授权柜（ABB、西门子、施耐德）</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B5EE6">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6CE3D064">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0052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5AAADAFB">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00022">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vMerge w:val="continue"/>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7A458CB0">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E09B9">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CFD537B">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5F58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714B4E4F">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0437F">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vMerge w:val="continue"/>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7CC9E1F9">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1D1BD">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DC6F3A7">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413E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6A3D7C60">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987EA">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vMerge w:val="continue"/>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4D8869BC">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623" w:type="dxa"/>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33523BB4">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8" w:space="0"/>
              <w:right w:val="single" w:color="000000" w:sz="8" w:space="0"/>
            </w:tcBorders>
            <w:shd w:val="clear" w:color="auto" w:fill="auto"/>
            <w:noWrap w:val="0"/>
            <w:vAlign w:val="center"/>
          </w:tcPr>
          <w:p w14:paraId="2D7EB1BF">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40008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3BA9EA5">
            <w:pPr>
              <w:keepNext w:val="0"/>
              <w:keepLines w:val="0"/>
              <w:widowControl/>
              <w:suppressLineNumbers w:val="0"/>
              <w:shd w:val="clear" w:color="auto" w:fill="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11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D07E9">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柴油发电机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6EBAB">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玉柴</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AC079">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12BF47D9">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24E3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D8427E5">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DADA4">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C7EF0">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上柴</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EDA8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84EC252">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7C03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2172134">
            <w:pPr>
              <w:shd w:val="clear" w:color="auto" w:fill="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4A45C">
            <w:pPr>
              <w:shd w:val="clear" w:color="auto" w:fill="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77674">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潍柴</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B4585">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1C249A1C">
            <w:pPr>
              <w:keepNext w:val="0"/>
              <w:keepLines w:val="0"/>
              <w:widowControl/>
              <w:suppressLineNumbers w:val="0"/>
              <w:shd w:val="clear" w:color="auto" w:fill="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7A12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nil"/>
              <w:right w:val="single" w:color="000000" w:sz="4" w:space="0"/>
            </w:tcBorders>
            <w:shd w:val="clear" w:color="auto" w:fill="auto"/>
            <w:noWrap w:val="0"/>
            <w:vAlign w:val="center"/>
          </w:tcPr>
          <w:p w14:paraId="08174DA0">
            <w:pPr>
              <w:keepNext w:val="0"/>
              <w:keepLines w:val="0"/>
              <w:widowControl/>
              <w:suppressLineNumbers w:val="0"/>
              <w:shd w:val="clear" w:color="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12 </w:t>
            </w:r>
          </w:p>
        </w:tc>
        <w:tc>
          <w:tcPr>
            <w:tcW w:w="1236" w:type="dxa"/>
            <w:vMerge w:val="restart"/>
            <w:tcBorders>
              <w:top w:val="single" w:color="000000" w:sz="4" w:space="0"/>
              <w:left w:val="single" w:color="000000" w:sz="4" w:space="0"/>
              <w:bottom w:val="nil"/>
              <w:right w:val="single" w:color="000000" w:sz="4" w:space="0"/>
            </w:tcBorders>
            <w:shd w:val="clear" w:color="auto" w:fill="auto"/>
            <w:noWrap w:val="0"/>
            <w:vAlign w:val="center"/>
          </w:tcPr>
          <w:p w14:paraId="1E52C70F">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充电桩</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8F37A">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特来电</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61A3E">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07E971A7">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52EA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nil"/>
              <w:right w:val="single" w:color="000000" w:sz="4" w:space="0"/>
            </w:tcBorders>
            <w:shd w:val="clear" w:color="auto" w:fill="auto"/>
            <w:noWrap w:val="0"/>
            <w:vAlign w:val="center"/>
          </w:tcPr>
          <w:p w14:paraId="6F72F18B">
            <w:pPr>
              <w:shd w:val="clear" w:color="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6B33EED7">
            <w:pPr>
              <w:shd w:val="clear" w:color="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77F42">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星星</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3A232">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9536402">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47C81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nil"/>
              <w:right w:val="single" w:color="000000" w:sz="4" w:space="0"/>
            </w:tcBorders>
            <w:shd w:val="clear" w:color="auto" w:fill="auto"/>
            <w:noWrap w:val="0"/>
            <w:vAlign w:val="center"/>
          </w:tcPr>
          <w:p w14:paraId="175B4CEF">
            <w:pPr>
              <w:shd w:val="clear" w:color="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2927372E">
            <w:pPr>
              <w:shd w:val="clear" w:color="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C69A9">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CF91D">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040D4A17">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57A7D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125843C">
            <w:pPr>
              <w:keepNext w:val="0"/>
              <w:keepLines w:val="0"/>
              <w:widowControl/>
              <w:suppressLineNumbers w:val="0"/>
              <w:shd w:val="clear" w:color="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13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DFD8A">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空调、除湿机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2114">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格力</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A144C">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193A30BD">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66EC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5E76D82">
            <w:pPr>
              <w:shd w:val="clear" w:color="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05B8D">
            <w:pPr>
              <w:shd w:val="clear" w:color="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EEA4B">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海尔</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11443">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C314259">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778C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D1D9E13">
            <w:pPr>
              <w:shd w:val="clear" w:color="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96E86">
            <w:pPr>
              <w:shd w:val="clear" w:color="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7AB0E78D">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美的</w:t>
            </w:r>
          </w:p>
        </w:tc>
        <w:tc>
          <w:tcPr>
            <w:tcW w:w="1623" w:type="dxa"/>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6ABBC968">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8" w:space="0"/>
              <w:right w:val="single" w:color="000000" w:sz="8" w:space="0"/>
            </w:tcBorders>
            <w:shd w:val="clear" w:color="auto" w:fill="auto"/>
            <w:noWrap w:val="0"/>
            <w:vAlign w:val="center"/>
          </w:tcPr>
          <w:p w14:paraId="198E2643">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36E7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7727A27">
            <w:pPr>
              <w:keepNext w:val="0"/>
              <w:keepLines w:val="0"/>
              <w:widowControl/>
              <w:suppressLineNumbers w:val="0"/>
              <w:shd w:val="clear" w:color="auto"/>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14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ED2CC">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电线、电缆</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738BF">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远东（远东控股集团有限公司）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6A64B">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13ABA664">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7D8E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1574C37C">
            <w:pPr>
              <w:shd w:val="clear" w:color="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EC702">
            <w:pPr>
              <w:shd w:val="clear" w:color="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AD82E">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宝胜（宝胜科技创新股份有限公司）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405C3">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1C5F9AE7">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7865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2BCE9D3">
            <w:pPr>
              <w:shd w:val="clear" w:color="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B222C">
            <w:pPr>
              <w:shd w:val="clear" w:color="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nil"/>
              <w:right w:val="single" w:color="000000" w:sz="4" w:space="0"/>
            </w:tcBorders>
            <w:shd w:val="clear" w:color="auto" w:fill="auto"/>
            <w:noWrap w:val="0"/>
            <w:vAlign w:val="center"/>
          </w:tcPr>
          <w:p w14:paraId="4F7E7140">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江苏上上（江苏上上电缆集团有限公司）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DF46D">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B3CEB62">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3CD2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ED3AEA0">
            <w:pPr>
              <w:shd w:val="clear" w:color="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27BE4">
            <w:pPr>
              <w:shd w:val="clear" w:color="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nil"/>
              <w:right w:val="single" w:color="000000" w:sz="4" w:space="0"/>
            </w:tcBorders>
            <w:shd w:val="clear" w:color="auto" w:fill="auto"/>
            <w:noWrap w:val="0"/>
            <w:vAlign w:val="center"/>
          </w:tcPr>
          <w:p w14:paraId="3FF319EA">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无锡江南（无锡江南电缆有限公司）</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5A20E">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46BB9E8">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r w14:paraId="5DED6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1B66A15">
            <w:pPr>
              <w:shd w:val="clear" w:color="auto"/>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C9B25">
            <w:pPr>
              <w:shd w:val="clear" w:color="auto"/>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1892" w:type="dxa"/>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40D0614F">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起帆（上海起帆电缆股份有限公司）</w:t>
            </w:r>
          </w:p>
        </w:tc>
        <w:tc>
          <w:tcPr>
            <w:tcW w:w="1623" w:type="dxa"/>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63E4D744">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满足图纸清单要求</w:t>
            </w:r>
          </w:p>
        </w:tc>
        <w:tc>
          <w:tcPr>
            <w:tcW w:w="3264" w:type="dxa"/>
            <w:tcBorders>
              <w:top w:val="single" w:color="000000" w:sz="4" w:space="0"/>
              <w:left w:val="single" w:color="000000" w:sz="4" w:space="0"/>
              <w:bottom w:val="single" w:color="000000" w:sz="8" w:space="0"/>
              <w:right w:val="single" w:color="000000" w:sz="8" w:space="0"/>
            </w:tcBorders>
            <w:shd w:val="clear" w:color="auto" w:fill="auto"/>
            <w:noWrap w:val="0"/>
            <w:vAlign w:val="center"/>
          </w:tcPr>
          <w:p w14:paraId="7F5A7FFD">
            <w:pPr>
              <w:keepNext w:val="0"/>
              <w:keepLines w:val="0"/>
              <w:widowControl/>
              <w:suppressLineNumbers w:val="0"/>
              <w:shd w:val="clear" w:color="auto"/>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国产品牌</w:t>
            </w:r>
          </w:p>
        </w:tc>
      </w:tr>
    </w:tbl>
    <w:p w14:paraId="5FEEBD3C">
      <w:pPr>
        <w:shd w:val="clea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661D8"/>
    <w:rsid w:val="149661D8"/>
    <w:rsid w:val="539D1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character" w:customStyle="1" w:styleId="5">
    <w:name w:val="font11"/>
    <w:basedOn w:val="4"/>
    <w:qFormat/>
    <w:uiPriority w:val="0"/>
    <w:rPr>
      <w:rFonts w:hint="eastAsia" w:ascii="宋体" w:hAnsi="宋体" w:eastAsia="宋体" w:cs="宋体"/>
      <w:color w:val="000000"/>
      <w:sz w:val="18"/>
      <w:szCs w:val="18"/>
      <w:u w:val="none"/>
    </w:rPr>
  </w:style>
  <w:style w:type="paragraph" w:customStyle="1" w:styleId="6">
    <w:name w:val="自编正文"/>
    <w:basedOn w:val="1"/>
    <w:qFormat/>
    <w:uiPriority w:val="0"/>
    <w:pPr>
      <w:spacing w:line="560" w:lineRule="exact"/>
      <w:ind w:firstLine="200" w:firstLineChars="200"/>
    </w:pPr>
    <w:rPr>
      <w:rFonts w:ascii="Times New Roman" w:hAnsi="Times New Roman" w:eastAsia="方正仿宋_GBK"/>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1388</Words>
  <Characters>1433</Characters>
  <Lines>0</Lines>
  <Paragraphs>0</Paragraphs>
  <TotalTime>20</TotalTime>
  <ScaleCrop>false</ScaleCrop>
  <LinksUpToDate>false</LinksUpToDate>
  <CharactersWithSpaces>1446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2026-01-19T00:44:00Z</dcterms:created>
  <dc:creator>李邦运</dc:creator>
  <cp:lastModifiedBy>李邦运</cp:lastModifiedBy>
  <dcterms:modified xsi:type="dcterms:W3CDTF">2026-01-19T01:58:53Z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CFA2F3B3A28E42D4B19C0F3CE90F2579_11</vt:lpwstr>
  </property>
  <property fmtid="{D5CDD505-2E9C-101B-9397-08002B2CF9AE}" pid="4" name="KSOTemplateDocerSaveRecord">
    <vt:lpwstr>eyJoZGlkIjoiNGZkYWIxNGMwYzBjNDljZGZiNDUwOWE3ZjViYTU3MGIiLCJ1c2VySWQiOiIxNjg0ODQ2NDQ0In0=</vt:lpwstr>
  </property>
</Properties>
</file>