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F729E">
      <w:pPr>
        <w:spacing w:line="360" w:lineRule="auto"/>
        <w:jc w:val="center"/>
        <w:outlineLvl w:val="0"/>
        <w:rPr>
          <w:rFonts w:hint="eastAsia" w:ascii="宋体" w:hAnsi="宋体" w:eastAsia="宋体" w:cs="宋体"/>
          <w:b/>
          <w:color w:val="auto"/>
          <w:sz w:val="28"/>
          <w:highlight w:val="none"/>
          <w:lang w:eastAsia="zh-CN"/>
        </w:rPr>
      </w:pPr>
      <w:r>
        <w:rPr>
          <w:rFonts w:hint="eastAsia" w:ascii="宋体" w:hAnsi="宋体" w:eastAsia="宋体" w:cs="宋体"/>
          <w:b/>
          <w:color w:val="auto"/>
          <w:sz w:val="28"/>
          <w:highlight w:val="none"/>
        </w:rPr>
        <w:t>采购需求</w:t>
      </w:r>
    </w:p>
    <w:p w14:paraId="1045BCB5">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5E1674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根据《政府采购进口产品管理办法》及政府采购管理部门的相关规定，下列采购需求中标注进口产品的货物均已履行相关论证手续，经核准采购进口产品，但不限制满足招标文件要求的国内产品参与竞争。</w:t>
      </w:r>
      <w:r>
        <w:rPr>
          <w:rFonts w:hint="eastAsia" w:ascii="宋体" w:hAnsi="宋体" w:eastAsia="宋体" w:cs="宋体"/>
          <w:b w:val="0"/>
          <w:bCs w:val="0"/>
          <w:color w:val="auto"/>
          <w:sz w:val="24"/>
          <w:szCs w:val="18"/>
          <w:highlight w:val="none"/>
        </w:rPr>
        <w:t>未标注进口产品的货物均为拒绝采购进口产品。</w:t>
      </w:r>
    </w:p>
    <w:p w14:paraId="42A19E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18"/>
          <w:highlight w:val="none"/>
        </w:rPr>
        <w:t>：</w:t>
      </w:r>
    </w:p>
    <w:p w14:paraId="57ED51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18D1B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E5709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65389090">
      <w:pPr>
        <w:spacing w:line="360" w:lineRule="auto"/>
        <w:ind w:firstLine="437"/>
        <w:outlineLvl w:val="1"/>
        <w:rPr>
          <w:rFonts w:hint="eastAsia" w:ascii="宋体" w:hAnsi="宋体" w:eastAsia="宋体" w:cs="宋体"/>
          <w:b/>
          <w:color w:val="auto"/>
          <w:sz w:val="24"/>
          <w:szCs w:val="18"/>
          <w:highlight w:val="none"/>
        </w:rPr>
      </w:pPr>
      <w:bookmarkStart w:id="0" w:name="_Toc7752"/>
      <w:bookmarkStart w:id="1" w:name="_Toc32021"/>
      <w:bookmarkStart w:id="2" w:name="_Toc32151"/>
      <w:bookmarkStart w:id="3" w:name="_Toc2554"/>
      <w:r>
        <w:rPr>
          <w:rFonts w:hint="eastAsia" w:ascii="宋体" w:hAnsi="宋体" w:eastAsia="宋体" w:cs="宋体"/>
          <w:b/>
          <w:color w:val="auto"/>
          <w:sz w:val="24"/>
          <w:szCs w:val="18"/>
          <w:highlight w:val="none"/>
        </w:rPr>
        <w:t>一、采购需求前附表</w:t>
      </w:r>
      <w:bookmarkEnd w:id="0"/>
      <w:bookmarkEnd w:id="1"/>
      <w:bookmarkEnd w:id="2"/>
      <w:bookmarkEnd w:id="3"/>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25"/>
        <w:gridCol w:w="6693"/>
      </w:tblGrid>
      <w:tr w14:paraId="4BD8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1BD88888">
            <w:pPr>
              <w:pStyle w:val="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60" w:type="pct"/>
            <w:vAlign w:val="center"/>
          </w:tcPr>
          <w:p w14:paraId="4FB862C8">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925" w:type="pct"/>
            <w:vAlign w:val="center"/>
          </w:tcPr>
          <w:p w14:paraId="38D9EABA">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078E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3C5199D6">
            <w:pPr>
              <w:pStyle w:val="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60" w:type="pct"/>
            <w:vAlign w:val="center"/>
          </w:tcPr>
          <w:p w14:paraId="020CBB4E">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925" w:type="pct"/>
            <w:vAlign w:val="center"/>
          </w:tcPr>
          <w:p w14:paraId="01DF08C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0% </w:t>
            </w:r>
            <w:r>
              <w:rPr>
                <w:rFonts w:hint="eastAsia" w:ascii="宋体" w:hAnsi="宋体" w:eastAsia="宋体" w:cs="宋体"/>
                <w:color w:val="auto"/>
                <w:sz w:val="24"/>
                <w:highlight w:val="none"/>
              </w:rPr>
              <w:t>（0-70%）；</w:t>
            </w:r>
          </w:p>
          <w:p w14:paraId="040BC35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（40%-70%）；</w:t>
            </w:r>
          </w:p>
          <w:p w14:paraId="7B2C8A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⑶分年度安排预算的项目，采购人确定每年预付款为当年合同金额的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（40%-70%）。</w:t>
            </w:r>
          </w:p>
          <w:p w14:paraId="77A222D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32C9DDE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剩余款支付方式</w:t>
            </w:r>
            <w:r>
              <w:rPr>
                <w:rFonts w:hint="eastAsia" w:ascii="宋体" w:hAnsi="宋体" w:eastAsia="宋体" w:cs="宋体"/>
                <w:color w:val="auto"/>
                <w:sz w:val="24"/>
                <w:highlight w:val="none"/>
              </w:rPr>
              <w:t>：</w:t>
            </w:r>
            <w:r>
              <w:rPr>
                <w:rFonts w:hint="eastAsia" w:ascii="宋体" w:hAnsi="宋体" w:eastAsia="宋体"/>
                <w:b w:val="0"/>
                <w:color w:val="auto"/>
                <w:sz w:val="24"/>
                <w:highlight w:val="none"/>
                <w:u w:val="none"/>
                <w:lang w:val="en-US" w:eastAsia="zh-CN"/>
              </w:rPr>
              <w:t>设备安装完毕经调试验收合格后一次性付清。</w:t>
            </w:r>
          </w:p>
          <w:p w14:paraId="38C98939">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1FD2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1F53FF8A">
            <w:pPr>
              <w:pStyle w:val="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60" w:type="pct"/>
            <w:vAlign w:val="center"/>
          </w:tcPr>
          <w:p w14:paraId="35273DC7">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3925" w:type="pct"/>
            <w:vAlign w:val="center"/>
          </w:tcPr>
          <w:p w14:paraId="15EEDFA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lang w:val="en-US" w:eastAsia="zh-CN"/>
              </w:rPr>
              <w:t>六安市人民医院，采购人指定地点。</w:t>
            </w:r>
          </w:p>
        </w:tc>
      </w:tr>
      <w:tr w14:paraId="51F9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357A9D70">
            <w:pPr>
              <w:pStyle w:val="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60" w:type="pct"/>
            <w:vAlign w:val="center"/>
          </w:tcPr>
          <w:p w14:paraId="263128C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3925" w:type="pct"/>
            <w:vAlign w:val="center"/>
          </w:tcPr>
          <w:p w14:paraId="39439B33">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lang w:val="en-US" w:eastAsia="zh-CN"/>
              </w:rPr>
              <w:t>合同签订后 30 日内供货、安装、调试完毕。</w:t>
            </w:r>
          </w:p>
        </w:tc>
      </w:tr>
      <w:tr w14:paraId="3B68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4CD457F7">
            <w:pPr>
              <w:pStyle w:val="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660" w:type="pct"/>
            <w:vAlign w:val="center"/>
          </w:tcPr>
          <w:p w14:paraId="3A8FEC5E">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3925" w:type="pct"/>
            <w:vAlign w:val="center"/>
          </w:tcPr>
          <w:p w14:paraId="6DCC4E52">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lang w:val="en-US" w:eastAsia="zh-CN"/>
              </w:rPr>
              <w:t>3年。</w:t>
            </w:r>
          </w:p>
        </w:tc>
      </w:tr>
    </w:tbl>
    <w:p w14:paraId="42B3ACDE">
      <w:pPr>
        <w:spacing w:line="360" w:lineRule="auto"/>
        <w:ind w:firstLine="437"/>
        <w:outlineLvl w:val="1"/>
        <w:rPr>
          <w:rFonts w:hint="eastAsia" w:ascii="宋体" w:hAnsi="宋体" w:eastAsia="宋体" w:cs="宋体"/>
          <w:b/>
          <w:bCs/>
          <w:color w:val="auto"/>
          <w:sz w:val="24"/>
          <w:szCs w:val="18"/>
          <w:highlight w:val="none"/>
        </w:rPr>
      </w:pPr>
      <w:bookmarkStart w:id="4" w:name="_Toc5944"/>
      <w:bookmarkStart w:id="5" w:name="_Toc27372"/>
      <w:bookmarkStart w:id="6" w:name="_Toc7671"/>
    </w:p>
    <w:p w14:paraId="28150478">
      <w:pPr>
        <w:numPr>
          <w:ilvl w:val="0"/>
          <w:numId w:val="1"/>
        </w:numPr>
        <w:spacing w:line="360" w:lineRule="auto"/>
        <w:ind w:firstLine="437"/>
        <w:outlineLvl w:val="1"/>
        <w:rPr>
          <w:rFonts w:hint="eastAsia" w:ascii="宋体" w:hAnsi="宋体" w:eastAsia="宋体" w:cs="宋体"/>
          <w:b/>
          <w:bCs/>
          <w:color w:val="auto"/>
          <w:sz w:val="24"/>
          <w:szCs w:val="18"/>
          <w:highlight w:val="none"/>
        </w:rPr>
      </w:pPr>
      <w:bookmarkStart w:id="7" w:name="_Toc2445"/>
      <w:r>
        <w:rPr>
          <w:rFonts w:hint="eastAsia" w:ascii="宋体" w:hAnsi="宋体" w:eastAsia="宋体" w:cs="宋体"/>
          <w:b/>
          <w:color w:val="auto"/>
          <w:sz w:val="24"/>
          <w:szCs w:val="18"/>
          <w:highlight w:val="none"/>
        </w:rPr>
        <w:t>货物</w:t>
      </w:r>
      <w:r>
        <w:rPr>
          <w:rFonts w:hint="eastAsia" w:ascii="宋体" w:hAnsi="宋体" w:eastAsia="宋体" w:cs="宋体"/>
          <w:b/>
          <w:bCs/>
          <w:color w:val="auto"/>
          <w:sz w:val="24"/>
          <w:szCs w:val="18"/>
          <w:highlight w:val="none"/>
        </w:rPr>
        <w:t>需求</w:t>
      </w:r>
      <w:bookmarkEnd w:id="4"/>
      <w:bookmarkEnd w:id="5"/>
      <w:bookmarkEnd w:id="6"/>
      <w:bookmarkEnd w:id="7"/>
    </w:p>
    <w:p w14:paraId="2DDB0B1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center"/>
        <w:textAlignment w:val="auto"/>
        <w:outlineLvl w:val="1"/>
        <w:rPr>
          <w:rFonts w:hint="eastAsia" w:ascii="宋体" w:hAnsi="宋体" w:eastAsia="宋体" w:cs="@仿宋_GB2312"/>
          <w:b/>
          <w:bCs/>
          <w:color w:val="auto"/>
          <w:sz w:val="24"/>
          <w:szCs w:val="18"/>
          <w:highlight w:val="none"/>
          <w:lang w:eastAsia="zh-CN"/>
        </w:rPr>
      </w:pPr>
      <w:r>
        <w:rPr>
          <w:rFonts w:hint="eastAsia" w:ascii="宋体" w:hAnsi="宋体" w:eastAsia="宋体" w:cs="@仿宋_GB2312"/>
          <w:b/>
          <w:bCs/>
          <w:color w:val="auto"/>
          <w:sz w:val="24"/>
          <w:szCs w:val="18"/>
          <w:highlight w:val="none"/>
          <w:lang w:eastAsia="zh-CN"/>
        </w:rPr>
        <w:t>标识符号说明</w:t>
      </w: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484"/>
        <w:gridCol w:w="5827"/>
      </w:tblGrid>
      <w:tr w14:paraId="2DB0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708" w:type="pct"/>
            <w:noWrap w:val="0"/>
            <w:vAlign w:val="center"/>
          </w:tcPr>
          <w:p w14:paraId="19357C52">
            <w:pPr>
              <w:keepNext w:val="0"/>
              <w:keepLines w:val="0"/>
              <w:widowControl/>
              <w:suppressLineNumbers w:val="0"/>
              <w:jc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序号</w:t>
            </w:r>
          </w:p>
        </w:tc>
        <w:tc>
          <w:tcPr>
            <w:tcW w:w="871" w:type="pct"/>
            <w:noWrap w:val="0"/>
            <w:vAlign w:val="center"/>
          </w:tcPr>
          <w:p w14:paraId="51A87546">
            <w:pPr>
              <w:keepNext w:val="0"/>
              <w:keepLines w:val="0"/>
              <w:widowControl/>
              <w:suppressLineNumbers w:val="0"/>
              <w:jc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标识符号</w:t>
            </w:r>
          </w:p>
        </w:tc>
        <w:tc>
          <w:tcPr>
            <w:tcW w:w="3420" w:type="pct"/>
            <w:noWrap w:val="0"/>
            <w:vAlign w:val="center"/>
          </w:tcPr>
          <w:p w14:paraId="51FA5060">
            <w:pPr>
              <w:keepNext w:val="0"/>
              <w:keepLines w:val="0"/>
              <w:widowControl/>
              <w:suppressLineNumbers w:val="0"/>
              <w:jc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代表意思</w:t>
            </w:r>
          </w:p>
        </w:tc>
      </w:tr>
      <w:tr w14:paraId="47F2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708" w:type="pct"/>
            <w:noWrap w:val="0"/>
            <w:vAlign w:val="center"/>
          </w:tcPr>
          <w:p w14:paraId="27A565C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1</w:t>
            </w:r>
          </w:p>
        </w:tc>
        <w:tc>
          <w:tcPr>
            <w:tcW w:w="871" w:type="pct"/>
            <w:noWrap w:val="0"/>
            <w:vAlign w:val="center"/>
          </w:tcPr>
          <w:p w14:paraId="72C6C1C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w:t>
            </w:r>
          </w:p>
        </w:tc>
        <w:tc>
          <w:tcPr>
            <w:tcW w:w="3420" w:type="pct"/>
            <w:noWrap w:val="0"/>
            <w:vAlign w:val="center"/>
          </w:tcPr>
          <w:p w14:paraId="623C4FE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仿宋_GB2312"/>
                <w:b w:val="0"/>
                <w:bCs w:val="0"/>
                <w:color w:val="auto"/>
                <w:sz w:val="24"/>
                <w:szCs w:val="18"/>
                <w:highlight w:val="none"/>
                <w:lang w:val="en-US" w:eastAsia="zh-CN"/>
              </w:rPr>
            </w:pPr>
            <w:r>
              <w:rPr>
                <w:rFonts w:hint="eastAsia" w:ascii="宋体" w:hAnsi="宋体" w:eastAsia="宋体" w:cs="@仿宋_GB2312"/>
                <w:b/>
                <w:bCs/>
                <w:color w:val="auto"/>
                <w:sz w:val="24"/>
                <w:szCs w:val="18"/>
                <w:highlight w:val="none"/>
                <w:lang w:val="en-US" w:eastAsia="zh-CN"/>
              </w:rPr>
              <w:t>作为评分项参数。</w:t>
            </w:r>
          </w:p>
          <w:p w14:paraId="7FEE1DE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投标文件中需提供相关证明材料（有明确要求的按相关要求提供，未明确要求的可提供材料包括但不限于产品彩页或技术白皮书或官网截图或功能界面截图或国家认可的第三方检测机构出具的检测报告或投标产品图纸复印件或产品铭牌或注册证等相关证明材料等）。</w:t>
            </w:r>
            <w:r>
              <w:rPr>
                <w:rFonts w:hint="default" w:ascii="宋体" w:hAnsi="宋体" w:eastAsia="宋体" w:cs="@仿宋_GB2312"/>
                <w:b w:val="0"/>
                <w:bCs w:val="0"/>
                <w:color w:val="auto"/>
                <w:sz w:val="24"/>
                <w:szCs w:val="18"/>
                <w:highlight w:val="none"/>
                <w:lang w:val="en-US" w:eastAsia="zh-CN"/>
              </w:rPr>
              <w:t>中标后</w:t>
            </w:r>
            <w:r>
              <w:rPr>
                <w:rFonts w:hint="eastAsia" w:ascii="宋体" w:hAnsi="宋体" w:eastAsia="宋体" w:cs="@仿宋_GB2312"/>
                <w:b w:val="0"/>
                <w:bCs w:val="0"/>
                <w:color w:val="auto"/>
                <w:sz w:val="24"/>
                <w:szCs w:val="18"/>
                <w:highlight w:val="none"/>
                <w:lang w:val="en-US" w:eastAsia="zh-CN"/>
              </w:rPr>
              <w:t>按采购人需求，</w:t>
            </w:r>
            <w:r>
              <w:rPr>
                <w:rFonts w:hint="default" w:ascii="宋体" w:hAnsi="宋体" w:eastAsia="宋体" w:cs="@仿宋_GB2312"/>
                <w:b w:val="0"/>
                <w:bCs w:val="0"/>
                <w:color w:val="auto"/>
                <w:sz w:val="24"/>
                <w:szCs w:val="18"/>
                <w:highlight w:val="none"/>
                <w:lang w:val="en-US" w:eastAsia="zh-CN"/>
              </w:rPr>
              <w:t>提供原件供采购人核查</w:t>
            </w:r>
            <w:r>
              <w:rPr>
                <w:rFonts w:hint="eastAsia" w:ascii="宋体" w:hAnsi="宋体" w:eastAsia="宋体" w:cs="@仿宋_GB2312"/>
                <w:b w:val="0"/>
                <w:bCs w:val="0"/>
                <w:color w:val="auto"/>
                <w:sz w:val="24"/>
                <w:szCs w:val="18"/>
                <w:highlight w:val="none"/>
                <w:lang w:val="en-US" w:eastAsia="zh-CN"/>
              </w:rPr>
              <w:t>。</w:t>
            </w:r>
          </w:p>
        </w:tc>
      </w:tr>
      <w:tr w14:paraId="6898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708" w:type="pct"/>
            <w:noWrap w:val="0"/>
            <w:vAlign w:val="center"/>
          </w:tcPr>
          <w:p w14:paraId="1BA1F6A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2</w:t>
            </w:r>
          </w:p>
        </w:tc>
        <w:tc>
          <w:tcPr>
            <w:tcW w:w="871" w:type="pct"/>
            <w:noWrap w:val="0"/>
            <w:vAlign w:val="center"/>
          </w:tcPr>
          <w:p w14:paraId="0F951D74">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无标识参数</w:t>
            </w:r>
          </w:p>
        </w:tc>
        <w:tc>
          <w:tcPr>
            <w:tcW w:w="3420" w:type="pct"/>
            <w:noWrap w:val="0"/>
            <w:vAlign w:val="center"/>
          </w:tcPr>
          <w:p w14:paraId="42706B7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cs="@仿宋_GB2312"/>
                <w:b w:val="0"/>
                <w:bCs w:val="0"/>
                <w:color w:val="auto"/>
                <w:sz w:val="24"/>
                <w:szCs w:val="18"/>
                <w:highlight w:val="none"/>
                <w:lang w:val="en-US" w:eastAsia="zh-CN"/>
              </w:rPr>
            </w:pPr>
            <w:r>
              <w:rPr>
                <w:rFonts w:hint="eastAsia" w:ascii="宋体" w:hAnsi="宋体" w:eastAsia="宋体" w:cs="@仿宋_GB2312"/>
                <w:b w:val="0"/>
                <w:bCs w:val="0"/>
                <w:color w:val="auto"/>
                <w:sz w:val="24"/>
                <w:szCs w:val="18"/>
                <w:highlight w:val="none"/>
                <w:lang w:val="en-US" w:eastAsia="zh-CN"/>
              </w:rPr>
              <w:t>作为基础指标，允许负偏离数量≤2项，超过2项负偏离将导致投标无效。</w:t>
            </w:r>
          </w:p>
        </w:tc>
      </w:tr>
    </w:tbl>
    <w:p w14:paraId="1556AB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bookmarkStart w:id="8" w:name="_Toc13759"/>
      <w:bookmarkStart w:id="9" w:name="_Toc4843"/>
      <w:bookmarkStart w:id="10" w:name="_Toc7421"/>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p w14:paraId="6002374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5B0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42F071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4" w:type="pct"/>
            <w:vAlign w:val="center"/>
          </w:tcPr>
          <w:p w14:paraId="471502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1711" w:type="pct"/>
            <w:vAlign w:val="center"/>
          </w:tcPr>
          <w:p w14:paraId="1183FC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621" w:type="pct"/>
            <w:vAlign w:val="center"/>
          </w:tcPr>
          <w:p w14:paraId="6D027C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007968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（单位）</w:t>
            </w:r>
          </w:p>
        </w:tc>
        <w:tc>
          <w:tcPr>
            <w:tcW w:w="473" w:type="pct"/>
            <w:vAlign w:val="center"/>
          </w:tcPr>
          <w:p w14:paraId="513290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所属</w:t>
            </w:r>
          </w:p>
          <w:p w14:paraId="048AFE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行业</w:t>
            </w:r>
          </w:p>
        </w:tc>
        <w:tc>
          <w:tcPr>
            <w:tcW w:w="582" w:type="pct"/>
            <w:vAlign w:val="center"/>
          </w:tcPr>
          <w:p w14:paraId="5C34A4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是否为核心产品</w:t>
            </w:r>
          </w:p>
        </w:tc>
        <w:tc>
          <w:tcPr>
            <w:tcW w:w="537" w:type="pct"/>
            <w:vAlign w:val="center"/>
          </w:tcPr>
          <w:p w14:paraId="19E613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71D8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1" w:hRule="atLeast"/>
          <w:jc w:val="center"/>
        </w:trPr>
        <w:tc>
          <w:tcPr>
            <w:tcW w:w="419" w:type="pct"/>
            <w:vAlign w:val="center"/>
          </w:tcPr>
          <w:p w14:paraId="7D12DA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4" w:type="pct"/>
            <w:vAlign w:val="center"/>
          </w:tcPr>
          <w:p w14:paraId="018921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r>
              <w:rPr>
                <w:rFonts w:hint="eastAsia" w:ascii="宋体" w:hAnsi="宋体" w:eastAsia="宋体" w:cs="宋体"/>
                <w:bCs/>
                <w:color w:val="auto"/>
                <w:sz w:val="24"/>
                <w:szCs w:val="18"/>
                <w:highlight w:val="none"/>
                <w:lang w:eastAsia="zh-CN"/>
              </w:rPr>
              <w:t>术中用</w:t>
            </w:r>
            <w:r>
              <w:rPr>
                <w:rFonts w:hint="eastAsia" w:ascii="宋体" w:hAnsi="宋体" w:eastAsia="宋体" w:cs="宋体"/>
                <w:bCs/>
                <w:color w:val="auto"/>
                <w:sz w:val="24"/>
                <w:szCs w:val="18"/>
                <w:highlight w:val="none"/>
                <w:lang w:val="en-US" w:eastAsia="zh-CN"/>
              </w:rPr>
              <w:t>C型臂</w:t>
            </w:r>
          </w:p>
        </w:tc>
        <w:tc>
          <w:tcPr>
            <w:tcW w:w="1711" w:type="pct"/>
            <w:vAlign w:val="center"/>
          </w:tcPr>
          <w:p w14:paraId="661617D2">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设备用途：能够在术中实时显示全身各关节及脊柱的横断位、矢状位、冠状位的CT断层图像，能实现三维成像功能，能实现任意斜面及曲面的图像重建功能，可实现二维图像与三维图像采集的任意切换。同时具备二维模式下的透视及摄影功能，有效提升手术精度，减少手术风险和降低并发症的概率</w:t>
            </w:r>
            <w:r>
              <w:rPr>
                <w:rFonts w:hint="eastAsia" w:ascii="宋体" w:hAnsi="宋体" w:eastAsia="宋体" w:cs="宋体"/>
                <w:sz w:val="24"/>
                <w:szCs w:val="24"/>
                <w:lang w:val="en-US" w:eastAsia="zh-CN"/>
              </w:rPr>
              <w:t>；</w:t>
            </w:r>
          </w:p>
          <w:p w14:paraId="4918C741">
            <w:pPr>
              <w:widowControl w:val="0"/>
              <w:spacing w:after="1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 注册证为三类证；</w:t>
            </w:r>
          </w:p>
          <w:p w14:paraId="2A61392F">
            <w:pPr>
              <w:widowControl w:val="0"/>
              <w:spacing w:after="120"/>
              <w:jc w:val="both"/>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w:t>
            </w:r>
            <w:r>
              <w:rPr>
                <w:rFonts w:hint="eastAsia" w:ascii="宋体" w:hAnsi="宋体" w:eastAsia="宋体" w:cs="宋体"/>
                <w:kern w:val="2"/>
                <w:sz w:val="24"/>
                <w:szCs w:val="24"/>
                <w:lang w:val="en-US" w:eastAsia="zh-CN" w:bidi="ar-SA"/>
              </w:rPr>
              <w:t>1.3设备机型为分体式设计，标配独立移动式工作站台车，可移动至手术室外进行隔室曝光，有效避免医护人员辐射影响；</w:t>
            </w:r>
          </w:p>
          <w:p w14:paraId="363EAB78">
            <w:pPr>
              <w:jc w:val="center"/>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主要技术参数</w:t>
            </w:r>
          </w:p>
          <w:p w14:paraId="4E191F8D">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高压发生器</w:t>
            </w:r>
          </w:p>
          <w:p w14:paraId="67DDACC1">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高压发生器：自主研发高频高压发生器</w:t>
            </w:r>
            <w:r>
              <w:rPr>
                <w:rFonts w:hint="eastAsia" w:ascii="宋体" w:hAnsi="宋体" w:eastAsia="宋体" w:cs="宋体"/>
                <w:sz w:val="24"/>
                <w:szCs w:val="24"/>
                <w:lang w:val="en-US" w:eastAsia="zh-CN"/>
              </w:rPr>
              <w:t>；</w:t>
            </w:r>
          </w:p>
          <w:p w14:paraId="71463DD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标称电功率≥5kW </w:t>
            </w:r>
            <w:r>
              <w:rPr>
                <w:rFonts w:hint="eastAsia" w:ascii="宋体" w:hAnsi="宋体" w:eastAsia="宋体" w:cs="宋体"/>
                <w:sz w:val="24"/>
                <w:szCs w:val="24"/>
                <w:lang w:val="en-US" w:eastAsia="zh-CN"/>
              </w:rPr>
              <w:t>；</w:t>
            </w:r>
          </w:p>
          <w:p w14:paraId="330AA188">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发生器频率≥</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0kHz</w:t>
            </w:r>
            <w:r>
              <w:rPr>
                <w:rFonts w:hint="eastAsia" w:ascii="宋体" w:hAnsi="宋体" w:eastAsia="宋体" w:cs="宋体"/>
                <w:sz w:val="24"/>
                <w:szCs w:val="24"/>
                <w:lang w:val="en-US" w:eastAsia="zh-CN"/>
              </w:rPr>
              <w:t>；</w:t>
            </w:r>
          </w:p>
          <w:p w14:paraId="3570AE15">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透视最大KV值≥12</w:t>
            </w:r>
            <w:r>
              <w:rPr>
                <w:rFonts w:hint="eastAsia" w:ascii="宋体" w:hAnsi="宋体" w:eastAsia="宋体" w:cs="宋体"/>
                <w:sz w:val="24"/>
                <w:szCs w:val="24"/>
                <w:lang w:val="en-US" w:eastAsia="zh-CN"/>
              </w:rPr>
              <w:t>0</w:t>
            </w:r>
            <w:r>
              <w:rPr>
                <w:rFonts w:hint="default" w:ascii="宋体" w:hAnsi="宋体" w:eastAsia="宋体" w:cs="宋体"/>
                <w:sz w:val="24"/>
                <w:szCs w:val="24"/>
                <w:lang w:val="en-US" w:eastAsia="zh-CN"/>
              </w:rPr>
              <w:t>kV</w:t>
            </w:r>
            <w:r>
              <w:rPr>
                <w:rFonts w:hint="eastAsia" w:ascii="宋体" w:hAnsi="宋体" w:eastAsia="宋体" w:cs="宋体"/>
                <w:sz w:val="24"/>
                <w:szCs w:val="24"/>
                <w:lang w:val="en-US" w:eastAsia="zh-CN"/>
              </w:rPr>
              <w:t>；</w:t>
            </w:r>
          </w:p>
          <w:p w14:paraId="68F89D2F">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脉冲透视最大mA值≥30mA</w:t>
            </w:r>
            <w:r>
              <w:rPr>
                <w:rFonts w:hint="eastAsia" w:ascii="宋体" w:hAnsi="宋体" w:eastAsia="宋体" w:cs="宋体"/>
                <w:sz w:val="24"/>
                <w:szCs w:val="24"/>
                <w:lang w:val="en-US" w:eastAsia="zh-CN"/>
              </w:rPr>
              <w:t>；</w:t>
            </w:r>
          </w:p>
          <w:p w14:paraId="4A11D841">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脉冲透视：具备自动变频控制技术</w:t>
            </w:r>
            <w:r>
              <w:rPr>
                <w:rFonts w:hint="eastAsia" w:ascii="宋体" w:hAnsi="宋体" w:eastAsia="宋体" w:cs="宋体"/>
                <w:sz w:val="24"/>
                <w:szCs w:val="24"/>
                <w:lang w:val="en-US" w:eastAsia="zh-CN"/>
              </w:rPr>
              <w:t>；</w:t>
            </w:r>
          </w:p>
          <w:p w14:paraId="40D21D47">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C臂轨道滑动序列摄影管电流≥15mA</w:t>
            </w:r>
            <w:r>
              <w:rPr>
                <w:rFonts w:hint="eastAsia" w:ascii="宋体" w:hAnsi="宋体" w:eastAsia="宋体" w:cs="宋体"/>
                <w:sz w:val="24"/>
                <w:szCs w:val="24"/>
                <w:lang w:val="en-US" w:eastAsia="zh-CN"/>
              </w:rPr>
              <w:t>；</w:t>
            </w:r>
          </w:p>
          <w:p w14:paraId="76130DA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具备儿科摄影模式</w:t>
            </w:r>
            <w:r>
              <w:rPr>
                <w:rFonts w:hint="eastAsia" w:ascii="宋体" w:hAnsi="宋体" w:eastAsia="宋体" w:cs="宋体"/>
                <w:sz w:val="24"/>
                <w:szCs w:val="24"/>
                <w:lang w:val="en-US" w:eastAsia="zh-CN"/>
              </w:rPr>
              <w:t>；</w:t>
            </w:r>
          </w:p>
          <w:p w14:paraId="51322DC2">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2.1.</w:t>
            </w: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具备普通三维扫描模式和高清三维扫描模式</w:t>
            </w:r>
            <w:r>
              <w:rPr>
                <w:rFonts w:hint="eastAsia" w:ascii="宋体" w:hAnsi="宋体" w:eastAsia="宋体" w:cs="宋体"/>
                <w:sz w:val="24"/>
                <w:szCs w:val="24"/>
                <w:lang w:val="en-US" w:eastAsia="zh-CN"/>
              </w:rPr>
              <w:t>；</w:t>
            </w:r>
          </w:p>
          <w:p w14:paraId="635B1E28">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球管</w:t>
            </w:r>
          </w:p>
          <w:p w14:paraId="5F50E7F2">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透视焦点：双焦点，小焦点</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0.6mm，大焦点</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1.2mm</w:t>
            </w:r>
            <w:r>
              <w:rPr>
                <w:rFonts w:hint="eastAsia" w:ascii="宋体" w:hAnsi="宋体" w:eastAsia="宋体" w:cs="宋体"/>
                <w:sz w:val="24"/>
                <w:szCs w:val="24"/>
                <w:lang w:val="en-US" w:eastAsia="zh-CN"/>
              </w:rPr>
              <w:t>；</w:t>
            </w:r>
          </w:p>
          <w:p w14:paraId="34EA5E85">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阳极热容量≥80kHU</w:t>
            </w:r>
            <w:r>
              <w:rPr>
                <w:rFonts w:hint="eastAsia" w:ascii="宋体" w:hAnsi="宋体" w:eastAsia="宋体" w:cs="宋体"/>
                <w:sz w:val="24"/>
                <w:szCs w:val="24"/>
                <w:lang w:val="en-US" w:eastAsia="zh-CN"/>
              </w:rPr>
              <w:t>；</w:t>
            </w:r>
          </w:p>
          <w:p w14:paraId="4E21B58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2.2.</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阳极散热率≥600W</w:t>
            </w:r>
            <w:r>
              <w:rPr>
                <w:rFonts w:hint="eastAsia" w:ascii="宋体" w:hAnsi="宋体" w:eastAsia="宋体" w:cs="宋体"/>
                <w:sz w:val="24"/>
                <w:szCs w:val="24"/>
                <w:lang w:val="en-US" w:eastAsia="zh-CN"/>
              </w:rPr>
              <w:t>；</w:t>
            </w:r>
          </w:p>
          <w:p w14:paraId="7D38AF4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数字化影像系统</w:t>
            </w:r>
          </w:p>
          <w:p w14:paraId="0D7B054B">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探测器类型：非晶硅</w:t>
            </w:r>
            <w:r>
              <w:rPr>
                <w:rFonts w:hint="eastAsia" w:ascii="宋体" w:hAnsi="宋体" w:eastAsia="宋体" w:cs="宋体"/>
                <w:sz w:val="24"/>
                <w:szCs w:val="24"/>
                <w:lang w:val="en-US" w:eastAsia="zh-CN"/>
              </w:rPr>
              <w:t>或CMOS晶硅体材质；</w:t>
            </w:r>
          </w:p>
          <w:p w14:paraId="32CEA330">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动态平板探测器：动态平板探测器</w:t>
            </w:r>
            <w:r>
              <w:rPr>
                <w:rFonts w:hint="eastAsia" w:ascii="宋体" w:hAnsi="宋体" w:eastAsia="宋体" w:cs="宋体"/>
                <w:sz w:val="24"/>
                <w:szCs w:val="24"/>
                <w:lang w:val="en-US" w:eastAsia="zh-CN"/>
              </w:rPr>
              <w:t>；</w:t>
            </w:r>
          </w:p>
          <w:p w14:paraId="42D0C04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动态平板探测器成像范围≥12英寸×12英寸</w:t>
            </w:r>
            <w:r>
              <w:rPr>
                <w:rFonts w:hint="eastAsia" w:ascii="宋体" w:hAnsi="宋体" w:eastAsia="宋体" w:cs="宋体"/>
                <w:sz w:val="24"/>
                <w:szCs w:val="24"/>
                <w:lang w:val="en-US" w:eastAsia="zh-CN"/>
              </w:rPr>
              <w:t>；</w:t>
            </w:r>
          </w:p>
          <w:p w14:paraId="37F747F6">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图像采集灰阶</w:t>
            </w:r>
            <w:r>
              <w:rPr>
                <w:rFonts w:hint="default" w:ascii="宋体" w:hAnsi="宋体" w:eastAsia="宋体" w:cs="宋体"/>
                <w:sz w:val="24"/>
                <w:szCs w:val="24"/>
                <w:lang w:val="en-US" w:eastAsia="zh-CN"/>
              </w:rPr>
              <w:t>≥16位</w:t>
            </w:r>
            <w:r>
              <w:rPr>
                <w:rFonts w:hint="eastAsia" w:ascii="宋体" w:hAnsi="宋体" w:eastAsia="宋体" w:cs="宋体"/>
                <w:sz w:val="24"/>
                <w:szCs w:val="24"/>
                <w:lang w:val="en-US" w:eastAsia="zh-CN"/>
              </w:rPr>
              <w:t>；</w:t>
            </w:r>
          </w:p>
          <w:p w14:paraId="4B9F489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分辨率≥2k*2k</w:t>
            </w:r>
            <w:r>
              <w:rPr>
                <w:rFonts w:hint="eastAsia" w:ascii="宋体" w:hAnsi="宋体" w:eastAsia="宋体" w:cs="宋体"/>
                <w:sz w:val="24"/>
                <w:szCs w:val="24"/>
                <w:lang w:val="en-US" w:eastAsia="zh-CN"/>
              </w:rPr>
              <w:t>；</w:t>
            </w:r>
          </w:p>
          <w:p w14:paraId="22FB556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采集矩阵≥1900×1900</w:t>
            </w:r>
            <w:r>
              <w:rPr>
                <w:rFonts w:hint="eastAsia" w:ascii="宋体" w:hAnsi="宋体" w:eastAsia="宋体" w:cs="宋体"/>
                <w:sz w:val="24"/>
                <w:szCs w:val="24"/>
                <w:lang w:val="en-US" w:eastAsia="zh-CN"/>
              </w:rPr>
              <w:t>；</w:t>
            </w:r>
          </w:p>
          <w:p w14:paraId="4A2D6000">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像素尺寸≤154μm</w:t>
            </w:r>
            <w:r>
              <w:rPr>
                <w:rFonts w:hint="eastAsia" w:ascii="宋体" w:hAnsi="宋体" w:eastAsia="宋体" w:cs="宋体"/>
                <w:sz w:val="24"/>
                <w:szCs w:val="24"/>
                <w:lang w:val="en-US" w:eastAsia="zh-CN"/>
              </w:rPr>
              <w:t>；</w:t>
            </w:r>
          </w:p>
          <w:p w14:paraId="3B825686">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DQE≥7</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w:t>
            </w:r>
          </w:p>
          <w:p w14:paraId="141CADCD">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w:t>
            </w: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空间分辨率≥3.1LP/mm</w:t>
            </w:r>
            <w:r>
              <w:rPr>
                <w:rFonts w:hint="eastAsia" w:ascii="宋体" w:hAnsi="宋体" w:eastAsia="宋体" w:cs="宋体"/>
                <w:sz w:val="24"/>
                <w:szCs w:val="24"/>
                <w:lang w:val="en-US" w:eastAsia="zh-CN"/>
              </w:rPr>
              <w:t>；</w:t>
            </w:r>
          </w:p>
          <w:p w14:paraId="269A240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★2.3.1</w:t>
            </w:r>
            <w:r>
              <w:rPr>
                <w:rFonts w:hint="eastAsia" w:ascii="宋体" w:hAnsi="宋体" w:eastAsia="宋体" w:cs="宋体"/>
                <w:sz w:val="24"/>
                <w:szCs w:val="24"/>
                <w:lang w:val="en-US" w:eastAsia="zh-CN"/>
              </w:rPr>
              <w:t>0</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独立移动式</w:t>
            </w:r>
            <w:r>
              <w:rPr>
                <w:rFonts w:hint="default" w:ascii="宋体" w:hAnsi="宋体" w:eastAsia="宋体" w:cs="宋体"/>
                <w:sz w:val="24"/>
                <w:szCs w:val="24"/>
                <w:lang w:val="en-US" w:eastAsia="zh-CN"/>
              </w:rPr>
              <w:t>工作站监视器尺寸≥</w:t>
            </w:r>
            <w:r>
              <w:rPr>
                <w:rFonts w:hint="eastAsia" w:ascii="宋体" w:hAnsi="宋体" w:eastAsia="宋体" w:cs="宋体"/>
                <w:sz w:val="24"/>
                <w:szCs w:val="24"/>
                <w:lang w:val="en-US" w:eastAsia="zh-CN"/>
              </w:rPr>
              <w:t>19</w:t>
            </w:r>
            <w:r>
              <w:rPr>
                <w:rFonts w:hint="default" w:ascii="宋体" w:hAnsi="宋体" w:eastAsia="宋体" w:cs="宋体"/>
                <w:sz w:val="24"/>
                <w:szCs w:val="24"/>
                <w:lang w:val="en-US" w:eastAsia="zh-CN"/>
              </w:rPr>
              <w:t>英寸彩色医用液晶显示器</w:t>
            </w:r>
            <w:r>
              <w:rPr>
                <w:rFonts w:hint="eastAsia" w:ascii="宋体" w:hAnsi="宋体" w:eastAsia="宋体" w:cs="宋体"/>
                <w:sz w:val="24"/>
                <w:szCs w:val="24"/>
                <w:lang w:val="en-US" w:eastAsia="zh-CN"/>
              </w:rPr>
              <w:t>；</w:t>
            </w:r>
          </w:p>
          <w:p w14:paraId="3D7D50E7">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★2.3.1</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C型臂</w:t>
            </w:r>
            <w:r>
              <w:rPr>
                <w:rFonts w:hint="default" w:ascii="宋体" w:hAnsi="宋体" w:eastAsia="宋体" w:cs="宋体"/>
                <w:sz w:val="24"/>
                <w:szCs w:val="24"/>
                <w:lang w:val="en-US" w:eastAsia="zh-CN"/>
              </w:rPr>
              <w:t>机身显示器≥</w:t>
            </w:r>
            <w:r>
              <w:rPr>
                <w:rFonts w:hint="eastAsia" w:ascii="宋体" w:hAnsi="宋体" w:eastAsia="宋体" w:cs="宋体"/>
                <w:sz w:val="24"/>
                <w:szCs w:val="24"/>
                <w:lang w:val="en-US" w:eastAsia="zh-CN"/>
              </w:rPr>
              <w:t>15</w:t>
            </w:r>
            <w:r>
              <w:rPr>
                <w:rFonts w:hint="default" w:ascii="宋体" w:hAnsi="宋体" w:eastAsia="宋体" w:cs="宋体"/>
                <w:sz w:val="24"/>
                <w:szCs w:val="24"/>
                <w:lang w:val="en-US" w:eastAsia="zh-CN"/>
              </w:rPr>
              <w:t>英寸彩色医用液晶显示器</w:t>
            </w:r>
            <w:r>
              <w:rPr>
                <w:rFonts w:hint="eastAsia" w:ascii="宋体" w:hAnsi="宋体" w:eastAsia="宋体" w:cs="宋体"/>
                <w:sz w:val="24"/>
                <w:szCs w:val="24"/>
                <w:lang w:val="en-US" w:eastAsia="zh-CN"/>
              </w:rPr>
              <w:t>；</w:t>
            </w:r>
          </w:p>
          <w:p w14:paraId="34BA7526">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2.3.1</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触控控制面板≥1</w:t>
            </w:r>
            <w:r>
              <w:rPr>
                <w:rFonts w:hint="eastAsia" w:ascii="宋体" w:hAnsi="宋体" w:eastAsia="宋体" w:cs="宋体"/>
                <w:sz w:val="24"/>
                <w:szCs w:val="24"/>
                <w:lang w:val="en-US" w:eastAsia="zh-CN"/>
              </w:rPr>
              <w:t>0</w:t>
            </w:r>
            <w:r>
              <w:rPr>
                <w:rFonts w:hint="default" w:ascii="宋体" w:hAnsi="宋体" w:eastAsia="宋体" w:cs="宋体"/>
                <w:sz w:val="24"/>
                <w:szCs w:val="24"/>
                <w:lang w:val="en-US" w:eastAsia="zh-CN"/>
              </w:rPr>
              <w:t>英寸医用彩色触控屏</w:t>
            </w:r>
            <w:r>
              <w:rPr>
                <w:rFonts w:hint="eastAsia" w:ascii="宋体" w:hAnsi="宋体" w:eastAsia="宋体" w:cs="宋体"/>
                <w:sz w:val="24"/>
                <w:szCs w:val="24"/>
                <w:lang w:val="en-US" w:eastAsia="zh-CN"/>
              </w:rPr>
              <w:t>；</w:t>
            </w:r>
          </w:p>
          <w:p w14:paraId="525EFBFB">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工作站软件</w:t>
            </w:r>
          </w:p>
          <w:p w14:paraId="00E9CDAD">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图像采集模块：窗宽窗位调节，实时缩放，任意角度实时旋转，垂直/水平镜像，正负像处理，递归降噪处理，边缘增强处理，单帧/序列图像存储和回显</w:t>
            </w:r>
            <w:r>
              <w:rPr>
                <w:rFonts w:hint="eastAsia" w:ascii="宋体" w:hAnsi="宋体" w:eastAsia="宋体" w:cs="宋体"/>
                <w:sz w:val="24"/>
                <w:szCs w:val="24"/>
                <w:lang w:val="en-US" w:eastAsia="zh-CN"/>
              </w:rPr>
              <w:t>；</w:t>
            </w:r>
          </w:p>
          <w:p w14:paraId="272DE54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图像处理模块：对已采集或保存的图像，在本模块中可以对图像进行处理：标注、缩放、测量、分窗显示、连续播放、任意角度旋转、垂直/水平镜像、正负像、保存图像等功能</w:t>
            </w:r>
            <w:r>
              <w:rPr>
                <w:rFonts w:hint="eastAsia" w:ascii="宋体" w:hAnsi="宋体" w:eastAsia="宋体" w:cs="宋体"/>
                <w:sz w:val="24"/>
                <w:szCs w:val="24"/>
                <w:lang w:val="en-US" w:eastAsia="zh-CN"/>
              </w:rPr>
              <w:t>；</w:t>
            </w:r>
          </w:p>
          <w:p w14:paraId="2FA7176B">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软件升级：提供终身免费软件升级服务</w:t>
            </w:r>
            <w:r>
              <w:rPr>
                <w:rFonts w:hint="eastAsia" w:ascii="宋体" w:hAnsi="宋体" w:eastAsia="宋体" w:cs="宋体"/>
                <w:sz w:val="24"/>
                <w:szCs w:val="24"/>
                <w:lang w:val="en-US" w:eastAsia="zh-CN"/>
              </w:rPr>
              <w:t>；</w:t>
            </w:r>
          </w:p>
          <w:p w14:paraId="5EC21D22">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报告模块：提供各种内容可修改的报告模板，方便使用者撰写报告，并提供报告打印功能</w:t>
            </w:r>
            <w:r>
              <w:rPr>
                <w:rFonts w:hint="eastAsia" w:ascii="宋体" w:hAnsi="宋体" w:eastAsia="宋体" w:cs="宋体"/>
                <w:sz w:val="24"/>
                <w:szCs w:val="24"/>
                <w:lang w:val="en-US" w:eastAsia="zh-CN"/>
              </w:rPr>
              <w:t>；</w:t>
            </w:r>
          </w:p>
          <w:p w14:paraId="48402F2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2.4.5</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胶片打印模块：遵守DICOM标准的医用胶片排版和打印功能</w:t>
            </w:r>
            <w:r>
              <w:rPr>
                <w:rFonts w:hint="eastAsia" w:ascii="宋体" w:hAnsi="宋体" w:eastAsia="宋体" w:cs="宋体"/>
                <w:sz w:val="24"/>
                <w:szCs w:val="24"/>
                <w:lang w:val="en-US" w:eastAsia="zh-CN"/>
              </w:rPr>
              <w:t>；</w:t>
            </w:r>
          </w:p>
          <w:p w14:paraId="63962B5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2.4.6</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具备多重自动保护及故障代码提示功能</w:t>
            </w:r>
            <w:r>
              <w:rPr>
                <w:rFonts w:hint="eastAsia" w:ascii="宋体" w:hAnsi="宋体" w:eastAsia="宋体" w:cs="宋体"/>
                <w:sz w:val="24"/>
                <w:szCs w:val="24"/>
                <w:lang w:val="en-US" w:eastAsia="zh-CN"/>
              </w:rPr>
              <w:t>；</w:t>
            </w:r>
          </w:p>
          <w:p w14:paraId="10E50E4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2.4.7</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标配DICOM3.0接口：具备</w:t>
            </w:r>
            <w:r>
              <w:rPr>
                <w:rFonts w:hint="eastAsia" w:ascii="宋体" w:hAnsi="宋体" w:eastAsia="宋体" w:cs="宋体"/>
                <w:sz w:val="24"/>
                <w:szCs w:val="24"/>
                <w:lang w:val="en-US" w:eastAsia="zh-CN"/>
              </w:rPr>
              <w:t>；</w:t>
            </w:r>
          </w:p>
          <w:p w14:paraId="26CD2DDB">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X射线图像三维处理</w:t>
            </w:r>
          </w:p>
          <w:p w14:paraId="4DAAE1E0">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断层扫描中的机械运动：球管和探测器为等中心运动，无上下运动以避免碰撞，降低运动伪影</w:t>
            </w:r>
            <w:r>
              <w:rPr>
                <w:rFonts w:hint="eastAsia" w:ascii="宋体" w:hAnsi="宋体" w:eastAsia="宋体" w:cs="宋体"/>
                <w:sz w:val="24"/>
                <w:szCs w:val="24"/>
                <w:lang w:val="en-US" w:eastAsia="zh-CN"/>
              </w:rPr>
              <w:t>；</w:t>
            </w:r>
          </w:p>
          <w:p w14:paraId="60B4EE5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序列图像重建：序列数据采集完成后运行3D重建，数秒后自动显示重建后的横断面、冠状面、矢状面和3D图像，可在此基础上进行窗宽窗位调节、十字线显示/隐藏、截图、缩放、测量等图像处理操作</w:t>
            </w:r>
            <w:r>
              <w:rPr>
                <w:rFonts w:hint="eastAsia" w:ascii="宋体" w:hAnsi="宋体" w:eastAsia="宋体" w:cs="宋体"/>
                <w:sz w:val="24"/>
                <w:szCs w:val="24"/>
                <w:lang w:val="en-US" w:eastAsia="zh-CN"/>
              </w:rPr>
              <w:t>；</w:t>
            </w:r>
          </w:p>
          <w:p w14:paraId="2081A98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DICOM断层序列图像保存，可将三维重建的图像转化为DICOM格式的序列断层图像，可用于诊断和其他应用拓展例如3D打印</w:t>
            </w:r>
            <w:r>
              <w:rPr>
                <w:rFonts w:hint="eastAsia" w:ascii="宋体" w:hAnsi="宋体" w:eastAsia="宋体" w:cs="宋体"/>
                <w:sz w:val="24"/>
                <w:szCs w:val="24"/>
                <w:lang w:val="en-US" w:eastAsia="zh-CN"/>
              </w:rPr>
              <w:t>；</w:t>
            </w:r>
          </w:p>
          <w:p w14:paraId="76DCD8EC">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2.5.</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智能化设定剂量：根据部位自动调整剂量参数，结合智能硬件和闭环软件算法，在保证高品质的图像前提下，显著降低剂量的摄入</w:t>
            </w:r>
            <w:r>
              <w:rPr>
                <w:rFonts w:hint="eastAsia" w:ascii="宋体" w:hAnsi="宋体" w:eastAsia="宋体" w:cs="宋体"/>
                <w:sz w:val="24"/>
                <w:szCs w:val="24"/>
                <w:lang w:val="en-US" w:eastAsia="zh-CN"/>
              </w:rPr>
              <w:t>；</w:t>
            </w:r>
          </w:p>
          <w:p w14:paraId="7B4FFD16">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C形臂机架</w:t>
            </w:r>
          </w:p>
          <w:p w14:paraId="08B5894B">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平板到球管焦点最大距离≥1</w:t>
            </w:r>
            <w:r>
              <w:rPr>
                <w:rFonts w:hint="eastAsia" w:ascii="宋体" w:hAnsi="宋体" w:eastAsia="宋体" w:cs="宋体"/>
                <w:sz w:val="24"/>
                <w:szCs w:val="24"/>
                <w:lang w:val="en-US" w:eastAsia="zh-CN"/>
              </w:rPr>
              <w:t>08</w:t>
            </w:r>
            <w:r>
              <w:rPr>
                <w:rFonts w:hint="default" w:ascii="宋体" w:hAnsi="宋体" w:eastAsia="宋体" w:cs="宋体"/>
                <w:sz w:val="24"/>
                <w:szCs w:val="24"/>
                <w:lang w:val="en-US" w:eastAsia="zh-CN"/>
              </w:rPr>
              <w:t>0mm</w:t>
            </w:r>
            <w:r>
              <w:rPr>
                <w:rFonts w:hint="eastAsia" w:ascii="宋体" w:hAnsi="宋体" w:eastAsia="宋体" w:cs="宋体"/>
                <w:sz w:val="24"/>
                <w:szCs w:val="24"/>
                <w:lang w:val="en-US" w:eastAsia="zh-CN"/>
              </w:rPr>
              <w:t>；</w:t>
            </w:r>
          </w:p>
          <w:p w14:paraId="4E730723">
            <w:pPr>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2.6.2  </w:t>
            </w:r>
            <w:r>
              <w:rPr>
                <w:rFonts w:hint="default" w:ascii="宋体" w:hAnsi="宋体" w:eastAsia="宋体" w:cs="宋体"/>
                <w:sz w:val="24"/>
                <w:szCs w:val="24"/>
                <w:lang w:val="en-US" w:eastAsia="zh-CN"/>
              </w:rPr>
              <w:t>C臂最大开口径≥</w:t>
            </w:r>
            <w:r>
              <w:rPr>
                <w:rFonts w:hint="eastAsia" w:ascii="宋体" w:hAnsi="宋体" w:eastAsia="宋体" w:cs="宋体"/>
                <w:sz w:val="24"/>
                <w:szCs w:val="24"/>
                <w:lang w:val="en-US" w:eastAsia="zh-CN"/>
              </w:rPr>
              <w:t>850</w:t>
            </w:r>
            <w:r>
              <w:rPr>
                <w:rFonts w:hint="default" w:ascii="宋体" w:hAnsi="宋体" w:eastAsia="宋体" w:cs="宋体"/>
                <w:sz w:val="24"/>
                <w:szCs w:val="24"/>
                <w:lang w:val="en-US" w:eastAsia="zh-CN"/>
              </w:rPr>
              <w:t>mm</w:t>
            </w:r>
            <w:r>
              <w:rPr>
                <w:rFonts w:hint="eastAsia" w:ascii="宋体" w:hAnsi="宋体" w:eastAsia="宋体" w:cs="宋体"/>
                <w:sz w:val="24"/>
                <w:szCs w:val="24"/>
                <w:lang w:val="en-US" w:eastAsia="zh-CN"/>
              </w:rPr>
              <w:t>；</w:t>
            </w:r>
          </w:p>
          <w:p w14:paraId="527F7AB2">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电动垂直升降≥400mm，电动水平移动≥200mm</w:t>
            </w:r>
            <w:r>
              <w:rPr>
                <w:rFonts w:hint="eastAsia" w:ascii="宋体" w:hAnsi="宋体" w:eastAsia="宋体" w:cs="宋体"/>
                <w:sz w:val="24"/>
                <w:szCs w:val="24"/>
                <w:lang w:val="en-US" w:eastAsia="zh-CN"/>
              </w:rPr>
              <w:t>；</w:t>
            </w:r>
          </w:p>
          <w:p w14:paraId="5603990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 xml:space="preserve">2.6.4  </w:t>
            </w:r>
            <w:r>
              <w:rPr>
                <w:rFonts w:hint="default" w:ascii="宋体" w:hAnsi="宋体" w:eastAsia="宋体" w:cs="宋体"/>
                <w:sz w:val="24"/>
                <w:szCs w:val="24"/>
                <w:lang w:val="en-US" w:eastAsia="zh-CN"/>
              </w:rPr>
              <w:t>C臂弧深≥7</w:t>
            </w:r>
            <w:r>
              <w:rPr>
                <w:rFonts w:hint="eastAsia" w:ascii="宋体" w:hAnsi="宋体" w:eastAsia="宋体" w:cs="宋体"/>
                <w:sz w:val="24"/>
                <w:szCs w:val="24"/>
                <w:lang w:val="en-US" w:eastAsia="zh-CN"/>
              </w:rPr>
              <w:t>30</w:t>
            </w:r>
            <w:r>
              <w:rPr>
                <w:rFonts w:hint="default" w:ascii="宋体" w:hAnsi="宋体" w:eastAsia="宋体" w:cs="宋体"/>
                <w:sz w:val="24"/>
                <w:szCs w:val="24"/>
                <w:lang w:val="en-US" w:eastAsia="zh-CN"/>
              </w:rPr>
              <w:t>mm</w:t>
            </w:r>
            <w:r>
              <w:rPr>
                <w:rFonts w:hint="eastAsia" w:ascii="宋体" w:hAnsi="宋体" w:eastAsia="宋体" w:cs="宋体"/>
                <w:sz w:val="24"/>
                <w:szCs w:val="24"/>
                <w:lang w:val="en-US" w:eastAsia="zh-CN"/>
              </w:rPr>
              <w:t>；</w:t>
            </w:r>
          </w:p>
          <w:p w14:paraId="014E8498">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C臂机架自平衡，在不锁的情况下不会滑动，防止机架滑动撞到病人：具备</w:t>
            </w:r>
          </w:p>
          <w:p w14:paraId="02FE68F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C臂电动旋转角度：≥±180°</w:t>
            </w:r>
            <w:r>
              <w:rPr>
                <w:rFonts w:hint="eastAsia" w:ascii="宋体" w:hAnsi="宋体" w:eastAsia="宋体" w:cs="宋体"/>
                <w:sz w:val="24"/>
                <w:szCs w:val="24"/>
                <w:lang w:val="en-US" w:eastAsia="zh-CN"/>
              </w:rPr>
              <w:t>；</w:t>
            </w:r>
          </w:p>
          <w:p w14:paraId="01962C67">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7</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C臂轨道内运动角度≥190°</w:t>
            </w:r>
            <w:r>
              <w:rPr>
                <w:rFonts w:hint="eastAsia" w:ascii="宋体" w:hAnsi="宋体" w:eastAsia="宋体" w:cs="宋体"/>
                <w:sz w:val="24"/>
                <w:szCs w:val="24"/>
                <w:lang w:val="en-US" w:eastAsia="zh-CN"/>
              </w:rPr>
              <w:t>；</w:t>
            </w:r>
          </w:p>
          <w:p w14:paraId="7429C471">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8</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导向轮及主轮：导向轮可以任意方向转动，主轮0-90°旋转</w:t>
            </w:r>
            <w:r>
              <w:rPr>
                <w:rFonts w:hint="eastAsia" w:ascii="宋体" w:hAnsi="宋体" w:eastAsia="宋体" w:cs="宋体"/>
                <w:sz w:val="24"/>
                <w:szCs w:val="24"/>
                <w:lang w:val="en-US" w:eastAsia="zh-CN"/>
              </w:rPr>
              <w:t>；</w:t>
            </w:r>
          </w:p>
          <w:p w14:paraId="7C0B1F29">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9</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 臂架方位运动控制： 4个以上方位运动实现电</w:t>
            </w:r>
            <w:r>
              <w:rPr>
                <w:rFonts w:hint="eastAsia" w:ascii="宋体" w:hAnsi="宋体" w:eastAsia="宋体" w:cs="宋体"/>
                <w:sz w:val="24"/>
                <w:szCs w:val="24"/>
                <w:lang w:val="en-US" w:eastAsia="zh-CN"/>
              </w:rPr>
              <w:t>动</w:t>
            </w:r>
            <w:r>
              <w:rPr>
                <w:rFonts w:hint="default" w:ascii="宋体" w:hAnsi="宋体" w:eastAsia="宋体" w:cs="宋体"/>
                <w:sz w:val="24"/>
                <w:szCs w:val="24"/>
                <w:lang w:val="en-US" w:eastAsia="zh-CN"/>
              </w:rPr>
              <w:t>控制</w:t>
            </w:r>
            <w:r>
              <w:rPr>
                <w:rFonts w:hint="eastAsia" w:ascii="宋体" w:hAnsi="宋体" w:eastAsia="宋体" w:cs="宋体"/>
                <w:sz w:val="24"/>
                <w:szCs w:val="24"/>
                <w:lang w:val="en-US" w:eastAsia="zh-CN"/>
              </w:rPr>
              <w:t>；</w:t>
            </w:r>
          </w:p>
          <w:p w14:paraId="077E291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10</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C臂旋转部分无外露电缆，便于手术室消毒</w:t>
            </w:r>
            <w:r>
              <w:rPr>
                <w:rFonts w:hint="eastAsia" w:ascii="宋体" w:hAnsi="宋体" w:eastAsia="宋体" w:cs="宋体"/>
                <w:sz w:val="24"/>
                <w:szCs w:val="24"/>
                <w:lang w:val="en-US" w:eastAsia="zh-CN"/>
              </w:rPr>
              <w:t>；</w:t>
            </w:r>
          </w:p>
          <w:p w14:paraId="27B4BD95">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w:t>
            </w:r>
            <w:r>
              <w:rPr>
                <w:rFonts w:hint="eastAsia" w:ascii="宋体" w:hAnsi="宋体" w:eastAsia="宋体" w:cs="宋体"/>
                <w:sz w:val="24"/>
                <w:szCs w:val="24"/>
                <w:lang w:val="en-US" w:eastAsia="zh-CN"/>
              </w:rPr>
              <w:t>11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激光定位功能：具备双向定位配置</w:t>
            </w:r>
            <w:r>
              <w:rPr>
                <w:rFonts w:hint="eastAsia" w:ascii="宋体" w:hAnsi="宋体" w:eastAsia="宋体" w:cs="宋体"/>
                <w:sz w:val="24"/>
                <w:szCs w:val="24"/>
                <w:lang w:val="en-US" w:eastAsia="zh-CN"/>
              </w:rPr>
              <w:t>；</w:t>
            </w:r>
          </w:p>
          <w:p w14:paraId="17F7F736">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2.6.1</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手持控制器：具备</w:t>
            </w:r>
            <w:r>
              <w:rPr>
                <w:rFonts w:hint="eastAsia" w:ascii="宋体" w:hAnsi="宋体" w:eastAsia="宋体" w:cs="宋体"/>
                <w:sz w:val="24"/>
                <w:szCs w:val="24"/>
                <w:lang w:val="en-US" w:eastAsia="zh-CN"/>
              </w:rPr>
              <w:t>；</w:t>
            </w:r>
          </w:p>
          <w:p w14:paraId="484BC4F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2.6.12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C臂机械设计：采用等中心设计</w:t>
            </w:r>
            <w:r>
              <w:rPr>
                <w:rFonts w:hint="eastAsia" w:ascii="宋体" w:hAnsi="宋体" w:eastAsia="宋体" w:cs="宋体"/>
                <w:sz w:val="24"/>
                <w:szCs w:val="24"/>
                <w:lang w:val="en-US" w:eastAsia="zh-CN"/>
              </w:rPr>
              <w:t>；</w:t>
            </w:r>
          </w:p>
          <w:p w14:paraId="5A199F4E">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三维成像功能</w:t>
            </w:r>
          </w:p>
          <w:p w14:paraId="76597A7C">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三维采集序列帧数≥</w:t>
            </w:r>
            <w:r>
              <w:rPr>
                <w:rFonts w:hint="eastAsia" w:ascii="宋体" w:hAnsi="宋体" w:eastAsia="宋体" w:cs="宋体"/>
                <w:sz w:val="24"/>
                <w:szCs w:val="24"/>
                <w:lang w:val="en-US" w:eastAsia="zh-CN"/>
              </w:rPr>
              <w:t>38</w:t>
            </w:r>
            <w:r>
              <w:rPr>
                <w:rFonts w:hint="default" w:ascii="宋体" w:hAnsi="宋体" w:eastAsia="宋体" w:cs="宋体"/>
                <w:sz w:val="24"/>
                <w:szCs w:val="24"/>
                <w:lang w:val="en-US" w:eastAsia="zh-CN"/>
              </w:rPr>
              <w:t>0帧</w:t>
            </w:r>
            <w:r>
              <w:rPr>
                <w:rFonts w:hint="eastAsia" w:ascii="宋体" w:hAnsi="宋体" w:eastAsia="宋体" w:cs="宋体"/>
                <w:sz w:val="24"/>
                <w:szCs w:val="24"/>
                <w:lang w:val="en-US" w:eastAsia="zh-CN"/>
              </w:rPr>
              <w:t>；</w:t>
            </w:r>
          </w:p>
          <w:p w14:paraId="40B839CE">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三维容积像素≥</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00×</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00×</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00</w:t>
            </w:r>
            <w:r>
              <w:rPr>
                <w:rFonts w:hint="eastAsia" w:ascii="宋体" w:hAnsi="宋体" w:eastAsia="宋体" w:cs="宋体"/>
                <w:sz w:val="24"/>
                <w:szCs w:val="24"/>
                <w:lang w:val="en-US" w:eastAsia="zh-CN"/>
              </w:rPr>
              <w:t>；</w:t>
            </w:r>
          </w:p>
          <w:p w14:paraId="189EE59C">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金属伪影处理技术MAR：可以减弱金属钉产生的射线硬化效应、部分容积效应等对断层图像的影响</w:t>
            </w:r>
            <w:r>
              <w:rPr>
                <w:rFonts w:hint="eastAsia" w:ascii="宋体" w:hAnsi="宋体" w:eastAsia="宋体" w:cs="宋体"/>
                <w:sz w:val="24"/>
                <w:szCs w:val="24"/>
                <w:lang w:val="en-US" w:eastAsia="zh-CN"/>
              </w:rPr>
              <w:t>；</w:t>
            </w:r>
          </w:p>
          <w:p w14:paraId="65186F1A">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三维图像层厚≤0.5mm；</w:t>
            </w:r>
          </w:p>
          <w:p w14:paraId="38527A4F">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2.7.</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生成DICOM格式断层序列图像，支持导出图像</w:t>
            </w:r>
            <w:r>
              <w:rPr>
                <w:rFonts w:hint="eastAsia" w:ascii="宋体" w:hAnsi="宋体" w:eastAsia="宋体" w:cs="宋体"/>
                <w:sz w:val="24"/>
                <w:szCs w:val="24"/>
                <w:lang w:val="en-US" w:eastAsia="zh-CN"/>
              </w:rPr>
              <w:t>；</w:t>
            </w:r>
          </w:p>
          <w:p w14:paraId="0EDEE69F">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滤线栅</w:t>
            </w:r>
          </w:p>
          <w:p w14:paraId="6494C22F">
            <w:pPr>
              <w:jc w:val="both"/>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★2.8.1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具备滤线栅可插拔设计：用于儿科和其他对剂量敏感的临床应用，可徒手拆卸和安装滤线栅，节约拍摄时间，提高使用效率</w:t>
            </w:r>
            <w:r>
              <w:rPr>
                <w:rFonts w:hint="eastAsia" w:ascii="宋体" w:hAnsi="宋体" w:eastAsia="宋体" w:cs="宋体"/>
                <w:sz w:val="24"/>
                <w:szCs w:val="24"/>
                <w:lang w:val="en-US" w:eastAsia="zh-CN"/>
              </w:rPr>
              <w:t>；</w:t>
            </w:r>
          </w:p>
          <w:p w14:paraId="4B1081D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具备虚拟滤波片调节功能</w:t>
            </w:r>
            <w:r>
              <w:rPr>
                <w:rFonts w:hint="eastAsia" w:ascii="宋体" w:hAnsi="宋体" w:eastAsia="宋体" w:cs="宋体"/>
                <w:sz w:val="24"/>
                <w:szCs w:val="24"/>
                <w:lang w:val="en-US" w:eastAsia="zh-CN"/>
              </w:rPr>
              <w:t>；</w:t>
            </w:r>
          </w:p>
          <w:p w14:paraId="1692214D">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具备准直器对称调节功能</w:t>
            </w:r>
            <w:r>
              <w:rPr>
                <w:rFonts w:hint="eastAsia" w:ascii="宋体" w:hAnsi="宋体" w:eastAsia="宋体" w:cs="宋体"/>
                <w:sz w:val="24"/>
                <w:szCs w:val="24"/>
                <w:lang w:val="en-US" w:eastAsia="zh-CN"/>
              </w:rPr>
              <w:t>；</w:t>
            </w:r>
          </w:p>
          <w:p w14:paraId="518C91F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具备虚拟限束器：可在无射线状态下，调整限束器视野范围，避免曝光下反复调整带来的射线辐射</w:t>
            </w:r>
            <w:r>
              <w:rPr>
                <w:rFonts w:hint="eastAsia" w:ascii="宋体" w:hAnsi="宋体" w:eastAsia="宋体" w:cs="宋体"/>
                <w:sz w:val="24"/>
                <w:szCs w:val="24"/>
                <w:lang w:val="en-US" w:eastAsia="zh-CN"/>
              </w:rPr>
              <w:t>；</w:t>
            </w:r>
          </w:p>
          <w:p w14:paraId="15095D8C">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实体滤线栅栅格比≥8：1；</w:t>
            </w:r>
          </w:p>
          <w:p w14:paraId="059FE29E">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★2.8.</w:t>
            </w:r>
            <w:r>
              <w:rPr>
                <w:rFonts w:hint="eastAsia" w:ascii="宋体" w:hAnsi="宋体" w:eastAsia="宋体" w:cs="宋体"/>
                <w:sz w:val="24"/>
                <w:szCs w:val="24"/>
                <w:lang w:val="en-US" w:eastAsia="zh-CN"/>
              </w:rPr>
              <w:t>6</w:t>
            </w:r>
            <w:r>
              <w:rPr>
                <w:rFonts w:hint="default" w:ascii="宋体" w:hAnsi="宋体" w:eastAsia="宋体" w:cs="宋体"/>
                <w:sz w:val="24"/>
                <w:szCs w:val="24"/>
                <w:lang w:val="en-US" w:eastAsia="zh-CN"/>
              </w:rPr>
              <w:tab/>
            </w:r>
            <w:r>
              <w:rPr>
                <w:rFonts w:hint="eastAsia" w:ascii="宋体" w:hAnsi="宋体" w:eastAsia="宋体" w:cs="宋体"/>
                <w:sz w:val="24"/>
                <w:szCs w:val="24"/>
                <w:lang w:val="en-US" w:eastAsia="zh-CN"/>
              </w:rPr>
              <w:t>实体滤线栅栅密度≥80L/cm；</w:t>
            </w:r>
          </w:p>
          <w:p w14:paraId="127FB1C3">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三</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其他：</w:t>
            </w:r>
          </w:p>
          <w:p w14:paraId="5AFB7564">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3.1</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可连接多品牌骨科导航机器人，图像引导手术：集成骨科手术导航定位系统接口，可传输三维重建的图像数据至导航设备，一体化配准设计，无需额外手动注册步骤，实现术中图像的实时引导规划，辅助医生精准定位手术器械和植入物，为实现手术室的数字化和智能化拓展提供可能</w:t>
            </w:r>
            <w:r>
              <w:rPr>
                <w:rFonts w:hint="eastAsia" w:ascii="宋体" w:hAnsi="宋体" w:eastAsia="宋体" w:cs="宋体"/>
                <w:sz w:val="24"/>
                <w:szCs w:val="24"/>
                <w:lang w:val="en-US" w:eastAsia="zh-CN"/>
              </w:rPr>
              <w:t>；</w:t>
            </w:r>
          </w:p>
          <w:p w14:paraId="77BBB6E1">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3.2</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搭配DAP剂量显示：在图像上实时显示单次曝光的剂量强度，便于医生掌握辐射情况，有效控制剂量摄入</w:t>
            </w:r>
            <w:r>
              <w:rPr>
                <w:rFonts w:hint="eastAsia" w:ascii="宋体" w:hAnsi="宋体" w:eastAsia="宋体" w:cs="宋体"/>
                <w:sz w:val="24"/>
                <w:szCs w:val="24"/>
                <w:lang w:val="en-US" w:eastAsia="zh-CN"/>
              </w:rPr>
              <w:t>；</w:t>
            </w:r>
          </w:p>
          <w:p w14:paraId="559E5E91">
            <w:pPr>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3.3</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设备配备内置UPS不间断电源系统，有效保护系统稳定性和病人信息</w:t>
            </w:r>
            <w:r>
              <w:rPr>
                <w:rFonts w:hint="eastAsia" w:ascii="宋体" w:hAnsi="宋体" w:eastAsia="宋体" w:cs="宋体"/>
                <w:sz w:val="24"/>
                <w:szCs w:val="24"/>
                <w:lang w:val="en-US" w:eastAsia="zh-CN"/>
              </w:rPr>
              <w:t>；</w:t>
            </w:r>
          </w:p>
          <w:p w14:paraId="14303B7C">
            <w:pP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3.4</w:t>
            </w:r>
            <w:r>
              <w:rPr>
                <w:rFonts w:hint="default" w:ascii="宋体" w:hAnsi="宋体" w:eastAsia="宋体" w:cs="宋体"/>
                <w:sz w:val="24"/>
                <w:szCs w:val="24"/>
                <w:lang w:val="en-US" w:eastAsia="zh-CN"/>
              </w:rPr>
              <w:tab/>
            </w:r>
            <w:r>
              <w:rPr>
                <w:rFonts w:hint="default" w:ascii="宋体" w:hAnsi="宋体" w:eastAsia="宋体" w:cs="宋体"/>
                <w:sz w:val="24"/>
                <w:szCs w:val="24"/>
                <w:lang w:val="en-US" w:eastAsia="zh-CN"/>
              </w:rPr>
              <w:t>设备主机、球管、工作站为同一品牌</w:t>
            </w:r>
            <w:r>
              <w:rPr>
                <w:rFonts w:hint="eastAsia" w:ascii="宋体" w:hAnsi="宋体" w:eastAsia="宋体" w:cs="宋体"/>
                <w:sz w:val="24"/>
                <w:szCs w:val="24"/>
                <w:lang w:val="en-US" w:eastAsia="zh-CN"/>
              </w:rPr>
              <w:t>；</w:t>
            </w:r>
          </w:p>
          <w:p w14:paraId="70BE9D6A">
            <w:pPr>
              <w:widowControl w:val="0"/>
              <w:spacing w:after="1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3.5 配备全碳检查床1套；</w:t>
            </w:r>
          </w:p>
          <w:p w14:paraId="0A51B331">
            <w:pPr>
              <w:widowControl w:val="0"/>
              <w:spacing w:after="120"/>
              <w:jc w:val="both"/>
              <w:rPr>
                <w:rFonts w:hint="eastAsia" w:ascii="宋体" w:hAnsi="宋体" w:eastAsia="宋体" w:cs="宋体"/>
                <w:bCs/>
                <w:color w:val="auto"/>
                <w:sz w:val="24"/>
                <w:szCs w:val="18"/>
                <w:highlight w:val="none"/>
              </w:rPr>
            </w:pPr>
            <w:r>
              <w:rPr>
                <w:rFonts w:hint="eastAsia" w:ascii="宋体" w:hAnsi="宋体" w:eastAsia="宋体" w:cs="宋体"/>
                <w:kern w:val="2"/>
                <w:sz w:val="24"/>
                <w:szCs w:val="24"/>
                <w:lang w:val="en-US" w:eastAsia="zh-CN" w:bidi="ar-SA"/>
              </w:rPr>
              <w:t>3.6设备使用年限≥10年。</w:t>
            </w:r>
          </w:p>
        </w:tc>
        <w:tc>
          <w:tcPr>
            <w:tcW w:w="621" w:type="pct"/>
            <w:vAlign w:val="center"/>
          </w:tcPr>
          <w:p w14:paraId="178821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473" w:type="pct"/>
            <w:vAlign w:val="center"/>
          </w:tcPr>
          <w:p w14:paraId="266D79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82" w:type="pct"/>
            <w:vAlign w:val="center"/>
          </w:tcPr>
          <w:p w14:paraId="5BFD58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c>
          <w:tcPr>
            <w:tcW w:w="537" w:type="pct"/>
            <w:vAlign w:val="center"/>
          </w:tcPr>
          <w:p w14:paraId="713C5E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rPr>
            </w:pPr>
          </w:p>
        </w:tc>
      </w:tr>
    </w:tbl>
    <w:p w14:paraId="202089F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1"/>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lang w:val="en-US" w:eastAsia="zh-CN"/>
        </w:rPr>
        <w:t>（二）与主要标的物配套的辅材、辅料、辅助设备等</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3"/>
        <w:gridCol w:w="1098"/>
        <w:gridCol w:w="4705"/>
        <w:gridCol w:w="992"/>
        <w:gridCol w:w="903"/>
      </w:tblGrid>
      <w:tr w14:paraId="7124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104AD3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序号</w:t>
            </w:r>
          </w:p>
        </w:tc>
        <w:tc>
          <w:tcPr>
            <w:tcW w:w="653" w:type="pct"/>
            <w:vAlign w:val="center"/>
          </w:tcPr>
          <w:p w14:paraId="3D7EE5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货物名称</w:t>
            </w:r>
          </w:p>
        </w:tc>
        <w:tc>
          <w:tcPr>
            <w:tcW w:w="2799" w:type="pct"/>
            <w:vAlign w:val="center"/>
          </w:tcPr>
          <w:p w14:paraId="09E3AA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技术参数及要求</w:t>
            </w:r>
          </w:p>
        </w:tc>
        <w:tc>
          <w:tcPr>
            <w:tcW w:w="590" w:type="pct"/>
            <w:vAlign w:val="center"/>
          </w:tcPr>
          <w:p w14:paraId="4EF432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数量</w:t>
            </w:r>
          </w:p>
          <w:p w14:paraId="711270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lang w:val="en-US" w:eastAsia="zh-CN"/>
              </w:rPr>
            </w:pPr>
            <w:r>
              <w:rPr>
                <w:rFonts w:hint="eastAsia" w:ascii="宋体" w:hAnsi="宋体" w:eastAsia="宋体" w:cs="宋体"/>
                <w:b/>
                <w:bCs/>
                <w:color w:val="auto"/>
                <w:sz w:val="24"/>
                <w:szCs w:val="18"/>
                <w:highlight w:val="none"/>
              </w:rPr>
              <w:t>（单位）</w:t>
            </w:r>
          </w:p>
        </w:tc>
        <w:tc>
          <w:tcPr>
            <w:tcW w:w="537" w:type="pct"/>
            <w:vAlign w:val="center"/>
          </w:tcPr>
          <w:p w14:paraId="1B7176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18"/>
                <w:highlight w:val="none"/>
              </w:rPr>
            </w:pPr>
            <w:r>
              <w:rPr>
                <w:rFonts w:hint="eastAsia" w:ascii="宋体" w:hAnsi="宋体" w:eastAsia="宋体" w:cs="宋体"/>
                <w:b/>
                <w:bCs/>
                <w:color w:val="auto"/>
                <w:sz w:val="24"/>
                <w:szCs w:val="18"/>
                <w:highlight w:val="none"/>
              </w:rPr>
              <w:t>备注</w:t>
            </w:r>
          </w:p>
        </w:tc>
      </w:tr>
      <w:tr w14:paraId="3DCC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6F6D3B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1</w:t>
            </w:r>
          </w:p>
        </w:tc>
        <w:tc>
          <w:tcPr>
            <w:tcW w:w="653" w:type="pct"/>
            <w:vAlign w:val="center"/>
          </w:tcPr>
          <w:p w14:paraId="17746DC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2799" w:type="pct"/>
            <w:vAlign w:val="center"/>
          </w:tcPr>
          <w:p w14:paraId="1E7442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90" w:type="pct"/>
            <w:vAlign w:val="center"/>
          </w:tcPr>
          <w:p w14:paraId="693CD35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37" w:type="pct"/>
            <w:vAlign w:val="center"/>
          </w:tcPr>
          <w:p w14:paraId="13B922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r>
      <w:tr w14:paraId="28C3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50C4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p>
        </w:tc>
        <w:tc>
          <w:tcPr>
            <w:tcW w:w="653" w:type="pct"/>
            <w:vAlign w:val="center"/>
          </w:tcPr>
          <w:p w14:paraId="1E45F1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2799" w:type="pct"/>
            <w:vAlign w:val="center"/>
          </w:tcPr>
          <w:p w14:paraId="276175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90" w:type="pct"/>
            <w:vAlign w:val="center"/>
          </w:tcPr>
          <w:p w14:paraId="213685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37" w:type="pct"/>
            <w:vAlign w:val="center"/>
          </w:tcPr>
          <w:p w14:paraId="3F9C90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r>
      <w:tr w14:paraId="2ED1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 w:hRule="atLeast"/>
          <w:jc w:val="center"/>
        </w:trPr>
        <w:tc>
          <w:tcPr>
            <w:tcW w:w="419" w:type="pct"/>
            <w:vAlign w:val="center"/>
          </w:tcPr>
          <w:p w14:paraId="013E0D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3</w:t>
            </w:r>
          </w:p>
        </w:tc>
        <w:tc>
          <w:tcPr>
            <w:tcW w:w="653" w:type="pct"/>
            <w:vAlign w:val="center"/>
          </w:tcPr>
          <w:p w14:paraId="545442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2799" w:type="pct"/>
            <w:vAlign w:val="center"/>
          </w:tcPr>
          <w:p w14:paraId="596419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90" w:type="pct"/>
            <w:vAlign w:val="center"/>
          </w:tcPr>
          <w:p w14:paraId="4BA500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c>
          <w:tcPr>
            <w:tcW w:w="537" w:type="pct"/>
            <w:vAlign w:val="center"/>
          </w:tcPr>
          <w:p w14:paraId="41BA5F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18"/>
                <w:highlight w:val="none"/>
                <w:lang w:val="en-US" w:eastAsia="zh-CN"/>
              </w:rPr>
            </w:pPr>
            <w:r>
              <w:rPr>
                <w:rFonts w:hint="eastAsia" w:ascii="宋体" w:hAnsi="宋体" w:eastAsia="宋体" w:cs="宋体"/>
                <w:bCs/>
                <w:color w:val="auto"/>
                <w:sz w:val="24"/>
                <w:szCs w:val="18"/>
                <w:highlight w:val="none"/>
                <w:lang w:val="en-US" w:eastAsia="zh-CN"/>
              </w:rPr>
              <w:t>/</w:t>
            </w:r>
          </w:p>
        </w:tc>
      </w:tr>
    </w:tbl>
    <w:p w14:paraId="0C61A59F">
      <w:pPr>
        <w:spacing w:line="360" w:lineRule="auto"/>
        <w:ind w:firstLine="437"/>
        <w:outlineLvl w:val="1"/>
        <w:rPr>
          <w:rFonts w:hint="eastAsia" w:ascii="宋体" w:hAnsi="宋体" w:eastAsia="宋体" w:cs="宋体"/>
          <w:b/>
          <w:bCs/>
          <w:color w:val="auto"/>
          <w:sz w:val="24"/>
          <w:szCs w:val="18"/>
          <w:highlight w:val="none"/>
        </w:rPr>
      </w:pPr>
    </w:p>
    <w:p w14:paraId="1ADF90CA">
      <w:pPr>
        <w:spacing w:line="360" w:lineRule="auto"/>
        <w:ind w:firstLine="437"/>
        <w:outlineLvl w:val="1"/>
        <w:rPr>
          <w:rFonts w:hint="eastAsia" w:ascii="宋体" w:hAnsi="宋体" w:eastAsia="宋体" w:cs="宋体"/>
          <w:b/>
          <w:bCs/>
          <w:color w:val="auto"/>
          <w:sz w:val="24"/>
          <w:szCs w:val="18"/>
          <w:highlight w:val="none"/>
        </w:rPr>
      </w:pPr>
      <w:bookmarkStart w:id="11" w:name="_Toc24469"/>
      <w:r>
        <w:rPr>
          <w:rFonts w:hint="eastAsia" w:ascii="宋体" w:hAnsi="宋体" w:eastAsia="宋体" w:cs="宋体"/>
          <w:b/>
          <w:bCs/>
          <w:color w:val="auto"/>
          <w:sz w:val="24"/>
          <w:szCs w:val="18"/>
          <w:highlight w:val="none"/>
        </w:rPr>
        <w:t>三、报价要求</w:t>
      </w:r>
      <w:bookmarkEnd w:id="8"/>
      <w:bookmarkEnd w:id="9"/>
      <w:bookmarkEnd w:id="10"/>
      <w:bookmarkEnd w:id="11"/>
    </w:p>
    <w:p w14:paraId="206A6343">
      <w:pPr>
        <w:spacing w:line="360" w:lineRule="auto"/>
        <w:ind w:firstLine="437"/>
        <w:rPr>
          <w:rFonts w:hint="eastAsia" w:ascii="宋体" w:hAnsi="宋体" w:eastAsia="宋体" w:cs="宋体"/>
          <w:bCs/>
          <w:color w:val="auto"/>
          <w:sz w:val="24"/>
          <w:szCs w:val="18"/>
          <w:highlight w:val="none"/>
        </w:rPr>
      </w:pPr>
      <w:r>
        <w:rPr>
          <w:rFonts w:hint="eastAsia" w:ascii="宋体" w:hAnsi="宋体" w:eastAsia="宋体"/>
          <w:bCs/>
          <w:color w:val="auto"/>
          <w:sz w:val="24"/>
          <w:szCs w:val="18"/>
          <w:highlight w:val="none"/>
          <w:lang w:val="en-US" w:eastAsia="zh-CN"/>
        </w:rPr>
        <w:t>3.1 本项目须对主要标的物报价，与主要标的物配套的辅材、辅料、辅助设备等无需报价，其价格含在主要标的物总价中。</w:t>
      </w:r>
    </w:p>
    <w:p w14:paraId="5705263E">
      <w:pPr>
        <w:spacing w:line="360" w:lineRule="auto"/>
        <w:ind w:firstLine="437"/>
        <w:outlineLvl w:val="1"/>
        <w:rPr>
          <w:rFonts w:hint="eastAsia" w:ascii="宋体" w:hAnsi="宋体" w:eastAsia="宋体" w:cs="宋体"/>
          <w:b/>
          <w:bCs/>
          <w:color w:val="auto"/>
          <w:sz w:val="24"/>
          <w:szCs w:val="18"/>
          <w:highlight w:val="none"/>
        </w:rPr>
      </w:pPr>
      <w:bookmarkStart w:id="12" w:name="_Toc15293"/>
      <w:bookmarkStart w:id="13" w:name="_Toc2674"/>
      <w:bookmarkStart w:id="14" w:name="_Toc22179"/>
      <w:bookmarkStart w:id="15" w:name="_Toc14698"/>
      <w:r>
        <w:rPr>
          <w:rFonts w:hint="eastAsia" w:ascii="宋体" w:hAnsi="宋体" w:eastAsia="宋体" w:cs="宋体"/>
          <w:b/>
          <w:bCs/>
          <w:color w:val="auto"/>
          <w:sz w:val="24"/>
          <w:szCs w:val="18"/>
          <w:highlight w:val="none"/>
        </w:rPr>
        <w:t>四、其他要求</w:t>
      </w:r>
      <w:bookmarkEnd w:id="12"/>
      <w:bookmarkEnd w:id="13"/>
      <w:bookmarkEnd w:id="14"/>
      <w:bookmarkEnd w:id="15"/>
    </w:p>
    <w:p w14:paraId="33F154FC">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 xml:space="preserve">4.1 投标人须在投标文件中明确所投产品的技术参数及品牌和型号，否则响应无效。 </w:t>
      </w:r>
    </w:p>
    <w:p w14:paraId="54A27E84">
      <w:pPr>
        <w:spacing w:line="360" w:lineRule="auto"/>
        <w:ind w:firstLine="437"/>
        <w:rPr>
          <w:rFonts w:hint="default" w:ascii="宋体" w:hAnsi="宋体" w:eastAsia="宋体"/>
          <w:bCs/>
          <w:color w:val="auto"/>
          <w:sz w:val="24"/>
          <w:szCs w:val="18"/>
          <w:highlight w:val="none"/>
          <w:lang w:val="en-US" w:eastAsia="zh-CN"/>
        </w:rPr>
      </w:pPr>
      <w:r>
        <w:rPr>
          <w:rFonts w:hint="eastAsia" w:ascii="宋体" w:hAnsi="宋体" w:eastAsia="宋体"/>
          <w:b/>
          <w:bCs w:val="0"/>
          <w:color w:val="auto"/>
          <w:sz w:val="24"/>
          <w:szCs w:val="18"/>
          <w:highlight w:val="none"/>
          <w:lang w:val="en-US" w:eastAsia="zh-CN"/>
        </w:rPr>
        <w:t>4.2 供应商须承诺，接到采购人售后维修通知后2小时内响应。（承诺函格式自拟）</w:t>
      </w:r>
    </w:p>
    <w:p w14:paraId="7AF7EA3E">
      <w:pPr>
        <w:spacing w:line="360" w:lineRule="auto"/>
        <w:ind w:firstLine="437"/>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4.3 因设备安装导致的场地改造费用，由成交方承担。</w:t>
      </w:r>
    </w:p>
    <w:p w14:paraId="5804CA63">
      <w:pPr>
        <w:spacing w:line="360" w:lineRule="auto"/>
        <w:ind w:firstLine="437"/>
      </w:pPr>
      <w:bookmarkStart w:id="16" w:name="_GoBack"/>
      <w:bookmarkEnd w:id="16"/>
      <w:r>
        <w:rPr>
          <w:rFonts w:hint="eastAsia" w:ascii="宋体" w:hAnsi="宋体" w:eastAsia="宋体"/>
          <w:bCs/>
          <w:color w:val="auto"/>
          <w:sz w:val="24"/>
          <w:szCs w:val="18"/>
          <w:highlight w:val="none"/>
          <w:lang w:val="en-US" w:eastAsia="zh-CN"/>
        </w:rPr>
        <w:t>4.4供应商须在响应文件中提供所投产品对应且有效的医疗器械注册证或备案凭证。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588DD"/>
    <w:multiLevelType w:val="singleLevel"/>
    <w:tmpl w:val="676588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A40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4">
    <w:name w:val="Table Grid"/>
    <w:basedOn w:val="3"/>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D&amp;L"/>
    <w:basedOn w:val="2"/>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7">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2026-11-03T05:37:20Z</dcterms:created>
  <dc:creator>Administrator</dc:creator>
  <cp:lastModifiedBy>李健</cp:lastModifiedBy>
  <dcterms:modified xsi:type="dcterms:W3CDTF">2026-11-03T05:37:41Z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eyJoZGlkIjoiNzk2MDYzYTgzYTRlNDFkZjUxZDgxODE4ZmI2NjkwM2EiLCJ1c2VySWQiOiIyNTg1ODEyNyJ9</vt:lpwstr>
  </property>
  <property fmtid="{D5CDD505-2E9C-101B-9397-08002B2CF9AE}" pid="4" name="ICV">
    <vt:lpwstr>0EF429D007264FDF801F5027940A3D0F_12</vt:lpwstr>
  </property>
</Properties>
</file>