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C19A">
      <w:pPr>
        <w:pStyle w:val="21"/>
        <w:spacing w:before="156" w:after="156"/>
        <w:rPr>
          <w:rFonts w:hint="eastAsia" w:ascii="仿宋" w:hAnsi="仿宋" w:eastAsia="仿宋"/>
          <w:b/>
          <w:bCs w:val="0"/>
          <w:color w:val="000000" w:themeColor="text1"/>
          <w14:textFill>
            <w14:solidFill>
              <w14:schemeClr w14:val="tx1"/>
            </w14:solidFill>
          </w14:textFill>
        </w:rPr>
      </w:pPr>
      <w:bookmarkStart w:id="0" w:name="_Toc131613215"/>
      <w:bookmarkStart w:id="1" w:name="_Toc130759698"/>
      <w:bookmarkStart w:id="2" w:name="_Toc133231636"/>
      <w:bookmarkStart w:id="19" w:name="_GoBack"/>
      <w:r>
        <w:rPr>
          <w:rFonts w:ascii="仿宋" w:hAnsi="仿宋" w:eastAsia="仿宋"/>
          <w:b/>
          <w:bCs w:val="0"/>
          <w:color w:val="000000" w:themeColor="text1"/>
          <w14:textFill>
            <w14:solidFill>
              <w14:schemeClr w14:val="tx1"/>
            </w14:solidFill>
          </w14:textFill>
        </w:rPr>
        <w:t>皖西卫生职业学院数据中心机房核心安全设备采购与延保服务项目采购需求</w:t>
      </w:r>
    </w:p>
    <w:bookmarkEnd w:id="19"/>
    <w:p w14:paraId="27EEF475">
      <w:pPr>
        <w:pStyle w:val="5"/>
        <w:numPr>
          <w:ilvl w:val="0"/>
          <w:numId w:val="1"/>
        </w:numPr>
        <w:tabs>
          <w:tab w:val="left" w:pos="561"/>
        </w:tabs>
        <w:ind w:left="1123" w:hanging="561"/>
        <w:rPr>
          <w:rFonts w:hint="eastAsia" w:ascii="仿宋" w:hAnsi="仿宋" w:eastAsia="仿宋"/>
          <w:color w:val="000000" w:themeColor="text1"/>
          <w14:textFill>
            <w14:solidFill>
              <w14:schemeClr w14:val="tx1"/>
            </w14:solidFill>
          </w14:textFill>
        </w:rPr>
      </w:pPr>
      <w:bookmarkStart w:id="3" w:name="_Toc28359012"/>
      <w:bookmarkStart w:id="4" w:name="_Toc28359089"/>
      <w:bookmarkStart w:id="5" w:name="_Toc35393629"/>
      <w:bookmarkStart w:id="6" w:name="_Toc35393798"/>
      <w:bookmarkStart w:id="7" w:name="_Toc25634"/>
      <w:r>
        <w:rPr>
          <w:rFonts w:ascii="仿宋" w:hAnsi="仿宋" w:eastAsia="仿宋"/>
          <w:color w:val="000000" w:themeColor="text1"/>
          <w14:textFill>
            <w14:solidFill>
              <w14:schemeClr w14:val="tx1"/>
            </w14:solidFill>
          </w14:textFill>
        </w:rPr>
        <w:t>项目基本情况</w:t>
      </w:r>
      <w:bookmarkEnd w:id="3"/>
      <w:bookmarkEnd w:id="4"/>
      <w:bookmarkEnd w:id="5"/>
      <w:bookmarkEnd w:id="6"/>
      <w:bookmarkEnd w:id="7"/>
      <w:r>
        <w:rPr>
          <w:rFonts w:ascii="仿宋" w:hAnsi="仿宋" w:eastAsia="仿宋"/>
          <w:color w:val="000000" w:themeColor="text1"/>
          <w14:textFill>
            <w14:solidFill>
              <w14:schemeClr w14:val="tx1"/>
            </w14:solidFill>
          </w14:textFill>
        </w:rPr>
        <w:t>：</w:t>
      </w:r>
    </w:p>
    <w:p w14:paraId="1524F93C">
      <w:pPr>
        <w:pStyle w:val="3"/>
        <w:numPr>
          <w:ilvl w:val="0"/>
          <w:numId w:val="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项目名称：皖西卫生职业学院数据中心机房核心安全设备采购与延保服务项目。</w:t>
      </w:r>
    </w:p>
    <w:p w14:paraId="467A2646">
      <w:pPr>
        <w:pStyle w:val="3"/>
        <w:numPr>
          <w:ilvl w:val="0"/>
          <w:numId w:val="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项目类型：货物类</w:t>
      </w:r>
    </w:p>
    <w:p w14:paraId="571B1D1A">
      <w:pPr>
        <w:pStyle w:val="3"/>
        <w:numPr>
          <w:ilvl w:val="0"/>
          <w:numId w:val="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采购方式：竞争性谈判</w:t>
      </w:r>
    </w:p>
    <w:p w14:paraId="463847D6">
      <w:pPr>
        <w:pStyle w:val="3"/>
        <w:numPr>
          <w:ilvl w:val="0"/>
          <w:numId w:val="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预算金额：87.78万元。</w:t>
      </w:r>
    </w:p>
    <w:p w14:paraId="7828AAF7">
      <w:pPr>
        <w:pStyle w:val="3"/>
        <w:numPr>
          <w:ilvl w:val="0"/>
          <w:numId w:val="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标段（包别）划分：不分包。</w:t>
      </w:r>
    </w:p>
    <w:p w14:paraId="4B33B7D9">
      <w:pPr>
        <w:pStyle w:val="3"/>
        <w:numPr>
          <w:ilvl w:val="0"/>
          <w:numId w:val="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合同履行期限：合同签订生效后30日内。</w:t>
      </w:r>
    </w:p>
    <w:p w14:paraId="1A20CBE3">
      <w:pPr>
        <w:pStyle w:val="3"/>
        <w:numPr>
          <w:ilvl w:val="0"/>
          <w:numId w:val="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采购需求：为切实保障校园数据中心机房物理安全、网络安全，持续提供安全、高效、高质量的信息化服务，本此项目计划采购出口防火墙、上网行为管理、日志分析管理、安全资源池交换机、潜伏威胁感知探测设备等设备，同步推进校园网站群等核心业务系统网络安全等级保护二级评定工作。</w:t>
      </w:r>
    </w:p>
    <w:p w14:paraId="773A84F3">
      <w:pPr>
        <w:pStyle w:val="3"/>
        <w:numPr>
          <w:ilvl w:val="0"/>
          <w:numId w:val="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是否接受联合体：本项目不接受联合体。</w:t>
      </w:r>
    </w:p>
    <w:p w14:paraId="1B0B550B">
      <w:pPr>
        <w:pStyle w:val="5"/>
        <w:numPr>
          <w:ilvl w:val="0"/>
          <w:numId w:val="1"/>
        </w:numPr>
        <w:tabs>
          <w:tab w:val="left" w:pos="561"/>
        </w:tabs>
        <w:ind w:left="1123" w:hanging="561"/>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投标人资质要求：</w:t>
      </w:r>
    </w:p>
    <w:p w14:paraId="1CCA36BA">
      <w:pPr>
        <w:pStyle w:val="3"/>
        <w:numPr>
          <w:ilvl w:val="0"/>
          <w:numId w:val="3"/>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满足《中华人民共和国政府采购法》第二十二条规定；</w:t>
      </w:r>
    </w:p>
    <w:p w14:paraId="14A24C19">
      <w:pPr>
        <w:pStyle w:val="3"/>
        <w:numPr>
          <w:ilvl w:val="0"/>
          <w:numId w:val="3"/>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落实政府采购政策需满足的资格要求：本项目为非专门面向中小企业采购的项目；</w:t>
      </w:r>
    </w:p>
    <w:p w14:paraId="314E1C59">
      <w:pPr>
        <w:pStyle w:val="3"/>
        <w:numPr>
          <w:ilvl w:val="0"/>
          <w:numId w:val="3"/>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本项目的特定资格要求：无。</w:t>
      </w:r>
    </w:p>
    <w:bookmarkEnd w:id="0"/>
    <w:bookmarkEnd w:id="1"/>
    <w:bookmarkEnd w:id="2"/>
    <w:p w14:paraId="1CA23DD4">
      <w:pPr>
        <w:pStyle w:val="5"/>
        <w:numPr>
          <w:ilvl w:val="0"/>
          <w:numId w:val="1"/>
        </w:numPr>
        <w:tabs>
          <w:tab w:val="left" w:pos="561"/>
        </w:tabs>
        <w:ind w:left="1123" w:hanging="561"/>
        <w:rPr>
          <w:rFonts w:hint="eastAsia" w:ascii="仿宋" w:hAnsi="仿宋" w:eastAsia="仿宋"/>
          <w:color w:val="000000" w:themeColor="text1"/>
          <w14:textFill>
            <w14:solidFill>
              <w14:schemeClr w14:val="tx1"/>
            </w14:solidFill>
          </w14:textFill>
        </w:rPr>
      </w:pPr>
      <w:bookmarkStart w:id="8" w:name="_Toc133231637"/>
      <w:bookmarkStart w:id="9" w:name="_Toc133231640"/>
      <w:bookmarkStart w:id="10" w:name="_Toc131613220"/>
      <w:bookmarkStart w:id="11" w:name="_Toc130759709"/>
      <w:r>
        <w:rPr>
          <w:rFonts w:ascii="仿宋" w:hAnsi="仿宋" w:eastAsia="仿宋"/>
          <w:color w:val="000000" w:themeColor="text1"/>
          <w14:textFill>
            <w14:solidFill>
              <w14:schemeClr w14:val="tx1"/>
            </w14:solidFill>
          </w14:textFill>
        </w:rPr>
        <w:t>采购需求：</w:t>
      </w:r>
      <w:bookmarkEnd w:id="8"/>
    </w:p>
    <w:bookmarkEnd w:id="9"/>
    <w:bookmarkEnd w:id="10"/>
    <w:bookmarkEnd w:id="11"/>
    <w:p w14:paraId="172AAA09">
      <w:pPr>
        <w:pStyle w:val="6"/>
        <w:numPr>
          <w:ilvl w:val="0"/>
          <w:numId w:val="4"/>
        </w:numPr>
        <w:tabs>
          <w:tab w:val="left" w:pos="1400"/>
        </w:tabs>
        <w:ind w:firstLineChars="0"/>
        <w:rPr>
          <w:rFonts w:hint="eastAsia" w:cstheme="majorEastAsia"/>
          <w:b/>
          <w:bCs/>
          <w:color w:val="000000" w:themeColor="text1"/>
          <w14:textFill>
            <w14:solidFill>
              <w14:schemeClr w14:val="tx1"/>
            </w14:solidFill>
          </w14:textFill>
        </w:rPr>
      </w:pPr>
      <w:r>
        <w:rPr>
          <w:rFonts w:hint="eastAsia" w:cstheme="majorEastAsia"/>
          <w:b/>
          <w:bCs/>
          <w:color w:val="000000" w:themeColor="text1"/>
          <w14:textFill>
            <w14:solidFill>
              <w14:schemeClr w14:val="tx1"/>
            </w14:solidFill>
          </w14:textFill>
        </w:rPr>
        <w:t>建设目标</w:t>
      </w:r>
    </w:p>
    <w:p w14:paraId="5AC9E1B3">
      <w:pPr>
        <w:pStyle w:val="7"/>
        <w:numPr>
          <w:ilvl w:val="0"/>
          <w:numId w:val="5"/>
        </w:numPr>
        <w:tabs>
          <w:tab w:val="left" w:pos="1204"/>
        </w:tabs>
        <w:ind w:firstLine="482"/>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总体目标</w:t>
      </w:r>
    </w:p>
    <w:p w14:paraId="0DE48658">
      <w:pPr>
        <w:pStyle w:val="3"/>
        <w:widowControl/>
        <w:pBdr>
          <w:top w:val="none" w:color="auto" w:sz="0" w:space="0"/>
          <w:left w:val="none" w:color="auto" w:sz="0" w:space="0"/>
          <w:bottom w:val="none" w:color="auto" w:sz="0" w:space="0"/>
          <w:right w:val="none" w:color="auto" w:sz="0" w:space="0"/>
        </w:pBdr>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为切实保障校园数据中心机房物理安全、网络安全，持续提供安全、高效、高质量的信息化服务，通过构建全方位、多层次的网络安全技术防护体系，本次项目采购出口边界防护系统、上网行为管理系统、虚拟化服务器区终端防护系统、潜伏威胁感知探测系统等设备，实现与学校现有安全运营服务平台的无缝对接，打通网侧、端侧数据链路，达成数据集中归集、统一分析、智能研判、联动处置的闭环管理，同步完成核心业务系统网络安全等级保护二级整改工作，全面提升校园网络与信息系统的安全防护能力、威胁感知能力、应急处置能力和安全管理水平，保障教学、科研、管理等核心业务的连续稳定运行，筑牢校园网络安全防线，实现安全运营的集约化、智能化、自动化。</w:t>
      </w:r>
    </w:p>
    <w:p w14:paraId="13028A2E">
      <w:pPr>
        <w:pStyle w:val="7"/>
        <w:numPr>
          <w:ilvl w:val="0"/>
          <w:numId w:val="5"/>
        </w:numPr>
        <w:tabs>
          <w:tab w:val="left" w:pos="1204"/>
        </w:tabs>
        <w:ind w:firstLine="482"/>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具体目标</w:t>
      </w:r>
    </w:p>
    <w:p w14:paraId="637BC0A1">
      <w:pPr>
        <w:pStyle w:val="3"/>
        <w:numPr>
          <w:ilvl w:val="0"/>
          <w:numId w:val="6"/>
        </w:numPr>
        <w:pBdr>
          <w:top w:val="none" w:color="auto" w:sz="0" w:space="0"/>
          <w:left w:val="none" w:color="auto" w:sz="0" w:space="0"/>
          <w:bottom w:val="none" w:color="auto" w:sz="0" w:space="0"/>
          <w:right w:val="none" w:color="auto" w:sz="0" w:space="0"/>
        </w:pBdr>
        <w:tabs>
          <w:tab w:val="left" w:pos="984"/>
        </w:tabs>
        <w:ind w:left="0" w:firstLine="562"/>
        <w:rPr>
          <w:rFonts w:hAnsi="仿宋"/>
          <w:b/>
          <w:color w:val="000000" w:themeColor="text1"/>
          <w14:textFill>
            <w14:solidFill>
              <w14:schemeClr w14:val="tx1"/>
            </w14:solidFill>
          </w14:textFill>
        </w:rPr>
      </w:pPr>
      <w:r>
        <w:rPr>
          <w:rFonts w:hAnsi="仿宋"/>
          <w:b/>
          <w:color w:val="000000" w:themeColor="text1"/>
          <w14:textFill>
            <w14:solidFill>
              <w14:schemeClr w14:val="tx1"/>
            </w14:solidFill>
          </w14:textFill>
        </w:rPr>
        <w:t>安全防护能力提升：</w:t>
      </w:r>
      <w:r>
        <w:rPr>
          <w:rFonts w:hAnsi="仿宋"/>
          <w:color w:val="000000" w:themeColor="text1"/>
          <w14:textFill>
            <w14:solidFill>
              <w14:schemeClr w14:val="tx1"/>
            </w14:solidFill>
          </w14:textFill>
        </w:rPr>
        <w:t>部署完善的网络安全设备，实现边界防护、行为管控、威胁监测、终端防护等全流程安全能力覆盖，有效抵御各类网络攻击与安全威胁；其中出口边界防护系统、上网行为管理系统、虚拟化服务器区终端防护系统、潜伏威胁感知探测系统采购后，全面对接学校现有安全运营服务平台，实现网侧（边界、行为、威胁探测）、端侧（虚拟化终端）数据全量上传至平台，完成数据汇总与关联分析，实现告警削减、事件聚合，精准输出告警信息及事件分析报告，提升威胁识别的精准度；通过平台联动可以实现目前对采购人校园网进行全年7*24小时远程值守的专业安全运维人员能通过安全运营服务平台实时下发处置策略，实现安全事件的自动化、精准化处置，减少人工干预，提升处置效率，形成“探测-告警-分析-处置-复盘”的安全闭环。</w:t>
      </w:r>
    </w:p>
    <w:p w14:paraId="1D99C9FD">
      <w:pPr>
        <w:pStyle w:val="3"/>
        <w:numPr>
          <w:ilvl w:val="0"/>
          <w:numId w:val="6"/>
        </w:numPr>
        <w:pBdr>
          <w:top w:val="none" w:color="auto" w:sz="0" w:space="0"/>
          <w:left w:val="none" w:color="auto" w:sz="0" w:space="0"/>
          <w:bottom w:val="none" w:color="auto" w:sz="0" w:space="0"/>
          <w:right w:val="none" w:color="auto" w:sz="0" w:space="0"/>
        </w:pBdr>
        <w:tabs>
          <w:tab w:val="left" w:pos="984"/>
        </w:tabs>
        <w:ind w:left="0" w:firstLine="562"/>
        <w:rPr>
          <w:rFonts w:hAnsi="仿宋"/>
          <w:b/>
          <w:color w:val="000000" w:themeColor="text1"/>
          <w14:textFill>
            <w14:solidFill>
              <w14:schemeClr w14:val="tx1"/>
            </w14:solidFill>
          </w14:textFill>
        </w:rPr>
      </w:pPr>
      <w:r>
        <w:rPr>
          <w:rFonts w:hAnsi="仿宋"/>
          <w:b/>
          <w:color w:val="000000" w:themeColor="text1"/>
          <w14:textFill>
            <w14:solidFill>
              <w14:schemeClr w14:val="tx1"/>
            </w14:solidFill>
          </w14:textFill>
        </w:rPr>
        <w:t>合规管理目标：</w:t>
      </w:r>
      <w:r>
        <w:rPr>
          <w:rFonts w:hAnsi="仿宋"/>
          <w:color w:val="000000" w:themeColor="text1"/>
          <w14:textFill>
            <w14:solidFill>
              <w14:schemeClr w14:val="tx1"/>
            </w14:solidFill>
          </w14:textFill>
        </w:rPr>
        <w:t>完成校园网站群等核心业务系统测评要求，满足《网络安全法》《网络安全等级保护条例》等国家法律法规要求；依托安全运营服务平台与各新增设备的对接，实现网端侧安全数据的可追溯、可审计，留存完整的安全事件处置记录，助力等保二级整改工作落地，确保合规达标。</w:t>
      </w:r>
    </w:p>
    <w:p w14:paraId="2FE6BF29">
      <w:pPr>
        <w:pStyle w:val="3"/>
        <w:numPr>
          <w:ilvl w:val="0"/>
          <w:numId w:val="6"/>
        </w:numPr>
        <w:pBdr>
          <w:top w:val="none" w:color="auto" w:sz="0" w:space="0"/>
          <w:left w:val="none" w:color="auto" w:sz="0" w:space="0"/>
          <w:bottom w:val="none" w:color="auto" w:sz="0" w:space="0"/>
          <w:right w:val="none" w:color="auto" w:sz="0" w:space="0"/>
        </w:pBdr>
        <w:tabs>
          <w:tab w:val="left" w:pos="984"/>
        </w:tabs>
        <w:ind w:left="0" w:firstLine="562"/>
        <w:rPr>
          <w:rFonts w:hAnsi="仿宋"/>
          <w:b/>
          <w:color w:val="000000" w:themeColor="text1"/>
          <w14:textFill>
            <w14:solidFill>
              <w14:schemeClr w14:val="tx1"/>
            </w14:solidFill>
          </w14:textFill>
        </w:rPr>
      </w:pPr>
      <w:r>
        <w:rPr>
          <w:rFonts w:hAnsi="仿宋"/>
          <w:b/>
          <w:color w:val="000000" w:themeColor="text1"/>
          <w14:textFill>
            <w14:solidFill>
              <w14:schemeClr w14:val="tx1"/>
            </w14:solidFill>
          </w14:textFill>
        </w:rPr>
        <w:t>运维保障目标：</w:t>
      </w:r>
      <w:r>
        <w:rPr>
          <w:rFonts w:hAnsi="仿宋"/>
          <w:color w:val="000000" w:themeColor="text1"/>
          <w14:textFill>
            <w14:solidFill>
              <w14:schemeClr w14:val="tx1"/>
            </w14:solidFill>
          </w14:textFill>
        </w:rPr>
        <w:t>建立集中化日志分析与安全管理机制，结合各新增设备与安全运营服务平台的对接优势，实现网端侧安全事件可追溯、可审计，提升运维效率与故障处置响应速度；通过平台对各设备运行状态、安全事件的统一监控，实现运维工作的集约化管理，降低运维成本，及时发现并处置设备异常及安全隐患。</w:t>
      </w:r>
    </w:p>
    <w:p w14:paraId="42404FFA">
      <w:pPr>
        <w:pStyle w:val="3"/>
        <w:numPr>
          <w:ilvl w:val="0"/>
          <w:numId w:val="6"/>
        </w:numPr>
        <w:pBdr>
          <w:top w:val="none" w:color="auto" w:sz="0" w:space="0"/>
          <w:left w:val="none" w:color="auto" w:sz="0" w:space="0"/>
          <w:bottom w:val="none" w:color="auto" w:sz="0" w:space="0"/>
          <w:right w:val="none" w:color="auto" w:sz="0" w:space="0"/>
        </w:pBdr>
        <w:tabs>
          <w:tab w:val="left" w:pos="984"/>
        </w:tabs>
        <w:ind w:left="0" w:firstLine="562"/>
        <w:rPr>
          <w:rFonts w:hAnsi="仿宋"/>
          <w:b/>
          <w:color w:val="000000" w:themeColor="text1"/>
          <w14:textFill>
            <w14:solidFill>
              <w14:schemeClr w14:val="tx1"/>
            </w14:solidFill>
          </w14:textFill>
        </w:rPr>
      </w:pPr>
      <w:r>
        <w:rPr>
          <w:rFonts w:hAnsi="仿宋"/>
          <w:b/>
          <w:color w:val="000000" w:themeColor="text1"/>
          <w14:textFill>
            <w14:solidFill>
              <w14:schemeClr w14:val="tx1"/>
            </w14:solidFill>
          </w14:textFill>
        </w:rPr>
        <w:t>服务支撑目标：</w:t>
      </w:r>
      <w:r>
        <w:rPr>
          <w:rFonts w:hAnsi="仿宋"/>
          <w:color w:val="000000" w:themeColor="text1"/>
          <w14:textFill>
            <w14:solidFill>
              <w14:schemeClr w14:val="tx1"/>
            </w14:solidFill>
          </w14:textFill>
        </w:rPr>
        <w:t>保障数据中心机房及核心业务系统的高可用性、高可靠性，通过各新增安全设备与安全运营服务平台的协同联动，提升校园网络与信息系统的稳定性，为全院师生提供持续稳定的信息化服务支撑；依托平台的智能研判与自动化处置能力，减少安全事件对教学、科研、管理等核心业务的影响，保障业务连续运行。</w:t>
      </w:r>
    </w:p>
    <w:p w14:paraId="3848F99F">
      <w:pPr>
        <w:pStyle w:val="6"/>
        <w:numPr>
          <w:ilvl w:val="0"/>
          <w:numId w:val="4"/>
        </w:numPr>
        <w:tabs>
          <w:tab w:val="left" w:pos="1400"/>
        </w:tabs>
        <w:ind w:firstLineChars="0"/>
        <w:rPr>
          <w:rFonts w:hint="eastAsia" w:cstheme="majorEastAsia"/>
          <w:b/>
          <w:bCs/>
          <w:color w:val="000000" w:themeColor="text1"/>
          <w14:textFill>
            <w14:solidFill>
              <w14:schemeClr w14:val="tx1"/>
            </w14:solidFill>
          </w14:textFill>
        </w:rPr>
      </w:pPr>
      <w:r>
        <w:rPr>
          <w:rFonts w:hint="eastAsia" w:cstheme="majorEastAsia"/>
          <w:b/>
          <w:bCs/>
          <w:color w:val="000000" w:themeColor="text1"/>
          <w14:textFill>
            <w14:solidFill>
              <w14:schemeClr w14:val="tx1"/>
            </w14:solidFill>
          </w14:textFill>
        </w:rPr>
        <w:t>项目建设内容</w:t>
      </w:r>
    </w:p>
    <w:p w14:paraId="629D0D65">
      <w:pPr>
        <w:pStyle w:val="3"/>
        <w:pBdr>
          <w:top w:val="none" w:color="auto" w:sz="0" w:space="0"/>
          <w:left w:val="none" w:color="auto" w:sz="0" w:space="0"/>
          <w:bottom w:val="none" w:color="auto" w:sz="0" w:space="0"/>
          <w:right w:val="none" w:color="auto" w:sz="0" w:space="0"/>
        </w:pBdr>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本次项目建设内容如下：</w:t>
      </w:r>
    </w:p>
    <w:p w14:paraId="3E17C438">
      <w:pPr>
        <w:pStyle w:val="3"/>
        <w:widowControl/>
        <w:numPr>
          <w:ilvl w:val="0"/>
          <w:numId w:val="7"/>
        </w:numPr>
        <w:pBdr>
          <w:top w:val="none" w:color="auto" w:sz="0" w:space="0"/>
          <w:left w:val="none" w:color="auto" w:sz="0" w:space="0"/>
          <w:bottom w:val="none" w:color="auto" w:sz="0" w:space="0"/>
          <w:right w:val="none" w:color="auto" w:sz="0" w:space="0"/>
        </w:pBdr>
        <w:tabs>
          <w:tab w:val="left" w:pos="1260"/>
        </w:tabs>
        <w:ind w:firstLine="562"/>
        <w:rPr>
          <w:rFonts w:hAnsi="仿宋"/>
          <w:color w:val="000000" w:themeColor="text1"/>
          <w14:textFill>
            <w14:solidFill>
              <w14:schemeClr w14:val="tx1"/>
            </w14:solidFill>
          </w14:textFill>
        </w:rPr>
      </w:pPr>
      <w:r>
        <w:rPr>
          <w:rStyle w:val="26"/>
          <w:rFonts w:hAnsi="仿宋"/>
          <w:bCs/>
          <w:color w:val="000000" w:themeColor="text1"/>
          <w14:textFill>
            <w14:solidFill>
              <w14:schemeClr w14:val="tx1"/>
            </w14:solidFill>
          </w14:textFill>
        </w:rPr>
        <w:t>边界防护升级</w:t>
      </w:r>
      <w:r>
        <w:rPr>
          <w:rFonts w:hAnsi="仿宋"/>
          <w:b/>
          <w:bCs/>
          <w:color w:val="000000" w:themeColor="text1"/>
          <w14:textFill>
            <w14:solidFill>
              <w14:schemeClr w14:val="tx1"/>
            </w14:solidFill>
          </w14:textFill>
        </w:rPr>
        <w:t>：</w:t>
      </w:r>
      <w:r>
        <w:rPr>
          <w:rFonts w:hAnsi="仿宋"/>
          <w:color w:val="000000" w:themeColor="text1"/>
          <w14:textFill>
            <w14:solidFill>
              <w14:schemeClr w14:val="tx1"/>
            </w14:solidFill>
          </w14:textFill>
        </w:rPr>
        <w:t>在校园办公网出口位置部署2台具备入侵防御、防病毒、僵尸网络防御、云威胁情报网关功能于一体的下一代高性能防火墙，提升目前校园办公网安全防护设备的性能，实现网络边界防护功能；该设备将对接学校现有安全运营服务平台，实现边界威胁流量、攻击事件等数据上传，接收平台下发的拦截策略，实现自动化威胁阻断。</w:t>
      </w:r>
    </w:p>
    <w:p w14:paraId="30CF5ABB">
      <w:pPr>
        <w:pStyle w:val="3"/>
        <w:widowControl/>
        <w:numPr>
          <w:ilvl w:val="0"/>
          <w:numId w:val="7"/>
        </w:numPr>
        <w:pBdr>
          <w:top w:val="none" w:color="auto" w:sz="0" w:space="0"/>
          <w:left w:val="none" w:color="auto" w:sz="0" w:space="0"/>
          <w:bottom w:val="none" w:color="auto" w:sz="0" w:space="0"/>
          <w:right w:val="none" w:color="auto" w:sz="0" w:space="0"/>
        </w:pBdr>
        <w:tabs>
          <w:tab w:val="left" w:pos="1260"/>
        </w:tabs>
        <w:ind w:firstLine="562"/>
        <w:rPr>
          <w:rFonts w:hAnsi="仿宋"/>
          <w:color w:val="000000" w:themeColor="text1"/>
          <w14:textFill>
            <w14:solidFill>
              <w14:schemeClr w14:val="tx1"/>
            </w14:solidFill>
          </w14:textFill>
        </w:rPr>
      </w:pPr>
      <w:r>
        <w:rPr>
          <w:rFonts w:hAnsi="仿宋"/>
          <w:b/>
          <w:bCs/>
          <w:color w:val="000000" w:themeColor="text1"/>
          <w14:textFill>
            <w14:solidFill>
              <w14:schemeClr w14:val="tx1"/>
            </w14:solidFill>
          </w14:textFill>
        </w:rPr>
        <w:t>行为管控升级：</w:t>
      </w:r>
      <w:r>
        <w:rPr>
          <w:rFonts w:hAnsi="仿宋"/>
          <w:color w:val="000000" w:themeColor="text1"/>
          <w14:textFill>
            <w14:solidFill>
              <w14:schemeClr w14:val="tx1"/>
            </w14:solidFill>
          </w14:textFill>
        </w:rPr>
        <w:t>在校园网络主链路处部署1台高性能上网行为管理系统，替换学校现有因性能不足只能旁路部署在安全服务链上的仅发挥行为审计功能的上网行为管理系统。通过对上网行为管理系统的升级替换，实现对校园网上网行为的管控功能；该系统对接安全运营服务平台，上传上网行为日志、异常访问数据等，支撑平台对上网行为的合规审计与异常行为研判，联动终端防护系统实现精准管控。。</w:t>
      </w:r>
    </w:p>
    <w:p w14:paraId="1DD88F3A">
      <w:pPr>
        <w:pStyle w:val="3"/>
        <w:numPr>
          <w:ilvl w:val="0"/>
          <w:numId w:val="7"/>
        </w:numPr>
        <w:pBdr>
          <w:top w:val="none" w:color="auto" w:sz="0" w:space="0"/>
          <w:left w:val="none" w:color="auto" w:sz="0" w:space="0"/>
          <w:bottom w:val="none" w:color="auto" w:sz="0" w:space="0"/>
          <w:right w:val="none" w:color="auto" w:sz="0" w:space="0"/>
        </w:pBdr>
        <w:tabs>
          <w:tab w:val="left" w:pos="1260"/>
        </w:tabs>
        <w:ind w:firstLine="562"/>
        <w:rPr>
          <w:rFonts w:hAnsi="仿宋"/>
          <w:color w:val="000000" w:themeColor="text1"/>
          <w14:textFill>
            <w14:solidFill>
              <w14:schemeClr w14:val="tx1"/>
            </w14:solidFill>
          </w14:textFill>
        </w:rPr>
      </w:pPr>
      <w:r>
        <w:rPr>
          <w:rFonts w:hAnsi="仿宋"/>
          <w:b/>
          <w:bCs/>
          <w:color w:val="000000" w:themeColor="text1"/>
          <w14:textFill>
            <w14:solidFill>
              <w14:schemeClr w14:val="tx1"/>
            </w14:solidFill>
          </w14:textFill>
        </w:rPr>
        <w:t>日志审计系统升级：</w:t>
      </w:r>
      <w:r>
        <w:rPr>
          <w:rFonts w:hAnsi="仿宋"/>
          <w:color w:val="000000" w:themeColor="text1"/>
          <w14:textFill>
            <w14:solidFill>
              <w14:schemeClr w14:val="tx1"/>
            </w14:solidFill>
          </w14:textFill>
        </w:rPr>
        <w:t>现有的日志审计系统已经使用多年，随着学校网络设备及业务系统数量不断增加，现有日志审计系统已无法满足等保要求网络日志保存时间的要求，本次项目需对现有的日志审计系统进行更新升级以满足学校日常网络安全运维及等保合规要求。</w:t>
      </w:r>
    </w:p>
    <w:p w14:paraId="17FB6F00">
      <w:pPr>
        <w:pStyle w:val="3"/>
        <w:numPr>
          <w:ilvl w:val="0"/>
          <w:numId w:val="7"/>
        </w:numPr>
        <w:pBdr>
          <w:top w:val="none" w:color="auto" w:sz="0" w:space="0"/>
          <w:left w:val="none" w:color="auto" w:sz="0" w:space="0"/>
          <w:bottom w:val="none" w:color="auto" w:sz="0" w:space="0"/>
          <w:right w:val="none" w:color="auto" w:sz="0" w:space="0"/>
        </w:pBdr>
        <w:tabs>
          <w:tab w:val="left" w:pos="1260"/>
        </w:tabs>
        <w:ind w:firstLine="562"/>
        <w:rPr>
          <w:rFonts w:hAnsi="仿宋"/>
          <w:color w:val="000000" w:themeColor="text1"/>
          <w14:textFill>
            <w14:solidFill>
              <w14:schemeClr w14:val="tx1"/>
            </w14:solidFill>
          </w14:textFill>
        </w:rPr>
      </w:pPr>
      <w:r>
        <w:rPr>
          <w:rFonts w:hAnsi="仿宋"/>
          <w:b/>
          <w:bCs/>
          <w:color w:val="000000" w:themeColor="text1"/>
          <w14:textFill>
            <w14:solidFill>
              <w14:schemeClr w14:val="tx1"/>
            </w14:solidFill>
          </w14:textFill>
        </w:rPr>
        <w:t>Web应用防护系统升级：</w:t>
      </w:r>
      <w:r>
        <w:rPr>
          <w:rFonts w:hAnsi="仿宋"/>
          <w:color w:val="000000" w:themeColor="text1"/>
          <w14:textFill>
            <w14:solidFill>
              <w14:schemeClr w14:val="tx1"/>
            </w14:solidFill>
          </w14:textFill>
        </w:rPr>
        <w:t>对现有服务器前区2台WAF都进行库升级，以实现数据中心层的横向安全防护及等保合规要求。</w:t>
      </w:r>
    </w:p>
    <w:p w14:paraId="23DE1F0E">
      <w:pPr>
        <w:pStyle w:val="3"/>
        <w:widowControl/>
        <w:numPr>
          <w:ilvl w:val="0"/>
          <w:numId w:val="7"/>
        </w:numPr>
        <w:pBdr>
          <w:top w:val="none" w:color="auto" w:sz="0" w:space="0"/>
          <w:left w:val="none" w:color="auto" w:sz="0" w:space="0"/>
          <w:bottom w:val="none" w:color="auto" w:sz="0" w:space="0"/>
          <w:right w:val="none" w:color="auto" w:sz="0" w:space="0"/>
        </w:pBdr>
        <w:tabs>
          <w:tab w:val="left" w:pos="1260"/>
        </w:tabs>
        <w:ind w:firstLine="562"/>
        <w:rPr>
          <w:rFonts w:hAnsi="仿宋"/>
          <w:color w:val="000000" w:themeColor="text1"/>
          <w14:textFill>
            <w14:solidFill>
              <w14:schemeClr w14:val="tx1"/>
            </w14:solidFill>
          </w14:textFill>
        </w:rPr>
      </w:pPr>
      <w:r>
        <w:rPr>
          <w:rFonts w:hAnsi="仿宋"/>
          <w:b/>
          <w:bCs/>
          <w:color w:val="000000" w:themeColor="text1"/>
          <w14:textFill>
            <w14:solidFill>
              <w14:schemeClr w14:val="tx1"/>
            </w14:solidFill>
          </w14:textFill>
        </w:rPr>
        <w:t>虚拟化终端防护：</w:t>
      </w:r>
      <w:r>
        <w:rPr>
          <w:rFonts w:hAnsi="仿宋"/>
          <w:color w:val="000000" w:themeColor="text1"/>
          <w14:textFill>
            <w14:solidFill>
              <w14:schemeClr w14:val="tx1"/>
            </w14:solidFill>
          </w14:textFill>
        </w:rPr>
        <w:t>学院现有虚拟化终端防护系统授权数量已无法覆盖当前全部虚拟化服务器，后续新增业务系统上线还将带来更多虚拟化节点，授权缺口将持续扩大。大量虚拟化终端因防护不足直接暴露于网络，将大幅提升校园网络安全攻击风险。本次拟扩容虚拟化终端防护授权，并对原有系统升级维保服务进行延期，实现全终端安全防护全覆盖；该系统扩容后对接安全运营服务平台，上传终端安全状态、威胁事件、漏洞信息等数据，接收平台下发的查杀、隔离、修复等处置指令，实现终端安全的统一管理与联动处置。</w:t>
      </w:r>
    </w:p>
    <w:p w14:paraId="1B5A1D93">
      <w:pPr>
        <w:pStyle w:val="3"/>
        <w:numPr>
          <w:ilvl w:val="0"/>
          <w:numId w:val="7"/>
        </w:numPr>
        <w:pBdr>
          <w:top w:val="none" w:color="auto" w:sz="0" w:space="0"/>
          <w:left w:val="none" w:color="auto" w:sz="0" w:space="0"/>
          <w:bottom w:val="none" w:color="auto" w:sz="0" w:space="0"/>
          <w:right w:val="none" w:color="auto" w:sz="0" w:space="0"/>
        </w:pBdr>
        <w:tabs>
          <w:tab w:val="left" w:pos="1260"/>
        </w:tabs>
        <w:ind w:firstLine="562"/>
        <w:rPr>
          <w:rFonts w:hAnsi="仿宋"/>
          <w:color w:val="000000" w:themeColor="text1"/>
          <w14:textFill>
            <w14:solidFill>
              <w14:schemeClr w14:val="tx1"/>
            </w14:solidFill>
          </w14:textFill>
        </w:rPr>
      </w:pPr>
      <w:r>
        <w:rPr>
          <w:rFonts w:hAnsi="仿宋"/>
          <w:b/>
          <w:bCs/>
          <w:color w:val="000000" w:themeColor="text1"/>
          <w14:textFill>
            <w14:solidFill>
              <w14:schemeClr w14:val="tx1"/>
            </w14:solidFill>
          </w14:textFill>
        </w:rPr>
        <w:t>安全资源池交换机：</w:t>
      </w:r>
      <w:r>
        <w:rPr>
          <w:rFonts w:hAnsi="仿宋"/>
          <w:color w:val="000000" w:themeColor="text1"/>
          <w14:textFill>
            <w14:solidFill>
              <w14:schemeClr w14:val="tx1"/>
            </w14:solidFill>
          </w14:textFill>
        </w:rPr>
        <w:t>本次新增部署高可靠、高带宽安全资源池核心交换机，搭建安全资源池网络架构，支持VLAN划分、链路聚合、ACL控制等功能，实现对各类安全设备的统一、高效调度管理，采用SDN交换机服务链架构，通过灵活编排安全业务流程，保障出口安全设备高可用、高可靠运行，提升整体网络安全防护与运维效率，为各类安全设备提供稳定的网络承载与资源调度能力。</w:t>
      </w:r>
    </w:p>
    <w:p w14:paraId="6B2D60CC">
      <w:pPr>
        <w:pStyle w:val="3"/>
        <w:numPr>
          <w:ilvl w:val="0"/>
          <w:numId w:val="7"/>
        </w:numPr>
        <w:pBdr>
          <w:top w:val="none" w:color="auto" w:sz="0" w:space="0"/>
          <w:left w:val="none" w:color="auto" w:sz="0" w:space="0"/>
          <w:bottom w:val="none" w:color="auto" w:sz="0" w:space="0"/>
          <w:right w:val="none" w:color="auto" w:sz="0" w:space="0"/>
        </w:pBdr>
        <w:tabs>
          <w:tab w:val="left" w:pos="1260"/>
        </w:tabs>
        <w:ind w:firstLine="562"/>
        <w:rPr>
          <w:rFonts w:hAnsi="仿宋"/>
          <w:color w:val="000000" w:themeColor="text1"/>
          <w14:textFill>
            <w14:solidFill>
              <w14:schemeClr w14:val="tx1"/>
            </w14:solidFill>
          </w14:textFill>
        </w:rPr>
      </w:pPr>
      <w:r>
        <w:rPr>
          <w:rFonts w:hAnsi="仿宋"/>
          <w:b/>
          <w:bCs/>
          <w:color w:val="000000" w:themeColor="text1"/>
          <w14:textFill>
            <w14:solidFill>
              <w14:schemeClr w14:val="tx1"/>
            </w14:solidFill>
          </w14:textFill>
        </w:rPr>
        <w:t>二级等保整改工作：</w:t>
      </w:r>
      <w:r>
        <w:rPr>
          <w:rFonts w:hAnsi="仿宋"/>
          <w:color w:val="000000" w:themeColor="text1"/>
          <w14:textFill>
            <w14:solidFill>
              <w14:schemeClr w14:val="tx1"/>
            </w14:solidFill>
          </w14:textFill>
        </w:rPr>
        <w:t>同步推进校园网站群等核心业务系统的网络安全等级保护二级评定工作;对照《信息安全技术网络安全等级保护基本要求》（GB/T22239）二级标准，开展技术与管理层面差距分析，制定并实施安全整改方案，完善物理安全、网络安全、主机安全、应用安全、数据安全及安全管理制度、机构、人员、建设、运维等全维度防护体系。</w:t>
      </w:r>
    </w:p>
    <w:p w14:paraId="46E76E7E">
      <w:pPr>
        <w:pStyle w:val="3"/>
        <w:numPr>
          <w:ilvl w:val="0"/>
          <w:numId w:val="7"/>
        </w:numPr>
        <w:pBdr>
          <w:top w:val="none" w:color="auto" w:sz="0" w:space="0"/>
          <w:left w:val="none" w:color="auto" w:sz="0" w:space="0"/>
          <w:bottom w:val="none" w:color="auto" w:sz="0" w:space="0"/>
          <w:right w:val="none" w:color="auto" w:sz="0" w:space="0"/>
        </w:pBdr>
        <w:tabs>
          <w:tab w:val="left" w:pos="1260"/>
        </w:tabs>
        <w:ind w:firstLine="562"/>
        <w:rPr>
          <w:rFonts w:hAnsi="仿宋"/>
          <w:b/>
          <w:bCs/>
          <w:color w:val="000000" w:themeColor="text1"/>
          <w14:textFill>
            <w14:solidFill>
              <w14:schemeClr w14:val="tx1"/>
            </w14:solidFill>
          </w14:textFill>
        </w:rPr>
      </w:pPr>
      <w:bookmarkStart w:id="12" w:name="OLE_LINK6"/>
      <w:r>
        <w:rPr>
          <w:rFonts w:hint="eastAsia" w:hAnsi="仿宋"/>
          <w:b/>
          <w:bCs/>
          <w:color w:val="000000" w:themeColor="text1"/>
          <w14:textFill>
            <w14:solidFill>
              <w14:schemeClr w14:val="tx1"/>
            </w14:solidFill>
          </w14:textFill>
        </w:rPr>
        <w:t>运维辅材及维修服务：</w:t>
      </w:r>
      <w:bookmarkEnd w:id="12"/>
      <w:r>
        <w:rPr>
          <w:rFonts w:hint="eastAsia" w:hAnsi="仿宋"/>
          <w:b/>
          <w:bCs/>
          <w:color w:val="000000" w:themeColor="text1"/>
          <w14:textFill>
            <w14:solidFill>
              <w14:schemeClr w14:val="tx1"/>
            </w14:solidFill>
          </w14:textFill>
        </w:rPr>
        <w:t>为了满足采购人日常运维服务的需要，本次项目拟采购一批运维服务所需的运维耗材，并同时对现有的部分故障设备进行维修。</w:t>
      </w:r>
    </w:p>
    <w:p w14:paraId="37869F55">
      <w:pPr>
        <w:pStyle w:val="6"/>
        <w:numPr>
          <w:ilvl w:val="0"/>
          <w:numId w:val="4"/>
        </w:numPr>
        <w:tabs>
          <w:tab w:val="left" w:pos="1400"/>
        </w:tabs>
        <w:ind w:firstLineChars="0"/>
        <w:rPr>
          <w:rFonts w:hint="eastAsia" w:cstheme="majorEastAsia"/>
          <w:b/>
          <w:bCs/>
          <w:color w:val="000000" w:themeColor="text1"/>
          <w14:textFill>
            <w14:solidFill>
              <w14:schemeClr w14:val="tx1"/>
            </w14:solidFill>
          </w14:textFill>
        </w:rPr>
      </w:pPr>
      <w:r>
        <w:rPr>
          <w:rFonts w:hint="eastAsia" w:cstheme="majorEastAsia"/>
          <w:b/>
          <w:bCs/>
          <w:color w:val="000000" w:themeColor="text1"/>
          <w14:textFill>
            <w14:solidFill>
              <w14:schemeClr w14:val="tx1"/>
            </w14:solidFill>
          </w14:textFill>
        </w:rPr>
        <w:t>采购需求清单</w:t>
      </w:r>
    </w:p>
    <w:tbl>
      <w:tblPr>
        <w:tblStyle w:val="2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8"/>
        <w:gridCol w:w="867"/>
        <w:gridCol w:w="5683"/>
        <w:gridCol w:w="695"/>
        <w:gridCol w:w="837"/>
      </w:tblGrid>
      <w:tr w14:paraId="1B13C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257" w:type="pct"/>
            <w:shd w:val="clear" w:color="auto" w:fill="FFFFFF"/>
            <w:vAlign w:val="center"/>
          </w:tcPr>
          <w:p w14:paraId="429B4543">
            <w:pPr>
              <w:widowControl/>
              <w:spacing w:line="240" w:lineRule="auto"/>
              <w:ind w:firstLine="0" w:firstLineChars="0"/>
              <w:jc w:val="center"/>
              <w:textAlignment w:val="center"/>
              <w:rPr>
                <w:rFonts w:hint="eastAsia"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kern w:val="0"/>
                <w:sz w:val="20"/>
                <w:szCs w:val="20"/>
                <w:lang w:bidi="ar"/>
                <w14:textFill>
                  <w14:solidFill>
                    <w14:schemeClr w14:val="tx1"/>
                  </w14:solidFill>
                </w14:textFill>
              </w:rPr>
              <w:t>序号</w:t>
            </w:r>
          </w:p>
        </w:tc>
        <w:tc>
          <w:tcPr>
            <w:tcW w:w="509" w:type="pct"/>
            <w:shd w:val="clear" w:color="auto" w:fill="FFFFFF"/>
            <w:vAlign w:val="center"/>
          </w:tcPr>
          <w:p w14:paraId="59BCFCD2">
            <w:pPr>
              <w:widowControl/>
              <w:spacing w:line="240" w:lineRule="auto"/>
              <w:ind w:firstLine="0" w:firstLineChars="0"/>
              <w:jc w:val="center"/>
              <w:textAlignment w:val="center"/>
              <w:rPr>
                <w:rFonts w:hint="eastAsia"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kern w:val="0"/>
                <w:sz w:val="20"/>
                <w:szCs w:val="20"/>
                <w:lang w:bidi="ar"/>
                <w14:textFill>
                  <w14:solidFill>
                    <w14:schemeClr w14:val="tx1"/>
                  </w14:solidFill>
                </w14:textFill>
              </w:rPr>
              <w:t>名称</w:t>
            </w:r>
          </w:p>
        </w:tc>
        <w:tc>
          <w:tcPr>
            <w:tcW w:w="3335" w:type="pct"/>
            <w:shd w:val="clear" w:color="auto" w:fill="FFFFFF"/>
            <w:vAlign w:val="center"/>
          </w:tcPr>
          <w:p w14:paraId="423BEA31">
            <w:pPr>
              <w:widowControl/>
              <w:spacing w:line="240" w:lineRule="auto"/>
              <w:ind w:firstLine="199" w:firstLineChars="99"/>
              <w:jc w:val="center"/>
              <w:textAlignment w:val="center"/>
              <w:rPr>
                <w:rFonts w:hint="eastAsia"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sz w:val="20"/>
                <w:szCs w:val="20"/>
                <w14:textFill>
                  <w14:solidFill>
                    <w14:schemeClr w14:val="tx1"/>
                  </w14:solidFill>
                </w14:textFill>
              </w:rPr>
              <w:t>技术需求</w:t>
            </w:r>
          </w:p>
        </w:tc>
        <w:tc>
          <w:tcPr>
            <w:tcW w:w="408" w:type="pct"/>
            <w:shd w:val="clear" w:color="auto" w:fill="FFFFFF"/>
            <w:vAlign w:val="center"/>
          </w:tcPr>
          <w:p w14:paraId="0F9434D8">
            <w:pPr>
              <w:widowControl/>
              <w:spacing w:line="240" w:lineRule="auto"/>
              <w:ind w:firstLine="0" w:firstLineChars="0"/>
              <w:jc w:val="center"/>
              <w:textAlignment w:val="center"/>
              <w:rPr>
                <w:rFonts w:hint="eastAsia"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kern w:val="0"/>
                <w:sz w:val="20"/>
                <w:szCs w:val="20"/>
                <w:lang w:bidi="ar"/>
                <w14:textFill>
                  <w14:solidFill>
                    <w14:schemeClr w14:val="tx1"/>
                  </w14:solidFill>
                </w14:textFill>
              </w:rPr>
              <w:t>数量</w:t>
            </w:r>
          </w:p>
        </w:tc>
        <w:tc>
          <w:tcPr>
            <w:tcW w:w="491" w:type="pct"/>
            <w:shd w:val="clear" w:color="auto" w:fill="FFFFFF"/>
            <w:vAlign w:val="center"/>
          </w:tcPr>
          <w:p w14:paraId="43BBEA2E">
            <w:pPr>
              <w:widowControl/>
              <w:spacing w:line="240" w:lineRule="auto"/>
              <w:ind w:firstLine="0" w:firstLineChars="0"/>
              <w:jc w:val="center"/>
              <w:textAlignment w:val="center"/>
              <w:rPr>
                <w:rFonts w:hint="eastAsia" w:ascii="仿宋" w:hAnsi="仿宋" w:eastAsia="仿宋" w:cs="宋体"/>
                <w:b/>
                <w:bCs/>
                <w:color w:val="000000" w:themeColor="text1"/>
                <w:sz w:val="20"/>
                <w:szCs w:val="20"/>
                <w14:textFill>
                  <w14:solidFill>
                    <w14:schemeClr w14:val="tx1"/>
                  </w14:solidFill>
                </w14:textFill>
              </w:rPr>
            </w:pPr>
            <w:r>
              <w:rPr>
                <w:rFonts w:hint="eastAsia" w:ascii="仿宋" w:hAnsi="仿宋" w:eastAsia="仿宋" w:cs="宋体"/>
                <w:b/>
                <w:bCs/>
                <w:color w:val="000000" w:themeColor="text1"/>
                <w:kern w:val="0"/>
                <w:sz w:val="20"/>
                <w:szCs w:val="20"/>
                <w:lang w:bidi="ar"/>
                <w14:textFill>
                  <w14:solidFill>
                    <w14:schemeClr w14:val="tx1"/>
                  </w14:solidFill>
                </w14:textFill>
              </w:rPr>
              <w:t>单位</w:t>
            </w:r>
          </w:p>
        </w:tc>
      </w:tr>
      <w:tr w14:paraId="1D4EA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257" w:type="pct"/>
            <w:shd w:val="clear" w:color="auto" w:fill="FFFFFF"/>
            <w:vAlign w:val="center"/>
          </w:tcPr>
          <w:p w14:paraId="615B610C">
            <w:pPr>
              <w:widowControl/>
              <w:ind w:firstLine="0" w:firstLineChars="0"/>
              <w:jc w:val="center"/>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w:t>
            </w:r>
          </w:p>
        </w:tc>
        <w:tc>
          <w:tcPr>
            <w:tcW w:w="509" w:type="pct"/>
            <w:shd w:val="clear" w:color="auto" w:fill="FFFFFF"/>
            <w:vAlign w:val="center"/>
          </w:tcPr>
          <w:p w14:paraId="09A6E97F">
            <w:pPr>
              <w:widowControl/>
              <w:spacing w:line="240" w:lineRule="auto"/>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出口边界防护系统</w:t>
            </w:r>
          </w:p>
        </w:tc>
        <w:tc>
          <w:tcPr>
            <w:tcW w:w="3335" w:type="pct"/>
            <w:shd w:val="clear" w:color="auto" w:fill="FFFFFF"/>
            <w:vAlign w:val="center"/>
          </w:tcPr>
          <w:p w14:paraId="63586255">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1、网络层吞吐量≥40G，防病毒吞吐量≥3.5G，IPS吞吐量≥3G，并发连接数≥800万，内存≥16G，硬盘容量≥256G SSD，冗余电源，接口不少于16千兆电口，不少于6个万兆光口SFP+。配置含IPS、防病毒、僵尸网络、云威胁情报功能模块。</w:t>
            </w:r>
          </w:p>
          <w:p w14:paraId="50C155BB">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2、支持路由模式、透明模式、虚拟网线模式、旁路镜像模式等多种部署方式。</w:t>
            </w:r>
          </w:p>
          <w:p w14:paraId="2402D4A1">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3、支持链路连通性检查功能，探测协议包括DNS解析、ARP探测、PING和BFD等多方式。</w:t>
            </w:r>
          </w:p>
          <w:p w14:paraId="1BA3FB55">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4、具备勒索病毒防护功能，对业务进行勒索风险自动化评估，并依据评估结果自动生成防护策略。</w:t>
            </w:r>
          </w:p>
          <w:p w14:paraId="7CEDB35B">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5、内置不低于15000种漏洞规则，支持用户自定义IPS规则。</w:t>
            </w:r>
          </w:p>
          <w:p w14:paraId="4606B533">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6、在设备界面可以详细展示账号安全相关信息，包括风险业务、风险等级、存在账号入口、存在弱口令、遭受口令爆破、异常登录账号登陆。</w:t>
            </w:r>
          </w:p>
          <w:p w14:paraId="0A624B35">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7、对威胁流量就近进行实时检测，实现失陷外联实时阻断，保护单位业务安全。</w:t>
            </w:r>
          </w:p>
          <w:p w14:paraId="77EBF662">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能够实现将系统所发现威胁流量上传到学校的安全运营服务平台进行集中归集、统一纳管，且当安全运营服务平台确认为真实攻击时，可通过自动编排模版自动下发拦截策略实现无需人工干预实时进行自动拦截。</w:t>
            </w:r>
            <w:r>
              <w:rPr>
                <w:rFonts w:hint="eastAsia" w:ascii="仿宋" w:hAnsi="仿宋" w:eastAsia="仿宋" w:cs="宋体"/>
                <w:b/>
                <w:bCs/>
                <w:color w:val="000000" w:themeColor="text1"/>
                <w:sz w:val="20"/>
                <w:szCs w:val="20"/>
                <w14:textFill>
                  <w14:solidFill>
                    <w14:schemeClr w14:val="tx1"/>
                  </w14:solidFill>
                </w14:textFill>
              </w:rPr>
              <w:t>（投标时提供承诺函）</w:t>
            </w:r>
          </w:p>
          <w:p w14:paraId="32580E68">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9、支持多种资产识别方式，可梳理离线资产、高危端口开放、冗余端口等安全风险。</w:t>
            </w:r>
          </w:p>
          <w:p w14:paraId="772D688C">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10、★能够与虚拟化服务器区终端防护系统联动管理，实现在出口边界防护系统完成终端安全策略设置和内网终端安全软件的统一管理，可以支持检测到某主机有僵木蠕毒的C2通信时，手动或自动化将恶意域名信息下发到终端安全软件做C2通信的封锁遏制，支持管理员下发一键隔离指令，对终端恶意文件进行隔离等功能。</w:t>
            </w:r>
            <w:r>
              <w:rPr>
                <w:rFonts w:hint="eastAsia" w:ascii="仿宋" w:hAnsi="仿宋" w:eastAsia="仿宋" w:cs="宋体"/>
                <w:b/>
                <w:bCs/>
                <w:color w:val="000000" w:themeColor="text1"/>
                <w:sz w:val="20"/>
                <w:szCs w:val="20"/>
                <w14:textFill>
                  <w14:solidFill>
                    <w14:schemeClr w14:val="tx1"/>
                  </w14:solidFill>
                </w14:textFill>
              </w:rPr>
              <w:t>（投标时提供承诺函）</w:t>
            </w:r>
          </w:p>
          <w:p w14:paraId="2410A89D">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11、支持多条件的安全日志组合查询。</w:t>
            </w:r>
          </w:p>
          <w:p w14:paraId="2E215C4A">
            <w:pPr>
              <w:widowControl/>
              <w:spacing w:line="240" w:lineRule="auto"/>
              <w:ind w:firstLine="0" w:firstLineChars="0"/>
              <w:jc w:val="left"/>
              <w:textAlignment w:val="center"/>
              <w:rPr>
                <w:rFonts w:ascii="仿宋" w:hAnsi="仿宋" w:eastAsia="仿宋"/>
                <w:color w:val="000000" w:themeColor="text1"/>
                <w14:textFill>
                  <w14:solidFill>
                    <w14:schemeClr w14:val="tx1"/>
                  </w14:solidFill>
                </w14:textFill>
              </w:rPr>
            </w:pPr>
            <w:bookmarkStart w:id="13" w:name="OLE_LINK1"/>
            <w:r>
              <w:rPr>
                <w:rFonts w:hint="eastAsia" w:ascii="仿宋" w:hAnsi="仿宋" w:eastAsia="仿宋" w:cs="宋体"/>
                <w:color w:val="000000" w:themeColor="text1"/>
                <w:sz w:val="20"/>
                <w:szCs w:val="20"/>
                <w14:textFill>
                  <w14:solidFill>
                    <w14:schemeClr w14:val="tx1"/>
                  </w14:solidFill>
                </w14:textFill>
              </w:rPr>
              <w:t>12、</w:t>
            </w:r>
            <w:bookmarkStart w:id="14" w:name="OLE_LINK4"/>
            <w:r>
              <w:rPr>
                <w:rFonts w:hint="eastAsia" w:ascii="仿宋" w:hAnsi="仿宋" w:eastAsia="仿宋" w:cs="宋体"/>
                <w:color w:val="000000" w:themeColor="text1"/>
                <w:sz w:val="20"/>
                <w:szCs w:val="20"/>
                <w14:textFill>
                  <w14:solidFill>
                    <w14:schemeClr w14:val="tx1"/>
                  </w14:solidFill>
                </w14:textFill>
              </w:rPr>
              <w:t>提供产品的3年免费质保</w:t>
            </w:r>
            <w:bookmarkStart w:id="15" w:name="OLE_LINK2"/>
            <w:r>
              <w:rPr>
                <w:rFonts w:hint="eastAsia" w:ascii="仿宋" w:hAnsi="仿宋" w:eastAsia="仿宋" w:cs="宋体"/>
                <w:color w:val="000000" w:themeColor="text1"/>
                <w:sz w:val="20"/>
                <w:szCs w:val="20"/>
                <w14:textFill>
                  <w14:solidFill>
                    <w14:schemeClr w14:val="tx1"/>
                  </w14:solidFill>
                </w14:textFill>
              </w:rPr>
              <w:t>服务及特征库3年免费升级服务。</w:t>
            </w:r>
            <w:bookmarkEnd w:id="13"/>
            <w:bookmarkEnd w:id="14"/>
            <w:bookmarkEnd w:id="15"/>
          </w:p>
        </w:tc>
        <w:tc>
          <w:tcPr>
            <w:tcW w:w="408" w:type="pct"/>
            <w:shd w:val="clear" w:color="auto" w:fill="FFFFFF"/>
            <w:vAlign w:val="center"/>
          </w:tcPr>
          <w:p w14:paraId="50DE40C6">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2</w:t>
            </w:r>
          </w:p>
        </w:tc>
        <w:tc>
          <w:tcPr>
            <w:tcW w:w="491" w:type="pct"/>
            <w:shd w:val="clear" w:color="auto" w:fill="FFFFFF"/>
            <w:vAlign w:val="center"/>
          </w:tcPr>
          <w:p w14:paraId="7967C71D">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套</w:t>
            </w:r>
          </w:p>
        </w:tc>
      </w:tr>
      <w:tr w14:paraId="41EED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257" w:type="pct"/>
            <w:shd w:val="clear" w:color="auto" w:fill="FFFFFF" w:themeFill="background1"/>
            <w:vAlign w:val="center"/>
          </w:tcPr>
          <w:p w14:paraId="6D3FB794">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2</w:t>
            </w:r>
          </w:p>
        </w:tc>
        <w:tc>
          <w:tcPr>
            <w:tcW w:w="509" w:type="pct"/>
            <w:shd w:val="clear" w:color="auto" w:fill="FFFFFF" w:themeFill="background1"/>
            <w:vAlign w:val="center"/>
          </w:tcPr>
          <w:p w14:paraId="4072A419">
            <w:pPr>
              <w:widowControl/>
              <w:spacing w:line="240" w:lineRule="auto"/>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上网行为管理系统</w:t>
            </w:r>
          </w:p>
        </w:tc>
        <w:tc>
          <w:tcPr>
            <w:tcW w:w="3335" w:type="pct"/>
            <w:shd w:val="clear" w:color="auto" w:fill="FFFFFF" w:themeFill="background1"/>
            <w:vAlign w:val="center"/>
          </w:tcPr>
          <w:p w14:paraId="090E2C53">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1、网络层吞吐量 ≥20Gb，支持用户数≥50000；带宽性能≥5Gb；包转发率≥1Mpps；每秒新建连接数≥80000；最大并发连接数≥3200000，双电源；接口至少具备4千兆电口+4千兆光口SFP+4万兆光口SFP+。性能需满足对教学办公区及宿舍区用户的行为管控及行为审计使用。</w:t>
            </w:r>
          </w:p>
          <w:p w14:paraId="7FC72C70">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2、支持多网桥模式。</w:t>
            </w:r>
          </w:p>
          <w:p w14:paraId="1700BF0C">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3、具备首页显示在线用户、流量分析、行为日志分析、应用流量排名、用户流量排名。</w:t>
            </w:r>
          </w:p>
          <w:p w14:paraId="12ADFAAA">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4、具备管理员分权划分，包括对不同用户组的管理权限、对各种主要功能界面的配置和查看权限。 </w:t>
            </w:r>
          </w:p>
          <w:p w14:paraId="3776144A">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5、★在本次设备替换升级过程中，可将原有旧设备内已配置的上网管控策略、用户权限规则、URL 黑白名单、应用管控库、历史行为日志等全部数据完整迁移导入至新采购设备，实现原有管控配置无缝承接、业务平滑过渡，保障日常上网管控策略连续稳定运行。</w:t>
            </w:r>
            <w:r>
              <w:rPr>
                <w:rFonts w:hint="eastAsia" w:ascii="仿宋" w:hAnsi="仿宋" w:eastAsia="仿宋" w:cs="宋体"/>
                <w:b/>
                <w:bCs/>
                <w:color w:val="000000" w:themeColor="text1"/>
                <w:sz w:val="20"/>
                <w:szCs w:val="20"/>
                <w14:textFill>
                  <w14:solidFill>
                    <w14:schemeClr w14:val="tx1"/>
                  </w14:solidFill>
                </w14:textFill>
              </w:rPr>
              <w:t>（投标时提供承诺函）</w:t>
            </w:r>
          </w:p>
          <w:p w14:paraId="47F52E21">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支持根据IP、端口、协议等自定义应用规则；支持根据端口设定用户不允许访问的目标IP组提供的服务；支持根据不同的应用类型或具体的某种应用设置允许或拒绝。</w:t>
            </w:r>
          </w:p>
          <w:p w14:paraId="23F77A43">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6、具有应用识别规则库， 支持不少于5000种的应用。</w:t>
            </w:r>
          </w:p>
          <w:p w14:paraId="681A20BF">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7、具备发现常见的私接路由和共享网络的行为， 自定义配置终端数量和不能上网时间。</w:t>
            </w:r>
          </w:p>
          <w:p w14:paraId="4D67395F">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8、支持对发帖行为精细化管理，允许用户浏览帖子但不准发帖功能。</w:t>
            </w:r>
          </w:p>
          <w:p w14:paraId="0C10C044">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9、支持SSL解密，确保数据传输的透明性与安全性。 </w:t>
            </w:r>
          </w:p>
          <w:p w14:paraId="79ACA081">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10、★支持与虚拟化服务器终端防护系统深度联动，实现终端行为实时监控、异常威胁自动识别与应急响应，支持远程下发终端病毒查杀任务，快速处置病毒及恶意软件风险；同时联动下发安全管控策略，封堵各类违规代理软件，避免用户绕过安全防护边界；二者实现安全数据互通共享，便于威胁溯源分析、策略优化迭代，大幅缩短安全事件响应处置周期，提升整体安全防护与自动化运维能力。</w:t>
            </w:r>
            <w:r>
              <w:rPr>
                <w:rFonts w:hint="eastAsia" w:ascii="仿宋" w:hAnsi="仿宋" w:eastAsia="仿宋" w:cs="宋体"/>
                <w:b/>
                <w:bCs/>
                <w:color w:val="000000" w:themeColor="text1"/>
                <w:sz w:val="20"/>
                <w:szCs w:val="20"/>
                <w14:textFill>
                  <w14:solidFill>
                    <w14:schemeClr w14:val="tx1"/>
                  </w14:solidFill>
                </w14:textFill>
              </w:rPr>
              <w:t>（投标时提供承诺函）</w:t>
            </w:r>
          </w:p>
          <w:p w14:paraId="6E9670B8">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 xml:space="preserve">11、具备双链路功能和网口聚合能力，实现链路冗余和性能提升。 </w:t>
            </w:r>
          </w:p>
          <w:p w14:paraId="1C6F266D">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12、设备内置有针对各种常见网络应用的应用规则库和URL分类库，并且可基于时间、用户、应用实现对全校（含办公区、宿舍区等区域）上网应用和URL权限控制。</w:t>
            </w:r>
          </w:p>
          <w:p w14:paraId="6F21E682">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13、提供产品的3年免费质保服务及特征库3年免费升级服务。</w:t>
            </w:r>
          </w:p>
        </w:tc>
        <w:tc>
          <w:tcPr>
            <w:tcW w:w="408" w:type="pct"/>
            <w:shd w:val="clear" w:color="auto" w:fill="FFFFFF" w:themeFill="background1"/>
            <w:vAlign w:val="center"/>
          </w:tcPr>
          <w:p w14:paraId="0294EAF0">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w:t>
            </w:r>
          </w:p>
        </w:tc>
        <w:tc>
          <w:tcPr>
            <w:tcW w:w="491" w:type="pct"/>
            <w:shd w:val="clear" w:color="auto" w:fill="FFFFFF" w:themeFill="background1"/>
            <w:vAlign w:val="center"/>
          </w:tcPr>
          <w:p w14:paraId="2605A745">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套</w:t>
            </w:r>
          </w:p>
        </w:tc>
      </w:tr>
      <w:tr w14:paraId="00567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57" w:type="pct"/>
            <w:shd w:val="clear" w:color="auto" w:fill="FFFFFF"/>
            <w:vAlign w:val="center"/>
          </w:tcPr>
          <w:p w14:paraId="01CAEF3B">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3</w:t>
            </w:r>
          </w:p>
        </w:tc>
        <w:tc>
          <w:tcPr>
            <w:tcW w:w="509" w:type="pct"/>
            <w:shd w:val="clear" w:color="auto" w:fill="FFFFFF"/>
            <w:vAlign w:val="center"/>
          </w:tcPr>
          <w:p w14:paraId="6148549E">
            <w:pPr>
              <w:widowControl/>
              <w:spacing w:line="240" w:lineRule="auto"/>
              <w:ind w:firstLine="0" w:firstLineChars="0"/>
              <w:jc w:val="center"/>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日志分析管理系统</w:t>
            </w:r>
          </w:p>
        </w:tc>
        <w:tc>
          <w:tcPr>
            <w:tcW w:w="3335" w:type="pct"/>
            <w:shd w:val="clear" w:color="auto" w:fill="FFFFFF"/>
            <w:vAlign w:val="center"/>
          </w:tcPr>
          <w:p w14:paraId="2EE3155B">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1、标准机架式设备，配置8个千兆电口，4个万兆光口，1个IPMI远程管理口，1个console口，6个USB接口，冗余电源，64G内存，480G SSD 系统盘，数据盘4T*4，支持RAID5，日志采集处理速度20000EPS，包含300个日志源授权。</w:t>
            </w:r>
          </w:p>
          <w:p w14:paraId="58B71A60">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2、数据存储能力：压缩加密存储，提升查询响应速度。</w:t>
            </w:r>
          </w:p>
          <w:p w14:paraId="037BB84F">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3、支持安全设备、网络设备、中间件、服务器、数据库、操作系统、业务系统等日志对象的日志数据采集。</w:t>
            </w:r>
          </w:p>
          <w:p w14:paraId="3C5A6399">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4、支持Syslog、SNMP Trap、Netflow、JDBC、WMI、FTP、SFTP、SCP、文件等方式进行数据采集。</w:t>
            </w:r>
          </w:p>
          <w:p w14:paraId="72ABC78F">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5、支持对日志源进行限制接收速率，降低对系统资源的占用，保障重要日志的收集。</w:t>
            </w:r>
          </w:p>
          <w:p w14:paraId="4313B721">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6、支持对常用查询条件进行保存，可重复使用;支持查询记录缓存，可快速调用系统缓存的查询条件和结果，提升重要日志的检索速度。</w:t>
            </w:r>
          </w:p>
          <w:p w14:paraId="66654254">
            <w:pPr>
              <w:widowControl/>
              <w:spacing w:line="240" w:lineRule="auto"/>
              <w:ind w:firstLine="0" w:firstLineChars="0"/>
              <w:jc w:val="left"/>
              <w:textAlignment w:val="center"/>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7、提供产品的5年免费质保服务。</w:t>
            </w:r>
          </w:p>
        </w:tc>
        <w:tc>
          <w:tcPr>
            <w:tcW w:w="408" w:type="pct"/>
            <w:shd w:val="clear" w:color="auto" w:fill="FFFFFF"/>
            <w:vAlign w:val="center"/>
          </w:tcPr>
          <w:p w14:paraId="55AE8C72">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w:t>
            </w:r>
          </w:p>
        </w:tc>
        <w:tc>
          <w:tcPr>
            <w:tcW w:w="491" w:type="pct"/>
            <w:shd w:val="clear" w:color="auto" w:fill="FFFFFF"/>
            <w:vAlign w:val="center"/>
          </w:tcPr>
          <w:p w14:paraId="244EDBE4">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套</w:t>
            </w:r>
          </w:p>
        </w:tc>
      </w:tr>
      <w:tr w14:paraId="3D445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57" w:type="pct"/>
            <w:shd w:val="clear" w:color="auto" w:fill="FFFFFF"/>
            <w:vAlign w:val="center"/>
          </w:tcPr>
          <w:p w14:paraId="0F4FF3A4">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4</w:t>
            </w:r>
          </w:p>
        </w:tc>
        <w:tc>
          <w:tcPr>
            <w:tcW w:w="509" w:type="pct"/>
            <w:shd w:val="clear" w:color="auto" w:fill="FFFFFF"/>
            <w:vAlign w:val="center"/>
          </w:tcPr>
          <w:p w14:paraId="094288E4">
            <w:pPr>
              <w:widowControl/>
              <w:spacing w:line="240" w:lineRule="auto"/>
              <w:ind w:firstLine="0" w:firstLineChars="0"/>
              <w:jc w:val="center"/>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潜伏威胁感知探测系统</w:t>
            </w:r>
          </w:p>
        </w:tc>
        <w:tc>
          <w:tcPr>
            <w:tcW w:w="3335" w:type="pct"/>
            <w:shd w:val="clear" w:color="auto" w:fill="FFFFFF"/>
            <w:vAlign w:val="center"/>
          </w:tcPr>
          <w:p w14:paraId="588A380C">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1、性能参数：网络层吞吐量≥1Gbps。内存大小≥8G，硬盘容量≥128G SSD，接口至少具备8千兆电口+2万兆光口SFP+。</w:t>
            </w:r>
          </w:p>
          <w:p w14:paraId="4995109D">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旁路部署，支持探针接入多个镜像口。</w:t>
            </w:r>
          </w:p>
          <w:p w14:paraId="76AB246F">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支持新增白名单、黑名单等策略。</w:t>
            </w:r>
          </w:p>
          <w:p w14:paraId="1EA1A884">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4、具备命令注入检测、XSS攻击检测、Webshell上传检测、SQL注入检测、XXE攻击检测、JAVA代码检测等方式</w:t>
            </w:r>
          </w:p>
          <w:p w14:paraId="3ACAA2E6">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5、具备弱口令检测，FTP弱口令检测，规则设置如空口令、用户名和密码相同、长度、弱口令列表等。</w:t>
            </w:r>
          </w:p>
          <w:p w14:paraId="0AD82E52">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6、具备XSS攻击、网站扫描、WEBSHELL、网页木马、系统命令注入、文件包含攻击、自定义WAF规则。</w:t>
            </w:r>
          </w:p>
          <w:p w14:paraId="2275AE52">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7、具备IPS云防护等服务漏洞攻击检测。</w:t>
            </w:r>
          </w:p>
          <w:p w14:paraId="17AD51EA">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8、支持多种协议暴力破解检测。</w:t>
            </w:r>
          </w:p>
          <w:p w14:paraId="6F2C347A">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9、★支持旁路部署采集全网流量数据，经流量分析生成安全日志并上传至学校现有安全运营服务平台，依托平台大数据分析与AI智能研判结合人工复核，实现威胁流量精准识别、真实攻击校验处置。</w:t>
            </w:r>
            <w:r>
              <w:rPr>
                <w:rFonts w:hint="eastAsia" w:ascii="仿宋" w:hAnsi="仿宋" w:eastAsia="仿宋" w:cs="宋体"/>
                <w:b/>
                <w:bCs/>
                <w:color w:val="000000" w:themeColor="text1"/>
                <w:sz w:val="20"/>
                <w:szCs w:val="20"/>
                <w14:textFill>
                  <w14:solidFill>
                    <w14:schemeClr w14:val="tx1"/>
                  </w14:solidFill>
                </w14:textFill>
              </w:rPr>
              <w:t>（投标时提供承诺函）</w:t>
            </w:r>
          </w:p>
          <w:p w14:paraId="0DE62E8D">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10、支持多种场景的日志传输模式，适应不同应用场景需求。</w:t>
            </w:r>
          </w:p>
          <w:p w14:paraId="52947F02">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11、支持流量抓包分析，帮助安全工程师高效分析威胁。</w:t>
            </w:r>
          </w:p>
          <w:p w14:paraId="25D95AE0">
            <w:pPr>
              <w:widowControl/>
              <w:spacing w:line="240" w:lineRule="auto"/>
              <w:ind w:firstLine="0" w:firstLineChars="0"/>
              <w:jc w:val="left"/>
              <w:textAlignment w:val="center"/>
              <w:rPr>
                <w:rFonts w:ascii="仿宋" w:hAnsi="仿宋" w:eastAsia="仿宋"/>
                <w:color w:val="000000" w:themeColor="text1"/>
                <w14:textFill>
                  <w14:solidFill>
                    <w14:schemeClr w14:val="tx1"/>
                  </w14:solidFill>
                </w14:textFill>
              </w:rPr>
            </w:pPr>
            <w:bookmarkStart w:id="16" w:name="OLE_LINK5"/>
            <w:r>
              <w:rPr>
                <w:rFonts w:hint="eastAsia" w:ascii="仿宋" w:hAnsi="仿宋" w:eastAsia="仿宋" w:cs="宋体"/>
                <w:color w:val="000000" w:themeColor="text1"/>
                <w:sz w:val="20"/>
                <w:szCs w:val="20"/>
                <w14:textFill>
                  <w14:solidFill>
                    <w14:schemeClr w14:val="tx1"/>
                  </w14:solidFill>
                </w14:textFill>
              </w:rPr>
              <w:t>12、提供产品的3年免费质保服务及特征库3年免费升级服务。</w:t>
            </w:r>
            <w:bookmarkEnd w:id="16"/>
          </w:p>
        </w:tc>
        <w:tc>
          <w:tcPr>
            <w:tcW w:w="408" w:type="pct"/>
            <w:shd w:val="clear" w:color="auto" w:fill="FFFFFF"/>
            <w:vAlign w:val="center"/>
          </w:tcPr>
          <w:p w14:paraId="1E80137A">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w:t>
            </w:r>
          </w:p>
        </w:tc>
        <w:tc>
          <w:tcPr>
            <w:tcW w:w="491" w:type="pct"/>
            <w:shd w:val="clear" w:color="auto" w:fill="FFFFFF"/>
            <w:vAlign w:val="center"/>
          </w:tcPr>
          <w:p w14:paraId="3277E977">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套</w:t>
            </w:r>
          </w:p>
        </w:tc>
      </w:tr>
      <w:tr w14:paraId="74F70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57" w:type="pct"/>
            <w:shd w:val="clear" w:color="auto" w:fill="FFFFFF"/>
            <w:vAlign w:val="center"/>
          </w:tcPr>
          <w:p w14:paraId="01150B52">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5</w:t>
            </w:r>
          </w:p>
        </w:tc>
        <w:tc>
          <w:tcPr>
            <w:tcW w:w="509" w:type="pct"/>
            <w:shd w:val="clear" w:color="auto" w:fill="FFFFFF"/>
            <w:vAlign w:val="center"/>
          </w:tcPr>
          <w:p w14:paraId="1F5FEBA2">
            <w:pPr>
              <w:widowControl/>
              <w:spacing w:line="240" w:lineRule="auto"/>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bookmarkStart w:id="17" w:name="OLE_LINK3"/>
            <w:r>
              <w:rPr>
                <w:rFonts w:hint="eastAsia" w:ascii="仿宋" w:hAnsi="仿宋" w:eastAsia="仿宋" w:cs="宋体"/>
                <w:color w:val="000000" w:themeColor="text1"/>
                <w:kern w:val="0"/>
                <w:sz w:val="20"/>
                <w:szCs w:val="20"/>
                <w:lang w:bidi="ar"/>
                <w14:textFill>
                  <w14:solidFill>
                    <w14:schemeClr w14:val="tx1"/>
                  </w14:solidFill>
                </w14:textFill>
              </w:rPr>
              <w:t>虚拟化服务器区</w:t>
            </w:r>
            <w:bookmarkStart w:id="18" w:name="OLE_LINK17"/>
            <w:r>
              <w:rPr>
                <w:rFonts w:hint="eastAsia" w:ascii="仿宋" w:hAnsi="仿宋" w:eastAsia="仿宋" w:cs="宋体"/>
                <w:color w:val="000000" w:themeColor="text1"/>
                <w:kern w:val="0"/>
                <w:sz w:val="20"/>
                <w:szCs w:val="20"/>
                <w:lang w:bidi="ar"/>
                <w14:textFill>
                  <w14:solidFill>
                    <w14:schemeClr w14:val="tx1"/>
                  </w14:solidFill>
                </w14:textFill>
              </w:rPr>
              <w:t>终端防护系统</w:t>
            </w:r>
            <w:bookmarkEnd w:id="17"/>
            <w:bookmarkEnd w:id="18"/>
          </w:p>
        </w:tc>
        <w:tc>
          <w:tcPr>
            <w:tcW w:w="3335" w:type="pct"/>
            <w:shd w:val="clear" w:color="auto" w:fill="FFFFFF"/>
            <w:vAlign w:val="center"/>
          </w:tcPr>
          <w:p w14:paraId="3DDF6B16">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系统扩容：学校现有虚拟化服务器区终端防护系统为深信服统一端点安全管理系统（版本号：6.0.2R4），现有授权数100个。本次需新增≥100个虚拟化服务器终端防护系统终端授权，同时提供系统整体3年的病毒库免费升级服务。</w:t>
            </w:r>
          </w:p>
          <w:p w14:paraId="3F1C0A0A">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本次扩容后的系统具备以下功能：</w:t>
            </w:r>
          </w:p>
          <w:p w14:paraId="31B9F81A">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1、具有展示最近七天勒索病毒防护效果。</w:t>
            </w:r>
          </w:p>
          <w:p w14:paraId="466FC873">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2、具有跳转链接至云端威胁情报中心，针对已发生的威胁提供详细的分析结果，包含威胁分析、网络行为、静态分析、分析环境和影响分析。</w:t>
            </w:r>
          </w:p>
          <w:p w14:paraId="4969B6CC">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3、支持安全策略一体化配置。</w:t>
            </w:r>
          </w:p>
          <w:p w14:paraId="779693D6">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4、★扩容后能够与学校现有授权终端的统一协同管理、集成终端安全可视、终端统一管理、统一威胁处置、统一漏洞修复、威胁响应处置、日志记录与查询等功能，全面提升服务器终端安全管理集约化与智能化水平。（</w:t>
            </w:r>
            <w:r>
              <w:rPr>
                <w:rFonts w:hint="eastAsia" w:ascii="仿宋" w:hAnsi="仿宋" w:eastAsia="仿宋" w:cs="宋体"/>
                <w:b/>
                <w:bCs/>
                <w:color w:val="000000" w:themeColor="text1"/>
                <w:sz w:val="20"/>
                <w:szCs w:val="20"/>
                <w14:textFill>
                  <w14:solidFill>
                    <w14:schemeClr w14:val="tx1"/>
                  </w14:solidFill>
                </w14:textFill>
              </w:rPr>
              <w:t>投标时提供承诺函）</w:t>
            </w:r>
          </w:p>
          <w:p w14:paraId="66B26FE0">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5、具备RDP远程登录保护，可开启RDP远程登录二次认证，以防止黑客对服务器的入侵。</w:t>
            </w:r>
          </w:p>
          <w:p w14:paraId="667ADD62">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6、基于勒索病毒攻击过程，展示勒索病毒处置情况，对勒索病毒及变种实现专门有效防御。</w:t>
            </w:r>
          </w:p>
          <w:p w14:paraId="128BDFDB">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7、支持展示终端检测到的WebShell事件一旦发现WebShell文件，可自动隔离。</w:t>
            </w:r>
          </w:p>
          <w:p w14:paraId="1B179393">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8、支持配置不同的权限角色，支持管理员账号采用双因素认证。</w:t>
            </w:r>
          </w:p>
          <w:p w14:paraId="72853F06">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9、具备不同攻击阶段的主要攻击手法检测。</w:t>
            </w:r>
          </w:p>
          <w:p w14:paraId="7CCFB419">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10、★系统扩容后，能够实现学校安全运营服务平台具备权限的网络安全值守人员可以通过命令行指定到终端关键位置采集取证（如进程、启动项、注册表、系统目录等）、通过命令行可清除到具体服务器终端威胁（如文件、启动项、注册表、服务项、系统账号等）精准处置闭环的功能。</w:t>
            </w:r>
            <w:r>
              <w:rPr>
                <w:rFonts w:hint="eastAsia" w:ascii="仿宋" w:hAnsi="仿宋" w:eastAsia="仿宋" w:cs="宋体"/>
                <w:b/>
                <w:bCs/>
                <w:color w:val="000000" w:themeColor="text1"/>
                <w:sz w:val="20"/>
                <w:szCs w:val="20"/>
                <w14:textFill>
                  <w14:solidFill>
                    <w14:schemeClr w14:val="tx1"/>
                  </w14:solidFill>
                </w14:textFill>
              </w:rPr>
              <w:t>（投标时提供承诺函）</w:t>
            </w:r>
          </w:p>
        </w:tc>
        <w:tc>
          <w:tcPr>
            <w:tcW w:w="408" w:type="pct"/>
            <w:shd w:val="clear" w:color="auto" w:fill="FFFFFF"/>
            <w:vAlign w:val="center"/>
          </w:tcPr>
          <w:p w14:paraId="473D2B14">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w:t>
            </w:r>
          </w:p>
        </w:tc>
        <w:tc>
          <w:tcPr>
            <w:tcW w:w="491" w:type="pct"/>
            <w:shd w:val="clear" w:color="auto" w:fill="FFFFFF"/>
            <w:vAlign w:val="center"/>
          </w:tcPr>
          <w:p w14:paraId="10AA6BD2">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项</w:t>
            </w:r>
          </w:p>
        </w:tc>
      </w:tr>
      <w:tr w14:paraId="24126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57" w:type="pct"/>
            <w:shd w:val="clear" w:color="auto" w:fill="FFFFFF"/>
            <w:vAlign w:val="center"/>
          </w:tcPr>
          <w:p w14:paraId="4461F301">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6</w:t>
            </w:r>
          </w:p>
        </w:tc>
        <w:tc>
          <w:tcPr>
            <w:tcW w:w="509" w:type="pct"/>
            <w:shd w:val="clear" w:color="auto" w:fill="FFFFFF"/>
            <w:vAlign w:val="center"/>
          </w:tcPr>
          <w:p w14:paraId="7CB44AF2">
            <w:pPr>
              <w:widowControl/>
              <w:spacing w:line="240" w:lineRule="auto"/>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WEB应用防护系统升级</w:t>
            </w:r>
          </w:p>
        </w:tc>
        <w:tc>
          <w:tcPr>
            <w:tcW w:w="3335" w:type="pct"/>
            <w:shd w:val="clear" w:color="auto" w:fill="FFFFFF"/>
            <w:vAlign w:val="center"/>
          </w:tcPr>
          <w:p w14:paraId="2BAC2119">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提供核心服务器区现有深信服AF-1840-WAF、深信服AF-1000-FA40两台WEB应用防护系统3年的特征库升级服务。</w:t>
            </w:r>
            <w:r>
              <w:rPr>
                <w:rFonts w:hint="eastAsia" w:ascii="仿宋" w:hAnsi="仿宋" w:eastAsia="仿宋" w:cs="宋体"/>
                <w:b/>
                <w:bCs/>
                <w:color w:val="000000" w:themeColor="text1"/>
                <w:sz w:val="20"/>
                <w:szCs w:val="20"/>
                <w14:textFill>
                  <w14:solidFill>
                    <w14:schemeClr w14:val="tx1"/>
                  </w14:solidFill>
                </w14:textFill>
              </w:rPr>
              <w:t>（项目验收前提供厂商出具的3年免费升级服务证明文件）</w:t>
            </w:r>
          </w:p>
        </w:tc>
        <w:tc>
          <w:tcPr>
            <w:tcW w:w="408" w:type="pct"/>
            <w:shd w:val="clear" w:color="auto" w:fill="FFFFFF"/>
            <w:vAlign w:val="center"/>
          </w:tcPr>
          <w:p w14:paraId="057E873D">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3</w:t>
            </w:r>
          </w:p>
        </w:tc>
        <w:tc>
          <w:tcPr>
            <w:tcW w:w="491" w:type="pct"/>
            <w:shd w:val="clear" w:color="auto" w:fill="FFFFFF"/>
            <w:vAlign w:val="center"/>
          </w:tcPr>
          <w:p w14:paraId="6216E9C1">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年</w:t>
            </w:r>
          </w:p>
        </w:tc>
      </w:tr>
      <w:tr w14:paraId="1893F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257" w:type="pct"/>
            <w:shd w:val="clear" w:color="auto" w:fill="FFFFFF"/>
            <w:vAlign w:val="center"/>
          </w:tcPr>
          <w:p w14:paraId="71DD2177">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7</w:t>
            </w:r>
          </w:p>
        </w:tc>
        <w:tc>
          <w:tcPr>
            <w:tcW w:w="509" w:type="pct"/>
            <w:shd w:val="clear" w:color="auto" w:fill="FFFFFF"/>
            <w:vAlign w:val="center"/>
          </w:tcPr>
          <w:p w14:paraId="4B59C40C">
            <w:pPr>
              <w:widowControl/>
              <w:spacing w:line="240" w:lineRule="auto"/>
              <w:ind w:firstLine="0" w:firstLineChars="0"/>
              <w:jc w:val="center"/>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安全资源池交换机</w:t>
            </w:r>
          </w:p>
        </w:tc>
        <w:tc>
          <w:tcPr>
            <w:tcW w:w="3335" w:type="pct"/>
            <w:shd w:val="clear" w:color="auto" w:fill="FFFFFF"/>
            <w:vAlign w:val="center"/>
          </w:tcPr>
          <w:p w14:paraId="4DC2D6E7">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1、支持并实配10G接口数≥48个，40G/100G接口数≥8个，支持并实配可拔插双模块化电源，不少于四模块化风扇，前后风道；</w:t>
            </w:r>
          </w:p>
          <w:p w14:paraId="46BB2DE4">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2、交换容量≥40Tbps，包转发率≥1920Mpps；</w:t>
            </w:r>
          </w:p>
          <w:p w14:paraId="15DC52BB">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3、支持Telemetry技术，实现对CPU、内存等信息的周期性采集；</w:t>
            </w:r>
          </w:p>
          <w:p w14:paraId="405E8DAD">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4、可以对风扇状态、电源、温度、板载电压进行可视化监控，在日常巡查中能发现异常前兆，可及时处理，避免出现电压异常宕机；</w:t>
            </w:r>
          </w:p>
          <w:p w14:paraId="066DF31A">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5、设备可以监测光模块状态，可及时识别、并将故障模块隔离，确保不影响其它端口和整机的正常运行，更换故障模块后端口可以立即恢复正常工作。</w:t>
            </w:r>
          </w:p>
          <w:p w14:paraId="4313EA56">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6、能够限制用户向网络中发送数据包的速率，对有攻击行为的用户进行隔离，保证设备和整网的安全稳定运行。</w:t>
            </w:r>
          </w:p>
          <w:p w14:paraId="6E11C06D">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7、设备能够通过学校的网络管理平台进行统一管理，满足学校将网络、SDN控制器、客户管理、运维等系统形成完整链条，并通过不同场景所需来优化、控制、管理整网的建设要求。</w:t>
            </w:r>
          </w:p>
          <w:p w14:paraId="3A1017F9">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8、每台满配电源模块。</w:t>
            </w:r>
          </w:p>
          <w:p w14:paraId="16748766">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9、提供产品的3年免费质保服务。</w:t>
            </w:r>
          </w:p>
        </w:tc>
        <w:tc>
          <w:tcPr>
            <w:tcW w:w="408" w:type="pct"/>
            <w:shd w:val="clear" w:color="auto" w:fill="FFFFFF"/>
            <w:vAlign w:val="center"/>
          </w:tcPr>
          <w:p w14:paraId="0F7B02AA">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2</w:t>
            </w:r>
          </w:p>
        </w:tc>
        <w:tc>
          <w:tcPr>
            <w:tcW w:w="491" w:type="pct"/>
            <w:shd w:val="clear" w:color="auto" w:fill="FFFFFF"/>
            <w:vAlign w:val="center"/>
          </w:tcPr>
          <w:p w14:paraId="7D21E67B">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台</w:t>
            </w:r>
          </w:p>
        </w:tc>
      </w:tr>
      <w:tr w14:paraId="6F2B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257" w:type="pct"/>
            <w:shd w:val="clear" w:color="auto" w:fill="FFFFFF"/>
            <w:vAlign w:val="center"/>
          </w:tcPr>
          <w:p w14:paraId="002E4415">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8</w:t>
            </w:r>
          </w:p>
        </w:tc>
        <w:tc>
          <w:tcPr>
            <w:tcW w:w="509" w:type="pct"/>
            <w:shd w:val="clear" w:color="auto" w:fill="FFFFFF"/>
            <w:vAlign w:val="center"/>
          </w:tcPr>
          <w:p w14:paraId="09F67DBF">
            <w:pPr>
              <w:widowControl/>
              <w:spacing w:line="240" w:lineRule="auto"/>
              <w:ind w:firstLine="0" w:firstLineChars="0"/>
              <w:jc w:val="center"/>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光模块</w:t>
            </w:r>
          </w:p>
        </w:tc>
        <w:tc>
          <w:tcPr>
            <w:tcW w:w="3335" w:type="pct"/>
            <w:shd w:val="clear" w:color="auto" w:fill="FFFFFF"/>
            <w:vAlign w:val="center"/>
          </w:tcPr>
          <w:p w14:paraId="5042D0FE">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1、100G SR光模块，QSFP28封装，MPO接口，波长850nm，需配套多模光纤使用，最大传输距离为100m(OM4)&amp;70m(OM3)。</w:t>
            </w:r>
          </w:p>
          <w:p w14:paraId="2E5888DE">
            <w:pPr>
              <w:widowControl/>
              <w:spacing w:line="240" w:lineRule="auto"/>
              <w:ind w:firstLine="0" w:firstLineChars="0"/>
              <w:jc w:val="left"/>
              <w:textAlignment w:val="center"/>
              <w:rPr>
                <w:rFonts w:ascii="仿宋" w:hAnsi="仿宋" w:eastAsia="仿宋"/>
                <w:color w:val="000000" w:themeColor="text1"/>
                <w:lang w:bidi="ar"/>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2、提供3年免费质保服务。</w:t>
            </w:r>
          </w:p>
        </w:tc>
        <w:tc>
          <w:tcPr>
            <w:tcW w:w="408" w:type="pct"/>
            <w:shd w:val="clear" w:color="auto" w:fill="FFFFFF"/>
            <w:vAlign w:val="center"/>
          </w:tcPr>
          <w:p w14:paraId="158766B9">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10</w:t>
            </w:r>
          </w:p>
        </w:tc>
        <w:tc>
          <w:tcPr>
            <w:tcW w:w="491" w:type="pct"/>
            <w:shd w:val="clear" w:color="auto" w:fill="FFFFFF"/>
            <w:vAlign w:val="center"/>
          </w:tcPr>
          <w:p w14:paraId="067C71EC">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个</w:t>
            </w:r>
          </w:p>
        </w:tc>
      </w:tr>
      <w:tr w14:paraId="1969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257" w:type="pct"/>
            <w:shd w:val="clear" w:color="auto" w:fill="FFFFFF"/>
            <w:vAlign w:val="center"/>
          </w:tcPr>
          <w:p w14:paraId="00C55C54">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9</w:t>
            </w:r>
          </w:p>
        </w:tc>
        <w:tc>
          <w:tcPr>
            <w:tcW w:w="509" w:type="pct"/>
            <w:shd w:val="clear" w:color="auto" w:fill="FFFFFF"/>
            <w:vAlign w:val="center"/>
          </w:tcPr>
          <w:p w14:paraId="2E73BF95">
            <w:pPr>
              <w:widowControl/>
              <w:spacing w:line="240" w:lineRule="auto"/>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虚拟化服务器系统质保服务</w:t>
            </w:r>
          </w:p>
        </w:tc>
        <w:tc>
          <w:tcPr>
            <w:tcW w:w="3335" w:type="pct"/>
            <w:shd w:val="clear" w:color="auto" w:fill="FFFFFF"/>
            <w:vAlign w:val="center"/>
          </w:tcPr>
          <w:p w14:paraId="786FDC18">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采购人现有于2017年投入使用的H3C UIS8000超融合服务器系统1套，该套系统原厂质保服务期至2025年5月31日截止，本次须为该套系统提供1年质保服务，服务内容包括：</w:t>
            </w:r>
          </w:p>
          <w:p w14:paraId="222A3F97">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一、硬件系统质保服务：</w:t>
            </w:r>
          </w:p>
          <w:p w14:paraId="35B1E125">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在质保服务期内，需对整个超融合服务器系统提供硬件故障质保服务，质保范围包括以下方面：</w:t>
            </w:r>
          </w:p>
          <w:p w14:paraId="49D63A2E">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1、刀片机箱整机：包含电源、风扇、阵列卡等硬件。</w:t>
            </w:r>
          </w:p>
          <w:p w14:paraId="3A82C4A3">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2、7台H3C UIS B390刀片服务器：包含：14颗E5-2650v3CPU、80块16G DDR4内存、10块600G硬盘、5块16GbHBA卡、5块10GSFP+万兆接口卡；5个2400W交流电源等服务器硬件。</w:t>
            </w:r>
          </w:p>
          <w:p w14:paraId="2EF1056B">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3、2台刀片交换机,每台交换机含：16个GE下行端口,4个GE RJ45上行端口,4个10GE SFP+上行端口,1个10GE互联端口等交换机硬件。</w:t>
            </w:r>
          </w:p>
          <w:p w14:paraId="1BE3FB03">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4、除以上已列出以外的其他系统内置相关板卡、模块及配件。</w:t>
            </w:r>
          </w:p>
          <w:p w14:paraId="6F699D87">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二、在质保服务期内提供虚拟化服务器系统软件故障的排查、修复技术服务。</w:t>
            </w:r>
          </w:p>
          <w:p w14:paraId="31915D72">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三、对虚拟化服务器系统现有的故障报警信息进行梳理并解决相关故障。</w:t>
            </w:r>
          </w:p>
          <w:p w14:paraId="7ADF9548">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四、故障处理及响应要求：</w:t>
            </w:r>
          </w:p>
          <w:p w14:paraId="6E6EF1E0">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1、当系统发生硬软件故障、系统升级及优化调整等情况时，按用户需求提供工程师到场处理服务。</w:t>
            </w:r>
          </w:p>
          <w:p w14:paraId="50A95C67">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2、质保服务期内当出现设备系统软件调整、优化、升级等服务时，须提供相应的服务方案并安排原厂专业工程师提供服务。</w:t>
            </w:r>
          </w:p>
          <w:p w14:paraId="29899265">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为了能够保证系统故障所更换配件的兼容可靠性、系统后续原厂质保服务的可延续性，质保服务期内所更换的系统配件必须为原厂配件，在质保服务期内制造厂商须提供7*24小时的实时技术咨询、故障排查、故障修复指导等服务。</w:t>
            </w:r>
            <w:r>
              <w:rPr>
                <w:rFonts w:hint="eastAsia" w:ascii="仿宋" w:hAnsi="仿宋" w:eastAsia="仿宋" w:cs="宋体"/>
                <w:b/>
                <w:bCs/>
                <w:color w:val="000000" w:themeColor="text1"/>
                <w:sz w:val="20"/>
                <w:szCs w:val="20"/>
                <w14:textFill>
                  <w14:solidFill>
                    <w14:schemeClr w14:val="tx1"/>
                  </w14:solidFill>
                </w14:textFill>
              </w:rPr>
              <w:t>（项目验收前提供系统制造厂商所出具针对该系统设备的1年免费质保服务及技术支持服务证明文件）</w:t>
            </w:r>
            <w:r>
              <w:rPr>
                <w:rFonts w:hint="eastAsia" w:ascii="仿宋" w:hAnsi="仿宋" w:eastAsia="仿宋" w:cs="宋体"/>
                <w:color w:val="000000" w:themeColor="text1"/>
                <w:sz w:val="20"/>
                <w:szCs w:val="20"/>
                <w14:textFill>
                  <w14:solidFill>
                    <w14:schemeClr w14:val="tx1"/>
                  </w14:solidFill>
                </w14:textFill>
              </w:rPr>
              <w:t>。</w:t>
            </w:r>
          </w:p>
        </w:tc>
        <w:tc>
          <w:tcPr>
            <w:tcW w:w="408" w:type="pct"/>
            <w:shd w:val="clear" w:color="auto" w:fill="FFFFFF"/>
            <w:vAlign w:val="center"/>
          </w:tcPr>
          <w:p w14:paraId="1DC1F4D0">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w:t>
            </w:r>
          </w:p>
        </w:tc>
        <w:tc>
          <w:tcPr>
            <w:tcW w:w="491" w:type="pct"/>
            <w:shd w:val="clear" w:color="auto" w:fill="FFFFFF"/>
            <w:vAlign w:val="center"/>
          </w:tcPr>
          <w:p w14:paraId="34D98FAA">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年</w:t>
            </w:r>
          </w:p>
        </w:tc>
      </w:tr>
      <w:tr w14:paraId="0D8D0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57" w:type="pct"/>
            <w:shd w:val="clear" w:color="auto" w:fill="FFFFFF" w:themeFill="background1"/>
            <w:vAlign w:val="center"/>
          </w:tcPr>
          <w:p w14:paraId="68900A2A">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10</w:t>
            </w:r>
          </w:p>
        </w:tc>
        <w:tc>
          <w:tcPr>
            <w:tcW w:w="509" w:type="pct"/>
            <w:shd w:val="clear" w:color="auto" w:fill="FFFFFF" w:themeFill="background1"/>
            <w:vAlign w:val="center"/>
          </w:tcPr>
          <w:p w14:paraId="78E2D4BB">
            <w:pPr>
              <w:widowControl/>
              <w:spacing w:line="240" w:lineRule="auto"/>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运维辅材及维修服务</w:t>
            </w:r>
          </w:p>
        </w:tc>
        <w:tc>
          <w:tcPr>
            <w:tcW w:w="3335" w:type="pct"/>
            <w:shd w:val="clear" w:color="auto" w:fill="FFFFFF" w:themeFill="background1"/>
            <w:vAlign w:val="center"/>
          </w:tcPr>
          <w:p w14:paraId="1D4C88A8">
            <w:pPr>
              <w:widowControl/>
              <w:spacing w:line="60" w:lineRule="auto"/>
              <w:ind w:firstLine="0" w:firstLineChars="0"/>
              <w:jc w:val="left"/>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一、运维辅材：</w:t>
            </w:r>
          </w:p>
          <w:p w14:paraId="7C5B08F6">
            <w:pPr>
              <w:pStyle w:val="2"/>
              <w:pBdr>
                <w:top w:val="none" w:color="auto" w:sz="0" w:space="0"/>
                <w:left w:val="none" w:color="auto" w:sz="0" w:space="0"/>
                <w:bottom w:val="none" w:color="auto" w:sz="0" w:space="0"/>
                <w:right w:val="none" w:color="auto" w:sz="0" w:space="0"/>
              </w:pBdr>
              <w:spacing w:after="0" w:line="60" w:lineRule="auto"/>
              <w:ind w:firstLine="0" w:firstLineChars="0"/>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本次项目中提供以下运维辅材及更换服务：</w:t>
            </w:r>
          </w:p>
          <w:p w14:paraId="13C42A87">
            <w:pPr>
              <w:pStyle w:val="2"/>
              <w:pBdr>
                <w:top w:val="none" w:color="auto" w:sz="0" w:space="0"/>
                <w:left w:val="none" w:color="auto" w:sz="0" w:space="0"/>
                <w:bottom w:val="none" w:color="auto" w:sz="0" w:space="0"/>
                <w:right w:val="none" w:color="auto" w:sz="0" w:space="0"/>
              </w:pBdr>
              <w:spacing w:after="0" w:line="60" w:lineRule="auto"/>
              <w:ind w:firstLine="0" w:firstLineChars="0"/>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1、监控辅材：监控12V电源30个，</w:t>
            </w:r>
            <w:r>
              <w:rPr>
                <w:rFonts w:hint="eastAsia" w:ascii="仿宋" w:hAnsi="仿宋" w:eastAsia="仿宋" w:cs="宋体"/>
                <w:color w:val="000000" w:themeColor="text1"/>
                <w:kern w:val="0"/>
                <w:sz w:val="20"/>
                <w:szCs w:val="20"/>
                <w:lang w:val="en-US" w:eastAsia="zh-CN" w:bidi="ar"/>
                <w14:textFill>
                  <w14:solidFill>
                    <w14:schemeClr w14:val="tx1"/>
                  </w14:solidFill>
                </w14:textFill>
              </w:rPr>
              <w:t>监控存储服务器专用</w:t>
            </w:r>
            <w:r>
              <w:rPr>
                <w:rFonts w:hint="eastAsia" w:ascii="仿宋" w:hAnsi="仿宋" w:eastAsia="仿宋" w:cs="宋体"/>
                <w:color w:val="000000" w:themeColor="text1"/>
                <w:kern w:val="0"/>
                <w:sz w:val="20"/>
                <w:szCs w:val="20"/>
                <w:lang w:bidi="ar"/>
                <w14:textFill>
                  <w14:solidFill>
                    <w14:schemeClr w14:val="tx1"/>
                  </w14:solidFill>
                </w14:textFill>
              </w:rPr>
              <w:t>960G固态硬盘1块。</w:t>
            </w:r>
          </w:p>
          <w:p w14:paraId="5B343B5A">
            <w:pPr>
              <w:pStyle w:val="2"/>
              <w:pBdr>
                <w:top w:val="none" w:color="auto" w:sz="0" w:space="0"/>
                <w:left w:val="none" w:color="auto" w:sz="0" w:space="0"/>
                <w:bottom w:val="none" w:color="auto" w:sz="0" w:space="0"/>
                <w:right w:val="none" w:color="auto" w:sz="0" w:space="0"/>
              </w:pBdr>
              <w:spacing w:after="0" w:line="60" w:lineRule="auto"/>
              <w:ind w:firstLine="0" w:firstLineChars="0"/>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2、办公及网络辅材：512G固态硬盘1块，硬盘盒1个，耳机2个，六类水晶头1盒，RVV2*1.0电源线1卷，</w:t>
            </w:r>
          </w:p>
          <w:p w14:paraId="349583A2">
            <w:pPr>
              <w:widowControl/>
              <w:spacing w:line="60" w:lineRule="auto"/>
              <w:ind w:firstLine="0" w:firstLineChars="0"/>
              <w:jc w:val="left"/>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二、维修服务：</w:t>
            </w:r>
          </w:p>
          <w:p w14:paraId="527CAF33">
            <w:pPr>
              <w:pStyle w:val="2"/>
              <w:pBdr>
                <w:top w:val="none" w:color="auto" w:sz="0" w:space="0"/>
                <w:left w:val="none" w:color="auto" w:sz="0" w:space="0"/>
                <w:bottom w:val="none" w:color="auto" w:sz="0" w:space="0"/>
                <w:right w:val="none" w:color="auto" w:sz="0" w:space="0"/>
              </w:pBdr>
              <w:spacing w:after="0" w:line="60" w:lineRule="auto"/>
              <w:ind w:firstLine="0" w:firstLineChars="0"/>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1、教学一体机维修：对4台现有教学一体机的</w:t>
            </w:r>
            <w:r>
              <w:rPr>
                <w:rFonts w:hint="eastAsia" w:ascii="仿宋" w:hAnsi="仿宋" w:eastAsia="仿宋" w:cs="宋体"/>
                <w:color w:val="000000" w:themeColor="text1"/>
                <w:kern w:val="0"/>
                <w:sz w:val="20"/>
                <w:szCs w:val="20"/>
                <w:lang w:val="en-US" w:eastAsia="zh-CN" w:bidi="ar"/>
                <w14:textFill>
                  <w14:solidFill>
                    <w14:schemeClr w14:val="tx1"/>
                  </w14:solidFill>
                </w14:textFill>
              </w:rPr>
              <w:t>中控</w:t>
            </w:r>
            <w:r>
              <w:rPr>
                <w:rFonts w:hint="eastAsia" w:ascii="仿宋" w:hAnsi="仿宋" w:eastAsia="仿宋" w:cs="宋体"/>
                <w:color w:val="000000" w:themeColor="text1"/>
                <w:kern w:val="0"/>
                <w:sz w:val="20"/>
                <w:szCs w:val="20"/>
                <w:lang w:bidi="ar"/>
                <w14:textFill>
                  <w14:solidFill>
                    <w14:schemeClr w14:val="tx1"/>
                  </w14:solidFill>
                </w14:textFill>
              </w:rPr>
              <w:t>电脑故障提供故障维修服务。</w:t>
            </w:r>
          </w:p>
          <w:p w14:paraId="31080438">
            <w:pPr>
              <w:pStyle w:val="2"/>
              <w:pBdr>
                <w:top w:val="none" w:color="auto" w:sz="0" w:space="0"/>
                <w:left w:val="none" w:color="auto" w:sz="0" w:space="0"/>
                <w:bottom w:val="none" w:color="auto" w:sz="0" w:space="0"/>
                <w:right w:val="none" w:color="auto" w:sz="0" w:space="0"/>
              </w:pBdr>
              <w:spacing w:after="0" w:line="60" w:lineRule="auto"/>
              <w:ind w:firstLine="0" w:firstLineChars="0"/>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2、电视机维修：对2台现有65寸电视机提供故障维修服务。</w:t>
            </w:r>
          </w:p>
        </w:tc>
        <w:tc>
          <w:tcPr>
            <w:tcW w:w="408" w:type="pct"/>
            <w:shd w:val="clear" w:color="auto" w:fill="FFFFFF" w:themeFill="background1"/>
            <w:vAlign w:val="center"/>
          </w:tcPr>
          <w:p w14:paraId="1B969C9B">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w:t>
            </w:r>
          </w:p>
        </w:tc>
        <w:tc>
          <w:tcPr>
            <w:tcW w:w="491" w:type="pct"/>
            <w:shd w:val="clear" w:color="auto" w:fill="FFFFFF" w:themeFill="background1"/>
            <w:vAlign w:val="center"/>
          </w:tcPr>
          <w:p w14:paraId="7C02ABFD">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项</w:t>
            </w:r>
          </w:p>
        </w:tc>
      </w:tr>
      <w:tr w14:paraId="27A1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57" w:type="pct"/>
            <w:shd w:val="clear" w:color="auto" w:fill="FFFFFF" w:themeFill="background1"/>
            <w:vAlign w:val="center"/>
          </w:tcPr>
          <w:p w14:paraId="6186AE11">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11</w:t>
            </w:r>
          </w:p>
        </w:tc>
        <w:tc>
          <w:tcPr>
            <w:tcW w:w="509" w:type="pct"/>
            <w:shd w:val="clear" w:color="auto" w:fill="FFFFFF" w:themeFill="background1"/>
            <w:vAlign w:val="center"/>
          </w:tcPr>
          <w:p w14:paraId="06D0B14C">
            <w:pPr>
              <w:widowControl/>
              <w:spacing w:line="240" w:lineRule="auto"/>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等保测评及安全咨询服务</w:t>
            </w:r>
          </w:p>
        </w:tc>
        <w:tc>
          <w:tcPr>
            <w:tcW w:w="3335" w:type="pct"/>
            <w:shd w:val="clear" w:color="auto" w:fill="FFFFFF" w:themeFill="background1"/>
            <w:vAlign w:val="center"/>
          </w:tcPr>
          <w:p w14:paraId="0F2E7266">
            <w:pPr>
              <w:widowControl/>
              <w:spacing w:line="240" w:lineRule="auto"/>
              <w:ind w:firstLine="0" w:firstLineChars="0"/>
              <w:jc w:val="left"/>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项目招标范围包括如下：</w:t>
            </w:r>
          </w:p>
          <w:p w14:paraId="03E778F7">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1、网络安全等级保护测评：对“互联网信息管理平台”和“校园网站群系统”</w:t>
            </w:r>
            <w:r>
              <w:rPr>
                <w:rFonts w:hint="eastAsia" w:ascii="仿宋" w:hAnsi="仿宋" w:eastAsia="仿宋" w:cs="宋体"/>
                <w:color w:val="000000" w:themeColor="text1"/>
                <w:sz w:val="20"/>
                <w:szCs w:val="20"/>
                <w14:textFill>
                  <w14:solidFill>
                    <w14:schemeClr w14:val="tx1"/>
                  </w14:solidFill>
                </w14:textFill>
              </w:rPr>
              <w:t>做等保二级测评复测及安全体系咨询服务工作，提交公安部门认可的系统等级保护测评报告。建立、健全单位网络安全防护体系，提升信息化系统整体网络安全防护能力，满足第二级系统网络安全等级保护的能力要求。</w:t>
            </w:r>
          </w:p>
          <w:p w14:paraId="62186143">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2、安全咨询服务：为采购方提供网络安全咨询服务，内容包括等保定级、差距分析、整改方案编制、测评协助、资料汇编、安全管理制度、运维规范、应急预案、岗位职责等编制与优化、安全事件应急响应咨询、病毒与入侵事件处置研判、事后加固建议、网络安全培训等，服务期为1年。</w:t>
            </w:r>
          </w:p>
          <w:p w14:paraId="5C5836C2">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测评具体要求：（1）等保测评：完成包括安全物理环境、安全计算环境、安全区域边界、安全通信网络、安全管理中心和安全管理机构、安全管理制度、安全管理人员、安全建设管理和安全运维管理方面的测评工作；（2）工具测试：针对重要信息系统进行漏洞扫描、渗透测试等安全服务工作时，供应商需使用专业测评设备和工具开展测评工作。包括但不限于网络安全等级保护测评工具、安全扫描工具、网络协议分析工具、远程安全评估工具等。（3）整改建议：供应商应根据现场测评中发现的问题，分析与GB/T 22239-2019、ISO/IEC 27001、ISO/IEC 20000、ISO 22301、ITIL和ITSS等行业最佳实践之间的差距，按照网络安全等级保护标准要求提出安全整改建议（4）编制测评报告：完成上述工作后，供应商最后出具符合标准要求的信息系统网络安全等级保护测评报告。</w:t>
            </w:r>
          </w:p>
          <w:p w14:paraId="3F398E23">
            <w:pPr>
              <w:widowControl/>
              <w:spacing w:line="240" w:lineRule="auto"/>
              <w:ind w:firstLine="0" w:firstLineChars="0"/>
              <w:jc w:val="left"/>
              <w:textAlignment w:val="center"/>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3、★网络安全知识讲座服务：根据采购方的实际需求，承诺在服务期内为校方提供至少1次网络安全知识讲座或网络安全技术培训服务工作，邀请行业内知名专家参与活动，所需费用包含在本项目报价中</w:t>
            </w:r>
            <w:r>
              <w:rPr>
                <w:rFonts w:hint="eastAsia" w:ascii="仿宋" w:hAnsi="仿宋" w:eastAsia="仿宋" w:cs="宋体"/>
                <w:b/>
                <w:bCs/>
                <w:color w:val="000000" w:themeColor="text1"/>
                <w:sz w:val="20"/>
                <w:szCs w:val="20"/>
                <w14:textFill>
                  <w14:solidFill>
                    <w14:schemeClr w14:val="tx1"/>
                  </w14:solidFill>
                </w14:textFill>
              </w:rPr>
              <w:t>（响应文件中提供承诺函，格式自拟）</w:t>
            </w:r>
            <w:r>
              <w:rPr>
                <w:rFonts w:hint="eastAsia" w:ascii="仿宋" w:hAnsi="仿宋" w:eastAsia="仿宋" w:cs="宋体"/>
                <w:color w:val="000000" w:themeColor="text1"/>
                <w:sz w:val="20"/>
                <w:szCs w:val="20"/>
                <w14:textFill>
                  <w14:solidFill>
                    <w14:schemeClr w14:val="tx1"/>
                  </w14:solidFill>
                </w14:textFill>
              </w:rPr>
              <w:t>。</w:t>
            </w:r>
          </w:p>
          <w:p w14:paraId="1E0EB081">
            <w:pPr>
              <w:widowControl/>
              <w:spacing w:line="240" w:lineRule="auto"/>
              <w:ind w:firstLine="0" w:firstLineChars="0"/>
              <w:jc w:val="left"/>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4、★网络安全技术认</w:t>
            </w:r>
            <w:r>
              <w:rPr>
                <w:rFonts w:hint="eastAsia" w:ascii="仿宋" w:hAnsi="仿宋" w:eastAsia="仿宋" w:cs="宋体"/>
                <w:color w:val="000000" w:themeColor="text1"/>
                <w:kern w:val="0"/>
                <w:sz w:val="20"/>
                <w:szCs w:val="20"/>
                <w:lang w:bidi="ar"/>
                <w14:textFill>
                  <w14:solidFill>
                    <w14:schemeClr w14:val="tx1"/>
                  </w14:solidFill>
                </w14:textFill>
              </w:rPr>
              <w:t>证服务：根据校方的实际需求，承诺在服务期内为校方网络安全技术人员提供专项培训服务：包括 1 名人员的网络安全 CISP 培训及考试认证服务，以及 1 名人员的 “计算机技术与软件专业技术资格（水平）”（简称 “软考”）培训服务，以提升单位网络安全技术水平，所需费用包含在本项目报价中。</w:t>
            </w:r>
            <w:r>
              <w:rPr>
                <w:rFonts w:hint="eastAsia" w:ascii="仿宋" w:hAnsi="仿宋" w:eastAsia="仿宋" w:cs="宋体"/>
                <w:b/>
                <w:bCs/>
                <w:color w:val="000000" w:themeColor="text1"/>
                <w:kern w:val="0"/>
                <w:sz w:val="20"/>
                <w:szCs w:val="20"/>
                <w:lang w:bidi="ar"/>
                <w14:textFill>
                  <w14:solidFill>
                    <w14:schemeClr w14:val="tx1"/>
                  </w14:solidFill>
                </w14:textFill>
              </w:rPr>
              <w:t>（响应文件中提供承诺函，格式自拟）</w:t>
            </w:r>
            <w:r>
              <w:rPr>
                <w:rFonts w:hint="eastAsia" w:ascii="仿宋" w:hAnsi="仿宋" w:eastAsia="仿宋" w:cs="宋体"/>
                <w:color w:val="000000" w:themeColor="text1"/>
                <w:kern w:val="0"/>
                <w:sz w:val="20"/>
                <w:szCs w:val="20"/>
                <w:lang w:bidi="ar"/>
                <w14:textFill>
                  <w14:solidFill>
                    <w14:schemeClr w14:val="tx1"/>
                  </w14:solidFill>
                </w14:textFill>
              </w:rPr>
              <w:t>。</w:t>
            </w:r>
          </w:p>
          <w:p w14:paraId="34960BE5">
            <w:pPr>
              <w:widowControl/>
              <w:spacing w:line="240" w:lineRule="auto"/>
              <w:ind w:firstLine="0" w:firstLineChars="0"/>
              <w:jc w:val="left"/>
              <w:textAlignment w:val="center"/>
              <w:rPr>
                <w:rFonts w:hint="eastAsia" w:ascii="仿宋" w:hAnsi="仿宋" w:eastAsia="仿宋" w:cs="宋体"/>
                <w:color w:val="000000" w:themeColor="text1"/>
                <w:kern w:val="0"/>
                <w:sz w:val="20"/>
                <w:szCs w:val="20"/>
                <w:lang w:bidi="ar"/>
                <w14:textFill>
                  <w14:solidFill>
                    <w14:schemeClr w14:val="tx1"/>
                  </w14:solidFill>
                </w14:textFill>
              </w:rPr>
            </w:pPr>
          </w:p>
        </w:tc>
        <w:tc>
          <w:tcPr>
            <w:tcW w:w="408" w:type="pct"/>
            <w:shd w:val="clear" w:color="auto" w:fill="FFFFFF" w:themeFill="background1"/>
            <w:vAlign w:val="center"/>
          </w:tcPr>
          <w:p w14:paraId="7B533185">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1</w:t>
            </w:r>
          </w:p>
        </w:tc>
        <w:tc>
          <w:tcPr>
            <w:tcW w:w="491" w:type="pct"/>
            <w:shd w:val="clear" w:color="auto" w:fill="FFFFFF" w:themeFill="background1"/>
            <w:vAlign w:val="center"/>
          </w:tcPr>
          <w:p w14:paraId="419FB9A5">
            <w:pPr>
              <w:widowControl/>
              <w:ind w:firstLine="0" w:firstLineChars="0"/>
              <w:jc w:val="center"/>
              <w:textAlignment w:val="center"/>
              <w:rPr>
                <w:rFonts w:hint="eastAsia" w:ascii="仿宋" w:hAnsi="仿宋" w:eastAsia="仿宋" w:cs="宋体"/>
                <w:color w:val="000000" w:themeColor="text1"/>
                <w:kern w:val="0"/>
                <w:sz w:val="20"/>
                <w:szCs w:val="20"/>
                <w:lang w:bidi="ar"/>
                <w14:textFill>
                  <w14:solidFill>
                    <w14:schemeClr w14:val="tx1"/>
                  </w14:solidFill>
                </w14:textFill>
              </w:rPr>
            </w:pPr>
            <w:r>
              <w:rPr>
                <w:rFonts w:hint="eastAsia" w:ascii="仿宋" w:hAnsi="仿宋" w:eastAsia="仿宋" w:cs="宋体"/>
                <w:color w:val="000000" w:themeColor="text1"/>
                <w:kern w:val="0"/>
                <w:sz w:val="20"/>
                <w:szCs w:val="20"/>
                <w:lang w:bidi="ar"/>
                <w14:textFill>
                  <w14:solidFill>
                    <w14:schemeClr w14:val="tx1"/>
                  </w14:solidFill>
                </w14:textFill>
              </w:rPr>
              <w:t>项</w:t>
            </w:r>
          </w:p>
        </w:tc>
      </w:tr>
    </w:tbl>
    <w:p w14:paraId="7B01D3F7">
      <w:pPr>
        <w:pStyle w:val="6"/>
        <w:numPr>
          <w:ilvl w:val="0"/>
          <w:numId w:val="4"/>
        </w:numPr>
        <w:tabs>
          <w:tab w:val="left" w:pos="1400"/>
        </w:tabs>
        <w:ind w:firstLineChars="0"/>
        <w:rPr>
          <w:rFonts w:hint="eastAsia" w:cstheme="majorEastAsia"/>
          <w:b/>
          <w:bCs/>
          <w:color w:val="000000" w:themeColor="text1"/>
          <w14:textFill>
            <w14:solidFill>
              <w14:schemeClr w14:val="tx1"/>
            </w14:solidFill>
          </w14:textFill>
        </w:rPr>
      </w:pPr>
      <w:r>
        <w:rPr>
          <w:rFonts w:hint="eastAsia" w:cstheme="majorEastAsia"/>
          <w:b/>
          <w:bCs/>
          <w:color w:val="000000" w:themeColor="text1"/>
          <w14:textFill>
            <w14:solidFill>
              <w14:schemeClr w14:val="tx1"/>
            </w14:solidFill>
          </w14:textFill>
        </w:rPr>
        <w:t>项目实施及服务要求</w:t>
      </w:r>
    </w:p>
    <w:p w14:paraId="102DB055">
      <w:pPr>
        <w:pStyle w:val="3"/>
        <w:pBdr>
          <w:top w:val="none" w:color="auto" w:sz="0" w:space="0"/>
          <w:left w:val="none" w:color="auto" w:sz="0" w:space="0"/>
          <w:bottom w:val="none" w:color="auto" w:sz="0" w:space="0"/>
          <w:right w:val="none" w:color="auto" w:sz="0" w:space="0"/>
        </w:pBdr>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为了保证本次项目的顺利实施和后期服务，供应商中标后须按以下要求进行本项目的实施和服务工作：</w:t>
      </w:r>
    </w:p>
    <w:p w14:paraId="43D25B42">
      <w:pPr>
        <w:pStyle w:val="7"/>
        <w:numPr>
          <w:ilvl w:val="0"/>
          <w:numId w:val="8"/>
        </w:numPr>
        <w:tabs>
          <w:tab w:val="left" w:pos="1204"/>
        </w:tabs>
        <w:ind w:firstLine="482"/>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项目实施保障</w:t>
      </w:r>
    </w:p>
    <w:p w14:paraId="7803DD86">
      <w:pPr>
        <w:pStyle w:val="3"/>
        <w:numPr>
          <w:ilvl w:val="0"/>
          <w:numId w:val="9"/>
        </w:numPr>
        <w:pBdr>
          <w:top w:val="none" w:color="auto" w:sz="0" w:space="0"/>
          <w:left w:val="none" w:color="auto" w:sz="0" w:space="0"/>
          <w:bottom w:val="none" w:color="auto" w:sz="0" w:space="0"/>
          <w:right w:val="none" w:color="auto" w:sz="0" w:space="0"/>
        </w:pBdr>
        <w:tabs>
          <w:tab w:val="left" w:pos="980"/>
        </w:tabs>
        <w:ind w:left="0" w:firstLine="560"/>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为保证整个项目能按照招标要求顺利实施，中标后向用户提交完整、详尽、合理、可行的项目规划实施方案。</w:t>
      </w:r>
    </w:p>
    <w:p w14:paraId="475642C2">
      <w:pPr>
        <w:pStyle w:val="3"/>
        <w:numPr>
          <w:ilvl w:val="0"/>
          <w:numId w:val="9"/>
        </w:numPr>
        <w:pBdr>
          <w:top w:val="none" w:color="auto" w:sz="0" w:space="0"/>
          <w:left w:val="none" w:color="auto" w:sz="0" w:space="0"/>
          <w:bottom w:val="none" w:color="auto" w:sz="0" w:space="0"/>
          <w:right w:val="none" w:color="auto" w:sz="0" w:space="0"/>
        </w:pBdr>
        <w:tabs>
          <w:tab w:val="left" w:pos="980"/>
        </w:tabs>
        <w:ind w:left="0" w:firstLine="560"/>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中标后保证对所供的产品在到现场后按招标要求做好进行产品配置及技术功能验证工作，验证无误后方可进行上线安装调试等工作。如因设备功能配置缺失或技术性能不符合招标要求盲目上线造成项目工期延误、功能缺失、系统瘫痪等损失，中标人承担相应的责任。</w:t>
      </w:r>
    </w:p>
    <w:p w14:paraId="534BE7AA">
      <w:pPr>
        <w:pStyle w:val="7"/>
        <w:numPr>
          <w:ilvl w:val="0"/>
          <w:numId w:val="8"/>
        </w:numPr>
        <w:tabs>
          <w:tab w:val="left" w:pos="1204"/>
        </w:tabs>
        <w:ind w:firstLine="482"/>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项目实施及技术要求</w:t>
      </w:r>
    </w:p>
    <w:p w14:paraId="220340C6">
      <w:pPr>
        <w:pStyle w:val="3"/>
        <w:numPr>
          <w:ilvl w:val="0"/>
          <w:numId w:val="10"/>
        </w:numPr>
        <w:pBdr>
          <w:top w:val="none" w:color="auto" w:sz="0" w:space="0"/>
          <w:left w:val="none" w:color="auto" w:sz="0" w:space="0"/>
          <w:bottom w:val="none" w:color="auto" w:sz="0" w:space="0"/>
          <w:right w:val="none" w:color="auto" w:sz="0" w:space="0"/>
        </w:pBdr>
        <w:tabs>
          <w:tab w:val="left" w:pos="980"/>
        </w:tabs>
        <w:ind w:left="0" w:firstLine="560"/>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中标后承担本次项目所采购软硬件产品及材料的安装调试工作。</w:t>
      </w:r>
    </w:p>
    <w:p w14:paraId="71D8A180">
      <w:pPr>
        <w:pStyle w:val="3"/>
        <w:numPr>
          <w:ilvl w:val="0"/>
          <w:numId w:val="10"/>
        </w:numPr>
        <w:pBdr>
          <w:top w:val="none" w:color="auto" w:sz="0" w:space="0"/>
          <w:left w:val="none" w:color="auto" w:sz="0" w:space="0"/>
          <w:bottom w:val="none" w:color="auto" w:sz="0" w:space="0"/>
          <w:right w:val="none" w:color="auto" w:sz="0" w:space="0"/>
        </w:pBdr>
        <w:tabs>
          <w:tab w:val="left" w:pos="980"/>
        </w:tabs>
        <w:ind w:left="0" w:firstLine="560"/>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中标后按采购人要求承担本项目需合理利用的现有网络、网络安全、通信线路等与本项目实施有关的所有设备及系统的迁移、硬软件安装调试、系统对接及整合、设备系统优化、线路整改等工作，采购方不另行支付相关费用。</w:t>
      </w:r>
    </w:p>
    <w:p w14:paraId="1EB8A6D6">
      <w:pPr>
        <w:pStyle w:val="3"/>
        <w:numPr>
          <w:ilvl w:val="0"/>
          <w:numId w:val="10"/>
        </w:numPr>
        <w:pBdr>
          <w:top w:val="none" w:color="auto" w:sz="0" w:space="0"/>
          <w:left w:val="none" w:color="auto" w:sz="0" w:space="0"/>
          <w:bottom w:val="none" w:color="auto" w:sz="0" w:space="0"/>
          <w:right w:val="none" w:color="auto" w:sz="0" w:space="0"/>
        </w:pBdr>
        <w:tabs>
          <w:tab w:val="left" w:pos="980"/>
        </w:tabs>
        <w:ind w:left="0" w:firstLine="560"/>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实施过程中，按采购人要求充分合理的利用学校现有网络安全防护设备及系统，根据采购人现有校园网的网络架构，利用安全服务链技术搭建可靠的校园办公网和核心业务应用系统的网络安全防护体系，杜绝链路性能瓶颈。</w:t>
      </w:r>
    </w:p>
    <w:p w14:paraId="2CE5129F">
      <w:pPr>
        <w:pStyle w:val="3"/>
        <w:numPr>
          <w:ilvl w:val="0"/>
          <w:numId w:val="10"/>
        </w:numPr>
        <w:pBdr>
          <w:top w:val="none" w:color="auto" w:sz="0" w:space="0"/>
          <w:left w:val="none" w:color="auto" w:sz="0" w:space="0"/>
          <w:bottom w:val="none" w:color="auto" w:sz="0" w:space="0"/>
          <w:right w:val="none" w:color="auto" w:sz="0" w:space="0"/>
        </w:pBdr>
        <w:tabs>
          <w:tab w:val="left" w:pos="980"/>
        </w:tabs>
        <w:ind w:left="0" w:firstLine="560"/>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实现出口边界防护系统、潜伏威胁感知探测系统、虚拟化服务器区终端防护系统与采购人现有安全运营服务平台联动防护功能，能够实时把以上安全系统的威胁数据自动实时上传至安全运营服务平台，并通过安全运营服务平台可以全年无休7*24小时实时远程处置网络安全威胁事件，实现“人机共智”模式，构建持续、主动、闭环的安全运营体系，及时有效的保障核心业务区的数据安全，实现本次项目的招标要求。</w:t>
      </w:r>
    </w:p>
    <w:p w14:paraId="6B081E0C">
      <w:pPr>
        <w:pStyle w:val="3"/>
        <w:numPr>
          <w:ilvl w:val="0"/>
          <w:numId w:val="10"/>
        </w:numPr>
        <w:pBdr>
          <w:top w:val="none" w:color="auto" w:sz="0" w:space="0"/>
          <w:left w:val="none" w:color="auto" w:sz="0" w:space="0"/>
          <w:bottom w:val="none" w:color="auto" w:sz="0" w:space="0"/>
          <w:right w:val="none" w:color="auto" w:sz="0" w:space="0"/>
        </w:pBdr>
        <w:tabs>
          <w:tab w:val="left" w:pos="980"/>
        </w:tabs>
        <w:ind w:left="0" w:firstLine="560"/>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项目施工完毕后，向采购人提交完整的技术交底资料，并按照招标要求、投标文件、技术交底资料向采购人申请现场进行产品配置核对、功能演示，如有不符需按采购人要求进行整改，整改合格后方可申请验收。</w:t>
      </w:r>
    </w:p>
    <w:p w14:paraId="3175ACB8">
      <w:pPr>
        <w:pStyle w:val="7"/>
        <w:numPr>
          <w:ilvl w:val="0"/>
          <w:numId w:val="8"/>
        </w:numPr>
        <w:tabs>
          <w:tab w:val="left" w:pos="1204"/>
        </w:tabs>
        <w:ind w:firstLine="482"/>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服务保障</w:t>
      </w:r>
    </w:p>
    <w:p w14:paraId="0A6FDA26">
      <w:pPr>
        <w:pStyle w:val="3"/>
        <w:numPr>
          <w:ilvl w:val="0"/>
          <w:numId w:val="11"/>
        </w:numPr>
        <w:pBdr>
          <w:top w:val="none" w:color="auto" w:sz="0" w:space="0"/>
          <w:left w:val="none" w:color="auto" w:sz="0" w:space="0"/>
          <w:bottom w:val="none" w:color="auto" w:sz="0" w:space="0"/>
          <w:right w:val="none" w:color="auto" w:sz="0" w:space="0"/>
        </w:pBdr>
        <w:tabs>
          <w:tab w:val="left" w:pos="980"/>
        </w:tabs>
        <w:ind w:left="0" w:firstLine="560"/>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在系统验收合格正式运行后，</w:t>
      </w:r>
      <w:r>
        <w:rPr>
          <w:rFonts w:hAnsi="仿宋"/>
          <w:color w:val="000000" w:themeColor="text1"/>
          <w14:textFill>
            <w14:solidFill>
              <w14:schemeClr w14:val="tx1"/>
            </w14:solidFill>
          </w14:textFill>
        </w:rPr>
        <w:t>本项目统一提供</w:t>
      </w:r>
      <w:r>
        <w:rPr>
          <w:rFonts w:hint="eastAsia" w:hAnsi="仿宋"/>
          <w:color w:val="000000" w:themeColor="text1"/>
          <w14:textFill>
            <w14:solidFill>
              <w14:schemeClr w14:val="tx1"/>
            </w14:solidFill>
          </w14:textFill>
        </w:rPr>
        <w:t>3</w:t>
      </w:r>
      <w:r>
        <w:rPr>
          <w:rFonts w:hAnsi="仿宋"/>
          <w:color w:val="000000" w:themeColor="text1"/>
          <w14:textFill>
            <w14:solidFill>
              <w14:schemeClr w14:val="tx1"/>
            </w14:solidFill>
          </w14:textFill>
        </w:rPr>
        <w:t>年免费维护服务，另有约定的产品维护期限遵照技术需求表格要求执行</w:t>
      </w:r>
      <w:r>
        <w:rPr>
          <w:rFonts w:hAnsi="仿宋"/>
          <w:color w:val="000000" w:themeColor="text1"/>
          <w14:textFill>
            <w14:solidFill>
              <w14:schemeClr w14:val="tx1"/>
            </w14:solidFill>
          </w14:textFill>
        </w:rPr>
        <w:t>，维护范围包括本次项目实施完毕后所形成整体系统涉及到的所有硬、软件产品的日常运行维护、技术咨询、设备迁移、策略优化调整、软件版本升级等相关维护服务工作。</w:t>
      </w:r>
    </w:p>
    <w:p w14:paraId="0010AC57">
      <w:pPr>
        <w:pStyle w:val="3"/>
        <w:numPr>
          <w:ilvl w:val="0"/>
          <w:numId w:val="11"/>
        </w:numPr>
        <w:pBdr>
          <w:top w:val="none" w:color="auto" w:sz="0" w:space="0"/>
          <w:left w:val="none" w:color="auto" w:sz="0" w:space="0"/>
          <w:bottom w:val="none" w:color="auto" w:sz="0" w:space="0"/>
          <w:right w:val="none" w:color="auto" w:sz="0" w:space="0"/>
        </w:pBdr>
        <w:tabs>
          <w:tab w:val="left" w:pos="980"/>
        </w:tabs>
        <w:ind w:left="0" w:firstLine="560"/>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项目验收合格后三年内，中标人提供每月不少于2次的工程师现场上门巡检服务</w:t>
      </w:r>
      <w:r>
        <w:rPr>
          <w:rFonts w:hint="eastAsia" w:hAnsi="仿宋"/>
          <w:color w:val="000000" w:themeColor="text1"/>
          <w14:textFill>
            <w14:solidFill>
              <w14:schemeClr w14:val="tx1"/>
            </w14:solidFill>
          </w14:textFill>
        </w:rPr>
        <w:t>，</w:t>
      </w:r>
      <w:r>
        <w:rPr>
          <w:rFonts w:hint="eastAsia" w:hAnsi="仿宋"/>
          <w:color w:val="000000" w:themeColor="text1"/>
          <w14:textFill>
            <w14:solidFill>
              <w14:schemeClr w14:val="tx1"/>
            </w14:solidFill>
          </w14:textFill>
        </w:rPr>
        <w:t>并提供相关巡检报告</w:t>
      </w:r>
      <w:r>
        <w:rPr>
          <w:rFonts w:hAnsi="仿宋"/>
          <w:color w:val="000000" w:themeColor="text1"/>
          <w14:textFill>
            <w14:solidFill>
              <w14:schemeClr w14:val="tx1"/>
            </w14:solidFill>
          </w14:textFill>
        </w:rPr>
        <w:t>。</w:t>
      </w:r>
    </w:p>
    <w:p w14:paraId="1AB0327D">
      <w:pPr>
        <w:pStyle w:val="6"/>
        <w:numPr>
          <w:ilvl w:val="0"/>
          <w:numId w:val="4"/>
        </w:numPr>
        <w:tabs>
          <w:tab w:val="left" w:pos="1400"/>
        </w:tabs>
        <w:ind w:firstLineChars="0"/>
        <w:rPr>
          <w:rFonts w:hint="eastAsia" w:cstheme="majorEastAsia"/>
          <w:b/>
          <w:bCs/>
          <w:color w:val="000000" w:themeColor="text1"/>
          <w14:textFill>
            <w14:solidFill>
              <w14:schemeClr w14:val="tx1"/>
            </w14:solidFill>
          </w14:textFill>
        </w:rPr>
      </w:pPr>
      <w:r>
        <w:rPr>
          <w:rFonts w:hint="eastAsia" w:cstheme="majorEastAsia"/>
          <w:b/>
          <w:bCs/>
          <w:color w:val="000000" w:themeColor="text1"/>
          <w14:textFill>
            <w14:solidFill>
              <w14:schemeClr w14:val="tx1"/>
            </w14:solidFill>
          </w14:textFill>
        </w:rPr>
        <w:t xml:space="preserve">其他要求 </w:t>
      </w:r>
    </w:p>
    <w:p w14:paraId="748DB7AE">
      <w:pPr>
        <w:pStyle w:val="3"/>
        <w:numPr>
          <w:ilvl w:val="0"/>
          <w:numId w:val="1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本项目供应商的报价包括安装调试及试运行、系统接口开发、系统对接需另外增加的硬软件、第三方检测、培训、验收、资料、质保期内的售后服务、税费等与本项目实施相关的所有实际发生的费用，采购人不接受对价格的任何调整且不再支付超出合同价以外的任何费用。</w:t>
      </w:r>
    </w:p>
    <w:p w14:paraId="7BCC86A3">
      <w:pPr>
        <w:pStyle w:val="3"/>
        <w:numPr>
          <w:ilvl w:val="0"/>
          <w:numId w:val="1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投标供应商须按招标文件约定时间内完成合同所有内容，项目实施时不得影响采购人正常的教学工作开展。</w:t>
      </w:r>
    </w:p>
    <w:p w14:paraId="70560FBA">
      <w:pPr>
        <w:pStyle w:val="3"/>
        <w:numPr>
          <w:ilvl w:val="0"/>
          <w:numId w:val="1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投标供应商提供的货物必须是全新、原装、合格正品，符合国家规定质量标准，货物包装完好，配件齐全。</w:t>
      </w:r>
    </w:p>
    <w:p w14:paraId="30A63DCB">
      <w:pPr>
        <w:pStyle w:val="3"/>
        <w:numPr>
          <w:ilvl w:val="0"/>
          <w:numId w:val="1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投标供应商拟派的项目实施人员必须经过专业培训，能高效完成本项目内容。</w:t>
      </w:r>
    </w:p>
    <w:p w14:paraId="749D6BE3">
      <w:pPr>
        <w:pStyle w:val="3"/>
        <w:numPr>
          <w:ilvl w:val="0"/>
          <w:numId w:val="1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供应商需按采购人要求提供硬软件系统的培训服务。</w:t>
      </w:r>
    </w:p>
    <w:p w14:paraId="5640C6D2">
      <w:pPr>
        <w:pStyle w:val="3"/>
        <w:numPr>
          <w:ilvl w:val="0"/>
          <w:numId w:val="1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因中标供应商所供的产品不符合招标要求、项目实施不力等原因造成本项目功能缺失、项目失败等严重后果而导致项目无法验收合格（以达到采购人验收要求为准）的，采购人有权拒付合同款项，同时中标供应商须承担由此造成的相关损失和责任。</w:t>
      </w:r>
    </w:p>
    <w:p w14:paraId="0E183ABD">
      <w:pPr>
        <w:pStyle w:val="3"/>
        <w:numPr>
          <w:ilvl w:val="0"/>
          <w:numId w:val="1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本项目建设过程中产生的各类知识产权其所有权和使用权均归皖西卫生职业学院所有。中标单位需严格遵守保密协议，未经允许不得向任何第三方泄露。</w:t>
      </w:r>
    </w:p>
    <w:p w14:paraId="52920CF9">
      <w:pPr>
        <w:pStyle w:val="3"/>
        <w:numPr>
          <w:ilvl w:val="0"/>
          <w:numId w:val="12"/>
        </w:numPr>
        <w:pBdr>
          <w:top w:val="none" w:color="auto" w:sz="0" w:space="0"/>
          <w:left w:val="none" w:color="auto" w:sz="0" w:space="0"/>
          <w:bottom w:val="none" w:color="auto" w:sz="0" w:space="0"/>
          <w:right w:val="none" w:color="auto" w:sz="0" w:space="0"/>
        </w:pBdr>
        <w:tabs>
          <w:tab w:val="left" w:pos="980"/>
        </w:tabs>
        <w:rPr>
          <w:rFonts w:hAnsi="仿宋"/>
          <w:color w:val="000000" w:themeColor="text1"/>
          <w14:textFill>
            <w14:solidFill>
              <w14:schemeClr w14:val="tx1"/>
            </w14:solidFill>
          </w14:textFill>
        </w:rPr>
      </w:pPr>
      <w:r>
        <w:rPr>
          <w:rFonts w:hAnsi="仿宋"/>
          <w:color w:val="000000" w:themeColor="text1"/>
          <w14:textFill>
            <w14:solidFill>
              <w14:schemeClr w14:val="tx1"/>
            </w14:solidFill>
          </w14:textFill>
        </w:rPr>
        <w:t>服务期内提供全周期运维保障服务</w:t>
      </w:r>
      <w:r>
        <w:rPr>
          <w:rFonts w:hint="eastAsia" w:hAnsi="仿宋"/>
          <w:color w:val="000000" w:themeColor="text1"/>
          <w14:textFill>
            <w14:solidFill>
              <w14:schemeClr w14:val="tx1"/>
            </w14:solidFill>
          </w14:textFill>
        </w:rPr>
        <w:t>，</w:t>
      </w:r>
      <w:r>
        <w:rPr>
          <w:rFonts w:hAnsi="仿宋"/>
          <w:color w:val="000000" w:themeColor="text1"/>
          <w14:textFill>
            <w14:solidFill>
              <w14:schemeClr w14:val="tx1"/>
            </w14:solidFill>
          </w14:textFill>
        </w:rPr>
        <w:t>包括系统故障排除、功能优化、技术咨询、设备维护、安全架构升级等。设立7×24小时售后服务热线，确保在接到故障报告后，能够在规定时间内响应并解决问题。定期对系统进行巡检和维护，根据学院需求和技术发展情况，对系统进行升级和优化，保障系统长期稳定运行。</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8621683"/>
    </w:sdtPr>
    <w:sdtContent>
      <w:p w14:paraId="5B07A0F6">
        <w:pPr>
          <w:pStyle w:val="17"/>
          <w:ind w:firstLine="360"/>
          <w:jc w:val="center"/>
        </w:pPr>
        <w:r>
          <w:fldChar w:fldCharType="begin"/>
        </w:r>
        <w:r>
          <w:instrText xml:space="preserve">PAGE   \* MERGEFORMAT</w:instrText>
        </w:r>
        <w:r>
          <w:fldChar w:fldCharType="separate"/>
        </w:r>
        <w:r>
          <w:rPr>
            <w:lang w:val="zh-CN"/>
          </w:rPr>
          <w:t>2</w:t>
        </w:r>
        <w:r>
          <w:fldChar w:fldCharType="end"/>
        </w:r>
      </w:p>
    </w:sdtContent>
  </w:sdt>
  <w:p w14:paraId="4EB6F2B4">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397D">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51463">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855C">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9C46">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745C">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40736"/>
    <w:multiLevelType w:val="singleLevel"/>
    <w:tmpl w:val="8F540736"/>
    <w:lvl w:ilvl="0" w:tentative="0">
      <w:start w:val="1"/>
      <w:numFmt w:val="decimal"/>
      <w:suff w:val="nothing"/>
      <w:lvlText w:val="%1、"/>
      <w:lvlJc w:val="left"/>
      <w:pPr>
        <w:ind w:left="0" w:firstLine="560"/>
      </w:pPr>
      <w:rPr>
        <w:rFonts w:hint="default"/>
      </w:rPr>
    </w:lvl>
  </w:abstractNum>
  <w:abstractNum w:abstractNumId="1">
    <w:nsid w:val="90337DC0"/>
    <w:multiLevelType w:val="singleLevel"/>
    <w:tmpl w:val="90337DC0"/>
    <w:lvl w:ilvl="0" w:tentative="0">
      <w:start w:val="1"/>
      <w:numFmt w:val="decimal"/>
      <w:suff w:val="nothing"/>
      <w:lvlText w:val="%1、"/>
      <w:lvlJc w:val="left"/>
      <w:pPr>
        <w:ind w:left="0" w:firstLine="560"/>
      </w:pPr>
      <w:rPr>
        <w:rFonts w:hint="default"/>
      </w:rPr>
    </w:lvl>
  </w:abstractNum>
  <w:abstractNum w:abstractNumId="2">
    <w:nsid w:val="A241400F"/>
    <w:multiLevelType w:val="singleLevel"/>
    <w:tmpl w:val="A241400F"/>
    <w:lvl w:ilvl="0" w:tentative="0">
      <w:start w:val="1"/>
      <w:numFmt w:val="chineseCounting"/>
      <w:suff w:val="nothing"/>
      <w:lvlText w:val="（%1）"/>
      <w:lvlJc w:val="left"/>
      <w:pPr>
        <w:ind w:left="0" w:firstLine="420"/>
      </w:pPr>
      <w:rPr>
        <w:rFonts w:hint="eastAsia"/>
      </w:rPr>
    </w:lvl>
  </w:abstractNum>
  <w:abstractNum w:abstractNumId="3">
    <w:nsid w:val="A4AB23B2"/>
    <w:multiLevelType w:val="singleLevel"/>
    <w:tmpl w:val="A4AB23B2"/>
    <w:lvl w:ilvl="0" w:tentative="0">
      <w:start w:val="1"/>
      <w:numFmt w:val="decimal"/>
      <w:suff w:val="nothing"/>
      <w:lvlText w:val="%1、"/>
      <w:lvlJc w:val="left"/>
      <w:pPr>
        <w:ind w:left="0" w:firstLine="560"/>
      </w:pPr>
      <w:rPr>
        <w:rFonts w:hint="default"/>
      </w:rPr>
    </w:lvl>
  </w:abstractNum>
  <w:abstractNum w:abstractNumId="4">
    <w:nsid w:val="AE0C28A3"/>
    <w:multiLevelType w:val="singleLevel"/>
    <w:tmpl w:val="AE0C28A3"/>
    <w:lvl w:ilvl="0" w:tentative="0">
      <w:start w:val="1"/>
      <w:numFmt w:val="decimal"/>
      <w:lvlText w:val="%1)"/>
      <w:lvlJc w:val="left"/>
      <w:pPr>
        <w:ind w:left="425" w:hanging="425"/>
      </w:pPr>
      <w:rPr>
        <w:rFonts w:hint="default"/>
      </w:rPr>
    </w:lvl>
  </w:abstractNum>
  <w:abstractNum w:abstractNumId="5">
    <w:nsid w:val="B2E9C771"/>
    <w:multiLevelType w:val="singleLevel"/>
    <w:tmpl w:val="B2E9C771"/>
    <w:lvl w:ilvl="0" w:tentative="0">
      <w:start w:val="1"/>
      <w:numFmt w:val="decimal"/>
      <w:suff w:val="nothing"/>
      <w:lvlText w:val="%1．"/>
      <w:lvlJc w:val="left"/>
      <w:pPr>
        <w:ind w:left="0" w:firstLine="400"/>
      </w:pPr>
      <w:rPr>
        <w:rFonts w:hint="default"/>
      </w:rPr>
    </w:lvl>
  </w:abstractNum>
  <w:abstractNum w:abstractNumId="6">
    <w:nsid w:val="014BAA17"/>
    <w:multiLevelType w:val="singleLevel"/>
    <w:tmpl w:val="014BAA17"/>
    <w:lvl w:ilvl="0" w:tentative="0">
      <w:start w:val="1"/>
      <w:numFmt w:val="decimal"/>
      <w:lvlText w:val="%1)"/>
      <w:lvlJc w:val="left"/>
      <w:pPr>
        <w:ind w:left="425" w:hanging="425"/>
      </w:pPr>
      <w:rPr>
        <w:rFonts w:hint="default"/>
      </w:rPr>
    </w:lvl>
  </w:abstractNum>
  <w:abstractNum w:abstractNumId="7">
    <w:nsid w:val="02BEE2D8"/>
    <w:multiLevelType w:val="singleLevel"/>
    <w:tmpl w:val="02BEE2D8"/>
    <w:lvl w:ilvl="0" w:tentative="0">
      <w:start w:val="1"/>
      <w:numFmt w:val="decimal"/>
      <w:lvlText w:val="(%1)"/>
      <w:lvlJc w:val="left"/>
      <w:pPr>
        <w:ind w:left="425" w:hanging="425"/>
      </w:pPr>
      <w:rPr>
        <w:rFonts w:hint="default"/>
      </w:rPr>
    </w:lvl>
  </w:abstractNum>
  <w:abstractNum w:abstractNumId="8">
    <w:nsid w:val="06393DAB"/>
    <w:multiLevelType w:val="singleLevel"/>
    <w:tmpl w:val="06393DAB"/>
    <w:lvl w:ilvl="0" w:tentative="0">
      <w:start w:val="1"/>
      <w:numFmt w:val="chineseCounting"/>
      <w:suff w:val="nothing"/>
      <w:lvlText w:val="%1、"/>
      <w:lvlJc w:val="left"/>
      <w:pPr>
        <w:ind w:left="0" w:firstLine="0"/>
      </w:pPr>
      <w:rPr>
        <w:rFonts w:hint="eastAsia"/>
      </w:rPr>
    </w:lvl>
  </w:abstractNum>
  <w:abstractNum w:abstractNumId="9">
    <w:nsid w:val="0A53E922"/>
    <w:multiLevelType w:val="singleLevel"/>
    <w:tmpl w:val="0A53E922"/>
    <w:lvl w:ilvl="0" w:tentative="0">
      <w:start w:val="1"/>
      <w:numFmt w:val="decimal"/>
      <w:suff w:val="nothing"/>
      <w:lvlText w:val="%1．"/>
      <w:lvlJc w:val="left"/>
      <w:pPr>
        <w:ind w:left="0" w:firstLine="400"/>
      </w:pPr>
      <w:rPr>
        <w:rFonts w:hint="default"/>
      </w:rPr>
    </w:lvl>
  </w:abstractNum>
  <w:abstractNum w:abstractNumId="10">
    <w:nsid w:val="5501D016"/>
    <w:multiLevelType w:val="singleLevel"/>
    <w:tmpl w:val="5501D016"/>
    <w:lvl w:ilvl="0" w:tentative="0">
      <w:start w:val="1"/>
      <w:numFmt w:val="decimal"/>
      <w:suff w:val="nothing"/>
      <w:lvlText w:val="%1．"/>
      <w:lvlJc w:val="left"/>
      <w:pPr>
        <w:ind w:left="0" w:firstLine="400"/>
      </w:pPr>
      <w:rPr>
        <w:rFonts w:hint="default"/>
      </w:rPr>
    </w:lvl>
  </w:abstractNum>
  <w:abstractNum w:abstractNumId="11">
    <w:nsid w:val="68A9A825"/>
    <w:multiLevelType w:val="singleLevel"/>
    <w:tmpl w:val="68A9A825"/>
    <w:lvl w:ilvl="0" w:tentative="0">
      <w:start w:val="1"/>
      <w:numFmt w:val="decimal"/>
      <w:lvlText w:val="%1)"/>
      <w:lvlJc w:val="left"/>
      <w:pPr>
        <w:ind w:left="425" w:hanging="425"/>
      </w:pPr>
      <w:rPr>
        <w:rFonts w:hint="default"/>
      </w:rPr>
    </w:lvl>
  </w:abstractNum>
  <w:num w:numId="1">
    <w:abstractNumId w:val="8"/>
  </w:num>
  <w:num w:numId="2">
    <w:abstractNumId w:val="3"/>
  </w:num>
  <w:num w:numId="3">
    <w:abstractNumId w:val="0"/>
  </w:num>
  <w:num w:numId="4">
    <w:abstractNumId w:val="2"/>
  </w:num>
  <w:num w:numId="5">
    <w:abstractNumId w:val="10"/>
  </w:num>
  <w:num w:numId="6">
    <w:abstractNumId w:val="7"/>
  </w:num>
  <w:num w:numId="7">
    <w:abstractNumId w:val="9"/>
  </w:num>
  <w:num w:numId="8">
    <w:abstractNumId w:val="5"/>
  </w:num>
  <w:num w:numId="9">
    <w:abstractNumId w:val="6"/>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18E"/>
    <w:rsid w:val="000216E5"/>
    <w:rsid w:val="00021CAC"/>
    <w:rsid w:val="0002232C"/>
    <w:rsid w:val="000231A1"/>
    <w:rsid w:val="00043650"/>
    <w:rsid w:val="00046722"/>
    <w:rsid w:val="00051649"/>
    <w:rsid w:val="00063149"/>
    <w:rsid w:val="00066DC8"/>
    <w:rsid w:val="0007038F"/>
    <w:rsid w:val="00072B5D"/>
    <w:rsid w:val="000815F5"/>
    <w:rsid w:val="000A3332"/>
    <w:rsid w:val="000A6CDE"/>
    <w:rsid w:val="000B69E0"/>
    <w:rsid w:val="000C2E11"/>
    <w:rsid w:val="000C5E66"/>
    <w:rsid w:val="000D192F"/>
    <w:rsid w:val="000D3E26"/>
    <w:rsid w:val="000D3E56"/>
    <w:rsid w:val="000E429F"/>
    <w:rsid w:val="000E5B83"/>
    <w:rsid w:val="00104190"/>
    <w:rsid w:val="00110A24"/>
    <w:rsid w:val="001215E4"/>
    <w:rsid w:val="001551A3"/>
    <w:rsid w:val="001608D0"/>
    <w:rsid w:val="00172A27"/>
    <w:rsid w:val="001771A9"/>
    <w:rsid w:val="001772C9"/>
    <w:rsid w:val="00181D6F"/>
    <w:rsid w:val="00187A98"/>
    <w:rsid w:val="00193992"/>
    <w:rsid w:val="00193D43"/>
    <w:rsid w:val="001A7587"/>
    <w:rsid w:val="001D1959"/>
    <w:rsid w:val="001E059E"/>
    <w:rsid w:val="001F03A2"/>
    <w:rsid w:val="001F0B24"/>
    <w:rsid w:val="001F7240"/>
    <w:rsid w:val="002209B5"/>
    <w:rsid w:val="00244682"/>
    <w:rsid w:val="00245417"/>
    <w:rsid w:val="00245604"/>
    <w:rsid w:val="002469DC"/>
    <w:rsid w:val="00247831"/>
    <w:rsid w:val="002568B6"/>
    <w:rsid w:val="002606F6"/>
    <w:rsid w:val="002630B5"/>
    <w:rsid w:val="00263631"/>
    <w:rsid w:val="00274F2C"/>
    <w:rsid w:val="0028045A"/>
    <w:rsid w:val="002C1FC0"/>
    <w:rsid w:val="002C37B6"/>
    <w:rsid w:val="002C3A46"/>
    <w:rsid w:val="002D49D6"/>
    <w:rsid w:val="002E2100"/>
    <w:rsid w:val="002E69C6"/>
    <w:rsid w:val="002F078A"/>
    <w:rsid w:val="0030567F"/>
    <w:rsid w:val="003100D6"/>
    <w:rsid w:val="00310D47"/>
    <w:rsid w:val="003132A0"/>
    <w:rsid w:val="00315BC3"/>
    <w:rsid w:val="00316071"/>
    <w:rsid w:val="00320716"/>
    <w:rsid w:val="00322B20"/>
    <w:rsid w:val="00327775"/>
    <w:rsid w:val="00330EA1"/>
    <w:rsid w:val="003361CD"/>
    <w:rsid w:val="003417AD"/>
    <w:rsid w:val="0034353E"/>
    <w:rsid w:val="003532E7"/>
    <w:rsid w:val="00370FDE"/>
    <w:rsid w:val="003855CA"/>
    <w:rsid w:val="003B3E65"/>
    <w:rsid w:val="003C2972"/>
    <w:rsid w:val="003C418D"/>
    <w:rsid w:val="003C6507"/>
    <w:rsid w:val="003D2A35"/>
    <w:rsid w:val="003D3E5E"/>
    <w:rsid w:val="003D7CD3"/>
    <w:rsid w:val="003E6BAB"/>
    <w:rsid w:val="003F06CB"/>
    <w:rsid w:val="003F643B"/>
    <w:rsid w:val="00415B0B"/>
    <w:rsid w:val="00420280"/>
    <w:rsid w:val="00420970"/>
    <w:rsid w:val="00420BE9"/>
    <w:rsid w:val="00422C74"/>
    <w:rsid w:val="00432E43"/>
    <w:rsid w:val="00441CF3"/>
    <w:rsid w:val="00446A42"/>
    <w:rsid w:val="00450AFE"/>
    <w:rsid w:val="00451E3D"/>
    <w:rsid w:val="00455CBA"/>
    <w:rsid w:val="0046305F"/>
    <w:rsid w:val="00480A87"/>
    <w:rsid w:val="00481DAF"/>
    <w:rsid w:val="004904D1"/>
    <w:rsid w:val="004B10F9"/>
    <w:rsid w:val="004B5C17"/>
    <w:rsid w:val="004C1A06"/>
    <w:rsid w:val="004D0132"/>
    <w:rsid w:val="004E7090"/>
    <w:rsid w:val="004E71AA"/>
    <w:rsid w:val="004F0E7E"/>
    <w:rsid w:val="004F764A"/>
    <w:rsid w:val="00500105"/>
    <w:rsid w:val="005030EB"/>
    <w:rsid w:val="005061D2"/>
    <w:rsid w:val="0051393C"/>
    <w:rsid w:val="00525427"/>
    <w:rsid w:val="00526F74"/>
    <w:rsid w:val="00527AD2"/>
    <w:rsid w:val="00530A7D"/>
    <w:rsid w:val="005376AB"/>
    <w:rsid w:val="005377A0"/>
    <w:rsid w:val="00581DF6"/>
    <w:rsid w:val="0058503D"/>
    <w:rsid w:val="00591923"/>
    <w:rsid w:val="00593153"/>
    <w:rsid w:val="005A3505"/>
    <w:rsid w:val="005B3328"/>
    <w:rsid w:val="005B43F9"/>
    <w:rsid w:val="005B7780"/>
    <w:rsid w:val="005D763D"/>
    <w:rsid w:val="005E6D0C"/>
    <w:rsid w:val="005F13C4"/>
    <w:rsid w:val="00622AB8"/>
    <w:rsid w:val="00630A2C"/>
    <w:rsid w:val="00634C02"/>
    <w:rsid w:val="00640049"/>
    <w:rsid w:val="00646D71"/>
    <w:rsid w:val="00661D71"/>
    <w:rsid w:val="006641C1"/>
    <w:rsid w:val="00671B23"/>
    <w:rsid w:val="006761E0"/>
    <w:rsid w:val="00677CE6"/>
    <w:rsid w:val="00684CD3"/>
    <w:rsid w:val="00690358"/>
    <w:rsid w:val="006907E1"/>
    <w:rsid w:val="00694BA5"/>
    <w:rsid w:val="006A1832"/>
    <w:rsid w:val="006A45DE"/>
    <w:rsid w:val="006A522E"/>
    <w:rsid w:val="006C51B0"/>
    <w:rsid w:val="006C550F"/>
    <w:rsid w:val="006D0655"/>
    <w:rsid w:val="006D1EAC"/>
    <w:rsid w:val="006D7E62"/>
    <w:rsid w:val="006E1A03"/>
    <w:rsid w:val="006E642A"/>
    <w:rsid w:val="00712036"/>
    <w:rsid w:val="00716719"/>
    <w:rsid w:val="00721FCC"/>
    <w:rsid w:val="0072454E"/>
    <w:rsid w:val="007447B2"/>
    <w:rsid w:val="007520F3"/>
    <w:rsid w:val="007551E7"/>
    <w:rsid w:val="00756E7A"/>
    <w:rsid w:val="00761FD6"/>
    <w:rsid w:val="007620A7"/>
    <w:rsid w:val="00762AA1"/>
    <w:rsid w:val="007632D4"/>
    <w:rsid w:val="0076634C"/>
    <w:rsid w:val="00795388"/>
    <w:rsid w:val="0079627E"/>
    <w:rsid w:val="007A1EBE"/>
    <w:rsid w:val="007A4546"/>
    <w:rsid w:val="007C21E8"/>
    <w:rsid w:val="007C49D9"/>
    <w:rsid w:val="007D12CB"/>
    <w:rsid w:val="007E17B4"/>
    <w:rsid w:val="007E5BA8"/>
    <w:rsid w:val="007F7B4A"/>
    <w:rsid w:val="00805DCA"/>
    <w:rsid w:val="00812CD4"/>
    <w:rsid w:val="008222F7"/>
    <w:rsid w:val="0083714F"/>
    <w:rsid w:val="008373AF"/>
    <w:rsid w:val="00846211"/>
    <w:rsid w:val="0084691B"/>
    <w:rsid w:val="00860F70"/>
    <w:rsid w:val="00863CBE"/>
    <w:rsid w:val="00872227"/>
    <w:rsid w:val="00873292"/>
    <w:rsid w:val="008837E2"/>
    <w:rsid w:val="00885C12"/>
    <w:rsid w:val="00893843"/>
    <w:rsid w:val="00896504"/>
    <w:rsid w:val="008D31DA"/>
    <w:rsid w:val="008D5ED9"/>
    <w:rsid w:val="008E1C13"/>
    <w:rsid w:val="008E6FCF"/>
    <w:rsid w:val="008F3E48"/>
    <w:rsid w:val="00947DDD"/>
    <w:rsid w:val="00957EB5"/>
    <w:rsid w:val="0096724E"/>
    <w:rsid w:val="009775CC"/>
    <w:rsid w:val="009817A6"/>
    <w:rsid w:val="00985553"/>
    <w:rsid w:val="00990885"/>
    <w:rsid w:val="0099152F"/>
    <w:rsid w:val="009B551F"/>
    <w:rsid w:val="009C4E40"/>
    <w:rsid w:val="009C5A6E"/>
    <w:rsid w:val="009C6AC0"/>
    <w:rsid w:val="009D2105"/>
    <w:rsid w:val="009F3172"/>
    <w:rsid w:val="009F528C"/>
    <w:rsid w:val="009F5530"/>
    <w:rsid w:val="00A11B79"/>
    <w:rsid w:val="00A14E44"/>
    <w:rsid w:val="00A16A47"/>
    <w:rsid w:val="00A3181C"/>
    <w:rsid w:val="00A3531E"/>
    <w:rsid w:val="00A443AF"/>
    <w:rsid w:val="00A50B56"/>
    <w:rsid w:val="00A67522"/>
    <w:rsid w:val="00A67EA8"/>
    <w:rsid w:val="00A74638"/>
    <w:rsid w:val="00A808CF"/>
    <w:rsid w:val="00A86854"/>
    <w:rsid w:val="00A91877"/>
    <w:rsid w:val="00A9689D"/>
    <w:rsid w:val="00AA5A4A"/>
    <w:rsid w:val="00AB04CA"/>
    <w:rsid w:val="00AB5E28"/>
    <w:rsid w:val="00AB70EC"/>
    <w:rsid w:val="00AE5042"/>
    <w:rsid w:val="00AF1F3E"/>
    <w:rsid w:val="00AF3831"/>
    <w:rsid w:val="00B00B16"/>
    <w:rsid w:val="00B04741"/>
    <w:rsid w:val="00B07684"/>
    <w:rsid w:val="00B11E3B"/>
    <w:rsid w:val="00B1223E"/>
    <w:rsid w:val="00B2332D"/>
    <w:rsid w:val="00B25CBE"/>
    <w:rsid w:val="00B32AC4"/>
    <w:rsid w:val="00B35E9F"/>
    <w:rsid w:val="00B519F3"/>
    <w:rsid w:val="00B52606"/>
    <w:rsid w:val="00B70C43"/>
    <w:rsid w:val="00B7197D"/>
    <w:rsid w:val="00B75A71"/>
    <w:rsid w:val="00B86636"/>
    <w:rsid w:val="00B87607"/>
    <w:rsid w:val="00B91E03"/>
    <w:rsid w:val="00B93C02"/>
    <w:rsid w:val="00B94BAB"/>
    <w:rsid w:val="00BA0B1C"/>
    <w:rsid w:val="00BC0226"/>
    <w:rsid w:val="00BC2570"/>
    <w:rsid w:val="00BC28B7"/>
    <w:rsid w:val="00BC45B1"/>
    <w:rsid w:val="00BC4BD0"/>
    <w:rsid w:val="00BC5C5F"/>
    <w:rsid w:val="00BD2552"/>
    <w:rsid w:val="00BD5D07"/>
    <w:rsid w:val="00BE0005"/>
    <w:rsid w:val="00BF3A88"/>
    <w:rsid w:val="00BF5A55"/>
    <w:rsid w:val="00C07B7B"/>
    <w:rsid w:val="00C12BEB"/>
    <w:rsid w:val="00C14FCD"/>
    <w:rsid w:val="00C161C1"/>
    <w:rsid w:val="00C34E9B"/>
    <w:rsid w:val="00C40AB2"/>
    <w:rsid w:val="00C43BF8"/>
    <w:rsid w:val="00C52FCC"/>
    <w:rsid w:val="00C538B0"/>
    <w:rsid w:val="00C5485A"/>
    <w:rsid w:val="00C55AA6"/>
    <w:rsid w:val="00C633FE"/>
    <w:rsid w:val="00C66FFE"/>
    <w:rsid w:val="00C67584"/>
    <w:rsid w:val="00C74DEF"/>
    <w:rsid w:val="00C909A3"/>
    <w:rsid w:val="00C938B7"/>
    <w:rsid w:val="00CA4BD8"/>
    <w:rsid w:val="00CB598E"/>
    <w:rsid w:val="00CD17A1"/>
    <w:rsid w:val="00CD645D"/>
    <w:rsid w:val="00CD671F"/>
    <w:rsid w:val="00CD6793"/>
    <w:rsid w:val="00CE3347"/>
    <w:rsid w:val="00CE7127"/>
    <w:rsid w:val="00CF493E"/>
    <w:rsid w:val="00CF64C3"/>
    <w:rsid w:val="00D00FC0"/>
    <w:rsid w:val="00D01B08"/>
    <w:rsid w:val="00D027CA"/>
    <w:rsid w:val="00D0625B"/>
    <w:rsid w:val="00D06626"/>
    <w:rsid w:val="00D07A65"/>
    <w:rsid w:val="00D273E7"/>
    <w:rsid w:val="00D32FBA"/>
    <w:rsid w:val="00D33C12"/>
    <w:rsid w:val="00D358C7"/>
    <w:rsid w:val="00D41C75"/>
    <w:rsid w:val="00D43668"/>
    <w:rsid w:val="00D43B82"/>
    <w:rsid w:val="00D565D9"/>
    <w:rsid w:val="00D628C5"/>
    <w:rsid w:val="00D775E8"/>
    <w:rsid w:val="00DA0A7B"/>
    <w:rsid w:val="00DB3EFD"/>
    <w:rsid w:val="00DD3C43"/>
    <w:rsid w:val="00DD7A48"/>
    <w:rsid w:val="00DF4F9A"/>
    <w:rsid w:val="00DF78F0"/>
    <w:rsid w:val="00E0226D"/>
    <w:rsid w:val="00E046AF"/>
    <w:rsid w:val="00E1526C"/>
    <w:rsid w:val="00E20D8D"/>
    <w:rsid w:val="00E32437"/>
    <w:rsid w:val="00E47C08"/>
    <w:rsid w:val="00E56868"/>
    <w:rsid w:val="00E611D6"/>
    <w:rsid w:val="00E671DF"/>
    <w:rsid w:val="00E70E92"/>
    <w:rsid w:val="00E74C1A"/>
    <w:rsid w:val="00E807DC"/>
    <w:rsid w:val="00E819FE"/>
    <w:rsid w:val="00E83C88"/>
    <w:rsid w:val="00E84965"/>
    <w:rsid w:val="00E8546F"/>
    <w:rsid w:val="00E9406B"/>
    <w:rsid w:val="00E96D04"/>
    <w:rsid w:val="00EB0CC5"/>
    <w:rsid w:val="00EC373E"/>
    <w:rsid w:val="00ED16EB"/>
    <w:rsid w:val="00ED2232"/>
    <w:rsid w:val="00EE226D"/>
    <w:rsid w:val="00EE3F3B"/>
    <w:rsid w:val="00EF7D94"/>
    <w:rsid w:val="00F324E6"/>
    <w:rsid w:val="00F44AB2"/>
    <w:rsid w:val="00F57980"/>
    <w:rsid w:val="00F61776"/>
    <w:rsid w:val="00F76BBC"/>
    <w:rsid w:val="00F86F59"/>
    <w:rsid w:val="00F87A8D"/>
    <w:rsid w:val="00FA205F"/>
    <w:rsid w:val="00FA6725"/>
    <w:rsid w:val="00FB3343"/>
    <w:rsid w:val="00FD089E"/>
    <w:rsid w:val="00FE540E"/>
    <w:rsid w:val="00FF3866"/>
    <w:rsid w:val="00FF6C16"/>
    <w:rsid w:val="01A77EA0"/>
    <w:rsid w:val="01B67601"/>
    <w:rsid w:val="02D71101"/>
    <w:rsid w:val="03043E56"/>
    <w:rsid w:val="04CB4231"/>
    <w:rsid w:val="04E0723F"/>
    <w:rsid w:val="052A3888"/>
    <w:rsid w:val="05536E5B"/>
    <w:rsid w:val="0709089A"/>
    <w:rsid w:val="07CD605A"/>
    <w:rsid w:val="0B354AFA"/>
    <w:rsid w:val="0B702D7E"/>
    <w:rsid w:val="0BD229F1"/>
    <w:rsid w:val="0D86113E"/>
    <w:rsid w:val="0E370B89"/>
    <w:rsid w:val="0E5E7EC3"/>
    <w:rsid w:val="0F3D21CF"/>
    <w:rsid w:val="0F7A6F7F"/>
    <w:rsid w:val="11D27DC5"/>
    <w:rsid w:val="14522A66"/>
    <w:rsid w:val="147F2243"/>
    <w:rsid w:val="14A23A84"/>
    <w:rsid w:val="15196FAC"/>
    <w:rsid w:val="15406E6B"/>
    <w:rsid w:val="183216FF"/>
    <w:rsid w:val="184922CC"/>
    <w:rsid w:val="1A4C776A"/>
    <w:rsid w:val="1A830C8C"/>
    <w:rsid w:val="1D9E2DB8"/>
    <w:rsid w:val="1E851D75"/>
    <w:rsid w:val="1EF65C58"/>
    <w:rsid w:val="1F674063"/>
    <w:rsid w:val="20355411"/>
    <w:rsid w:val="21204FF0"/>
    <w:rsid w:val="232C6642"/>
    <w:rsid w:val="234B10F5"/>
    <w:rsid w:val="237054B0"/>
    <w:rsid w:val="23FF4A15"/>
    <w:rsid w:val="24AD32BB"/>
    <w:rsid w:val="24DB42D2"/>
    <w:rsid w:val="25B26646"/>
    <w:rsid w:val="25C25C57"/>
    <w:rsid w:val="261D2218"/>
    <w:rsid w:val="28A4093D"/>
    <w:rsid w:val="28F5500F"/>
    <w:rsid w:val="28F803C7"/>
    <w:rsid w:val="2B714350"/>
    <w:rsid w:val="2B8550D0"/>
    <w:rsid w:val="2D947006"/>
    <w:rsid w:val="2F566EF8"/>
    <w:rsid w:val="30FC739C"/>
    <w:rsid w:val="3196590E"/>
    <w:rsid w:val="31C0661C"/>
    <w:rsid w:val="321D581C"/>
    <w:rsid w:val="345179FF"/>
    <w:rsid w:val="34704896"/>
    <w:rsid w:val="357045EF"/>
    <w:rsid w:val="38D1110E"/>
    <w:rsid w:val="38DE382B"/>
    <w:rsid w:val="39271051"/>
    <w:rsid w:val="39484E09"/>
    <w:rsid w:val="39C31030"/>
    <w:rsid w:val="3A977FAE"/>
    <w:rsid w:val="3BB122C4"/>
    <w:rsid w:val="3BD038FF"/>
    <w:rsid w:val="3CFC071D"/>
    <w:rsid w:val="3D1E069A"/>
    <w:rsid w:val="3E7F641B"/>
    <w:rsid w:val="3ED62AC4"/>
    <w:rsid w:val="3FA20E54"/>
    <w:rsid w:val="40F82226"/>
    <w:rsid w:val="437743D4"/>
    <w:rsid w:val="44CB50EA"/>
    <w:rsid w:val="452E518F"/>
    <w:rsid w:val="459425B5"/>
    <w:rsid w:val="475B2223"/>
    <w:rsid w:val="49A358CD"/>
    <w:rsid w:val="4A6A2EBD"/>
    <w:rsid w:val="4A8E6560"/>
    <w:rsid w:val="4B8B517E"/>
    <w:rsid w:val="4B9E7576"/>
    <w:rsid w:val="4CA50199"/>
    <w:rsid w:val="4E1F3BDB"/>
    <w:rsid w:val="4EA34EA3"/>
    <w:rsid w:val="4EBE3A8B"/>
    <w:rsid w:val="4FA32D35"/>
    <w:rsid w:val="507D3D1D"/>
    <w:rsid w:val="51A92185"/>
    <w:rsid w:val="53D1600F"/>
    <w:rsid w:val="54553068"/>
    <w:rsid w:val="556F5ADF"/>
    <w:rsid w:val="579C1BCB"/>
    <w:rsid w:val="58553578"/>
    <w:rsid w:val="59EA6E92"/>
    <w:rsid w:val="5AC421CD"/>
    <w:rsid w:val="5C1673A6"/>
    <w:rsid w:val="5CF74D38"/>
    <w:rsid w:val="5D1C5A4F"/>
    <w:rsid w:val="5E4C6141"/>
    <w:rsid w:val="5E8410F4"/>
    <w:rsid w:val="5F302E1B"/>
    <w:rsid w:val="5F8328B3"/>
    <w:rsid w:val="604B086F"/>
    <w:rsid w:val="60B8623B"/>
    <w:rsid w:val="60E50D29"/>
    <w:rsid w:val="6131633F"/>
    <w:rsid w:val="61906D1D"/>
    <w:rsid w:val="62612D73"/>
    <w:rsid w:val="63D5351A"/>
    <w:rsid w:val="65550D26"/>
    <w:rsid w:val="669B2164"/>
    <w:rsid w:val="67F820A0"/>
    <w:rsid w:val="689E250C"/>
    <w:rsid w:val="68D67EF7"/>
    <w:rsid w:val="69777AD4"/>
    <w:rsid w:val="69A668E3"/>
    <w:rsid w:val="69F5109B"/>
    <w:rsid w:val="6BAD1411"/>
    <w:rsid w:val="6C0C6CE4"/>
    <w:rsid w:val="6D9E2FAE"/>
    <w:rsid w:val="6F301895"/>
    <w:rsid w:val="6F7521C2"/>
    <w:rsid w:val="7025268A"/>
    <w:rsid w:val="711C66C3"/>
    <w:rsid w:val="72231C7A"/>
    <w:rsid w:val="72D03C09"/>
    <w:rsid w:val="72E50EF8"/>
    <w:rsid w:val="74B74939"/>
    <w:rsid w:val="75263FB5"/>
    <w:rsid w:val="75BC5956"/>
    <w:rsid w:val="75C9324B"/>
    <w:rsid w:val="76A154AD"/>
    <w:rsid w:val="781F6A99"/>
    <w:rsid w:val="78667397"/>
    <w:rsid w:val="786822D6"/>
    <w:rsid w:val="78D6184E"/>
    <w:rsid w:val="7B3D5E1D"/>
    <w:rsid w:val="7CB34123"/>
    <w:rsid w:val="7D162B61"/>
    <w:rsid w:val="7DB8390C"/>
    <w:rsid w:val="7DF9223C"/>
    <w:rsid w:val="7E36169A"/>
    <w:rsid w:val="7F0171EB"/>
    <w:rsid w:val="7FFA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8"/>
      <w:lang w:val="en-US" w:eastAsia="zh-CN" w:bidi="ar-SA"/>
    </w:rPr>
  </w:style>
  <w:style w:type="paragraph" w:styleId="5">
    <w:name w:val="heading 1"/>
    <w:next w:val="1"/>
    <w:link w:val="29"/>
    <w:qFormat/>
    <w:uiPriority w:val="9"/>
    <w:pPr>
      <w:widowControl w:val="0"/>
      <w:spacing w:line="520" w:lineRule="exact"/>
      <w:ind w:firstLine="562"/>
      <w:jc w:val="both"/>
      <w:outlineLvl w:val="0"/>
    </w:pPr>
    <w:rPr>
      <w:rFonts w:ascii="黑体" w:hAnsi="黑体" w:eastAsia="宋体" w:cs="黑体"/>
      <w:b/>
      <w:color w:val="000000" w:themeColor="text1"/>
      <w:kern w:val="2"/>
      <w:sz w:val="28"/>
      <w:szCs w:val="28"/>
      <w:lang w:val="en-US" w:eastAsia="zh-CN" w:bidi="ar-SA"/>
      <w14:textFill>
        <w14:solidFill>
          <w14:schemeClr w14:val="tx1"/>
        </w14:solidFill>
      </w14:textFill>
    </w:rPr>
  </w:style>
  <w:style w:type="paragraph" w:styleId="6">
    <w:name w:val="heading 2"/>
    <w:next w:val="1"/>
    <w:link w:val="28"/>
    <w:unhideWhenUsed/>
    <w:qFormat/>
    <w:uiPriority w:val="0"/>
    <w:pPr>
      <w:widowControl w:val="0"/>
      <w:spacing w:line="520" w:lineRule="exact"/>
      <w:ind w:firstLine="560" w:firstLineChars="200"/>
      <w:jc w:val="both"/>
      <w:outlineLvl w:val="1"/>
    </w:pPr>
    <w:rPr>
      <w:rFonts w:ascii="仿宋" w:hAnsi="仿宋" w:eastAsia="仿宋" w:cs="仿宋"/>
      <w:color w:val="000000" w:themeColor="text1"/>
      <w:kern w:val="2"/>
      <w:sz w:val="28"/>
      <w:szCs w:val="28"/>
      <w:lang w:val="en-US" w:eastAsia="zh-CN" w:bidi="ar-SA"/>
      <w14:textFill>
        <w14:solidFill>
          <w14:schemeClr w14:val="tx1"/>
        </w14:solidFill>
      </w14:textFill>
    </w:rPr>
  </w:style>
  <w:style w:type="paragraph" w:styleId="7">
    <w:name w:val="heading 3"/>
    <w:next w:val="1"/>
    <w:link w:val="30"/>
    <w:unhideWhenUsed/>
    <w:qFormat/>
    <w:uiPriority w:val="0"/>
    <w:pPr>
      <w:widowControl w:val="0"/>
      <w:spacing w:line="500" w:lineRule="exact"/>
      <w:ind w:firstLine="482" w:firstLineChars="200"/>
      <w:jc w:val="both"/>
      <w:outlineLvl w:val="2"/>
    </w:pPr>
    <w:rPr>
      <w:rFonts w:ascii="宋体" w:hAnsi="宋体" w:eastAsia="宋体" w:cs="宋体"/>
      <w:b/>
      <w:color w:val="000000" w:themeColor="text1"/>
      <w:kern w:val="2"/>
      <w:sz w:val="24"/>
      <w:szCs w:val="24"/>
      <w:lang w:val="en-US" w:eastAsia="zh-CN" w:bidi="ar-SA"/>
      <w14:textFill>
        <w14:solidFill>
          <w14:schemeClr w14:val="tx1"/>
        </w14:solidFill>
      </w14:textFill>
    </w:rPr>
  </w:style>
  <w:style w:type="paragraph" w:styleId="8">
    <w:name w:val="heading 4"/>
    <w:next w:val="1"/>
    <w:link w:val="31"/>
    <w:semiHidden/>
    <w:unhideWhenUsed/>
    <w:qFormat/>
    <w:uiPriority w:val="9"/>
    <w:pPr>
      <w:widowControl w:val="0"/>
      <w:spacing w:after="120" w:line="360" w:lineRule="auto"/>
      <w:outlineLvl w:val="3"/>
    </w:pPr>
    <w:rPr>
      <w:rFonts w:ascii="Times New Roman" w:hAnsi="Times New Roman" w:eastAsia="宋体" w:cs="Times New Roman"/>
      <w:sz w:val="24"/>
      <w:lang w:val="en-US" w:eastAsia="zh-CN" w:bidi="ar-SA"/>
    </w:rPr>
  </w:style>
  <w:style w:type="paragraph" w:styleId="9">
    <w:name w:val="heading 5"/>
    <w:next w:val="1"/>
    <w:link w:val="32"/>
    <w:semiHidden/>
    <w:unhideWhenUsed/>
    <w:qFormat/>
    <w:uiPriority w:val="9"/>
    <w:pPr>
      <w:widowControl w:val="0"/>
      <w:spacing w:after="120" w:line="440" w:lineRule="exact"/>
      <w:outlineLvl w:val="4"/>
    </w:pPr>
    <w:rPr>
      <w:rFonts w:ascii="Times New Roman" w:hAnsi="Times New Roman" w:eastAsia="宋体" w:cs="Times New Roman"/>
      <w:sz w:val="24"/>
      <w:lang w:val="en-US" w:eastAsia="zh-CN" w:bidi="ar-SA"/>
    </w:rPr>
  </w:style>
  <w:style w:type="paragraph" w:styleId="10">
    <w:name w:val="heading 6"/>
    <w:next w:val="1"/>
    <w:link w:val="33"/>
    <w:semiHidden/>
    <w:unhideWhenUsed/>
    <w:qFormat/>
    <w:uiPriority w:val="9"/>
    <w:pPr>
      <w:widowControl w:val="0"/>
      <w:spacing w:after="120" w:line="360" w:lineRule="auto"/>
      <w:outlineLvl w:val="5"/>
    </w:pPr>
    <w:rPr>
      <w:rFonts w:ascii="Times New Roman" w:hAnsi="Times New Roman" w:eastAsia="宋体" w:cs="Times New Roman"/>
      <w:sz w:val="24"/>
      <w:lang w:val="en-US" w:eastAsia="zh-CN" w:bidi="ar-SA"/>
    </w:rPr>
  </w:style>
  <w:style w:type="paragraph" w:styleId="11">
    <w:name w:val="heading 7"/>
    <w:next w:val="1"/>
    <w:link w:val="34"/>
    <w:semiHidden/>
    <w:unhideWhenUsed/>
    <w:qFormat/>
    <w:uiPriority w:val="9"/>
    <w:pPr>
      <w:widowControl w:val="0"/>
      <w:spacing w:after="120" w:line="360" w:lineRule="auto"/>
      <w:outlineLvl w:val="6"/>
    </w:pPr>
    <w:rPr>
      <w:rFonts w:ascii="Times New Roman" w:hAnsi="Times New Roman" w:eastAsia="宋体" w:cs="Times New Roman"/>
      <w:sz w:val="24"/>
      <w:lang w:val="en-US" w:eastAsia="zh-CN" w:bidi="ar-SA"/>
    </w:rPr>
  </w:style>
  <w:style w:type="paragraph" w:styleId="12">
    <w:name w:val="heading 8"/>
    <w:next w:val="1"/>
    <w:link w:val="35"/>
    <w:semiHidden/>
    <w:unhideWhenUsed/>
    <w:qFormat/>
    <w:uiPriority w:val="9"/>
    <w:pPr>
      <w:widowControl w:val="0"/>
      <w:spacing w:after="120" w:line="360" w:lineRule="auto"/>
      <w:outlineLvl w:val="7"/>
    </w:pPr>
    <w:rPr>
      <w:rFonts w:ascii="Times New Roman" w:hAnsi="Times New Roman" w:eastAsia="宋体" w:cs="Times New Roman"/>
      <w:sz w:val="24"/>
      <w:lang w:val="en-US" w:eastAsia="zh-CN" w:bidi="ar-SA"/>
    </w:rPr>
  </w:style>
  <w:style w:type="paragraph" w:styleId="13">
    <w:name w:val="heading 9"/>
    <w:next w:val="1"/>
    <w:link w:val="36"/>
    <w:semiHidden/>
    <w:unhideWhenUsed/>
    <w:qFormat/>
    <w:uiPriority w:val="9"/>
    <w:pPr>
      <w:widowControl w:val="0"/>
      <w:spacing w:after="120" w:line="360" w:lineRule="auto"/>
      <w:outlineLvl w:val="8"/>
    </w:pPr>
    <w:rPr>
      <w:rFonts w:ascii="Times New Roman" w:hAnsi="Times New Roman" w:eastAsia="宋体" w:cs="Times New Roman"/>
      <w:sz w:val="24"/>
      <w:lang w:val="en-US" w:eastAsia="zh-CN" w:bidi="ar-SA"/>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120" w:line="400" w:lineRule="atLeast"/>
      <w:ind w:firstLine="426"/>
    </w:pPr>
    <w:rPr>
      <w:rFonts w:ascii="Times New Roman" w:hAnsi="Times New Roman" w:eastAsia="宋体"/>
      <w:sz w:val="24"/>
    </w:rPr>
  </w:style>
  <w:style w:type="paragraph" w:styleId="3">
    <w:name w:val="Body Text"/>
    <w:basedOn w:val="1"/>
    <w:next w:val="4"/>
    <w:link w:val="48"/>
    <w:qFormat/>
    <w:uiPriority w:val="99"/>
    <w:pPr>
      <w:pBdr>
        <w:top w:val="single" w:color="auto" w:sz="4" w:space="1"/>
        <w:left w:val="single" w:color="auto" w:sz="4" w:space="4"/>
        <w:bottom w:val="single" w:color="auto" w:sz="4" w:space="1"/>
        <w:right w:val="single" w:color="auto" w:sz="4" w:space="4"/>
      </w:pBdr>
      <w:spacing w:line="520" w:lineRule="exact"/>
      <w:ind w:firstLine="560"/>
    </w:pPr>
    <w:rPr>
      <w:rFonts w:ascii="仿宋" w:hAnsi="Calibri" w:eastAsia="仿宋"/>
      <w:sz w:val="28"/>
    </w:rPr>
  </w:style>
  <w:style w:type="paragraph" w:customStyle="1" w:styleId="4">
    <w:name w:val="目录 71"/>
    <w:basedOn w:val="1"/>
    <w:next w:val="1"/>
    <w:autoRedefine/>
    <w:qFormat/>
    <w:uiPriority w:val="0"/>
    <w:pPr>
      <w:ind w:left="2520"/>
    </w:pPr>
    <w:rPr>
      <w:rFonts w:ascii="Calibri"/>
    </w:rPr>
  </w:style>
  <w:style w:type="paragraph" w:styleId="14">
    <w:name w:val="annotation text"/>
    <w:basedOn w:val="1"/>
    <w:link w:val="49"/>
    <w:semiHidden/>
    <w:unhideWhenUsed/>
    <w:qFormat/>
    <w:uiPriority w:val="99"/>
    <w:pPr>
      <w:jc w:val="left"/>
    </w:pPr>
  </w:style>
  <w:style w:type="paragraph" w:styleId="15">
    <w:name w:val="Body Text Indent"/>
    <w:basedOn w:val="1"/>
    <w:next w:val="16"/>
    <w:qFormat/>
    <w:uiPriority w:val="0"/>
    <w:pPr>
      <w:ind w:firstLine="540"/>
    </w:pPr>
    <w:rPr>
      <w:rFonts w:eastAsia="仿宋_GB2312"/>
      <w:sz w:val="28"/>
    </w:rPr>
  </w:style>
  <w:style w:type="paragraph" w:styleId="16">
    <w:name w:val="envelope return"/>
    <w:basedOn w:val="1"/>
    <w:qFormat/>
    <w:uiPriority w:val="0"/>
    <w:pPr>
      <w:snapToGrid w:val="0"/>
    </w:pPr>
    <w:rPr>
      <w:rFonts w:ascii="Arial" w:hAnsi="Arial"/>
    </w:rPr>
  </w:style>
  <w:style w:type="paragraph" w:styleId="17">
    <w:name w:val="footer"/>
    <w:basedOn w:val="1"/>
    <w:link w:val="47"/>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46"/>
    <w:unhideWhenUsed/>
    <w:qFormat/>
    <w:uiPriority w:val="99"/>
    <w:pPr>
      <w:tabs>
        <w:tab w:val="center" w:pos="4153"/>
        <w:tab w:val="right" w:pos="8306"/>
      </w:tabs>
      <w:snapToGrid w:val="0"/>
      <w:spacing w:line="240" w:lineRule="auto"/>
      <w:jc w:val="center"/>
    </w:pPr>
    <w:rPr>
      <w:sz w:val="18"/>
      <w:szCs w:val="18"/>
    </w:rPr>
  </w:style>
  <w:style w:type="paragraph" w:styleId="19">
    <w:name w:val="Subtitle"/>
    <w:next w:val="1"/>
    <w:link w:val="38"/>
    <w:qFormat/>
    <w:uiPriority w:val="11"/>
    <w:pPr>
      <w:widowControl w:val="0"/>
      <w:tabs>
        <w:tab w:val="left" w:pos="315"/>
        <w:tab w:val="left" w:pos="8820"/>
      </w:tabs>
      <w:ind w:firstLine="560"/>
      <w:jc w:val="center"/>
    </w:pPr>
    <w:rPr>
      <w:rFonts w:ascii="仿宋_GB2312" w:hAnsi="Times New Roman" w:eastAsia="仿宋_GB2312" w:cs="Times New Roman"/>
      <w:color w:val="000000" w:themeColor="text1"/>
      <w:kern w:val="2"/>
      <w:sz w:val="28"/>
      <w:szCs w:val="28"/>
      <w:lang w:val="en-US" w:eastAsia="zh-CN" w:bidi="ar-SA"/>
      <w14:textFill>
        <w14:solidFill>
          <w14:schemeClr w14:val="tx1"/>
        </w14:solidFill>
      </w14:textFill>
    </w:rPr>
  </w:style>
  <w:style w:type="paragraph" w:styleId="20">
    <w:name w:val="Normal (Web)"/>
    <w:basedOn w:val="1"/>
    <w:unhideWhenUsed/>
    <w:qFormat/>
    <w:uiPriority w:val="99"/>
    <w:pPr>
      <w:jc w:val="left"/>
    </w:pPr>
    <w:rPr>
      <w:kern w:val="0"/>
    </w:rPr>
  </w:style>
  <w:style w:type="paragraph" w:styleId="21">
    <w:name w:val="Title"/>
    <w:next w:val="1"/>
    <w:link w:val="37"/>
    <w:qFormat/>
    <w:uiPriority w:val="10"/>
    <w:pPr>
      <w:keepNext/>
      <w:keepLines/>
      <w:widowControl w:val="0"/>
      <w:adjustRightInd w:val="0"/>
      <w:spacing w:before="120" w:beforeLines="50" w:after="120" w:afterLines="50" w:line="520" w:lineRule="exact"/>
      <w:jc w:val="center"/>
      <w:textAlignment w:val="baseline"/>
    </w:pPr>
    <w:rPr>
      <w:rFonts w:ascii="华文中宋" w:hAnsi="华文中宋" w:eastAsia="华文中宋" w:cs="华文中宋"/>
      <w:bCs/>
      <w:color w:val="000000" w:themeColor="text1"/>
      <w:sz w:val="44"/>
      <w:szCs w:val="44"/>
      <w:lang w:val="en-US" w:eastAsia="zh-CN" w:bidi="ar-SA"/>
      <w14:textFill>
        <w14:solidFill>
          <w14:schemeClr w14:val="tx1"/>
        </w14:solidFill>
      </w14:textFill>
    </w:rPr>
  </w:style>
  <w:style w:type="paragraph" w:styleId="22">
    <w:name w:val="annotation subject"/>
    <w:basedOn w:val="14"/>
    <w:next w:val="14"/>
    <w:link w:val="50"/>
    <w:semiHidden/>
    <w:unhideWhenUsed/>
    <w:qFormat/>
    <w:uiPriority w:val="99"/>
    <w:rPr>
      <w:b/>
      <w:bCs/>
    </w:rPr>
  </w:style>
  <w:style w:type="paragraph" w:styleId="23">
    <w:name w:val="Body Text First Indent 2"/>
    <w:basedOn w:val="15"/>
    <w:next w:val="1"/>
    <w:qFormat/>
    <w:uiPriority w:val="0"/>
    <w:pPr>
      <w:ind w:firstLine="420"/>
    </w:pPr>
  </w:style>
  <w:style w:type="character" w:styleId="26">
    <w:name w:val="Strong"/>
    <w:basedOn w:val="25"/>
    <w:qFormat/>
    <w:uiPriority w:val="22"/>
    <w:rPr>
      <w:b/>
    </w:rPr>
  </w:style>
  <w:style w:type="character" w:styleId="27">
    <w:name w:val="annotation reference"/>
    <w:basedOn w:val="25"/>
    <w:semiHidden/>
    <w:unhideWhenUsed/>
    <w:qFormat/>
    <w:uiPriority w:val="99"/>
    <w:rPr>
      <w:sz w:val="21"/>
      <w:szCs w:val="21"/>
    </w:rPr>
  </w:style>
  <w:style w:type="character" w:customStyle="1" w:styleId="28">
    <w:name w:val="标题 2 字符"/>
    <w:basedOn w:val="25"/>
    <w:link w:val="6"/>
    <w:qFormat/>
    <w:uiPriority w:val="0"/>
    <w:rPr>
      <w:rFonts w:asciiTheme="majorHAnsi" w:hAnsiTheme="majorHAnsi" w:eastAsiaTheme="majorEastAsia" w:cstheme="majorBidi"/>
      <w:color w:val="2E54A1" w:themeColor="accent1" w:themeShade="BF"/>
      <w:sz w:val="40"/>
      <w:szCs w:val="40"/>
    </w:rPr>
  </w:style>
  <w:style w:type="character" w:customStyle="1" w:styleId="29">
    <w:name w:val="标题 1 字符"/>
    <w:basedOn w:val="25"/>
    <w:link w:val="5"/>
    <w:qFormat/>
    <w:uiPriority w:val="9"/>
    <w:rPr>
      <w:rFonts w:asciiTheme="majorHAnsi" w:hAnsiTheme="majorHAnsi" w:eastAsiaTheme="majorEastAsia" w:cstheme="majorBidi"/>
      <w:color w:val="2E54A1" w:themeColor="accent1" w:themeShade="BF"/>
      <w:sz w:val="48"/>
      <w:szCs w:val="48"/>
    </w:rPr>
  </w:style>
  <w:style w:type="character" w:customStyle="1" w:styleId="30">
    <w:name w:val="标题 3 字符"/>
    <w:basedOn w:val="25"/>
    <w:link w:val="7"/>
    <w:semiHidden/>
    <w:qFormat/>
    <w:uiPriority w:val="9"/>
    <w:rPr>
      <w:rFonts w:asciiTheme="majorHAnsi" w:hAnsiTheme="majorHAnsi" w:eastAsiaTheme="majorEastAsia" w:cstheme="majorBidi"/>
      <w:color w:val="2E54A1" w:themeColor="accent1" w:themeShade="BF"/>
      <w:sz w:val="32"/>
      <w:szCs w:val="32"/>
    </w:rPr>
  </w:style>
  <w:style w:type="character" w:customStyle="1" w:styleId="31">
    <w:name w:val="标题 4 字符"/>
    <w:basedOn w:val="25"/>
    <w:link w:val="8"/>
    <w:semiHidden/>
    <w:qFormat/>
    <w:uiPriority w:val="9"/>
    <w:rPr>
      <w:rFonts w:cstheme="majorBidi"/>
      <w:color w:val="2E54A1" w:themeColor="accent1" w:themeShade="BF"/>
      <w:sz w:val="28"/>
      <w:szCs w:val="28"/>
    </w:rPr>
  </w:style>
  <w:style w:type="character" w:customStyle="1" w:styleId="32">
    <w:name w:val="标题 5 字符"/>
    <w:basedOn w:val="25"/>
    <w:link w:val="9"/>
    <w:semiHidden/>
    <w:qFormat/>
    <w:uiPriority w:val="9"/>
    <w:rPr>
      <w:rFonts w:cstheme="majorBidi"/>
      <w:color w:val="2E54A1" w:themeColor="accent1" w:themeShade="BF"/>
      <w:sz w:val="24"/>
    </w:rPr>
  </w:style>
  <w:style w:type="character" w:customStyle="1" w:styleId="33">
    <w:name w:val="标题 6 字符"/>
    <w:basedOn w:val="25"/>
    <w:link w:val="10"/>
    <w:semiHidden/>
    <w:qFormat/>
    <w:uiPriority w:val="9"/>
    <w:rPr>
      <w:rFonts w:cstheme="majorBidi"/>
      <w:b/>
      <w:bCs/>
      <w:color w:val="2E54A1" w:themeColor="accent1" w:themeShade="BF"/>
    </w:rPr>
  </w:style>
  <w:style w:type="character" w:customStyle="1" w:styleId="34">
    <w:name w:val="标题 7 字符"/>
    <w:basedOn w:val="25"/>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5"/>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5"/>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5"/>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明显强调1"/>
    <w:basedOn w:val="25"/>
    <w:qFormat/>
    <w:uiPriority w:val="21"/>
    <w:rPr>
      <w:i/>
      <w:iCs/>
      <w:color w:val="2E54A1" w:themeColor="accent1" w:themeShade="BF"/>
    </w:rPr>
  </w:style>
  <w:style w:type="paragraph" w:styleId="43">
    <w:name w:val="Intense Quote"/>
    <w:basedOn w:val="1"/>
    <w:next w:val="1"/>
    <w:link w:val="4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44">
    <w:name w:val="明显引用 字符"/>
    <w:basedOn w:val="25"/>
    <w:link w:val="43"/>
    <w:qFormat/>
    <w:uiPriority w:val="30"/>
    <w:rPr>
      <w:i/>
      <w:iCs/>
      <w:color w:val="2E54A1" w:themeColor="accent1" w:themeShade="BF"/>
    </w:rPr>
  </w:style>
  <w:style w:type="character" w:customStyle="1" w:styleId="45">
    <w:name w:val="明显参考1"/>
    <w:basedOn w:val="25"/>
    <w:qFormat/>
    <w:uiPriority w:val="32"/>
    <w:rPr>
      <w:b/>
      <w:bCs/>
      <w:smallCaps/>
      <w:color w:val="2E54A1" w:themeColor="accent1" w:themeShade="BF"/>
      <w:spacing w:val="5"/>
    </w:rPr>
  </w:style>
  <w:style w:type="character" w:customStyle="1" w:styleId="46">
    <w:name w:val="页眉 字符"/>
    <w:basedOn w:val="25"/>
    <w:link w:val="18"/>
    <w:qFormat/>
    <w:uiPriority w:val="99"/>
    <w:rPr>
      <w:rFonts w:ascii="Times New Roman" w:hAnsi="Times New Roman" w:eastAsia="宋体" w:cs="Times New Roman"/>
      <w:sz w:val="18"/>
      <w:szCs w:val="18"/>
      <w14:ligatures w14:val="none"/>
    </w:rPr>
  </w:style>
  <w:style w:type="character" w:customStyle="1" w:styleId="47">
    <w:name w:val="页脚 字符"/>
    <w:basedOn w:val="25"/>
    <w:link w:val="17"/>
    <w:qFormat/>
    <w:uiPriority w:val="99"/>
    <w:rPr>
      <w:rFonts w:ascii="Times New Roman" w:hAnsi="Times New Roman" w:eastAsia="宋体" w:cs="Times New Roman"/>
      <w:sz w:val="18"/>
      <w:szCs w:val="18"/>
      <w14:ligatures w14:val="none"/>
    </w:rPr>
  </w:style>
  <w:style w:type="character" w:customStyle="1" w:styleId="48">
    <w:name w:val="正文文本 字符"/>
    <w:basedOn w:val="25"/>
    <w:link w:val="3"/>
    <w:qFormat/>
    <w:uiPriority w:val="99"/>
    <w:rPr>
      <w:rFonts w:ascii="Arial" w:hAnsi="Arial" w:eastAsia="微软雅黑" w:cs="Times New Roman"/>
      <w:sz w:val="20"/>
      <w:szCs w:val="20"/>
      <w14:ligatures w14:val="none"/>
    </w:rPr>
  </w:style>
  <w:style w:type="character" w:customStyle="1" w:styleId="49">
    <w:name w:val="批注文字 字符"/>
    <w:basedOn w:val="25"/>
    <w:link w:val="14"/>
    <w:semiHidden/>
    <w:qFormat/>
    <w:uiPriority w:val="99"/>
    <w:rPr>
      <w:rFonts w:ascii="Times New Roman" w:hAnsi="Times New Roman" w:eastAsia="宋体" w:cs="Times New Roman"/>
      <w:sz w:val="24"/>
      <w:szCs w:val="28"/>
      <w14:ligatures w14:val="none"/>
    </w:rPr>
  </w:style>
  <w:style w:type="character" w:customStyle="1" w:styleId="50">
    <w:name w:val="批注主题 字符"/>
    <w:basedOn w:val="49"/>
    <w:link w:val="22"/>
    <w:semiHidden/>
    <w:qFormat/>
    <w:uiPriority w:val="99"/>
    <w:rPr>
      <w:rFonts w:ascii="Times New Roman" w:hAnsi="Times New Roman" w:eastAsia="宋体" w:cs="Times New Roman"/>
      <w:b/>
      <w:bCs/>
      <w:sz w:val="24"/>
      <w:szCs w:val="28"/>
      <w14:ligatures w14:val="none"/>
    </w:rPr>
  </w:style>
  <w:style w:type="paragraph" w:customStyle="1" w:styleId="51">
    <w:name w:val="修订1"/>
    <w:hidden/>
    <w:unhideWhenUsed/>
    <w:qFormat/>
    <w:uiPriority w:val="99"/>
    <w:rPr>
      <w:rFonts w:ascii="Times New Roman" w:hAnsi="Times New Roman" w:eastAsia="宋体" w:cs="Times New Roman"/>
      <w:kern w:val="2"/>
      <w:sz w:val="24"/>
      <w:szCs w:val="28"/>
      <w:lang w:val="en-US" w:eastAsia="zh-CN" w:bidi="ar-SA"/>
    </w:rPr>
  </w:style>
  <w:style w:type="paragraph" w:customStyle="1" w:styleId="52">
    <w:name w:val="修订2"/>
    <w:hidden/>
    <w:unhideWhenUsed/>
    <w:qFormat/>
    <w:uiPriority w:val="99"/>
    <w:rPr>
      <w:rFonts w:ascii="Times New Roman" w:hAnsi="Times New Roman" w:eastAsia="宋体" w:cs="Times New Roman"/>
      <w:kern w:val="2"/>
      <w:sz w:val="24"/>
      <w:szCs w:val="28"/>
      <w:lang w:val="en-US" w:eastAsia="zh-CN" w:bidi="ar-SA"/>
    </w:rPr>
  </w:style>
  <w:style w:type="paragraph" w:customStyle="1" w:styleId="53">
    <w:name w:val="标准文本"/>
    <w:basedOn w:val="1"/>
    <w:qFormat/>
    <w:uiPriority w:val="0"/>
    <w:pPr>
      <w:ind w:firstLine="480"/>
    </w:pPr>
    <w:rPr>
      <w:rFonts w:cs="宋体"/>
      <w:szCs w:val="20"/>
      <w14:ligatures w14:val="standardContextual"/>
    </w:rPr>
  </w:style>
  <w:style w:type="paragraph" w:customStyle="1" w:styleId="54">
    <w:name w:val="修订3"/>
    <w:hidden/>
    <w:unhideWhenUsed/>
    <w:qFormat/>
    <w:uiPriority w:val="99"/>
    <w:rPr>
      <w:rFonts w:ascii="Times New Roman" w:hAnsi="Times New Roman" w:eastAsia="宋体" w:cs="Times New Roman"/>
      <w:kern w:val="2"/>
      <w:sz w:val="24"/>
      <w:szCs w:val="28"/>
      <w:lang w:val="en-US" w:eastAsia="zh-CN" w:bidi="ar-SA"/>
    </w:rPr>
  </w:style>
  <w:style w:type="paragraph" w:customStyle="1" w:styleId="55">
    <w:name w:val="方案正文"/>
    <w:basedOn w:val="1"/>
    <w:qFormat/>
    <w:uiPriority w:val="0"/>
    <w:pPr>
      <w:widowControl/>
      <w:spacing w:line="288" w:lineRule="auto"/>
    </w:pPr>
    <w:rPr>
      <w:rFonts w:ascii="宋体" w:hAnsi="宋体" w:cs="宋体" w:eastAsiaTheme="minorEastAsia"/>
      <w:color w:val="000000"/>
      <w:kern w:val="0"/>
      <w:sz w:val="21"/>
      <w:szCs w:val="24"/>
    </w:rPr>
  </w:style>
  <w:style w:type="character" w:customStyle="1" w:styleId="56">
    <w:name w:val="font51"/>
    <w:basedOn w:val="25"/>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752A-E132-4AB7-A56C-D6641808349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9206</Words>
  <Characters>9728</Characters>
  <Lines>70</Lines>
  <Paragraphs>19</Paragraphs>
  <TotalTime>314</TotalTime>
  <ScaleCrop>false</ScaleCrop>
  <LinksUpToDate>false</LinksUpToDate>
  <CharactersWithSpaces>9760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2026-05-09T01:54:00Z</dcterms:created>
  <dc:creator>HY</dc:creator>
  <cp:lastModifiedBy>pass</cp:lastModifiedBy>
  <dcterms:modified xsi:type="dcterms:W3CDTF">2026-05-09T08:53:08Z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1361B462358A454EA9AB30BCD7D30EB8_13</vt:lpwstr>
  </property>
  <property fmtid="{D5CDD505-2E9C-101B-9397-08002B2CF9AE}" pid="4" name="KSOTemplateDocerSaveRecord">
    <vt:lpwstr>eyJoZGlkIjoiYTFkM2ZiMGI5MDBlOGM3MDA3NTBkNWUxYjE2NWVmYjMiLCJ1c2VySWQiOiIxODIzODkxMTM1In0=</vt:lpwstr>
  </property>
</Properties>
</file>