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AE7CB">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项目名称：</w:t>
      </w:r>
      <w:r>
        <w:rPr>
          <w:rFonts w:hint="eastAsia" w:ascii="宋体" w:hAnsi="宋体" w:eastAsia="宋体" w:cs="宋体"/>
          <w:b w:val="0"/>
          <w:bCs/>
          <w:color w:val="auto"/>
          <w:kern w:val="2"/>
          <w:sz w:val="28"/>
          <w:highlight w:val="none"/>
          <w:lang w:val="en-US" w:eastAsia="zh-CN" w:bidi="ar-SA"/>
        </w:rPr>
        <w:t>安徽省霍邱县火石山建筑石料用灰岩矿勘探报告编制工作采购项目</w:t>
      </w:r>
    </w:p>
    <w:p w14:paraId="49012E9E">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采购单位：</w:t>
      </w:r>
      <w:r>
        <w:rPr>
          <w:rFonts w:hint="eastAsia" w:ascii="宋体" w:hAnsi="宋体" w:eastAsia="宋体" w:cs="宋体"/>
          <w:b w:val="0"/>
          <w:bCs/>
          <w:color w:val="auto"/>
          <w:kern w:val="2"/>
          <w:sz w:val="28"/>
          <w:highlight w:val="none"/>
          <w:lang w:val="en-US" w:eastAsia="zh-CN" w:bidi="ar-SA"/>
        </w:rPr>
        <w:t>霍邱县自然资源和规划局</w:t>
      </w:r>
    </w:p>
    <w:p w14:paraId="08F7BE47">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项目预算：</w:t>
      </w:r>
      <w:r>
        <w:rPr>
          <w:rFonts w:hint="eastAsia" w:ascii="宋体" w:hAnsi="宋体" w:eastAsia="宋体" w:cs="宋体"/>
          <w:color w:val="auto"/>
          <w:kern w:val="2"/>
          <w:sz w:val="28"/>
          <w:szCs w:val="28"/>
          <w:highlight w:val="none"/>
          <w:lang w:val="en-US" w:eastAsia="zh-CN" w:bidi="ar-SA"/>
        </w:rPr>
        <w:t>288万元</w:t>
      </w:r>
    </w:p>
    <w:p w14:paraId="330B48C7">
      <w:pPr>
        <w:pStyle w:val="6"/>
        <w:keepNext w:val="0"/>
        <w:keepLines w:val="0"/>
        <w:pageBreakBefore w:val="0"/>
        <w:widowControl/>
        <w:suppressLineNumbers w:val="0"/>
        <w:kinsoku/>
        <w:wordWrap/>
        <w:overflowPunct/>
        <w:topLinePunct w:val="0"/>
        <w:autoSpaceDE/>
        <w:autoSpaceDN/>
        <w:bidi w:val="0"/>
        <w:adjustRightInd/>
        <w:snapToGrid/>
        <w:spacing w:line="400" w:lineRule="exact"/>
        <w:ind w:left="0" w:firstLine="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8"/>
          <w:highlight w:val="none"/>
          <w:lang w:val="en-US" w:eastAsia="zh-CN" w:bidi="ar-SA"/>
        </w:rPr>
        <w:t>公示时间：</w:t>
      </w:r>
      <w:r>
        <w:rPr>
          <w:rFonts w:hint="eastAsia" w:ascii="宋体" w:hAnsi="宋体" w:eastAsia="宋体" w:cs="宋体"/>
          <w:color w:val="auto"/>
          <w:kern w:val="2"/>
          <w:sz w:val="28"/>
          <w:szCs w:val="28"/>
          <w:highlight w:val="none"/>
          <w:lang w:val="en-US" w:eastAsia="zh-CN" w:bidi="ar-SA"/>
        </w:rPr>
        <w:t>2026年9月17日</w:t>
      </w:r>
    </w:p>
    <w:p w14:paraId="67BBAF7B">
      <w:pPr>
        <w:numPr>
          <w:ilvl w:val="0"/>
          <w:numId w:val="1"/>
        </w:numPr>
        <w:spacing w:line="360" w:lineRule="auto"/>
        <w:jc w:val="center"/>
        <w:outlineLvl w:val="0"/>
        <w:rPr>
          <w:rFonts w:hint="eastAsia" w:ascii="宋体" w:hAnsi="宋体" w:eastAsia="宋体" w:cs="宋体"/>
          <w:b/>
          <w:color w:val="auto"/>
          <w:sz w:val="28"/>
          <w:highlight w:val="none"/>
          <w:lang w:eastAsia="zh-CN"/>
        </w:rPr>
      </w:pPr>
      <w:r>
        <w:rPr>
          <w:rFonts w:hint="eastAsia" w:ascii="宋体" w:hAnsi="宋体" w:eastAsia="宋体" w:cs="宋体"/>
          <w:b/>
          <w:color w:val="auto"/>
          <w:sz w:val="28"/>
          <w:highlight w:val="none"/>
        </w:rPr>
        <w:t xml:space="preserve"> </w:t>
      </w:r>
      <w:bookmarkStart w:id="0" w:name="_Toc22605"/>
      <w:r>
        <w:rPr>
          <w:rFonts w:hint="eastAsia" w:ascii="宋体" w:hAnsi="宋体" w:eastAsia="宋体" w:cs="宋体"/>
          <w:b/>
          <w:color w:val="auto"/>
          <w:sz w:val="28"/>
          <w:highlight w:val="none"/>
        </w:rPr>
        <w:t>采购需求</w:t>
      </w:r>
      <w:bookmarkEnd w:id="0"/>
    </w:p>
    <w:p w14:paraId="2FD77912">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571978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598698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D775B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F1FE0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0FA7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6BE98A5E">
      <w:pPr>
        <w:spacing w:line="360" w:lineRule="auto"/>
        <w:ind w:firstLine="437"/>
        <w:outlineLvl w:val="1"/>
        <w:rPr>
          <w:rFonts w:hint="eastAsia" w:ascii="宋体" w:hAnsi="宋体" w:eastAsia="宋体" w:cs="宋体"/>
          <w:b/>
          <w:color w:val="auto"/>
          <w:sz w:val="24"/>
          <w:szCs w:val="18"/>
          <w:highlight w:val="none"/>
        </w:rPr>
      </w:pPr>
      <w:bookmarkStart w:id="1" w:name="_Toc21798"/>
      <w:bookmarkStart w:id="2" w:name="_Toc4148"/>
      <w:bookmarkStart w:id="3" w:name="_Hlk23621890"/>
      <w:r>
        <w:rPr>
          <w:rFonts w:hint="eastAsia" w:ascii="宋体" w:hAnsi="宋体" w:eastAsia="宋体" w:cs="宋体"/>
          <w:b/>
          <w:color w:val="auto"/>
          <w:sz w:val="24"/>
          <w:szCs w:val="18"/>
          <w:highlight w:val="none"/>
        </w:rPr>
        <w:t>一、采购需求前附表</w:t>
      </w:r>
      <w:bookmarkEnd w:id="1"/>
      <w:bookmarkEnd w:id="2"/>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95"/>
        <w:gridCol w:w="7185"/>
      </w:tblGrid>
      <w:tr w14:paraId="1650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01F632DE">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97" w:type="pct"/>
            <w:vAlign w:val="center"/>
          </w:tcPr>
          <w:p w14:paraId="3E0DB048">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866" w:type="pct"/>
            <w:vAlign w:val="center"/>
          </w:tcPr>
          <w:p w14:paraId="16D80E49">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78C1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2CBFF7BE">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97" w:type="pct"/>
            <w:vAlign w:val="center"/>
          </w:tcPr>
          <w:p w14:paraId="3BBAE2F3">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866" w:type="pct"/>
            <w:vAlign w:val="center"/>
          </w:tcPr>
          <w:p w14:paraId="1426762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rPr>
              <w:t>（0-70%）；</w:t>
            </w:r>
          </w:p>
          <w:p w14:paraId="6A5FD5E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rPr>
              <w:t>（40%-70%）；</w:t>
            </w:r>
          </w:p>
          <w:p w14:paraId="70E351C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⑶分年度安排预算的项目，采购人确定每年预付款为当年合同金额的</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（40%-70%）。</w:t>
            </w:r>
          </w:p>
          <w:p w14:paraId="3EA2BA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32C9DD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剩余款支付方式：完成全部服务并提交经评审通过后的成果报告，采购人在收到发票后7个工作日内将资金支付到合同约定的供应商账户。</w:t>
            </w:r>
          </w:p>
          <w:p w14:paraId="414B9411">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36A0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24F99A2C">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97" w:type="pct"/>
            <w:vAlign w:val="center"/>
          </w:tcPr>
          <w:p w14:paraId="65733CE7">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服务地点</w:t>
            </w:r>
          </w:p>
        </w:tc>
        <w:tc>
          <w:tcPr>
            <w:tcW w:w="3866" w:type="pct"/>
            <w:vAlign w:val="center"/>
          </w:tcPr>
          <w:p w14:paraId="33B35C93">
            <w:pPr>
              <w:spacing w:line="520" w:lineRule="exact"/>
              <w:rPr>
                <w:rFonts w:hint="default"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勘查区位于安徽省霍邱县城区260°方向，直距约32千米处，马店镇340°方向，直距约6.8千米处，行政区划隶属于霍邱县马店镇管辖，西侧约3Km可至安徽与河南省界。矿区中心地理坐标：东经：115°56′25″，北纬：32°19′29″。矿区所属图幅为1∶5万桥沟幅、蒋集幅，图幅编号分别为I50E022008、I50E023008。</w:t>
            </w:r>
          </w:p>
        </w:tc>
      </w:tr>
      <w:tr w14:paraId="7942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35386DDC">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97" w:type="pct"/>
            <w:vAlign w:val="center"/>
          </w:tcPr>
          <w:p w14:paraId="728A1819">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866" w:type="pct"/>
            <w:vAlign w:val="center"/>
          </w:tcPr>
          <w:p w14:paraId="5DA1680B">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bCs w:val="0"/>
                <w:color w:val="auto"/>
                <w:kern w:val="2"/>
                <w:sz w:val="24"/>
                <w:szCs w:val="20"/>
                <w:highlight w:val="none"/>
                <w:lang w:val="en-US" w:eastAsia="zh-CN" w:bidi="ar-SA"/>
              </w:rPr>
              <w:t>签订合同后90日历天内完成勘查工作，并提交通过评审后的报告</w:t>
            </w:r>
          </w:p>
        </w:tc>
      </w:tr>
      <w:tr w14:paraId="7521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35" w:type="pct"/>
            <w:vAlign w:val="center"/>
          </w:tcPr>
          <w:p w14:paraId="0A15CA19">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4</w:t>
            </w:r>
          </w:p>
        </w:tc>
        <w:tc>
          <w:tcPr>
            <w:tcW w:w="697" w:type="pct"/>
            <w:vAlign w:val="center"/>
          </w:tcPr>
          <w:p w14:paraId="3530379D">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本项目采购标的名称及所属行业</w:t>
            </w:r>
          </w:p>
        </w:tc>
        <w:tc>
          <w:tcPr>
            <w:tcW w:w="3866" w:type="pct"/>
            <w:vAlign w:val="center"/>
          </w:tcPr>
          <w:p w14:paraId="2C7320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eastAsia="zh-CN"/>
              </w:rPr>
              <w:t>安徽省霍邱县火石山建筑石料用灰岩矿勘探报告编制工作采购项目</w:t>
            </w:r>
          </w:p>
          <w:p w14:paraId="57E8AE1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所属行业：</w:t>
            </w:r>
            <w:r>
              <w:rPr>
                <w:rFonts w:ascii="宋体" w:hAnsi="宋体" w:eastAsia="宋体" w:cs="宋体"/>
                <w:sz w:val="24"/>
                <w:szCs w:val="24"/>
              </w:rPr>
              <w:t>科学研究和技术服务业</w:t>
            </w:r>
          </w:p>
        </w:tc>
      </w:tr>
    </w:tbl>
    <w:p w14:paraId="14D173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outlineLvl w:val="1"/>
        <w:rPr>
          <w:rFonts w:hint="eastAsia" w:ascii="宋体" w:hAnsi="宋体" w:eastAsia="宋体" w:cs="宋体"/>
          <w:b/>
          <w:color w:val="auto"/>
          <w:sz w:val="24"/>
          <w:szCs w:val="18"/>
          <w:highlight w:val="none"/>
        </w:rPr>
      </w:pPr>
      <w:bookmarkStart w:id="4" w:name="_Toc8753"/>
      <w:bookmarkStart w:id="5" w:name="_Toc16543"/>
      <w:bookmarkStart w:id="6" w:name="_Hlk16461016"/>
      <w:r>
        <w:rPr>
          <w:rFonts w:hint="eastAsia" w:ascii="宋体" w:hAnsi="宋体" w:eastAsia="宋体" w:cs="宋体"/>
          <w:b/>
          <w:color w:val="auto"/>
          <w:sz w:val="24"/>
          <w:szCs w:val="18"/>
          <w:highlight w:val="none"/>
          <w:lang w:val="en-US" w:eastAsia="zh-CN"/>
        </w:rPr>
        <w:t>二、</w:t>
      </w:r>
      <w:r>
        <w:rPr>
          <w:rFonts w:hint="eastAsia" w:ascii="宋体" w:hAnsi="宋体" w:eastAsia="宋体" w:cs="宋体"/>
          <w:b/>
          <w:color w:val="auto"/>
          <w:sz w:val="24"/>
          <w:szCs w:val="18"/>
          <w:highlight w:val="none"/>
        </w:rPr>
        <w:t>项目概况</w:t>
      </w:r>
      <w:bookmarkEnd w:id="4"/>
      <w:bookmarkEnd w:id="5"/>
    </w:p>
    <w:p w14:paraId="1DD99F36">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480" w:firstLineChars="200"/>
        <w:textAlignment w:val="auto"/>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在以往勘查工作的基础上，通过有效勘查手段、加密取样工程控制和测试、深入试验研究，详细查明矿床（体）地质特征、矿石加工选冶技术性能以及开采技术条件并进行工业指标论证。开展概略研究，估算推断、控制、探明资源量，提交勘探报告。预计提交一处资源量规模达到中型的矿产地。</w:t>
      </w:r>
    </w:p>
    <w:p w14:paraId="6CB077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2" w:firstLineChars="200"/>
        <w:textAlignment w:val="auto"/>
        <w:outlineLvl w:val="1"/>
        <w:rPr>
          <w:rFonts w:hint="eastAsia" w:ascii="宋体" w:hAnsi="宋体" w:eastAsia="宋体" w:cs="宋体"/>
          <w:b/>
          <w:color w:val="auto"/>
          <w:sz w:val="24"/>
          <w:szCs w:val="18"/>
          <w:highlight w:val="none"/>
        </w:rPr>
      </w:pPr>
      <w:bookmarkStart w:id="7" w:name="_Toc13016"/>
      <w:bookmarkStart w:id="8" w:name="_Toc27920"/>
      <w:r>
        <w:rPr>
          <w:rFonts w:hint="eastAsia" w:ascii="宋体" w:hAnsi="宋体" w:eastAsia="宋体" w:cs="宋体"/>
          <w:b/>
          <w:color w:val="auto"/>
          <w:sz w:val="24"/>
          <w:szCs w:val="18"/>
          <w:highlight w:val="none"/>
          <w:lang w:val="en-US" w:eastAsia="zh-CN"/>
        </w:rPr>
        <w:t>三、</w:t>
      </w:r>
      <w:r>
        <w:rPr>
          <w:rFonts w:hint="eastAsia" w:ascii="宋体" w:hAnsi="宋体" w:eastAsia="宋体" w:cs="宋体"/>
          <w:b/>
          <w:color w:val="auto"/>
          <w:sz w:val="24"/>
          <w:szCs w:val="18"/>
          <w:highlight w:val="none"/>
        </w:rPr>
        <w:t>服务需求</w:t>
      </w:r>
      <w:bookmarkEnd w:id="7"/>
      <w:bookmarkEnd w:id="8"/>
    </w:p>
    <w:p w14:paraId="58BE5477">
      <w:pPr>
        <w:widowControl/>
        <w:spacing w:line="360" w:lineRule="auto"/>
        <w:ind w:firstLine="480" w:firstLineChars="200"/>
        <w:rPr>
          <w:rFonts w:ascii="宋体" w:hAnsi="宋体" w:eastAsia="宋体" w:cs="宋体"/>
          <w:kern w:val="2"/>
          <w:sz w:val="24"/>
          <w:szCs w:val="24"/>
          <w:lang w:val="zh-CN" w:eastAsia="zh-CN" w:bidi="ar-SA"/>
        </w:rPr>
      </w:pPr>
      <w:bookmarkStart w:id="9" w:name="_Toc20717"/>
      <w:bookmarkStart w:id="10" w:name="_Toc16414"/>
      <w:r>
        <w:rPr>
          <w:rFonts w:hint="eastAsia" w:ascii="宋体" w:hAnsi="宋体" w:eastAsia="宋体" w:cs="宋体"/>
          <w:kern w:val="2"/>
          <w:sz w:val="24"/>
          <w:szCs w:val="24"/>
          <w:lang w:val="en-US" w:eastAsia="zh-CN" w:bidi="ar-SA"/>
        </w:rPr>
        <w:t>1</w:t>
      </w:r>
      <w:r>
        <w:rPr>
          <w:rFonts w:ascii="宋体" w:hAnsi="宋体" w:eastAsia="宋体" w:cs="宋体"/>
          <w:kern w:val="2"/>
          <w:sz w:val="24"/>
          <w:szCs w:val="24"/>
          <w:lang w:val="zh-CN" w:eastAsia="zh-CN" w:bidi="ar-SA"/>
        </w:rPr>
        <w:t>、本次工作部署原则是：</w:t>
      </w:r>
    </w:p>
    <w:p w14:paraId="44812CE2">
      <w:pPr>
        <w:widowControl/>
        <w:spacing w:line="360" w:lineRule="auto"/>
        <w:ind w:firstLine="480" w:firstLineChars="200"/>
        <w:rPr>
          <w:rFonts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综合考量原则：根据勘查目的、矿床地质特征，并考虑地形条件和技术经济因素，合理布置探矿工程。</w:t>
      </w:r>
    </w:p>
    <w:p w14:paraId="32614302">
      <w:pPr>
        <w:widowControl/>
        <w:spacing w:line="360" w:lineRule="auto"/>
        <w:ind w:firstLine="480" w:firstLineChars="200"/>
        <w:rPr>
          <w:rFonts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循序渐进原则：探矿工程布置应严格遵循由表及里、由浅入深、由疏到密、由已知到未知的原则。</w:t>
      </w:r>
    </w:p>
    <w:p w14:paraId="7550B47B">
      <w:pPr>
        <w:widowControl/>
        <w:spacing w:line="360" w:lineRule="auto"/>
        <w:ind w:firstLine="480" w:firstLineChars="200"/>
        <w:rPr>
          <w:rFonts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“经济合理”的原则：在布置探矿工程时，应尽可能兼顾矿床水文地质和工程地质的需要，以往工程能利用的应尽可能利用。</w:t>
      </w:r>
    </w:p>
    <w:p w14:paraId="166C61EB">
      <w:pPr>
        <w:widowControl/>
        <w:spacing w:line="360" w:lineRule="auto"/>
        <w:ind w:firstLine="480" w:firstLineChars="200"/>
        <w:rPr>
          <w:rFonts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 xml:space="preserve"> “综合勘查、综合评价”的原则：在勘查工作中发现矿石满足多种工业用途，应按照高价值、高标准的用途进行评价和储量估算。</w:t>
      </w:r>
    </w:p>
    <w:p w14:paraId="4EC9E1DB">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绿色勘查与手段适配原则：以绿色发展理念为引领，以科学管理和先进技术为手段，兼顾环境效益、经济效益和社会效益，采取以环境影响最小化为目的的全过程地质勘查方法，有效控制并减少探矿工程对自然环境的破坏。</w:t>
      </w:r>
    </w:p>
    <w:p w14:paraId="6D73936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本次勘查的目的任务是：详细查明矿区内地层、构造、岩浆岩情况，详细查明矿体的分布范围、数量、规模、产状、厚度、形态特征及其分布规律和矿石质量，详细查明矿床的开采技术条件，对矿石的加工性能进行类比研究，进行概略研究，做出是否具有工业价值的评价，提交勘探地质报告，预计提交一处资源量规模达到中型的矿产地。</w:t>
      </w:r>
    </w:p>
    <w:p w14:paraId="193A885C">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本次勘查以已知矿体为目的层，对矿体沿走向和倾向进行钻探控制，钻探工程均布置在勘探线上，最大偏移距离不得超过线距的3%，勘探线上移动不得超过工程间距的5%，为矿床概略研究和以后开采提供依据。</w:t>
      </w:r>
    </w:p>
    <w:p w14:paraId="0A1B1EAE">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钻探工作要严格按照DZ/T 0227-2010《地质岩心钻探规程》、《固体矿产勘查钻孔质量要求》（DZ/T 0486-2024）要求执行。</w:t>
      </w:r>
    </w:p>
    <w:p w14:paraId="28031FD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实测地质剖面、地质填图、钻孔采样等编录工作在现场及时进行，具体的工作内容、要求、方法和编录资料的管理，将严格按DZ/T0078-2015《固体矿产勘查原始地质编录规程》要求执行。地质资料的综合整理、综合研究工作的内容、要求和方法将按DZ/T 0079-2015《固体矿产勘查地质资料综合整理综合研究技术要求》执行。</w:t>
      </w:r>
    </w:p>
    <w:p w14:paraId="6716F333">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测量工作及成果质量按《1:500、1:1000、1:2000 地形图图式》（GB/T 20257.1 - 2007）、《全球定位系统实时动态测量（RTK）技术规范》（CH/T 2009-2010）、《数字测绘成果质量检查与验收》（GB/T18316-2008）、勘查单位应具备高分辨率对地观测系统数据与应用中心能力、《地质矿产勘查测量规范》（GB/T 18341-2021）、《1:500 1:1000 1:2000 地形图航空摄影测量外业规范》（GB/T 7931-2008）等进行作业和验收；同时采购人应具有乙级及以上测绘资质证书。</w:t>
      </w:r>
    </w:p>
    <w:p w14:paraId="1CCA9D2C">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zh-CN" w:eastAsia="zh-CN" w:bidi="ar-SA"/>
        </w:rPr>
        <w:t>、采购标的需执行的国家相关标准、行业标准、地方标准或者其他标准.规范：</w:t>
      </w:r>
    </w:p>
    <w:p w14:paraId="4FAB753E">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包括但不限于以下：</w:t>
      </w:r>
    </w:p>
    <w:p w14:paraId="26B7F313">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（1）《固体矿产地质勘查规范总则》（GB/T 13908-2020）；</w:t>
      </w:r>
    </w:p>
    <w:p w14:paraId="1ABCFF7E">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（2）《区域地质图图例（1:50000）》（GB 958-2015）；</w:t>
      </w:r>
    </w:p>
    <w:p w14:paraId="163C6493">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（3）《固体矿产勘查工作规范》（GB/T 33444-2016）；</w:t>
      </w:r>
    </w:p>
    <w:p w14:paraId="3700125C">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（4）《固体矿产勘查原始地质编录规程》（DZ/T 0078-2015）；</w:t>
      </w:r>
    </w:p>
    <w:p w14:paraId="26283028">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（5）《矿产地质勘查规划 菱镁矿、白云岩》</w:t>
      </w:r>
      <w:bookmarkStart w:id="11" w:name="_Hlk208755678"/>
      <w:r>
        <w:rPr>
          <w:rFonts w:hint="eastAsia" w:ascii="宋体" w:hAnsi="宋体" w:eastAsia="宋体" w:cs="宋体"/>
          <w:kern w:val="2"/>
          <w:sz w:val="24"/>
          <w:szCs w:val="24"/>
          <w:lang w:val="zh-CN" w:eastAsia="zh-CN" w:bidi="ar-SA"/>
        </w:rPr>
        <w:t>（DZ/T 0348-2020）</w:t>
      </w:r>
      <w:bookmarkEnd w:id="11"/>
      <w:r>
        <w:rPr>
          <w:rFonts w:hint="eastAsia" w:ascii="宋体" w:hAnsi="宋体" w:eastAsia="宋体" w:cs="宋体"/>
          <w:kern w:val="2"/>
          <w:sz w:val="24"/>
          <w:szCs w:val="24"/>
          <w:lang w:val="zh-CN" w:eastAsia="zh-CN" w:bidi="ar-SA"/>
        </w:rPr>
        <w:t>；</w:t>
      </w:r>
    </w:p>
    <w:p w14:paraId="25F61009">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（6）《矿产地质勘查规划 石灰岩、水泥配料类》（DZ/T 0213-2020）；</w:t>
      </w:r>
    </w:p>
    <w:p w14:paraId="4D5D73C3">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（7）《固体矿产地质勘查报告编写规范》（DZ/T 0033-2020）</w:t>
      </w:r>
    </w:p>
    <w:p w14:paraId="2BFC102B">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（8）《固体矿产资源/储量分类》（GB/T17766-2020）；</w:t>
      </w:r>
    </w:p>
    <w:p w14:paraId="57EB8C18">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（9）《地质图用色标准及用色原则(1:50000)》（DZ/T 0179-1997）；</w:t>
      </w:r>
    </w:p>
    <w:p w14:paraId="3B8BB8E2">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（10）《矿产勘查矿石加工选冶技术性能试验研究程度要求》（DZ/T 0340-2020）；</w:t>
      </w:r>
    </w:p>
    <w:p w14:paraId="5DEEC751">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（11）《固体矿产资源量估算规程 第1部分：通则》（DZ/T 0338.1-2020）；</w:t>
      </w:r>
    </w:p>
    <w:p w14:paraId="410DDE0F">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（12）《固体矿产资源量估算规程 第2部分：几何法》（DZ/T 0338.2-2020）；</w:t>
      </w:r>
    </w:p>
    <w:p w14:paraId="35C1F3F9">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（13）《矿床工业指标论证技术要求》（DZ/T 0339-2020）；</w:t>
      </w:r>
    </w:p>
    <w:p w14:paraId="5EB4947C">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（14）《地质矿产勘查测量规范》（GB/T 18341-2021）；</w:t>
      </w:r>
    </w:p>
    <w:p w14:paraId="702D1574">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（15）《矿山地质工作规范》（DZ/T 0401-2022）；</w:t>
      </w:r>
    </w:p>
    <w:p w14:paraId="68B14F2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（16）《矿山资源储量管理规范》（DZ/T 0399-2022）；</w:t>
      </w:r>
    </w:p>
    <w:p w14:paraId="36152A37">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（17）《矿产资源储量规模划分标准》（DZ/T 0400-2022）；</w:t>
      </w:r>
    </w:p>
    <w:p w14:paraId="19C91E41">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（18）《矿产资源综合勘查评价规范》（GB/T 25283-2023）；</w:t>
      </w:r>
    </w:p>
    <w:p w14:paraId="4EF18CE4">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（19）《固体矿产勘查钻孔质量要求》（DZ/T 0486-2024）；</w:t>
      </w:r>
    </w:p>
    <w:p w14:paraId="040810FD">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（20）《矿产资源储量基本术语》（GB/T 43759-2024）；</w:t>
      </w:r>
    </w:p>
    <w:p w14:paraId="2D90ED00">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（21）《矿坑涌水量预测计算规程》（DZ/T 0342-2020）；</w:t>
      </w:r>
    </w:p>
    <w:p w14:paraId="142DF86F">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（22）《地下水资源储量分类分级》（GB/T 15218-2021）；</w:t>
      </w:r>
    </w:p>
    <w:p w14:paraId="2FDFDDC6">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（23）《矿区水文地质工程地质勘查规范》（GB/T12719-2021）；</w:t>
      </w:r>
    </w:p>
    <w:p w14:paraId="20AFC6E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（24）《1:500、1:1000、1:2000 地形图图式》（GB/T 20257.1 - 2007）；</w:t>
      </w:r>
    </w:p>
    <w:p w14:paraId="0C695D4A">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（25）《全球导航卫星系统（GNSS）》（GB/T 18314-2024）；</w:t>
      </w:r>
    </w:p>
    <w:p w14:paraId="1462EA2C">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（26）《工程测量规范》（GB/T 50026-2020）；</w:t>
      </w:r>
    </w:p>
    <w:p w14:paraId="7510C110">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（27）《数字测绘成果质量检查与验收》（GB/T 18316-2008）；</w:t>
      </w:r>
    </w:p>
    <w:p w14:paraId="29A2B46B">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（28）《1:500 1:1000 1:2000 地形图航空摄影测量外业规范》（GB/T 7931-2008）；</w:t>
      </w:r>
    </w:p>
    <w:p w14:paraId="1F1059DA">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（29）《1:500 1:1000 1:2000 地形图航空摄影测量内业规范》（GB/T 7930-2008）；</w:t>
      </w:r>
    </w:p>
    <w:p w14:paraId="08508D59">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（30）《1:500 1:1000 1:2000 地形图航空摄影测量数字化测图规范》（GB/T 15967-2024）；</w:t>
      </w:r>
    </w:p>
    <w:p w14:paraId="2BAAD216">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（31）《低空数字航空摄影测量内业规范》（GB/T 27919-2011）；</w:t>
      </w:r>
    </w:p>
    <w:p w14:paraId="19B9820E">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（32）《全球定位系统实时动态测量（RTK）技术规范》（CH/T 2009-2010）；</w:t>
      </w:r>
    </w:p>
    <w:p w14:paraId="570D7A13">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（33）《地质矿产勘查测量规范》（GB/T 18341-2021）</w:t>
      </w:r>
    </w:p>
    <w:p w14:paraId="6F28A250">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（34）《地质矿产实验室测试质量管理规范》（DZ 0130-2015）；</w:t>
      </w:r>
    </w:p>
    <w:p w14:paraId="220E8F12">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（35）《地质岩心钻探规程》（DZT 0227-2010）；</w:t>
      </w:r>
    </w:p>
    <w:p w14:paraId="61B88BA6">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（36）《绿色勘查指南》（T/CMAS 0001-2018）；</w:t>
      </w:r>
    </w:p>
    <w:p w14:paraId="5105A498">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（37）《绿色地质勘查工作规范》（DZ/T 0374-2021）。</w:t>
      </w:r>
    </w:p>
    <w:p w14:paraId="101398C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zh-CN" w:eastAsia="zh-CN" w:bidi="ar-SA"/>
        </w:rPr>
        <w:t>、采购标的需满足的质量、安全、技术规格、物理特性等要求</w:t>
      </w:r>
      <w:bookmarkStart w:id="12" w:name="_Toc135384938"/>
      <w:r>
        <w:rPr>
          <w:rFonts w:hint="eastAsia" w:ascii="宋体" w:hAnsi="宋体" w:eastAsia="宋体" w:cs="宋体"/>
          <w:kern w:val="2"/>
          <w:sz w:val="24"/>
          <w:szCs w:val="24"/>
          <w:lang w:val="zh-CN" w:eastAsia="zh-CN" w:bidi="ar-SA"/>
        </w:rPr>
        <w:t>：</w:t>
      </w:r>
    </w:p>
    <w:p w14:paraId="425E88B2">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质量要求满足《矿产地质勘查规划 菱镁矿、白云岩》（DZ/T 0348-2020）、《矿产地质勘查规划 石灰岩、水泥配料类》（DZ/T 0213-2020）、《固体矿产地质勘查报告编写规范》（DZ/T 0033-2020）中的相关规定要求；为保证项目质量及安全本项目钻探工作不允许外包，同时项目负责必须具有由应急管理部门颁发的金属非金属矿山(露天矿山)的安全生产管理人员合格证，项目施工期间常驻野外；钻探施工人员由采购人统一购买意外险及社保。</w:t>
      </w:r>
    </w:p>
    <w:bookmarkEnd w:id="12"/>
    <w:p w14:paraId="19842ED8">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en-US" w:eastAsia="zh-CN" w:bidi="ar-SA"/>
        </w:rPr>
        <w:t>4</w:t>
      </w:r>
      <w:r>
        <w:rPr>
          <w:rFonts w:hint="eastAsia" w:ascii="宋体" w:hAnsi="宋体" w:eastAsia="宋体" w:cs="宋体"/>
          <w:kern w:val="2"/>
          <w:sz w:val="24"/>
          <w:szCs w:val="24"/>
          <w:lang w:val="zh-CN" w:eastAsia="zh-CN" w:bidi="ar-SA"/>
        </w:rPr>
        <w:t>、采购标的工作量、采购项目服务期、地点及售后服务；</w:t>
      </w:r>
    </w:p>
    <w:p w14:paraId="158C03A8">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项目工作量（包括但不限于）:主要为1:1000地形测量，1：2000地质测量、1:2000水文地质测量、1:1000剖面测量，剥土/探槽工程，矿产地质钻探、水文地质钻探，各类样品（包含基本分析、组合分析、化学全分析、水质分析、光薄片等）等工作。</w:t>
      </w:r>
    </w:p>
    <w:p w14:paraId="704CBBB2">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服务期：签订合同后90日历天内完勘查工作，并提交通过评审后的报告。</w:t>
      </w:r>
    </w:p>
    <w:p w14:paraId="517D7505">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服务地点：：勘查区位于安徽省霍邱县城区260°方向，直距约32千米处，马店镇340°方向，直距约6.8千米处，行政区划隶属于霍邱县马店镇管辖，西侧约3Km可至安徽与河南省界。矿区中心地理坐标：东经：115°56′25″，北纬：32°19′29″。矿区所属图幅为1∶5万桥沟幅、蒋集幅，图幅编号分别为I50E022008、I50E023008。</w:t>
      </w:r>
    </w:p>
    <w:p w14:paraId="0F73D17D">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项目负责人要求：项目负责人1名（具有副高级及以上职称证书）、具有由应急管理部门颁发的金属非金属矿山(露天矿山)的安全生产管理人员合格证。</w:t>
      </w:r>
    </w:p>
    <w:p w14:paraId="492686D6">
      <w:pPr>
        <w:widowControl/>
        <w:spacing w:line="360" w:lineRule="auto"/>
        <w:ind w:firstLine="480" w:firstLineChars="200"/>
        <w:rPr>
          <w:rFonts w:hint="eastAsia" w:ascii="宋体" w:hAnsi="宋体" w:eastAsia="宋体" w:cs="宋体"/>
          <w:kern w:val="2"/>
          <w:sz w:val="24"/>
          <w:szCs w:val="24"/>
          <w:lang w:val="zh-CN" w:eastAsia="zh-CN" w:bidi="ar-SA"/>
        </w:rPr>
      </w:pPr>
      <w:r>
        <w:rPr>
          <w:rFonts w:hint="eastAsia" w:ascii="宋体" w:hAnsi="宋体" w:eastAsia="宋体" w:cs="宋体"/>
          <w:kern w:val="2"/>
          <w:sz w:val="24"/>
          <w:szCs w:val="24"/>
          <w:lang w:val="zh-CN" w:eastAsia="zh-CN" w:bidi="ar-SA"/>
        </w:rPr>
        <w:t>项目组成员（除项目负责人外）要求：项目组成员至少6名，分别具有水工环地质、地质调查与矿产勘查、探矿工程、地球物理勘查及遥感、地质实验测试、地质测绘工程专业高级职称证书。</w:t>
      </w:r>
    </w:p>
    <w:p w14:paraId="12C24E65">
      <w:pPr>
        <w:widowControl/>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zh-CN" w:eastAsia="zh-CN" w:bidi="ar-SA"/>
        </w:rPr>
        <w:t>售后服务：勘查结束后需为本项目提供2年的技术支撑。</w:t>
      </w:r>
    </w:p>
    <w:p w14:paraId="6FCC24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2" w:firstLineChars="200"/>
        <w:textAlignment w:val="auto"/>
        <w:outlineLvl w:val="1"/>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lang w:val="en-US" w:eastAsia="zh-CN"/>
        </w:rPr>
        <w:t>四、</w:t>
      </w:r>
      <w:r>
        <w:rPr>
          <w:rFonts w:hint="eastAsia" w:ascii="宋体" w:hAnsi="宋体" w:eastAsia="宋体" w:cs="宋体"/>
          <w:b/>
          <w:color w:val="auto"/>
          <w:sz w:val="24"/>
          <w:szCs w:val="18"/>
          <w:highlight w:val="none"/>
        </w:rPr>
        <w:t>报价要求</w:t>
      </w:r>
      <w:bookmarkEnd w:id="9"/>
      <w:bookmarkEnd w:id="10"/>
    </w:p>
    <w:p w14:paraId="760D8A5B">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rPr>
        <w:t xml:space="preserve">1、报价费用组成：投标报价为完成本次招标项目的全部费用价格，其组成包括但不限于人员工资、社会保险费、税金、利润以及管理费、办公费、交通费、通讯费、设 备费、食宿等为完成本次招投标项目所发生的一切费用。 </w:t>
      </w:r>
    </w:p>
    <w:p w14:paraId="4DA78137">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hint="eastAsia" w:ascii="宋体" w:hAnsi="宋体" w:eastAsia="宋体" w:cs="宋体"/>
          <w:color w:val="auto"/>
          <w:highlight w:val="none"/>
        </w:rPr>
      </w:pPr>
      <w:r>
        <w:rPr>
          <w:rFonts w:ascii="宋体" w:hAnsi="宋体" w:eastAsia="宋体" w:cs="宋体"/>
          <w:sz w:val="24"/>
          <w:szCs w:val="24"/>
        </w:rPr>
        <w:t>2、本项目报总价不得高于本项目最高限价，报价为完成本项目所须一切费用，成 交后采购人不再调整费用。</w:t>
      </w:r>
    </w:p>
    <w:p w14:paraId="17F24245">
      <w:pPr>
        <w:keepNext w:val="0"/>
        <w:keepLines w:val="0"/>
        <w:pageBreakBefore w:val="0"/>
        <w:widowControl w:val="0"/>
        <w:kinsoku/>
        <w:wordWrap/>
        <w:overflowPunct/>
        <w:topLinePunct w:val="0"/>
        <w:autoSpaceDE/>
        <w:autoSpaceDN/>
        <w:bidi w:val="0"/>
        <w:adjustRightInd/>
        <w:snapToGrid/>
        <w:spacing w:line="560" w:lineRule="exact"/>
        <w:ind w:left="0" w:firstLine="482" w:firstLineChars="200"/>
        <w:textAlignment w:val="auto"/>
        <w:outlineLvl w:val="1"/>
        <w:rPr>
          <w:rFonts w:hint="eastAsia" w:ascii="宋体" w:hAnsi="宋体" w:eastAsia="宋体" w:cs="宋体"/>
          <w:sz w:val="24"/>
          <w:szCs w:val="24"/>
          <w:lang w:eastAsia="zh-CN"/>
        </w:rPr>
      </w:pPr>
      <w:bookmarkStart w:id="13" w:name="_Toc8283"/>
      <w:bookmarkStart w:id="14" w:name="_Toc18794"/>
      <w:r>
        <w:rPr>
          <w:rFonts w:hint="eastAsia" w:ascii="宋体" w:hAnsi="宋体" w:eastAsia="宋体" w:cs="宋体"/>
          <w:b/>
          <w:color w:val="auto"/>
          <w:sz w:val="24"/>
          <w:szCs w:val="18"/>
          <w:highlight w:val="none"/>
        </w:rPr>
        <w:t>五、其他要求</w:t>
      </w:r>
      <w:bookmarkEnd w:id="3"/>
      <w:bookmarkEnd w:id="6"/>
      <w:bookmarkEnd w:id="13"/>
      <w:bookmarkEnd w:id="14"/>
    </w:p>
    <w:p w14:paraId="08E7B52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1. 成果权属与资料交付要求：本项目实施过程中形成的全部原始地质资料、测试数据、图件、报告、电子成果等知识产权及所有权全部归采购人所有，中标单位不得自留、转借、对外发布或用于其他项目。项目验收合格后，中标单位须完整提交全套纸质成果资料（含评审意见书、备案证明）及可编辑电子成果资料，资料格式、份数满足归档及主管部门要求。</w:t>
      </w:r>
    </w:p>
    <w:p w14:paraId="6EF50E7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2. 保密管理要求：中标单位须严格遵守保密相关法律法规，对矿区坐标、地质数据、矿体参数、勘查成果等涉密信息严格保密，严禁私自泄露、传播、售卖项目资料，项目结束后不得留存任何涉密原始资料，违者承担相应法律责任及经济损失。</w:t>
      </w:r>
    </w:p>
    <w:p w14:paraId="4AA65C75">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3. 现场施工与绿色勘查要求：严格执行绿色勘查规范，严控施工对生态环境的影响，施工过程节约用地、减少植被破坏，施工结束后及时完成场地清理、生态复原、地貌恢复，做到工完场清、生态合规；施工期间服从采购人现场管理及属地自然资源、生态环境部门监管。</w:t>
      </w:r>
    </w:p>
    <w:p w14:paraId="5798DEAD">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4. 工期与进度管控要求：合同签订后90日历天内完成全部野外勘查、室内整理、报告编制、评审整改工作，提交评审通过的正式勘探报告；施工期间按采购人要求定期报送工作进度、质量台账，遇特殊情况及时报备并制定整改赶工方案，严禁无故拖延工期。</w:t>
      </w:r>
    </w:p>
    <w:p w14:paraId="6A406863">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5. 售后技术服务要求：项目验收交付后，提供2年免费全程技术支撑服务，包含报告答疑、资料整改、备案配合、主管部门核查对接、后续采矿权相关资料补充完善等配套服务，全程保障项目成果有效落地使用。</w:t>
      </w:r>
    </w:p>
    <w:p w14:paraId="58F9AB97">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6. 合规信用要求：中标单位须具备合法经营资质，无政府采购严重违法失信记录、无重大安全质量事故记录、无行业失信惩戒记录，严格遵守地质勘查行业监管相关规定，依规开展勘查作业。</w:t>
      </w:r>
    </w:p>
    <w:p w14:paraId="4BF6EEB0">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ascii="宋体" w:hAnsi="宋体" w:eastAsia="宋体" w:cs="宋体"/>
          <w:sz w:val="24"/>
          <w:szCs w:val="24"/>
        </w:rPr>
      </w:pPr>
      <w:r>
        <w:rPr>
          <w:rFonts w:ascii="宋体" w:hAnsi="宋体" w:eastAsia="宋体" w:cs="宋体"/>
          <w:sz w:val="24"/>
          <w:szCs w:val="24"/>
          <w:lang w:val="en-US" w:eastAsia="zh-CN"/>
        </w:rPr>
        <w:t>7. 场地与手续配合要求：中标单位负责配合完成野外施工临时用地协调、现场施工对接等相关工作，承担施工过程中产生的相关合规费用，依规落实施工合规要求，不得违规施工。</w:t>
      </w:r>
    </w:p>
    <w:p w14:paraId="6900C3E4">
      <w:pPr>
        <w:pStyle w:val="2"/>
        <w:numPr>
          <w:ilvl w:val="0"/>
          <w:numId w:val="0"/>
        </w:numPr>
        <w:rPr>
          <w:rFonts w:hint="eastAsia" w:ascii="宋体" w:hAnsi="宋体" w:eastAsia="宋体" w:cs="宋体"/>
          <w:b w:val="0"/>
          <w:bCs/>
          <w:color w:val="auto"/>
          <w:highlight w:val="none"/>
          <w:lang w:eastAsia="zh-CN"/>
        </w:rPr>
      </w:pPr>
    </w:p>
    <w:p w14:paraId="49342456">
      <w:pPr>
        <w:pStyle w:val="2"/>
        <w:numPr>
          <w:ilvl w:val="0"/>
          <w:numId w:val="0"/>
        </w:numPr>
        <w:rPr>
          <w:rFonts w:hint="eastAsia" w:ascii="宋体" w:hAnsi="宋体" w:eastAsia="宋体" w:cs="宋体"/>
          <w:b w:val="0"/>
          <w:bCs/>
          <w:color w:val="auto"/>
          <w:highlight w:val="none"/>
          <w:lang w:eastAsia="zh-CN"/>
        </w:rPr>
      </w:pPr>
    </w:p>
    <w:p w14:paraId="5B549C10">
      <w:pPr>
        <w:pStyle w:val="2"/>
        <w:numPr>
          <w:ilvl w:val="0"/>
          <w:numId w:val="0"/>
        </w:numPr>
        <w:rPr>
          <w:rFonts w:hint="eastAsia" w:ascii="宋体" w:hAnsi="宋体" w:eastAsia="宋体" w:cs="宋体"/>
          <w:b w:val="0"/>
          <w:bCs/>
          <w:color w:val="auto"/>
          <w:highlight w:val="none"/>
          <w:lang w:eastAsia="zh-CN"/>
        </w:rPr>
      </w:pPr>
    </w:p>
    <w:p w14:paraId="5E105347">
      <w:pPr>
        <w:pStyle w:val="2"/>
        <w:numPr>
          <w:ilvl w:val="0"/>
          <w:numId w:val="0"/>
        </w:numPr>
        <w:rPr>
          <w:rFonts w:hint="eastAsia" w:ascii="宋体" w:hAnsi="宋体" w:eastAsia="宋体" w:cs="宋体"/>
          <w:b w:val="0"/>
          <w:bCs/>
          <w:color w:val="auto"/>
          <w:highlight w:val="none"/>
          <w:lang w:eastAsia="zh-CN"/>
        </w:rPr>
      </w:pPr>
    </w:p>
    <w:p w14:paraId="18DC0688">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1D5F2F48">
      <w:pPr>
        <w:spacing w:line="360" w:lineRule="auto"/>
        <w:jc w:val="center"/>
        <w:outlineLvl w:val="0"/>
        <w:rPr>
          <w:rFonts w:hint="eastAsia" w:ascii="宋体" w:hAnsi="宋体" w:eastAsia="宋体" w:cs="宋体"/>
          <w:b/>
          <w:color w:val="auto"/>
          <w:sz w:val="28"/>
          <w:highlight w:val="none"/>
        </w:rPr>
      </w:pPr>
      <w:bookmarkStart w:id="15" w:name="_Toc3538"/>
      <w:r>
        <w:rPr>
          <w:rFonts w:hint="eastAsia" w:ascii="宋体" w:hAnsi="宋体" w:eastAsia="宋体" w:cs="宋体"/>
          <w:b/>
          <w:color w:val="auto"/>
          <w:sz w:val="28"/>
          <w:highlight w:val="none"/>
        </w:rPr>
        <w:t>第四章  评标方法和标准（最低评标价法）</w:t>
      </w:r>
      <w:bookmarkEnd w:id="15"/>
    </w:p>
    <w:p w14:paraId="4C7BF8EF">
      <w:pPr>
        <w:spacing w:line="360" w:lineRule="auto"/>
        <w:ind w:firstLine="437"/>
        <w:outlineLvl w:val="1"/>
        <w:rPr>
          <w:rFonts w:hint="eastAsia" w:ascii="宋体" w:hAnsi="宋体" w:eastAsia="宋体" w:cs="宋体"/>
          <w:b/>
          <w:color w:val="auto"/>
          <w:sz w:val="24"/>
          <w:highlight w:val="none"/>
        </w:rPr>
      </w:pPr>
      <w:bookmarkStart w:id="16" w:name="_Toc6560"/>
      <w:bookmarkStart w:id="17" w:name="_Toc10401"/>
      <w:r>
        <w:rPr>
          <w:rFonts w:hint="eastAsia" w:ascii="宋体" w:hAnsi="宋体" w:eastAsia="宋体" w:cs="宋体"/>
          <w:b/>
          <w:color w:val="auto"/>
          <w:sz w:val="24"/>
          <w:highlight w:val="none"/>
        </w:rPr>
        <w:t>一、总则</w:t>
      </w:r>
      <w:bookmarkEnd w:id="16"/>
      <w:bookmarkEnd w:id="17"/>
    </w:p>
    <w:p w14:paraId="47FEB4D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本项目将按照招标文件第二章投标人须知的相关要求及本章的规定评标。</w:t>
      </w:r>
    </w:p>
    <w:p w14:paraId="5D813AAD">
      <w:pPr>
        <w:spacing w:line="360" w:lineRule="auto"/>
        <w:ind w:firstLine="437"/>
        <w:outlineLvl w:val="1"/>
        <w:rPr>
          <w:rFonts w:hint="eastAsia" w:ascii="宋体" w:hAnsi="宋体" w:eastAsia="宋体" w:cs="宋体"/>
          <w:b/>
          <w:color w:val="auto"/>
          <w:sz w:val="24"/>
          <w:highlight w:val="none"/>
        </w:rPr>
      </w:pPr>
      <w:bookmarkStart w:id="18" w:name="_Toc17743"/>
      <w:bookmarkStart w:id="19" w:name="_Toc28533"/>
      <w:r>
        <w:rPr>
          <w:rFonts w:hint="eastAsia" w:ascii="宋体" w:hAnsi="宋体" w:eastAsia="宋体" w:cs="宋体"/>
          <w:b/>
          <w:color w:val="auto"/>
          <w:sz w:val="24"/>
          <w:highlight w:val="none"/>
        </w:rPr>
        <w:t>二、评标方法</w:t>
      </w:r>
      <w:bookmarkEnd w:id="18"/>
      <w:bookmarkEnd w:id="19"/>
    </w:p>
    <w:p w14:paraId="457530EE">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2.1资格审查</w:t>
      </w:r>
    </w:p>
    <w:tbl>
      <w:tblPr>
        <w:tblStyle w:val="7"/>
        <w:tblW w:w="53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919"/>
        <w:gridCol w:w="3806"/>
        <w:gridCol w:w="3737"/>
      </w:tblGrid>
      <w:tr w14:paraId="53D4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EE54A6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79E7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73E23BB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68" w:type="pct"/>
            <w:tcBorders>
              <w:bottom w:val="single" w:color="auto" w:sz="4" w:space="0"/>
            </w:tcBorders>
            <w:vAlign w:val="center"/>
          </w:tcPr>
          <w:p w14:paraId="7612B56F">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rightChars="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审查指标</w:t>
            </w:r>
          </w:p>
        </w:tc>
        <w:tc>
          <w:tcPr>
            <w:tcW w:w="1919" w:type="pct"/>
            <w:tcBorders>
              <w:bottom w:val="single" w:color="auto" w:sz="4" w:space="0"/>
            </w:tcBorders>
            <w:vAlign w:val="center"/>
          </w:tcPr>
          <w:p w14:paraId="67DE20EC">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审查标准</w:t>
            </w:r>
          </w:p>
        </w:tc>
        <w:tc>
          <w:tcPr>
            <w:tcW w:w="1881" w:type="pct"/>
            <w:tcBorders>
              <w:bottom w:val="single" w:color="auto" w:sz="4" w:space="0"/>
            </w:tcBorders>
            <w:vAlign w:val="center"/>
          </w:tcPr>
          <w:p w14:paraId="1AECAAAB">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1639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229" w:type="pct"/>
            <w:tcBorders>
              <w:bottom w:val="single" w:color="auto" w:sz="4" w:space="0"/>
            </w:tcBorders>
            <w:vAlign w:val="center"/>
          </w:tcPr>
          <w:p w14:paraId="0C625468">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968" w:type="pct"/>
            <w:tcBorders>
              <w:bottom w:val="single" w:color="auto" w:sz="4" w:space="0"/>
            </w:tcBorders>
            <w:vAlign w:val="center"/>
          </w:tcPr>
          <w:p w14:paraId="5534B92C">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1919" w:type="pct"/>
            <w:tcBorders>
              <w:bottom w:val="single" w:color="auto" w:sz="4" w:space="0"/>
            </w:tcBorders>
            <w:vAlign w:val="center"/>
          </w:tcPr>
          <w:p w14:paraId="3B717DE4">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00D54465">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192EA9F9">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70015B1C">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0DA47BC7">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881" w:type="pct"/>
            <w:vAlign w:val="center"/>
          </w:tcPr>
          <w:p w14:paraId="4D6B8233">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C51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229" w:type="pct"/>
            <w:tcBorders>
              <w:bottom w:val="single" w:color="auto" w:sz="4" w:space="0"/>
            </w:tcBorders>
            <w:vAlign w:val="center"/>
          </w:tcPr>
          <w:p w14:paraId="23AE5CC2">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968" w:type="pct"/>
            <w:tcBorders>
              <w:bottom w:val="single" w:color="auto" w:sz="4" w:space="0"/>
            </w:tcBorders>
            <w:vAlign w:val="center"/>
          </w:tcPr>
          <w:p w14:paraId="6369ACF8">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1919" w:type="pct"/>
            <w:tcBorders>
              <w:bottom w:val="single" w:color="auto" w:sz="4" w:space="0"/>
            </w:tcBorders>
            <w:vAlign w:val="center"/>
          </w:tcPr>
          <w:p w14:paraId="7575D93F">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供符合招标文件要求的《投标人资格声明书》《无重大违法记录声明函、无不良信用记录承诺函》</w:t>
            </w:r>
            <w:r>
              <w:rPr>
                <w:rFonts w:hint="eastAsia" w:ascii="宋体" w:hAnsi="宋体" w:eastAsia="宋体" w:cs="宋体"/>
                <w:color w:val="auto"/>
                <w:sz w:val="24"/>
                <w:szCs w:val="24"/>
                <w:highlight w:val="none"/>
                <w:lang w:eastAsia="zh-CN"/>
              </w:rPr>
              <w:t>。</w:t>
            </w:r>
          </w:p>
        </w:tc>
        <w:tc>
          <w:tcPr>
            <w:tcW w:w="1881" w:type="pct"/>
            <w:vAlign w:val="center"/>
          </w:tcPr>
          <w:p w14:paraId="118DAB0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270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5582F27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968" w:type="pct"/>
            <w:tcBorders>
              <w:bottom w:val="single" w:color="auto" w:sz="4" w:space="0"/>
            </w:tcBorders>
            <w:vAlign w:val="center"/>
          </w:tcPr>
          <w:p w14:paraId="244C5819">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1919" w:type="pct"/>
            <w:tcBorders>
              <w:bottom w:val="single" w:color="auto" w:sz="4" w:space="0"/>
            </w:tcBorders>
            <w:vAlign w:val="center"/>
          </w:tcPr>
          <w:p w14:paraId="19D0C26E">
            <w:pPr>
              <w:keepNext w:val="0"/>
              <w:keepLines w:val="0"/>
              <w:pageBreakBefore w:val="0"/>
              <w:widowControl w:val="0"/>
              <w:kinsoku/>
              <w:wordWrap/>
              <w:overflowPunct/>
              <w:topLinePunct w:val="0"/>
              <w:autoSpaceDE/>
              <w:autoSpaceDN/>
              <w:bidi w:val="0"/>
              <w:spacing w:line="360" w:lineRule="exact"/>
              <w:ind w:right="0" w:rightChars="0"/>
              <w:jc w:val="left"/>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881" w:type="pct"/>
            <w:tcBorders>
              <w:bottom w:val="single" w:color="auto" w:sz="4" w:space="0"/>
            </w:tcBorders>
            <w:vAlign w:val="center"/>
          </w:tcPr>
          <w:p w14:paraId="533F5F1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eastAsia="宋体" w:cs="宋体"/>
                <w:color w:val="auto"/>
                <w:sz w:val="24"/>
                <w:szCs w:val="24"/>
                <w:highlight w:val="none"/>
              </w:rPr>
              <w:t>评标系统对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(含联合体成员)进行交互查询，以评标时</w:t>
            </w:r>
            <w:r>
              <w:rPr>
                <w:rFonts w:hint="eastAsia" w:ascii="宋体" w:hAnsi="宋体" w:eastAsia="宋体" w:cs="宋体"/>
                <w:color w:val="auto"/>
                <w:sz w:val="24"/>
                <w:szCs w:val="24"/>
                <w:highlight w:val="none"/>
                <w:lang w:eastAsia="zh-CN"/>
              </w:rPr>
              <w:t>六安市</w:t>
            </w:r>
            <w:r>
              <w:rPr>
                <w:rFonts w:hint="eastAsia" w:ascii="宋体" w:hAnsi="宋体" w:eastAsia="宋体" w:cs="宋体"/>
                <w:color w:val="auto"/>
                <w:sz w:val="24"/>
                <w:szCs w:val="24"/>
                <w:highlight w:val="none"/>
              </w:rPr>
              <w:t>公共资源交易</w:t>
            </w:r>
            <w:r>
              <w:rPr>
                <w:rFonts w:hint="eastAsia" w:ascii="宋体" w:hAnsi="宋体" w:eastAsia="宋体" w:cs="宋体"/>
                <w:color w:val="auto"/>
                <w:sz w:val="24"/>
                <w:szCs w:val="24"/>
                <w:highlight w:val="none"/>
                <w:lang w:eastAsia="zh-CN"/>
              </w:rPr>
              <w:t>电子</w:t>
            </w:r>
            <w:r>
              <w:rPr>
                <w:rFonts w:hint="eastAsia" w:ascii="宋体" w:hAnsi="宋体" w:eastAsia="宋体" w:cs="宋体"/>
                <w:color w:val="auto"/>
                <w:sz w:val="24"/>
                <w:szCs w:val="24"/>
                <w:highlight w:val="none"/>
              </w:rPr>
              <w:t>评标系统与“信用中国(www.creditchina.gov.cn)”平台实时交互数据为准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相关查询结果系统自动存档</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遇系统故障，</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4D03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57090BB9">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4</w:t>
            </w:r>
          </w:p>
        </w:tc>
        <w:tc>
          <w:tcPr>
            <w:tcW w:w="968" w:type="pct"/>
            <w:tcBorders>
              <w:bottom w:val="single" w:color="auto" w:sz="4" w:space="0"/>
            </w:tcBorders>
            <w:vAlign w:val="center"/>
          </w:tcPr>
          <w:p w14:paraId="5857F58F">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1919" w:type="pct"/>
            <w:tcBorders>
              <w:bottom w:val="single" w:color="auto" w:sz="4" w:space="0"/>
            </w:tcBorders>
            <w:vAlign w:val="center"/>
          </w:tcPr>
          <w:p w14:paraId="1A45FD5A">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szCs w:val="28"/>
                <w:highlight w:val="none"/>
                <w:lang w:val="en-US" w:eastAsia="zh-CN"/>
              </w:rPr>
              <w:t>申请人的</w:t>
            </w:r>
            <w:r>
              <w:rPr>
                <w:rFonts w:hint="eastAsia" w:ascii="宋体" w:hAnsi="宋体" w:eastAsia="宋体" w:cs="宋体"/>
                <w:color w:val="auto"/>
                <w:sz w:val="24"/>
                <w:szCs w:val="28"/>
                <w:highlight w:val="none"/>
              </w:rPr>
              <w:t>资格</w:t>
            </w:r>
            <w:r>
              <w:rPr>
                <w:rFonts w:hint="eastAsia" w:ascii="宋体" w:hAnsi="宋体" w:eastAsia="宋体" w:cs="宋体"/>
                <w:color w:val="auto"/>
                <w:sz w:val="24"/>
                <w:szCs w:val="28"/>
                <w:highlight w:val="none"/>
                <w:lang w:val="en-US" w:eastAsia="zh-CN"/>
              </w:rPr>
              <w:t>要求</w:t>
            </w:r>
            <w:r>
              <w:rPr>
                <w:rFonts w:hint="eastAsia" w:ascii="宋体" w:hAnsi="宋体" w:eastAsia="宋体" w:cs="宋体"/>
                <w:color w:val="auto"/>
                <w:sz w:val="24"/>
                <w:szCs w:val="28"/>
                <w:highlight w:val="none"/>
              </w:rPr>
              <w:t>中落实政府采购政策需满足的资格要求</w:t>
            </w:r>
            <w:r>
              <w:rPr>
                <w:rFonts w:hint="eastAsia" w:ascii="宋体" w:hAnsi="宋体" w:eastAsia="宋体" w:cs="宋体"/>
                <w:color w:val="auto"/>
                <w:sz w:val="24"/>
                <w:szCs w:val="28"/>
                <w:highlight w:val="none"/>
                <w:lang w:eastAsia="zh-CN"/>
              </w:rPr>
              <w:t>：</w:t>
            </w:r>
          </w:p>
          <w:p w14:paraId="14845747">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50E47121">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881" w:type="pct"/>
            <w:tcBorders>
              <w:bottom w:val="single" w:color="auto" w:sz="4" w:space="0"/>
            </w:tcBorders>
            <w:vAlign w:val="center"/>
          </w:tcPr>
          <w:p w14:paraId="01BD61E9">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57F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6183EBE1">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68" w:type="pct"/>
            <w:tcBorders>
              <w:bottom w:val="single" w:color="auto" w:sz="4" w:space="0"/>
            </w:tcBorders>
            <w:vAlign w:val="center"/>
          </w:tcPr>
          <w:p w14:paraId="4020D59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1919" w:type="pct"/>
            <w:tcBorders>
              <w:bottom w:val="single" w:color="auto" w:sz="4" w:space="0"/>
            </w:tcBorders>
            <w:vAlign w:val="center"/>
          </w:tcPr>
          <w:p w14:paraId="23D20AC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881" w:type="pct"/>
            <w:tcBorders>
              <w:bottom w:val="single" w:color="auto" w:sz="4" w:space="0"/>
            </w:tcBorders>
            <w:vAlign w:val="center"/>
          </w:tcPr>
          <w:p w14:paraId="7F0F9E1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B0F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50D77A88">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968" w:type="pct"/>
            <w:tcBorders>
              <w:bottom w:val="single" w:color="auto" w:sz="4" w:space="0"/>
            </w:tcBorders>
            <w:vAlign w:val="center"/>
          </w:tcPr>
          <w:p w14:paraId="3246296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1919" w:type="pct"/>
            <w:tcBorders>
              <w:bottom w:val="single" w:color="auto" w:sz="4" w:space="0"/>
            </w:tcBorders>
            <w:vAlign w:val="center"/>
          </w:tcPr>
          <w:p w14:paraId="00C1407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投标邀请</w:t>
            </w:r>
            <w:r>
              <w:rPr>
                <w:rFonts w:hint="eastAsia" w:ascii="宋体" w:hAnsi="宋体" w:eastAsia="宋体" w:cs="宋体"/>
                <w:color w:val="auto"/>
                <w:spacing w:val="-2"/>
                <w:sz w:val="24"/>
                <w:szCs w:val="24"/>
                <w:highlight w:val="none"/>
              </w:rPr>
              <w:t>》</w:t>
            </w:r>
          </w:p>
        </w:tc>
        <w:tc>
          <w:tcPr>
            <w:tcW w:w="1881" w:type="pct"/>
            <w:tcBorders>
              <w:bottom w:val="single" w:color="auto" w:sz="4" w:space="0"/>
            </w:tcBorders>
            <w:vAlign w:val="center"/>
          </w:tcPr>
          <w:p w14:paraId="10134CB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val="0"/>
                <w:bCs w:val="0"/>
                <w:i/>
                <w:iCs/>
                <w:color w:val="auto"/>
                <w:kern w:val="2"/>
                <w:sz w:val="24"/>
                <w:szCs w:val="18"/>
                <w:highlight w:val="none"/>
                <w:lang w:val="en-US" w:eastAsia="zh-CN" w:bidi="ar-SA"/>
              </w:rPr>
              <w:t>（本条可根据项目需要编辑）</w:t>
            </w:r>
          </w:p>
        </w:tc>
      </w:tr>
      <w:tr w14:paraId="3528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tcBorders>
              <w:bottom w:val="single" w:color="auto" w:sz="4" w:space="0"/>
            </w:tcBorders>
            <w:vAlign w:val="center"/>
          </w:tcPr>
          <w:p w14:paraId="136033C4">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968" w:type="pct"/>
            <w:tcBorders>
              <w:bottom w:val="single" w:color="auto" w:sz="4" w:space="0"/>
            </w:tcBorders>
            <w:vAlign w:val="center"/>
          </w:tcPr>
          <w:p w14:paraId="69BA36E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eastAsia="zh-CN"/>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i/>
                <w:iCs/>
                <w:color w:val="auto"/>
                <w:spacing w:val="-2"/>
                <w:sz w:val="24"/>
                <w:szCs w:val="24"/>
                <w:highlight w:val="none"/>
                <w:lang w:val="en-US" w:eastAsia="zh-CN"/>
              </w:rPr>
              <w:t>适用于接受联合体投标项目</w:t>
            </w:r>
            <w:r>
              <w:rPr>
                <w:rFonts w:hint="eastAsia" w:ascii="宋体" w:hAnsi="宋体" w:eastAsia="宋体" w:cs="宋体"/>
                <w:color w:val="auto"/>
                <w:spacing w:val="-2"/>
                <w:sz w:val="24"/>
                <w:szCs w:val="24"/>
                <w:highlight w:val="none"/>
                <w:lang w:eastAsia="zh-CN"/>
              </w:rPr>
              <w:t>）</w:t>
            </w:r>
          </w:p>
        </w:tc>
        <w:tc>
          <w:tcPr>
            <w:tcW w:w="1919" w:type="pct"/>
            <w:tcBorders>
              <w:bottom w:val="single" w:color="auto" w:sz="4" w:space="0"/>
            </w:tcBorders>
            <w:vAlign w:val="center"/>
          </w:tcPr>
          <w:p w14:paraId="1E0731E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联合体投标的</w:t>
            </w:r>
            <w:r>
              <w:rPr>
                <w:rFonts w:hint="eastAsia" w:ascii="宋体" w:hAnsi="宋体" w:eastAsia="宋体" w:cs="宋体"/>
                <w:color w:val="auto"/>
                <w:spacing w:val="10"/>
                <w:kern w:val="2"/>
                <w:sz w:val="24"/>
                <w:szCs w:val="24"/>
                <w:highlight w:val="none"/>
                <w:lang w:val="en-US" w:eastAsia="zh-CN" w:bidi="ar-SA"/>
              </w:rPr>
              <w:t>详见</w:t>
            </w:r>
            <w:r>
              <w:rPr>
                <w:rFonts w:hint="eastAsia" w:ascii="宋体" w:hAnsi="宋体" w:eastAsia="宋体" w:cs="宋体"/>
                <w:color w:val="auto"/>
                <w:sz w:val="24"/>
                <w:szCs w:val="24"/>
                <w:highlight w:val="none"/>
                <w:lang w:val="zh-CN" w:eastAsia="zh-CN"/>
              </w:rPr>
              <w:t>投标人须知正文第</w:t>
            </w:r>
            <w:r>
              <w:rPr>
                <w:rFonts w:hint="eastAsia" w:ascii="宋体" w:hAnsi="宋体" w:eastAsia="宋体" w:cs="宋体"/>
                <w:color w:val="auto"/>
                <w:sz w:val="24"/>
                <w:szCs w:val="24"/>
                <w:highlight w:val="none"/>
                <w:lang w:val="en-US" w:eastAsia="zh-CN"/>
              </w:rPr>
              <w:t>1.5条，且</w:t>
            </w:r>
            <w:r>
              <w:rPr>
                <w:rFonts w:hint="eastAsia" w:ascii="宋体" w:hAnsi="宋体" w:eastAsia="宋体" w:cs="宋体"/>
                <w:color w:val="auto"/>
                <w:spacing w:val="10"/>
                <w:kern w:val="2"/>
                <w:sz w:val="24"/>
                <w:szCs w:val="24"/>
                <w:highlight w:val="none"/>
                <w:lang w:val="en-US" w:eastAsia="zh-CN" w:bidi="ar-SA"/>
              </w:rPr>
              <w:t>提供《联合协议》。</w:t>
            </w:r>
          </w:p>
        </w:tc>
        <w:tc>
          <w:tcPr>
            <w:tcW w:w="1881" w:type="pct"/>
            <w:tcBorders>
              <w:bottom w:val="single" w:color="auto" w:sz="4" w:space="0"/>
            </w:tcBorders>
            <w:vAlign w:val="center"/>
          </w:tcPr>
          <w:p w14:paraId="0C5E283E">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0"/>
                <w:kern w:val="2"/>
                <w:sz w:val="24"/>
                <w:szCs w:val="24"/>
                <w:highlight w:val="none"/>
                <w:lang w:val="en-US" w:eastAsia="zh-CN" w:bidi="ar-SA"/>
              </w:rPr>
              <w:t>《联合协议》</w:t>
            </w: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C76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DD04C0D">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8</w:t>
            </w:r>
          </w:p>
        </w:tc>
        <w:tc>
          <w:tcPr>
            <w:tcW w:w="968" w:type="pct"/>
            <w:vAlign w:val="center"/>
          </w:tcPr>
          <w:p w14:paraId="0C95EE7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1919" w:type="pct"/>
            <w:vAlign w:val="center"/>
          </w:tcPr>
          <w:p w14:paraId="69FE840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投标邀请</w:t>
            </w:r>
            <w:r>
              <w:rPr>
                <w:rFonts w:hint="eastAsia" w:ascii="宋体" w:hAnsi="宋体" w:eastAsia="宋体" w:cs="宋体"/>
                <w:color w:val="auto"/>
                <w:spacing w:val="10"/>
                <w:sz w:val="24"/>
                <w:szCs w:val="24"/>
                <w:highlight w:val="none"/>
              </w:rPr>
              <w:t>》</w:t>
            </w:r>
          </w:p>
        </w:tc>
        <w:tc>
          <w:tcPr>
            <w:tcW w:w="1881" w:type="pct"/>
            <w:vAlign w:val="center"/>
          </w:tcPr>
          <w:p w14:paraId="0324A06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r>
              <w:rPr>
                <w:rFonts w:hint="eastAsia" w:ascii="宋体" w:hAnsi="宋体" w:eastAsia="宋体" w:cs="宋体"/>
                <w:b w:val="0"/>
                <w:bCs w:val="0"/>
                <w:i/>
                <w:iCs/>
                <w:color w:val="auto"/>
                <w:kern w:val="2"/>
                <w:sz w:val="24"/>
                <w:szCs w:val="18"/>
                <w:highlight w:val="none"/>
                <w:lang w:val="en-US" w:eastAsia="zh-CN" w:bidi="ar-SA"/>
              </w:rPr>
              <w:t>（本条可根据项目需要编辑）</w:t>
            </w:r>
          </w:p>
        </w:tc>
      </w:tr>
    </w:tbl>
    <w:p w14:paraId="55DBADF6">
      <w:pPr>
        <w:spacing w:line="360" w:lineRule="auto"/>
        <w:ind w:firstLine="435"/>
        <w:rPr>
          <w:rFonts w:hint="eastAsia" w:ascii="宋体" w:hAnsi="宋体" w:eastAsia="宋体" w:cs="宋体"/>
          <w:color w:val="auto"/>
          <w:sz w:val="24"/>
          <w:highlight w:val="none"/>
        </w:rPr>
      </w:pPr>
      <w:bookmarkStart w:id="20" w:name="_Hlk16461707"/>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bookmarkEnd w:id="20"/>
    <w:p w14:paraId="288B8991">
      <w:pPr>
        <w:spacing w:line="360" w:lineRule="auto"/>
        <w:ind w:firstLine="437"/>
        <w:outlineLvl w:val="2"/>
        <w:rPr>
          <w:rFonts w:hint="eastAsia" w:ascii="宋体" w:hAnsi="宋体" w:eastAsia="宋体" w:cs="宋体"/>
          <w:color w:val="auto"/>
          <w:sz w:val="24"/>
          <w:highlight w:val="none"/>
        </w:rPr>
      </w:pPr>
    </w:p>
    <w:p w14:paraId="0B046A99">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2.2符合性审查</w:t>
      </w:r>
    </w:p>
    <w:p w14:paraId="05F21B7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2387"/>
        <w:gridCol w:w="3526"/>
        <w:gridCol w:w="2549"/>
      </w:tblGrid>
      <w:tr w14:paraId="10E9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5000" w:type="pct"/>
            <w:gridSpan w:val="4"/>
            <w:tcBorders>
              <w:bottom w:val="single" w:color="auto" w:sz="4" w:space="0"/>
            </w:tcBorders>
            <w:vAlign w:val="center"/>
          </w:tcPr>
          <w:p w14:paraId="2EB6C85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142A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45" w:type="pct"/>
            <w:tcBorders>
              <w:bottom w:val="single" w:color="auto" w:sz="4" w:space="0"/>
            </w:tcBorders>
            <w:vAlign w:val="center"/>
          </w:tcPr>
          <w:p w14:paraId="445A568D">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85" w:type="pct"/>
            <w:tcBorders>
              <w:bottom w:val="single" w:color="auto" w:sz="4" w:space="0"/>
            </w:tcBorders>
            <w:vAlign w:val="center"/>
          </w:tcPr>
          <w:p w14:paraId="6B189CE1">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1898" w:type="pct"/>
            <w:tcBorders>
              <w:bottom w:val="single" w:color="auto" w:sz="4" w:space="0"/>
            </w:tcBorders>
            <w:vAlign w:val="center"/>
          </w:tcPr>
          <w:p w14:paraId="1536D9D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370" w:type="pct"/>
            <w:tcBorders>
              <w:bottom w:val="single" w:color="auto" w:sz="4" w:space="0"/>
            </w:tcBorders>
            <w:vAlign w:val="center"/>
          </w:tcPr>
          <w:p w14:paraId="31EB9358">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5A7E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46D9488">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85" w:type="pct"/>
            <w:vAlign w:val="center"/>
          </w:tcPr>
          <w:p w14:paraId="03A941CF">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98" w:type="pct"/>
            <w:vAlign w:val="center"/>
          </w:tcPr>
          <w:p w14:paraId="48477FEA">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29CC4070">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C02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6DACAE5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85" w:type="pct"/>
            <w:vAlign w:val="center"/>
          </w:tcPr>
          <w:p w14:paraId="0EAB148B">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98" w:type="pct"/>
            <w:vAlign w:val="center"/>
          </w:tcPr>
          <w:p w14:paraId="035209E7">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5D18FED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C72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AD7CB2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85" w:type="pct"/>
            <w:vAlign w:val="center"/>
          </w:tcPr>
          <w:p w14:paraId="55F5899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98" w:type="pct"/>
            <w:vAlign w:val="center"/>
          </w:tcPr>
          <w:p w14:paraId="301AC45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0" w:type="pct"/>
            <w:vAlign w:val="center"/>
          </w:tcPr>
          <w:p w14:paraId="5E1827B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05C3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370CDBE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85" w:type="pct"/>
            <w:vAlign w:val="center"/>
          </w:tcPr>
          <w:p w14:paraId="189CFF49">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98" w:type="pct"/>
            <w:vAlign w:val="center"/>
          </w:tcPr>
          <w:p w14:paraId="6014767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370" w:type="pct"/>
            <w:vAlign w:val="center"/>
          </w:tcPr>
          <w:p w14:paraId="0B95F2D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ACA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0596371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2402" w:type="dxa"/>
            <w:vAlign w:val="center"/>
          </w:tcPr>
          <w:p w14:paraId="199F365D">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3547" w:type="dxa"/>
            <w:vAlign w:val="center"/>
          </w:tcPr>
          <w:p w14:paraId="0CEF617E">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2564" w:type="dxa"/>
            <w:vAlign w:val="center"/>
          </w:tcPr>
          <w:p w14:paraId="2071098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56B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4BA421C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2402" w:type="dxa"/>
            <w:vAlign w:val="center"/>
          </w:tcPr>
          <w:p w14:paraId="5AB36C44">
            <w:pPr>
              <w:keepNext w:val="0"/>
              <w:keepLines w:val="0"/>
              <w:pageBreakBefore w:val="0"/>
              <w:widowControl w:val="0"/>
              <w:kinsoku/>
              <w:wordWrap/>
              <w:overflowPunct/>
              <w:topLinePunct w:val="0"/>
              <w:autoSpaceDE/>
              <w:autoSpaceDN/>
              <w:bidi w:val="0"/>
              <w:spacing w:line="360" w:lineRule="exact"/>
              <w:ind w:right="0" w:rightChars="0"/>
              <w:jc w:val="center"/>
              <w:textAlignment w:val="auto"/>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3547" w:type="dxa"/>
            <w:vAlign w:val="center"/>
          </w:tcPr>
          <w:p w14:paraId="12772EFC">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实质性响应技术参数</w:t>
            </w:r>
            <w:r>
              <w:rPr>
                <w:rFonts w:hint="eastAsia" w:ascii="宋体" w:hAnsi="宋体" w:eastAsia="宋体" w:cs="宋体"/>
                <w:color w:val="auto"/>
                <w:sz w:val="24"/>
                <w:szCs w:val="28"/>
                <w:highlight w:val="none"/>
              </w:rPr>
              <w:t>要求</w:t>
            </w:r>
          </w:p>
        </w:tc>
        <w:tc>
          <w:tcPr>
            <w:tcW w:w="2564" w:type="dxa"/>
            <w:vAlign w:val="center"/>
          </w:tcPr>
          <w:p w14:paraId="65C89E0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790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AB72E4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1285" w:type="pct"/>
            <w:vAlign w:val="center"/>
          </w:tcPr>
          <w:p w14:paraId="495009A9">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1898" w:type="pct"/>
            <w:vAlign w:val="center"/>
          </w:tcPr>
          <w:p w14:paraId="0C95343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370" w:type="pct"/>
            <w:vAlign w:val="center"/>
          </w:tcPr>
          <w:p w14:paraId="051E563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p>
        </w:tc>
      </w:tr>
    </w:tbl>
    <w:p w14:paraId="7494294B">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2D833717">
      <w:pPr>
        <w:widowControl/>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br w:type="page"/>
      </w:r>
    </w:p>
    <w:p w14:paraId="162FCA45">
      <w:pPr>
        <w:spacing w:line="360" w:lineRule="auto"/>
        <w:jc w:val="center"/>
        <w:outlineLvl w:val="0"/>
        <w:rPr>
          <w:rFonts w:hint="eastAsia" w:ascii="宋体" w:hAnsi="宋体" w:eastAsia="宋体" w:cs="宋体"/>
          <w:b/>
          <w:color w:val="auto"/>
          <w:sz w:val="28"/>
          <w:highlight w:val="none"/>
        </w:rPr>
      </w:pPr>
      <w:bookmarkStart w:id="21" w:name="_Toc30824"/>
      <w:r>
        <w:rPr>
          <w:rFonts w:hint="eastAsia" w:ascii="宋体" w:hAnsi="宋体" w:eastAsia="宋体" w:cs="宋体"/>
          <w:b/>
          <w:color w:val="auto"/>
          <w:sz w:val="28"/>
          <w:highlight w:val="none"/>
        </w:rPr>
        <w:t>第四章  评标方法和标准（综合评分法）</w:t>
      </w:r>
      <w:bookmarkEnd w:id="21"/>
    </w:p>
    <w:p w14:paraId="255F1258">
      <w:pPr>
        <w:spacing w:line="360" w:lineRule="auto"/>
        <w:ind w:firstLine="437"/>
        <w:outlineLvl w:val="1"/>
        <w:rPr>
          <w:rFonts w:hint="eastAsia" w:ascii="宋体" w:hAnsi="宋体" w:eastAsia="宋体" w:cs="宋体"/>
          <w:b/>
          <w:color w:val="auto"/>
          <w:sz w:val="24"/>
          <w:highlight w:val="none"/>
        </w:rPr>
      </w:pPr>
      <w:bookmarkStart w:id="22" w:name="_Toc4705"/>
      <w:bookmarkStart w:id="23" w:name="_Toc11823"/>
      <w:r>
        <w:rPr>
          <w:rFonts w:hint="eastAsia" w:ascii="宋体" w:hAnsi="宋体" w:eastAsia="宋体" w:cs="宋体"/>
          <w:b/>
          <w:color w:val="auto"/>
          <w:sz w:val="24"/>
          <w:highlight w:val="none"/>
        </w:rPr>
        <w:t>一、总则</w:t>
      </w:r>
      <w:bookmarkEnd w:id="22"/>
      <w:bookmarkEnd w:id="23"/>
    </w:p>
    <w:p w14:paraId="56178D5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 投标人须知的相关要求及本章的规定评标。</w:t>
      </w:r>
    </w:p>
    <w:p w14:paraId="3782EE3E">
      <w:pPr>
        <w:spacing w:line="360" w:lineRule="auto"/>
        <w:ind w:firstLine="437"/>
        <w:outlineLvl w:val="1"/>
        <w:rPr>
          <w:rFonts w:hint="eastAsia" w:ascii="宋体" w:hAnsi="宋体" w:eastAsia="宋体" w:cs="宋体"/>
          <w:b/>
          <w:color w:val="auto"/>
          <w:sz w:val="24"/>
          <w:highlight w:val="none"/>
        </w:rPr>
      </w:pPr>
      <w:bookmarkStart w:id="24" w:name="_Toc31871"/>
      <w:bookmarkStart w:id="25" w:name="_Toc32410"/>
      <w:r>
        <w:rPr>
          <w:rFonts w:hint="eastAsia" w:ascii="宋体" w:hAnsi="宋体" w:eastAsia="宋体" w:cs="宋体"/>
          <w:b/>
          <w:color w:val="auto"/>
          <w:sz w:val="24"/>
          <w:highlight w:val="none"/>
        </w:rPr>
        <w:t>二、评标方法</w:t>
      </w:r>
      <w:bookmarkEnd w:id="24"/>
      <w:bookmarkEnd w:id="25"/>
    </w:p>
    <w:p w14:paraId="7A59EC90">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2.1资格审查</w:t>
      </w:r>
    </w:p>
    <w:tbl>
      <w:tblPr>
        <w:tblStyle w:val="7"/>
        <w:tblW w:w="53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817"/>
        <w:gridCol w:w="3688"/>
        <w:gridCol w:w="3821"/>
      </w:tblGrid>
      <w:tr w14:paraId="65FD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000" w:type="pct"/>
            <w:gridSpan w:val="4"/>
            <w:tcBorders>
              <w:bottom w:val="single" w:color="auto" w:sz="4" w:space="0"/>
            </w:tcBorders>
            <w:vAlign w:val="center"/>
          </w:tcPr>
          <w:p w14:paraId="6FB3DBB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428F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769527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13" w:type="pct"/>
            <w:tcBorders>
              <w:bottom w:val="single" w:color="auto" w:sz="4" w:space="0"/>
            </w:tcBorders>
            <w:vAlign w:val="center"/>
          </w:tcPr>
          <w:p w14:paraId="2DB1ED8B">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审查因素</w:t>
            </w:r>
          </w:p>
        </w:tc>
        <w:tc>
          <w:tcPr>
            <w:tcW w:w="1854" w:type="pct"/>
            <w:tcBorders>
              <w:bottom w:val="single" w:color="auto" w:sz="4" w:space="0"/>
            </w:tcBorders>
            <w:vAlign w:val="center"/>
          </w:tcPr>
          <w:p w14:paraId="55C7898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审查内容</w:t>
            </w:r>
          </w:p>
        </w:tc>
        <w:tc>
          <w:tcPr>
            <w:tcW w:w="1921" w:type="pct"/>
            <w:tcBorders>
              <w:bottom w:val="single" w:color="auto" w:sz="4" w:space="0"/>
            </w:tcBorders>
            <w:vAlign w:val="center"/>
          </w:tcPr>
          <w:p w14:paraId="7BD6BCB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6282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09" w:type="pct"/>
            <w:tcBorders>
              <w:bottom w:val="single" w:color="auto" w:sz="4" w:space="0"/>
            </w:tcBorders>
            <w:vAlign w:val="center"/>
          </w:tcPr>
          <w:p w14:paraId="3C7995A2">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913" w:type="pct"/>
            <w:tcBorders>
              <w:bottom w:val="single" w:color="auto" w:sz="4" w:space="0"/>
            </w:tcBorders>
            <w:vAlign w:val="center"/>
          </w:tcPr>
          <w:p w14:paraId="4DE1E045">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1854" w:type="pct"/>
            <w:tcBorders>
              <w:bottom w:val="single" w:color="auto" w:sz="4" w:space="0"/>
            </w:tcBorders>
            <w:vAlign w:val="center"/>
          </w:tcPr>
          <w:p w14:paraId="1C20B240">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54F9F7E8">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7105E1F4">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715BADE4">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149861CF">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p>
        </w:tc>
        <w:tc>
          <w:tcPr>
            <w:tcW w:w="1921" w:type="pct"/>
            <w:vAlign w:val="center"/>
          </w:tcPr>
          <w:p w14:paraId="3EE38C3D">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7201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09" w:type="pct"/>
            <w:tcBorders>
              <w:bottom w:val="single" w:color="auto" w:sz="4" w:space="0"/>
            </w:tcBorders>
            <w:vAlign w:val="center"/>
          </w:tcPr>
          <w:p w14:paraId="3FDC97F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913" w:type="pct"/>
            <w:tcBorders>
              <w:bottom w:val="single" w:color="auto" w:sz="4" w:space="0"/>
            </w:tcBorders>
            <w:vAlign w:val="center"/>
          </w:tcPr>
          <w:p w14:paraId="611A1DE2">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1854" w:type="pct"/>
            <w:tcBorders>
              <w:bottom w:val="single" w:color="auto" w:sz="4" w:space="0"/>
            </w:tcBorders>
            <w:vAlign w:val="center"/>
          </w:tcPr>
          <w:p w14:paraId="77E7039D">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供符合招标文件要求的《投标人资格声明书》《无重大违法记录声明函、无不良信用记录承诺函》</w:t>
            </w:r>
            <w:r>
              <w:rPr>
                <w:rFonts w:hint="eastAsia" w:ascii="宋体" w:hAnsi="宋体" w:eastAsia="宋体" w:cs="宋体"/>
                <w:color w:val="auto"/>
                <w:sz w:val="24"/>
                <w:szCs w:val="24"/>
                <w:highlight w:val="none"/>
                <w:lang w:eastAsia="zh-CN"/>
              </w:rPr>
              <w:t>。</w:t>
            </w:r>
          </w:p>
        </w:tc>
        <w:tc>
          <w:tcPr>
            <w:tcW w:w="1921" w:type="pct"/>
            <w:vAlign w:val="center"/>
          </w:tcPr>
          <w:p w14:paraId="0E194FE4">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14E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1C8C1D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913" w:type="pct"/>
            <w:tcBorders>
              <w:bottom w:val="single" w:color="auto" w:sz="4" w:space="0"/>
            </w:tcBorders>
            <w:vAlign w:val="center"/>
          </w:tcPr>
          <w:p w14:paraId="16C0A873">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1854" w:type="pct"/>
            <w:tcBorders>
              <w:bottom w:val="single" w:color="auto" w:sz="4" w:space="0"/>
            </w:tcBorders>
            <w:vAlign w:val="center"/>
          </w:tcPr>
          <w:p w14:paraId="2343AEEE">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921" w:type="pct"/>
            <w:tcBorders>
              <w:bottom w:val="single" w:color="auto" w:sz="4" w:space="0"/>
            </w:tcBorders>
            <w:vAlign w:val="center"/>
          </w:tcPr>
          <w:p w14:paraId="33D4CE18">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eastAsia="宋体" w:cs="宋体"/>
                <w:color w:val="auto"/>
                <w:sz w:val="24"/>
                <w:szCs w:val="24"/>
                <w:highlight w:val="none"/>
              </w:rPr>
              <w:t>评标系统对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(含联合体成员)进行交互查询，以评标时</w:t>
            </w:r>
            <w:r>
              <w:rPr>
                <w:rFonts w:hint="eastAsia" w:ascii="宋体" w:hAnsi="宋体" w:eastAsia="宋体" w:cs="宋体"/>
                <w:color w:val="auto"/>
                <w:sz w:val="24"/>
                <w:szCs w:val="24"/>
                <w:highlight w:val="none"/>
                <w:lang w:eastAsia="zh-CN"/>
              </w:rPr>
              <w:t>六安市</w:t>
            </w:r>
            <w:r>
              <w:rPr>
                <w:rFonts w:hint="eastAsia" w:ascii="宋体" w:hAnsi="宋体" w:eastAsia="宋体" w:cs="宋体"/>
                <w:color w:val="auto"/>
                <w:sz w:val="24"/>
                <w:szCs w:val="24"/>
                <w:highlight w:val="none"/>
              </w:rPr>
              <w:t>公共资源交易</w:t>
            </w:r>
            <w:r>
              <w:rPr>
                <w:rFonts w:hint="eastAsia" w:ascii="宋体" w:hAnsi="宋体" w:eastAsia="宋体" w:cs="宋体"/>
                <w:color w:val="auto"/>
                <w:sz w:val="24"/>
                <w:szCs w:val="24"/>
                <w:highlight w:val="none"/>
                <w:lang w:eastAsia="zh-CN"/>
              </w:rPr>
              <w:t>电子</w:t>
            </w:r>
            <w:r>
              <w:rPr>
                <w:rFonts w:hint="eastAsia" w:ascii="宋体" w:hAnsi="宋体" w:eastAsia="宋体" w:cs="宋体"/>
                <w:color w:val="auto"/>
                <w:sz w:val="24"/>
                <w:szCs w:val="24"/>
                <w:highlight w:val="none"/>
              </w:rPr>
              <w:t>评标系统与“信用中国(www.creditchina.gov.cn)”平台实时交互数据为准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相关查询结果系统自动存档</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遇系统故障，</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5615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3329ED41">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4</w:t>
            </w:r>
          </w:p>
        </w:tc>
        <w:tc>
          <w:tcPr>
            <w:tcW w:w="913" w:type="pct"/>
            <w:tcBorders>
              <w:bottom w:val="single" w:color="auto" w:sz="4" w:space="0"/>
            </w:tcBorders>
            <w:vAlign w:val="center"/>
          </w:tcPr>
          <w:p w14:paraId="388E814A">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1854" w:type="pct"/>
            <w:tcBorders>
              <w:bottom w:val="single" w:color="auto" w:sz="4" w:space="0"/>
            </w:tcBorders>
            <w:vAlign w:val="top"/>
          </w:tcPr>
          <w:p w14:paraId="06EB1F9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szCs w:val="28"/>
                <w:highlight w:val="none"/>
                <w:lang w:val="en-US" w:eastAsia="zh-CN"/>
              </w:rPr>
              <w:t>申请人的</w:t>
            </w:r>
            <w:r>
              <w:rPr>
                <w:rFonts w:hint="eastAsia" w:ascii="宋体" w:hAnsi="宋体" w:eastAsia="宋体" w:cs="宋体"/>
                <w:color w:val="auto"/>
                <w:sz w:val="24"/>
                <w:szCs w:val="28"/>
                <w:highlight w:val="none"/>
              </w:rPr>
              <w:t>资格</w:t>
            </w:r>
            <w:r>
              <w:rPr>
                <w:rFonts w:hint="eastAsia" w:ascii="宋体" w:hAnsi="宋体" w:eastAsia="宋体" w:cs="宋体"/>
                <w:color w:val="auto"/>
                <w:sz w:val="24"/>
                <w:szCs w:val="28"/>
                <w:highlight w:val="none"/>
                <w:lang w:val="en-US" w:eastAsia="zh-CN"/>
              </w:rPr>
              <w:t>要求</w:t>
            </w:r>
            <w:r>
              <w:rPr>
                <w:rFonts w:hint="eastAsia" w:ascii="宋体" w:hAnsi="宋体" w:eastAsia="宋体" w:cs="宋体"/>
                <w:color w:val="auto"/>
                <w:sz w:val="24"/>
                <w:szCs w:val="28"/>
                <w:highlight w:val="none"/>
              </w:rPr>
              <w:t>中落实政府采购政策需满足的资格要求</w:t>
            </w:r>
            <w:r>
              <w:rPr>
                <w:rFonts w:hint="eastAsia" w:ascii="宋体" w:hAnsi="宋体" w:eastAsia="宋体" w:cs="宋体"/>
                <w:color w:val="auto"/>
                <w:sz w:val="24"/>
                <w:szCs w:val="28"/>
                <w:highlight w:val="none"/>
                <w:lang w:eastAsia="zh-CN"/>
              </w:rPr>
              <w:t>：</w:t>
            </w:r>
          </w:p>
          <w:p w14:paraId="396EE09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087EF06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921" w:type="pct"/>
            <w:tcBorders>
              <w:bottom w:val="single" w:color="auto" w:sz="4" w:space="0"/>
            </w:tcBorders>
            <w:vAlign w:val="center"/>
          </w:tcPr>
          <w:p w14:paraId="67F8A17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5A6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29C933D1">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13" w:type="pct"/>
            <w:tcBorders>
              <w:bottom w:val="single" w:color="auto" w:sz="4" w:space="0"/>
            </w:tcBorders>
            <w:vAlign w:val="top"/>
          </w:tcPr>
          <w:p w14:paraId="721DB1D6">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1854" w:type="pct"/>
            <w:tcBorders>
              <w:bottom w:val="single" w:color="auto" w:sz="4" w:space="0"/>
            </w:tcBorders>
            <w:vAlign w:val="center"/>
          </w:tcPr>
          <w:p w14:paraId="0D46550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921" w:type="pct"/>
            <w:tcBorders>
              <w:bottom w:val="single" w:color="auto" w:sz="4" w:space="0"/>
            </w:tcBorders>
            <w:vAlign w:val="center"/>
          </w:tcPr>
          <w:p w14:paraId="05D8F41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28A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309" w:type="pct"/>
            <w:tcBorders>
              <w:bottom w:val="single" w:color="auto" w:sz="4" w:space="0"/>
            </w:tcBorders>
            <w:vAlign w:val="center"/>
          </w:tcPr>
          <w:p w14:paraId="3DF83AB1">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913" w:type="pct"/>
            <w:tcBorders>
              <w:bottom w:val="single" w:color="auto" w:sz="4" w:space="0"/>
            </w:tcBorders>
            <w:vAlign w:val="center"/>
          </w:tcPr>
          <w:p w14:paraId="5BD7B40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1854" w:type="pct"/>
            <w:tcBorders>
              <w:bottom w:val="single" w:color="auto" w:sz="4" w:space="0"/>
            </w:tcBorders>
            <w:vAlign w:val="center"/>
          </w:tcPr>
          <w:p w14:paraId="486FF16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投标邀请</w:t>
            </w:r>
            <w:r>
              <w:rPr>
                <w:rFonts w:hint="eastAsia" w:ascii="宋体" w:hAnsi="宋体" w:eastAsia="宋体" w:cs="宋体"/>
                <w:color w:val="auto"/>
                <w:spacing w:val="-2"/>
                <w:sz w:val="24"/>
                <w:szCs w:val="24"/>
                <w:highlight w:val="none"/>
              </w:rPr>
              <w:t>》</w:t>
            </w:r>
          </w:p>
        </w:tc>
        <w:tc>
          <w:tcPr>
            <w:tcW w:w="1921" w:type="pct"/>
            <w:tcBorders>
              <w:bottom w:val="single" w:color="auto" w:sz="4" w:space="0"/>
            </w:tcBorders>
            <w:vAlign w:val="center"/>
          </w:tcPr>
          <w:p w14:paraId="6A72FE0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CEE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309" w:type="pct"/>
            <w:tcBorders>
              <w:bottom w:val="single" w:color="auto" w:sz="4" w:space="0"/>
            </w:tcBorders>
            <w:vAlign w:val="center"/>
          </w:tcPr>
          <w:p w14:paraId="545A0A75">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913" w:type="pct"/>
            <w:tcBorders>
              <w:bottom w:val="single" w:color="auto" w:sz="4" w:space="0"/>
            </w:tcBorders>
            <w:vAlign w:val="center"/>
          </w:tcPr>
          <w:p w14:paraId="7D9CF27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eastAsia="zh-CN"/>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i/>
                <w:iCs/>
                <w:color w:val="auto"/>
                <w:spacing w:val="-2"/>
                <w:sz w:val="24"/>
                <w:szCs w:val="24"/>
                <w:highlight w:val="none"/>
                <w:lang w:val="en-US" w:eastAsia="zh-CN"/>
              </w:rPr>
              <w:t>适用于接受联合体投标项目</w:t>
            </w:r>
            <w:r>
              <w:rPr>
                <w:rFonts w:hint="eastAsia" w:ascii="宋体" w:hAnsi="宋体" w:eastAsia="宋体" w:cs="宋体"/>
                <w:color w:val="auto"/>
                <w:spacing w:val="-2"/>
                <w:sz w:val="24"/>
                <w:szCs w:val="24"/>
                <w:highlight w:val="none"/>
                <w:lang w:eastAsia="zh-CN"/>
              </w:rPr>
              <w:t>）</w:t>
            </w:r>
          </w:p>
        </w:tc>
        <w:tc>
          <w:tcPr>
            <w:tcW w:w="1854" w:type="pct"/>
            <w:tcBorders>
              <w:bottom w:val="single" w:color="auto" w:sz="4" w:space="0"/>
            </w:tcBorders>
            <w:vAlign w:val="center"/>
          </w:tcPr>
          <w:p w14:paraId="2B589A7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联合体投标的</w:t>
            </w:r>
            <w:r>
              <w:rPr>
                <w:rFonts w:hint="eastAsia" w:ascii="宋体" w:hAnsi="宋体" w:eastAsia="宋体" w:cs="宋体"/>
                <w:color w:val="auto"/>
                <w:spacing w:val="10"/>
                <w:kern w:val="2"/>
                <w:sz w:val="24"/>
                <w:szCs w:val="24"/>
                <w:highlight w:val="none"/>
                <w:lang w:val="en-US" w:eastAsia="zh-CN" w:bidi="ar-SA"/>
              </w:rPr>
              <w:t>详见</w:t>
            </w:r>
            <w:r>
              <w:rPr>
                <w:rFonts w:hint="eastAsia" w:ascii="宋体" w:hAnsi="宋体" w:eastAsia="宋体" w:cs="宋体"/>
                <w:color w:val="auto"/>
                <w:sz w:val="24"/>
                <w:szCs w:val="24"/>
                <w:highlight w:val="none"/>
                <w:lang w:val="zh-CN" w:eastAsia="zh-CN"/>
              </w:rPr>
              <w:t>投标人须知正文第</w:t>
            </w:r>
            <w:r>
              <w:rPr>
                <w:rFonts w:hint="eastAsia" w:ascii="宋体" w:hAnsi="宋体" w:eastAsia="宋体" w:cs="宋体"/>
                <w:color w:val="auto"/>
                <w:sz w:val="24"/>
                <w:szCs w:val="24"/>
                <w:highlight w:val="none"/>
                <w:lang w:val="en-US" w:eastAsia="zh-CN"/>
              </w:rPr>
              <w:t>1.5，且</w:t>
            </w:r>
            <w:r>
              <w:rPr>
                <w:rFonts w:hint="eastAsia" w:ascii="宋体" w:hAnsi="宋体" w:eastAsia="宋体" w:cs="宋体"/>
                <w:color w:val="auto"/>
                <w:spacing w:val="10"/>
                <w:kern w:val="2"/>
                <w:sz w:val="24"/>
                <w:szCs w:val="24"/>
                <w:highlight w:val="none"/>
                <w:lang w:val="en-US" w:eastAsia="zh-CN" w:bidi="ar-SA"/>
              </w:rPr>
              <w:t>提供《联合协议》。</w:t>
            </w:r>
          </w:p>
        </w:tc>
        <w:tc>
          <w:tcPr>
            <w:tcW w:w="1921" w:type="pct"/>
            <w:tcBorders>
              <w:bottom w:val="single" w:color="auto" w:sz="4" w:space="0"/>
            </w:tcBorders>
            <w:vAlign w:val="center"/>
          </w:tcPr>
          <w:p w14:paraId="2A392BD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0"/>
                <w:kern w:val="2"/>
                <w:sz w:val="24"/>
                <w:szCs w:val="24"/>
                <w:highlight w:val="none"/>
                <w:lang w:val="en-US" w:eastAsia="zh-CN" w:bidi="ar-SA"/>
              </w:rPr>
              <w:t>《联合协议》</w:t>
            </w: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A1F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vAlign w:val="center"/>
          </w:tcPr>
          <w:p w14:paraId="30B46DBD">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8</w:t>
            </w:r>
          </w:p>
        </w:tc>
        <w:tc>
          <w:tcPr>
            <w:tcW w:w="913" w:type="pct"/>
            <w:vAlign w:val="center"/>
          </w:tcPr>
          <w:p w14:paraId="2EF8F065">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1854" w:type="pct"/>
            <w:vAlign w:val="center"/>
          </w:tcPr>
          <w:p w14:paraId="2426C9D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投标邀请</w:t>
            </w:r>
            <w:r>
              <w:rPr>
                <w:rFonts w:hint="eastAsia" w:ascii="宋体" w:hAnsi="宋体" w:eastAsia="宋体" w:cs="宋体"/>
                <w:color w:val="auto"/>
                <w:spacing w:val="10"/>
                <w:sz w:val="24"/>
                <w:szCs w:val="24"/>
                <w:highlight w:val="none"/>
              </w:rPr>
              <w:t>》</w:t>
            </w:r>
          </w:p>
        </w:tc>
        <w:tc>
          <w:tcPr>
            <w:tcW w:w="1921" w:type="pct"/>
            <w:vAlign w:val="center"/>
          </w:tcPr>
          <w:p w14:paraId="40C15AB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1FEB68D9">
      <w:pPr>
        <w:spacing w:line="360" w:lineRule="auto"/>
        <w:ind w:firstLine="435"/>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p w14:paraId="7ABD2453">
      <w:pPr>
        <w:spacing w:line="360" w:lineRule="auto"/>
        <w:ind w:firstLine="437"/>
        <w:outlineLvl w:val="2"/>
        <w:rPr>
          <w:rFonts w:hint="eastAsia" w:ascii="宋体" w:hAnsi="宋体" w:eastAsia="宋体" w:cs="宋体"/>
          <w:b/>
          <w:bCs/>
          <w:color w:val="auto"/>
          <w:sz w:val="24"/>
          <w:highlight w:val="none"/>
        </w:rPr>
      </w:pPr>
    </w:p>
    <w:p w14:paraId="357669F7">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2.2符合性审查</w:t>
      </w:r>
    </w:p>
    <w:p w14:paraId="21C3294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079"/>
        <w:gridCol w:w="3455"/>
        <w:gridCol w:w="2937"/>
      </w:tblGrid>
      <w:tr w14:paraId="752E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769F99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0FD2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40" w:type="pct"/>
            <w:tcBorders>
              <w:bottom w:val="single" w:color="auto" w:sz="4" w:space="0"/>
            </w:tcBorders>
            <w:vAlign w:val="center"/>
          </w:tcPr>
          <w:p w14:paraId="51B8F90F">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1119" w:type="pct"/>
            <w:tcBorders>
              <w:bottom w:val="single" w:color="auto" w:sz="4" w:space="0"/>
            </w:tcBorders>
            <w:vAlign w:val="center"/>
          </w:tcPr>
          <w:p w14:paraId="3E6767DA">
            <w:pPr>
              <w:pStyle w:val="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b/>
                <w:bCs/>
                <w:color w:val="auto"/>
                <w:kern w:val="2"/>
                <w:sz w:val="24"/>
                <w:szCs w:val="20"/>
                <w:highlight w:val="none"/>
                <w:lang w:val="en-US" w:eastAsia="zh-CN" w:bidi="ar-SA"/>
              </w:rPr>
            </w:pPr>
            <w:r>
              <w:rPr>
                <w:rFonts w:hint="eastAsia" w:ascii="宋体" w:hAnsi="宋体" w:eastAsia="宋体" w:cs="宋体"/>
                <w:b/>
                <w:bCs/>
                <w:color w:val="auto"/>
                <w:kern w:val="2"/>
                <w:sz w:val="24"/>
                <w:szCs w:val="20"/>
                <w:highlight w:val="none"/>
                <w:lang w:val="en-US" w:eastAsia="zh-CN" w:bidi="ar-SA"/>
              </w:rPr>
              <w:t>审查指标</w:t>
            </w:r>
          </w:p>
        </w:tc>
        <w:tc>
          <w:tcPr>
            <w:tcW w:w="1860" w:type="pct"/>
            <w:tcBorders>
              <w:bottom w:val="single" w:color="auto" w:sz="4" w:space="0"/>
            </w:tcBorders>
            <w:vAlign w:val="center"/>
          </w:tcPr>
          <w:p w14:paraId="610CC05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kern w:val="2"/>
                <w:sz w:val="24"/>
                <w:szCs w:val="20"/>
                <w:highlight w:val="none"/>
                <w:lang w:val="en-US" w:eastAsia="zh-CN" w:bidi="ar-SA"/>
              </w:rPr>
            </w:pPr>
            <w:r>
              <w:rPr>
                <w:rFonts w:hint="eastAsia" w:ascii="宋体" w:hAnsi="宋体" w:eastAsia="宋体" w:cs="宋体"/>
                <w:b/>
                <w:bCs/>
                <w:color w:val="auto"/>
                <w:kern w:val="2"/>
                <w:sz w:val="24"/>
                <w:szCs w:val="20"/>
                <w:highlight w:val="none"/>
                <w:lang w:val="en-US" w:eastAsia="zh-CN" w:bidi="ar-SA"/>
              </w:rPr>
              <w:t>审查标准</w:t>
            </w:r>
          </w:p>
        </w:tc>
        <w:tc>
          <w:tcPr>
            <w:tcW w:w="1578" w:type="pct"/>
            <w:tcBorders>
              <w:bottom w:val="single" w:color="auto" w:sz="4" w:space="0"/>
            </w:tcBorders>
            <w:vAlign w:val="center"/>
          </w:tcPr>
          <w:p w14:paraId="7A0B95E5">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格式要求</w:t>
            </w:r>
          </w:p>
        </w:tc>
      </w:tr>
      <w:tr w14:paraId="3DED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7D5F11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19" w:type="pct"/>
            <w:vAlign w:val="center"/>
          </w:tcPr>
          <w:p w14:paraId="0A3AF386">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60" w:type="pct"/>
            <w:vAlign w:val="center"/>
          </w:tcPr>
          <w:p w14:paraId="5112B69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2EA65B33">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BE8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602822F">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19" w:type="pct"/>
            <w:vAlign w:val="center"/>
          </w:tcPr>
          <w:p w14:paraId="7E0DF33A">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60" w:type="pct"/>
            <w:vAlign w:val="center"/>
          </w:tcPr>
          <w:p w14:paraId="5BB50EF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656BBD58">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718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2B25DA3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19" w:type="pct"/>
            <w:vAlign w:val="center"/>
          </w:tcPr>
          <w:p w14:paraId="0488627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60" w:type="pct"/>
            <w:vAlign w:val="center"/>
          </w:tcPr>
          <w:p w14:paraId="4A62D32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578" w:type="pct"/>
            <w:vAlign w:val="center"/>
          </w:tcPr>
          <w:p w14:paraId="15E9C003">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5502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779086C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119" w:type="pct"/>
            <w:vAlign w:val="center"/>
          </w:tcPr>
          <w:p w14:paraId="666A558C">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60" w:type="pct"/>
            <w:vAlign w:val="center"/>
          </w:tcPr>
          <w:p w14:paraId="207F630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578" w:type="pct"/>
            <w:vAlign w:val="center"/>
          </w:tcPr>
          <w:p w14:paraId="26C72588">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B1F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1E501E3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1119" w:type="pct"/>
            <w:vAlign w:val="center"/>
          </w:tcPr>
          <w:p w14:paraId="70451104">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1860" w:type="pct"/>
            <w:vAlign w:val="center"/>
          </w:tcPr>
          <w:p w14:paraId="46DEBAFA">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1578" w:type="pct"/>
            <w:vAlign w:val="center"/>
          </w:tcPr>
          <w:p w14:paraId="280DA726">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5BB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65E7A19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1119" w:type="pct"/>
            <w:vAlign w:val="center"/>
          </w:tcPr>
          <w:p w14:paraId="42882C2A">
            <w:pPr>
              <w:keepNext w:val="0"/>
              <w:keepLines w:val="0"/>
              <w:pageBreakBefore w:val="0"/>
              <w:widowControl w:val="0"/>
              <w:kinsoku/>
              <w:wordWrap/>
              <w:overflowPunct/>
              <w:topLinePunct w:val="0"/>
              <w:autoSpaceDE/>
              <w:autoSpaceDN/>
              <w:bidi w:val="0"/>
              <w:spacing w:line="360" w:lineRule="exact"/>
              <w:ind w:right="0"/>
              <w:jc w:val="center"/>
              <w:textAlignment w:val="auto"/>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1860" w:type="pct"/>
            <w:vAlign w:val="center"/>
          </w:tcPr>
          <w:p w14:paraId="320AA761">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实质性响应技术参数</w:t>
            </w:r>
            <w:r>
              <w:rPr>
                <w:rFonts w:hint="eastAsia" w:ascii="宋体" w:hAnsi="宋体" w:eastAsia="宋体" w:cs="宋体"/>
                <w:color w:val="auto"/>
                <w:sz w:val="24"/>
                <w:szCs w:val="28"/>
                <w:highlight w:val="none"/>
              </w:rPr>
              <w:t>要求</w:t>
            </w:r>
          </w:p>
        </w:tc>
        <w:tc>
          <w:tcPr>
            <w:tcW w:w="1578" w:type="pct"/>
            <w:vAlign w:val="center"/>
          </w:tcPr>
          <w:p w14:paraId="1EEBAA11">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475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0" w:type="pct"/>
            <w:vAlign w:val="center"/>
          </w:tcPr>
          <w:p w14:paraId="480EEFB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1119" w:type="pct"/>
            <w:shd w:val="clear" w:color="auto" w:fill="auto"/>
            <w:vAlign w:val="center"/>
          </w:tcPr>
          <w:p w14:paraId="53BA953D">
            <w:pPr>
              <w:pStyle w:val="13"/>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宋体" w:hAnsi="宋体" w:eastAsia="宋体" w:cs="宋体"/>
                <w:color w:val="auto"/>
                <w:spacing w:val="-1"/>
                <w:sz w:val="24"/>
                <w:szCs w:val="24"/>
                <w:highlight w:val="none"/>
                <w:u w:val="none"/>
                <w:lang w:val="en-US" w:eastAsia="zh-CN"/>
              </w:rPr>
            </w:pPr>
            <w:r>
              <w:rPr>
                <w:rFonts w:hint="eastAsia" w:ascii="宋体" w:hAnsi="宋体" w:eastAsia="宋体" w:cs="宋体"/>
                <w:color w:val="auto"/>
                <w:spacing w:val="-1"/>
                <w:sz w:val="24"/>
                <w:szCs w:val="24"/>
                <w:highlight w:val="none"/>
                <w:u w:val="none"/>
              </w:rPr>
              <w:t>其他要求</w:t>
            </w:r>
          </w:p>
        </w:tc>
        <w:tc>
          <w:tcPr>
            <w:tcW w:w="1860" w:type="pct"/>
            <w:shd w:val="clear" w:color="auto" w:fill="auto"/>
            <w:vAlign w:val="center"/>
          </w:tcPr>
          <w:p w14:paraId="405040CD">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578" w:type="pct"/>
            <w:vAlign w:val="center"/>
          </w:tcPr>
          <w:p w14:paraId="78FD5B11">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p>
        </w:tc>
      </w:tr>
    </w:tbl>
    <w:p w14:paraId="0F2FA4E6">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6AEBE2B7">
      <w:pPr>
        <w:spacing w:line="360" w:lineRule="auto"/>
        <w:ind w:firstLine="437"/>
        <w:outlineLvl w:val="2"/>
        <w:rPr>
          <w:rFonts w:hint="eastAsia" w:ascii="宋体" w:hAnsi="宋体" w:eastAsia="宋体" w:cs="宋体"/>
          <w:color w:val="auto"/>
          <w:sz w:val="24"/>
          <w:highlight w:val="none"/>
        </w:rPr>
      </w:pPr>
    </w:p>
    <w:p w14:paraId="3538A292">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2.3详细审查</w:t>
      </w:r>
    </w:p>
    <w:p w14:paraId="4AC82C7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2.3.1评标委员会按照下表对投标文件进行详细审查和评分。</w:t>
      </w:r>
    </w:p>
    <w:p w14:paraId="2B5A33A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2.3.2本项目综合评分满分为100分，其中：技术资信分值占总分值的权重为</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%。具体评分细则如下：</w:t>
      </w:r>
    </w:p>
    <w:tbl>
      <w:tblPr>
        <w:tblStyle w:val="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430"/>
        <w:gridCol w:w="1532"/>
        <w:gridCol w:w="5151"/>
        <w:gridCol w:w="1206"/>
      </w:tblGrid>
      <w:tr w14:paraId="5CBD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2" w:hRule="atLeast"/>
          <w:jc w:val="center"/>
        </w:trPr>
        <w:tc>
          <w:tcPr>
            <w:tcW w:w="767" w:type="pct"/>
            <w:tcBorders>
              <w:top w:val="single" w:color="auto" w:sz="4" w:space="0"/>
              <w:left w:val="single" w:color="auto" w:sz="4" w:space="0"/>
              <w:bottom w:val="single" w:color="auto" w:sz="4" w:space="0"/>
              <w:right w:val="single" w:color="auto" w:sz="4" w:space="0"/>
            </w:tcBorders>
            <w:vAlign w:val="center"/>
          </w:tcPr>
          <w:p w14:paraId="7AA7716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类别</w:t>
            </w:r>
          </w:p>
        </w:tc>
        <w:tc>
          <w:tcPr>
            <w:tcW w:w="822" w:type="pct"/>
            <w:tcBorders>
              <w:top w:val="single" w:color="auto" w:sz="4" w:space="0"/>
              <w:left w:val="single" w:color="auto" w:sz="4" w:space="0"/>
              <w:bottom w:val="single" w:color="auto" w:sz="4" w:space="0"/>
              <w:right w:val="single" w:color="auto" w:sz="4" w:space="0"/>
            </w:tcBorders>
            <w:vAlign w:val="center"/>
          </w:tcPr>
          <w:p w14:paraId="7EEDAC0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评分内容</w:t>
            </w:r>
          </w:p>
        </w:tc>
        <w:tc>
          <w:tcPr>
            <w:tcW w:w="2763" w:type="pct"/>
            <w:tcBorders>
              <w:top w:val="single" w:color="auto" w:sz="4" w:space="0"/>
              <w:left w:val="single" w:color="auto" w:sz="4" w:space="0"/>
              <w:bottom w:val="single" w:color="auto" w:sz="4" w:space="0"/>
              <w:right w:val="single" w:color="auto" w:sz="4" w:space="0"/>
            </w:tcBorders>
            <w:vAlign w:val="center"/>
          </w:tcPr>
          <w:p w14:paraId="491E7A5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评分标准</w:t>
            </w:r>
          </w:p>
        </w:tc>
        <w:tc>
          <w:tcPr>
            <w:tcW w:w="647" w:type="pct"/>
            <w:tcBorders>
              <w:top w:val="single" w:color="auto" w:sz="4" w:space="0"/>
              <w:left w:val="single" w:color="auto" w:sz="4" w:space="0"/>
              <w:bottom w:val="single" w:color="auto" w:sz="4" w:space="0"/>
              <w:right w:val="single" w:color="auto" w:sz="4" w:space="0"/>
            </w:tcBorders>
            <w:vAlign w:val="center"/>
          </w:tcPr>
          <w:p w14:paraId="57583E2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分值范围</w:t>
            </w:r>
          </w:p>
        </w:tc>
      </w:tr>
      <w:tr w14:paraId="2F3D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restart"/>
            <w:tcBorders>
              <w:top w:val="single" w:color="auto" w:sz="4" w:space="0"/>
              <w:left w:val="single" w:color="auto" w:sz="4" w:space="0"/>
              <w:right w:val="single" w:color="auto" w:sz="4" w:space="0"/>
            </w:tcBorders>
            <w:vAlign w:val="center"/>
          </w:tcPr>
          <w:p w14:paraId="7040138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技术资信分</w:t>
            </w:r>
          </w:p>
          <w:p w14:paraId="6E3EBA7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rPr>
              <w:t>分）</w:t>
            </w:r>
          </w:p>
        </w:tc>
        <w:tc>
          <w:tcPr>
            <w:tcW w:w="1533" w:type="dxa"/>
            <w:tcBorders>
              <w:top w:val="single" w:color="auto" w:sz="4" w:space="0"/>
              <w:left w:val="single" w:color="auto" w:sz="4" w:space="0"/>
              <w:bottom w:val="single" w:color="auto" w:sz="4" w:space="0"/>
              <w:right w:val="single" w:color="auto" w:sz="4" w:space="0"/>
            </w:tcBorders>
            <w:vAlign w:val="center"/>
          </w:tcPr>
          <w:p w14:paraId="006A7C3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体系认证</w:t>
            </w:r>
          </w:p>
        </w:tc>
        <w:tc>
          <w:tcPr>
            <w:tcW w:w="5151" w:type="dxa"/>
            <w:tcBorders>
              <w:top w:val="single" w:color="auto" w:sz="4" w:space="0"/>
              <w:left w:val="single" w:color="auto" w:sz="4" w:space="0"/>
              <w:bottom w:val="single" w:color="auto" w:sz="4" w:space="0"/>
              <w:right w:val="single" w:color="auto" w:sz="4" w:space="0"/>
            </w:tcBorders>
            <w:vAlign w:val="top"/>
          </w:tcPr>
          <w:p w14:paraId="5EDCCE3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供应商具有经中国国家认证认可监督管理委员会认证机构颁发且在有效期内的：</w:t>
            </w:r>
          </w:p>
          <w:p w14:paraId="7D2D70F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（1）质量管理体系认证，得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55CDF2A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（2）环境管理体系认证，得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 分；</w:t>
            </w:r>
          </w:p>
          <w:p w14:paraId="249A9C53">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（3）职业健康安全管理体系认证，得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p>
          <w:p w14:paraId="41F2D639">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）信息安全管理体系认证证书</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r>
              <w:rPr>
                <w:rFonts w:hint="eastAsia" w:ascii="宋体" w:hAnsi="宋体" w:eastAsia="宋体" w:cs="宋体"/>
                <w:color w:val="auto"/>
                <w:sz w:val="24"/>
                <w:highlight w:val="none"/>
                <w:lang w:eastAsia="zh-CN"/>
              </w:rPr>
              <w:t>；</w:t>
            </w:r>
          </w:p>
          <w:p w14:paraId="0C5ABC8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）本项目涉及大量的化验测试，供应商具有检验检测机构资质认定证书的可得2分。</w:t>
            </w:r>
          </w:p>
          <w:p w14:paraId="3F464B8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文件中提供证书扫描件及全国认证认可信息公共服务平台证书信息查询截图，否则不得分。</w:t>
            </w:r>
          </w:p>
        </w:tc>
        <w:tc>
          <w:tcPr>
            <w:tcW w:w="1206" w:type="dxa"/>
            <w:tcBorders>
              <w:top w:val="single" w:color="auto" w:sz="4" w:space="0"/>
              <w:left w:val="single" w:color="auto" w:sz="4" w:space="0"/>
              <w:bottom w:val="single" w:color="auto" w:sz="4" w:space="0"/>
              <w:right w:val="single" w:color="auto" w:sz="4" w:space="0"/>
            </w:tcBorders>
            <w:vAlign w:val="center"/>
          </w:tcPr>
          <w:p w14:paraId="6B87A46B">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18</w:t>
            </w:r>
          </w:p>
        </w:tc>
      </w:tr>
      <w:tr w14:paraId="3701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661B102A">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1E79313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项目认知</w:t>
            </w:r>
          </w:p>
        </w:tc>
        <w:tc>
          <w:tcPr>
            <w:tcW w:w="5151" w:type="dxa"/>
            <w:tcBorders>
              <w:top w:val="single" w:color="auto" w:sz="4" w:space="0"/>
              <w:left w:val="single" w:color="auto" w:sz="4" w:space="0"/>
              <w:bottom w:val="single" w:color="auto" w:sz="4" w:space="0"/>
              <w:right w:val="single" w:color="auto" w:sz="4" w:space="0"/>
            </w:tcBorders>
            <w:vAlign w:val="center"/>
          </w:tcPr>
          <w:p w14:paraId="4EE8BD4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评标委员会</w:t>
            </w:r>
            <w:r>
              <w:rPr>
                <w:rFonts w:hint="eastAsia" w:ascii="宋体" w:hAnsi="宋体" w:eastAsia="宋体" w:cs="宋体"/>
                <w:color w:val="auto"/>
                <w:sz w:val="24"/>
                <w:highlight w:val="none"/>
              </w:rPr>
              <w:t>根据供应商提供的方案中针对项目背景、现状分析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调查区地层、构造、岩浆岩、矿体特征及矿体分布特征、矿石质量及夹石分布情况的体现情况进行</w:t>
            </w:r>
            <w:r>
              <w:rPr>
                <w:rFonts w:hint="eastAsia" w:ascii="宋体" w:hAnsi="宋体" w:eastAsia="宋体" w:cs="宋体"/>
                <w:color w:val="auto"/>
                <w:sz w:val="24"/>
                <w:highlight w:val="none"/>
                <w:lang w:val="en-US" w:eastAsia="zh-CN"/>
              </w:rPr>
              <w:t>评分</w:t>
            </w:r>
            <w:r>
              <w:rPr>
                <w:rFonts w:hint="eastAsia" w:ascii="宋体" w:hAnsi="宋体" w:eastAsia="宋体" w:cs="宋体"/>
                <w:color w:val="auto"/>
                <w:sz w:val="24"/>
                <w:highlight w:val="none"/>
                <w:lang w:eastAsia="zh-CN"/>
              </w:rPr>
              <w:t>。</w:t>
            </w:r>
          </w:p>
          <w:p w14:paraId="3900FCA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①对项目背景、现状分析透彻的，充分了解调查区地层、构造、岩浆岩、矿体特征及矿体分布特征、矿石质量及夹石分布情况的，能准确把握本项目需求的，得5分；</w:t>
            </w:r>
          </w:p>
          <w:p w14:paraId="1F62A29F">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②对项目背景、现状分析基本准确，对调查区地层、构造、岩浆岩、矿体特征及矿体分布特征、矿石质量及夹石分布情况分析有一定了解，基本能理解本项目需求的，得3分；</w:t>
            </w:r>
          </w:p>
          <w:p w14:paraId="2435694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③对项目背景、现状分析不准确，对调查区地层、构造、岩浆岩、矿体特征及矿体分布特征、矿石质量及夹石分布情况分析了解度不够，对本项目需求理解有待提高的，得1分；</w:t>
            </w:r>
          </w:p>
          <w:p w14:paraId="191B5283">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④未提供不得分。</w:t>
            </w:r>
          </w:p>
        </w:tc>
        <w:tc>
          <w:tcPr>
            <w:tcW w:w="1206" w:type="dxa"/>
            <w:tcBorders>
              <w:top w:val="single" w:color="auto" w:sz="4" w:space="0"/>
              <w:left w:val="single" w:color="auto" w:sz="4" w:space="0"/>
              <w:bottom w:val="single" w:color="auto" w:sz="4" w:space="0"/>
              <w:right w:val="single" w:color="auto" w:sz="4" w:space="0"/>
            </w:tcBorders>
            <w:vAlign w:val="center"/>
          </w:tcPr>
          <w:p w14:paraId="3F6AF4E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0-5</w:t>
            </w:r>
          </w:p>
        </w:tc>
      </w:tr>
      <w:tr w14:paraId="021C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013FDC1D">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146D967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技术路线</w:t>
            </w:r>
          </w:p>
        </w:tc>
        <w:tc>
          <w:tcPr>
            <w:tcW w:w="5151" w:type="dxa"/>
            <w:tcBorders>
              <w:top w:val="single" w:color="auto" w:sz="4" w:space="0"/>
              <w:left w:val="single" w:color="auto" w:sz="4" w:space="0"/>
              <w:bottom w:val="single" w:color="auto" w:sz="4" w:space="0"/>
              <w:right w:val="single" w:color="auto" w:sz="4" w:space="0"/>
            </w:tcBorders>
            <w:vAlign w:val="center"/>
          </w:tcPr>
          <w:p w14:paraId="245533C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目的任务明确，评委根据技术路线、工作开展思路、调查方法、评价方法、适宜本地实际情况、预期成果、实用性等方面进行评分。</w:t>
            </w:r>
          </w:p>
          <w:p w14:paraId="19F00BD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①技术路线准确，工作开展思路清晰，调查方法操作性高的，非常适宜本地实际情况；预期成果明确，实用性强的得5分；</w:t>
            </w:r>
          </w:p>
          <w:p w14:paraId="7C012AC8">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②技术路线有待完善，工作开展思路基本清晰，调查方法具有一定的操作性的，基本适宜本地实际情况；预期成果基本明确，实用性强的得3分；</w:t>
            </w:r>
          </w:p>
          <w:p w14:paraId="330AE303">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③技术路线不够准确，工作开展思路不够清晰，调查方法操作性低的，不适宜本地实际情况；预期成果不够明确，实用性低的得1分；</w:t>
            </w:r>
          </w:p>
          <w:p w14:paraId="3587F42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④无此项不得分。</w:t>
            </w:r>
          </w:p>
        </w:tc>
        <w:tc>
          <w:tcPr>
            <w:tcW w:w="1206" w:type="dxa"/>
            <w:tcBorders>
              <w:top w:val="single" w:color="auto" w:sz="4" w:space="0"/>
              <w:left w:val="single" w:color="auto" w:sz="4" w:space="0"/>
              <w:bottom w:val="single" w:color="auto" w:sz="4" w:space="0"/>
              <w:right w:val="single" w:color="auto" w:sz="4" w:space="0"/>
            </w:tcBorders>
            <w:vAlign w:val="center"/>
          </w:tcPr>
          <w:p w14:paraId="0FBDE70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3406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5A7C41C5">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25053D9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安全保证体系及确保检测安全的措施</w:t>
            </w:r>
          </w:p>
        </w:tc>
        <w:tc>
          <w:tcPr>
            <w:tcW w:w="5151" w:type="dxa"/>
            <w:tcBorders>
              <w:top w:val="single" w:color="auto" w:sz="4" w:space="0"/>
              <w:left w:val="single" w:color="auto" w:sz="4" w:space="0"/>
              <w:bottom w:val="single" w:color="auto" w:sz="4" w:space="0"/>
              <w:right w:val="single" w:color="auto" w:sz="4" w:space="0"/>
            </w:tcBorders>
            <w:vAlign w:val="center"/>
          </w:tcPr>
          <w:p w14:paraId="09B90CB7">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根据安全保证体系及措施方案是否完备，针对勘查工作中面临的各类安全问题是否分析到位，面临各类突发安全问题时是否有准备充分的预案，由评委评定。</w:t>
            </w:r>
          </w:p>
          <w:p w14:paraId="4508B87A">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①安全保证体系及措施方案完备，各类问题分析透彻，各类安全预案准备充分得5分；</w:t>
            </w:r>
          </w:p>
          <w:p w14:paraId="5F5DB74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②安全保证体系及措施方案基本完备，各类问题分析基本透彻，各类安全预案准备较为充分得3分；</w:t>
            </w:r>
          </w:p>
          <w:p w14:paraId="060E8A88">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③安全保证体系及措施方案不尽完备，各类问题分析不够具体，各类安全预案准备不够充分得1分；</w:t>
            </w:r>
          </w:p>
          <w:p w14:paraId="1741E4F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⑤无此项不得分。</w:t>
            </w:r>
          </w:p>
        </w:tc>
        <w:tc>
          <w:tcPr>
            <w:tcW w:w="1206" w:type="dxa"/>
            <w:tcBorders>
              <w:top w:val="single" w:color="auto" w:sz="4" w:space="0"/>
              <w:left w:val="single" w:color="auto" w:sz="4" w:space="0"/>
              <w:bottom w:val="single" w:color="auto" w:sz="4" w:space="0"/>
              <w:right w:val="single" w:color="auto" w:sz="4" w:space="0"/>
            </w:tcBorders>
            <w:vAlign w:val="center"/>
          </w:tcPr>
          <w:p w14:paraId="6B0D32C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4888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637C4AB7">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71D1B52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质量保证体系的措施</w:t>
            </w:r>
          </w:p>
        </w:tc>
        <w:tc>
          <w:tcPr>
            <w:tcW w:w="5151" w:type="dxa"/>
            <w:tcBorders>
              <w:top w:val="single" w:color="auto" w:sz="4" w:space="0"/>
              <w:left w:val="single" w:color="auto" w:sz="4" w:space="0"/>
              <w:bottom w:val="single" w:color="auto" w:sz="4" w:space="0"/>
              <w:right w:val="single" w:color="auto" w:sz="4" w:space="0"/>
            </w:tcBorders>
            <w:vAlign w:val="center"/>
          </w:tcPr>
          <w:p w14:paraId="17830C0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根据项目勘查方法、技术要求等核查方案相关内容，制定细致严谨的质量保证体系及措施，评委根据质量保证体系、措施以及整体质量保证方案进行评分。</w:t>
            </w:r>
          </w:p>
          <w:p w14:paraId="0276307F">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①质量保证体系完备，措施齐全、针对性强，整体方案有利于项目质量保证的得5分；</w:t>
            </w:r>
          </w:p>
          <w:p w14:paraId="3D55B574">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②质量保证体系基本完善，措施基本齐全，有一定针对性，整体方案基本可以保证项目质量的得3分；</w:t>
            </w:r>
          </w:p>
          <w:p w14:paraId="670AF5D6">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③质量保证体系有待完善，措施不齐全，针对性有待提高，整体方案难以保证项目质量的得1分；</w:t>
            </w:r>
          </w:p>
          <w:p w14:paraId="2C52CE3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④无此项不得分。</w:t>
            </w:r>
          </w:p>
        </w:tc>
        <w:tc>
          <w:tcPr>
            <w:tcW w:w="1206" w:type="dxa"/>
            <w:tcBorders>
              <w:top w:val="single" w:color="auto" w:sz="4" w:space="0"/>
              <w:left w:val="single" w:color="auto" w:sz="4" w:space="0"/>
              <w:bottom w:val="single" w:color="auto" w:sz="4" w:space="0"/>
              <w:right w:val="single" w:color="auto" w:sz="4" w:space="0"/>
            </w:tcBorders>
            <w:vAlign w:val="center"/>
          </w:tcPr>
          <w:p w14:paraId="441AB876">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0-5</w:t>
            </w:r>
          </w:p>
        </w:tc>
      </w:tr>
      <w:tr w14:paraId="6E43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43E9757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3E0A006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售后服务方案</w:t>
            </w:r>
          </w:p>
        </w:tc>
        <w:tc>
          <w:tcPr>
            <w:tcW w:w="5151" w:type="dxa"/>
            <w:tcBorders>
              <w:top w:val="single" w:color="auto" w:sz="4" w:space="0"/>
              <w:left w:val="single" w:color="auto" w:sz="4" w:space="0"/>
              <w:bottom w:val="single" w:color="auto" w:sz="4" w:space="0"/>
              <w:right w:val="single" w:color="auto" w:sz="4" w:space="0"/>
            </w:tcBorders>
            <w:vAlign w:val="center"/>
          </w:tcPr>
          <w:p w14:paraId="58AEA651">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根据招标文件要求及供应商针对本项目提供售后服务方案，售后服务制度、售后服务承诺等：</w:t>
            </w:r>
          </w:p>
          <w:p w14:paraId="3021A23E">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（1）方案包含上述内容，完整详细，可行性、实用性、针对性强，得</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分；</w:t>
            </w:r>
          </w:p>
          <w:p w14:paraId="6FF5750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（2）方案基本包含上述内容，具有可行性、实用性和针对性，得</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分；</w:t>
            </w:r>
          </w:p>
          <w:p w14:paraId="6189E423">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（3）方案内容有缺失，可行性、实用性和针对性有待改善，得1分；</w:t>
            </w:r>
          </w:p>
          <w:p w14:paraId="5DD2E74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（4）方案不可行或未提供得0分。</w:t>
            </w:r>
          </w:p>
        </w:tc>
        <w:tc>
          <w:tcPr>
            <w:tcW w:w="1206" w:type="dxa"/>
            <w:tcBorders>
              <w:top w:val="single" w:color="auto" w:sz="4" w:space="0"/>
              <w:left w:val="single" w:color="auto" w:sz="4" w:space="0"/>
              <w:bottom w:val="single" w:color="auto" w:sz="4" w:space="0"/>
              <w:right w:val="single" w:color="auto" w:sz="4" w:space="0"/>
            </w:tcBorders>
            <w:vAlign w:val="center"/>
          </w:tcPr>
          <w:p w14:paraId="4FE3419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4</w:t>
            </w:r>
          </w:p>
        </w:tc>
      </w:tr>
      <w:tr w14:paraId="5BCB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065F9AE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756FCF75">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企业业绩</w:t>
            </w:r>
          </w:p>
        </w:tc>
        <w:tc>
          <w:tcPr>
            <w:tcW w:w="5151" w:type="dxa"/>
            <w:tcBorders>
              <w:top w:val="single" w:color="auto" w:sz="4" w:space="0"/>
              <w:left w:val="single" w:color="auto" w:sz="4" w:space="0"/>
              <w:bottom w:val="single" w:color="auto" w:sz="4" w:space="0"/>
              <w:right w:val="single" w:color="auto" w:sz="4" w:space="0"/>
            </w:tcBorders>
            <w:vAlign w:val="center"/>
          </w:tcPr>
          <w:p w14:paraId="76B7741B">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供应商提供类似项目业绩，每有一项得5分，本项满分10分。</w:t>
            </w:r>
          </w:p>
          <w:p w14:paraId="79811B56">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需提供业绩合同扫描件。</w:t>
            </w:r>
          </w:p>
        </w:tc>
        <w:tc>
          <w:tcPr>
            <w:tcW w:w="1206" w:type="dxa"/>
            <w:tcBorders>
              <w:top w:val="single" w:color="auto" w:sz="4" w:space="0"/>
              <w:left w:val="single" w:color="auto" w:sz="4" w:space="0"/>
              <w:bottom w:val="single" w:color="auto" w:sz="4" w:space="0"/>
              <w:right w:val="single" w:color="auto" w:sz="4" w:space="0"/>
            </w:tcBorders>
            <w:vAlign w:val="center"/>
          </w:tcPr>
          <w:p w14:paraId="7698F11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10</w:t>
            </w:r>
          </w:p>
        </w:tc>
      </w:tr>
      <w:tr w14:paraId="581C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vMerge w:val="continue"/>
            <w:tcBorders>
              <w:left w:val="single" w:color="auto" w:sz="4" w:space="0"/>
              <w:right w:val="single" w:color="auto" w:sz="4" w:space="0"/>
            </w:tcBorders>
            <w:vAlign w:val="center"/>
          </w:tcPr>
          <w:p w14:paraId="3E6E520E">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p>
        </w:tc>
        <w:tc>
          <w:tcPr>
            <w:tcW w:w="1533" w:type="dxa"/>
            <w:tcBorders>
              <w:top w:val="single" w:color="auto" w:sz="4" w:space="0"/>
              <w:left w:val="single" w:color="auto" w:sz="4" w:space="0"/>
              <w:bottom w:val="single" w:color="auto" w:sz="4" w:space="0"/>
              <w:right w:val="single" w:color="auto" w:sz="4" w:space="0"/>
            </w:tcBorders>
            <w:vAlign w:val="center"/>
          </w:tcPr>
          <w:p w14:paraId="424CFCD2">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项目组成员</w:t>
            </w:r>
          </w:p>
        </w:tc>
        <w:tc>
          <w:tcPr>
            <w:tcW w:w="5151" w:type="dxa"/>
            <w:tcBorders>
              <w:top w:val="single" w:color="auto" w:sz="4" w:space="0"/>
              <w:left w:val="single" w:color="auto" w:sz="4" w:space="0"/>
              <w:bottom w:val="single" w:color="auto" w:sz="4" w:space="0"/>
              <w:right w:val="single" w:color="auto" w:sz="4" w:space="0"/>
            </w:tcBorders>
            <w:vAlign w:val="center"/>
          </w:tcPr>
          <w:p w14:paraId="3027819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项目负责人：</w:t>
            </w:r>
          </w:p>
          <w:p w14:paraId="0E17D9BF">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具备地质类或矿产类高级工程师及以上职称得2分；</w:t>
            </w:r>
          </w:p>
          <w:p w14:paraId="42E1DAAC">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具有由应急管理部门颁发的金属非</w:t>
            </w:r>
            <w:bookmarkStart w:id="26" w:name="_GoBack"/>
            <w:bookmarkEnd w:id="26"/>
            <w:r>
              <w:rPr>
                <w:rFonts w:hint="eastAsia" w:ascii="宋体" w:hAnsi="宋体" w:eastAsia="宋体" w:cs="宋体"/>
                <w:color w:val="auto"/>
                <w:sz w:val="24"/>
                <w:highlight w:val="none"/>
              </w:rPr>
              <w:t>金属矿山(露天矿山)的安全生产管理人员合格证得2分，本项最高得4分。</w:t>
            </w:r>
          </w:p>
          <w:p w14:paraId="6473E36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注：投标文件中须提供职称证书原件扫描件或其他证明材料，未提供或提供不全的不得分。</w:t>
            </w:r>
          </w:p>
          <w:p w14:paraId="020F1E27">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团队配置：项目组成员中（除项目负责人）具有地质调查与资源勘查类、水工环地质类、环境工程类、摄影测量与遥感类、探矿工程类、地球物理勘查及遥感类、地质测绘工程类、地质实验测试类、安全工程类专业高级及以上职称的，每有一类得2分；具有上述专业中级职称的，每有一类得1分；本项最高得18分。</w:t>
            </w:r>
          </w:p>
          <w:p w14:paraId="0DD6D422">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因涉及到野外钻探施工，拟派施工现场安全负责人须具有注册安全</w:t>
            </w:r>
            <w:r>
              <w:rPr>
                <w:rFonts w:hint="eastAsia" w:ascii="宋体" w:hAnsi="宋体" w:eastAsia="宋体" w:cs="宋体"/>
                <w:color w:val="auto"/>
                <w:sz w:val="24"/>
                <w:highlight w:val="none"/>
                <w:lang w:val="en-US" w:eastAsia="zh-CN"/>
              </w:rPr>
              <w:t>工程师证书</w:t>
            </w:r>
            <w:r>
              <w:rPr>
                <w:rFonts w:hint="eastAsia" w:ascii="宋体" w:hAnsi="宋体" w:eastAsia="宋体" w:cs="宋体"/>
                <w:color w:val="auto"/>
                <w:sz w:val="24"/>
                <w:highlight w:val="none"/>
              </w:rPr>
              <w:t>，每提供一个，得3分，本小项最高3分；因项目涉及矿产资源储量估算，项目组人员中具有矿业权评估师（固体矿产资源勘查与实物量估算）证书的，每提供一个，得3分，本小项最高3分；本项最高6分。</w:t>
            </w:r>
          </w:p>
          <w:p w14:paraId="4B809F05">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项目施工人员：</w:t>
            </w:r>
          </w:p>
          <w:p w14:paraId="02DF5E0F">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具有地勘钻探工证的，职业技能等级为二级的，每提供一个，得2分，本小项最高4分；</w:t>
            </w:r>
          </w:p>
          <w:p w14:paraId="06C25210">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具有应急管理部门颁发的高处作业证的，每提供一个，得1分，本小项最高3分；</w:t>
            </w:r>
          </w:p>
          <w:p w14:paraId="18F9C126">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具有应急管理部门颁发的焊接与热切割作业证的，每提供一个，得1分，本小项最高3分；本项最高10分。</w:t>
            </w:r>
          </w:p>
          <w:p w14:paraId="7C593FAD">
            <w:pPr>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注：（1）投标文件中须提供职称证书原件扫描件，未提供或提供不全的不得分，一人多证只计取一次，同一类证书不重复计分;以上人员需提供近3个月中任意一个月社保证明材料。</w:t>
            </w:r>
          </w:p>
        </w:tc>
        <w:tc>
          <w:tcPr>
            <w:tcW w:w="1206" w:type="dxa"/>
            <w:tcBorders>
              <w:top w:val="single" w:color="auto" w:sz="4" w:space="0"/>
              <w:left w:val="single" w:color="auto" w:sz="4" w:space="0"/>
              <w:bottom w:val="single" w:color="auto" w:sz="4" w:space="0"/>
              <w:right w:val="single" w:color="auto" w:sz="4" w:space="0"/>
            </w:tcBorders>
            <w:vAlign w:val="center"/>
          </w:tcPr>
          <w:p w14:paraId="079278CD">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0-</w:t>
            </w:r>
            <w:r>
              <w:rPr>
                <w:rFonts w:hint="eastAsia" w:ascii="宋体" w:hAnsi="宋体" w:eastAsia="宋体" w:cs="宋体"/>
                <w:color w:val="auto"/>
                <w:sz w:val="24"/>
                <w:highlight w:val="none"/>
                <w:lang w:val="en-US" w:eastAsia="zh-CN"/>
              </w:rPr>
              <w:t>38</w:t>
            </w:r>
          </w:p>
        </w:tc>
      </w:tr>
      <w:tr w14:paraId="5760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7" w:type="pct"/>
            <w:tcBorders>
              <w:left w:val="single" w:color="auto" w:sz="4" w:space="0"/>
              <w:right w:val="single" w:color="auto" w:sz="4" w:space="0"/>
            </w:tcBorders>
            <w:vAlign w:val="center"/>
          </w:tcPr>
          <w:p w14:paraId="4A1175DD">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w:t>
            </w:r>
          </w:p>
          <w:p w14:paraId="4C0DEB22">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w:t>
            </w:r>
          </w:p>
        </w:tc>
        <w:tc>
          <w:tcPr>
            <w:tcW w:w="4232" w:type="pct"/>
            <w:gridSpan w:val="3"/>
            <w:tcBorders>
              <w:top w:val="single" w:color="auto" w:sz="4" w:space="0"/>
              <w:left w:val="single" w:color="auto" w:sz="4" w:space="0"/>
              <w:bottom w:val="single" w:color="auto" w:sz="4" w:space="0"/>
              <w:right w:val="single" w:color="auto" w:sz="4" w:space="0"/>
            </w:tcBorders>
            <w:vAlign w:val="center"/>
          </w:tcPr>
          <w:p w14:paraId="0E22E72A">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分。其他投标人的价格分统一按照下列公式计算：</w:t>
            </w:r>
          </w:p>
          <w:p w14:paraId="65E97FA0">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投标报价得分＝（评标基准价/投标报价）×</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rPr>
              <w:t>％×100</w:t>
            </w:r>
          </w:p>
        </w:tc>
      </w:tr>
    </w:tbl>
    <w:p w14:paraId="15FE60C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2.3.3分值汇总</w:t>
      </w:r>
    </w:p>
    <w:p w14:paraId="39D1A80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352327C5">
      <w:r>
        <w:rPr>
          <w:rFonts w:hint="eastAsia" w:ascii="宋体" w:hAnsi="宋体" w:eastAsia="宋体" w:cs="宋体"/>
          <w:color w:val="auto"/>
          <w:sz w:val="24"/>
          <w:highlight w:val="none"/>
        </w:rPr>
        <w:t>（2）将投标人的技术资信分加上根据上述标准计算出的价格分，即为该投标人的综合总得分。</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16870"/>
    <w:rsid w:val="10916870"/>
    <w:rsid w:val="265B777C"/>
    <w:rsid w:val="490C6F94"/>
    <w:rsid w:val="5E3B4F6A"/>
    <w:rsid w:val="61161CC2"/>
    <w:rsid w:val="70904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微软简标宋" w:hAnsi="@微软简标宋" w:eastAsia="@微软简标宋" w:cs="@微软简标宋"/>
      <w:szCs w:val="24"/>
      <w:lang w:val="zh-CN"/>
    </w:rPr>
  </w:style>
  <w:style w:type="paragraph" w:customStyle="1" w:styleId="3">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styleId="4">
    <w:name w:val="Plain Text"/>
    <w:basedOn w:val="1"/>
    <w:qFormat/>
    <w:uiPriority w:val="99"/>
    <w:rPr>
      <w:rFonts w:ascii="宋体" w:hAnsi="Courier New" w:eastAsiaTheme="minorEastAsia" w:cstheme="minorBidi"/>
      <w:szCs w:val="22"/>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cs="Times New Roman"/>
      <w:kern w:val="0"/>
      <w:sz w:val="24"/>
    </w:rPr>
  </w:style>
  <w:style w:type="paragraph" w:customStyle="1" w:styleId="9">
    <w:name w:val="D&amp;L"/>
    <w:basedOn w:val="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0">
    <w:name w:val="xl31"/>
    <w:basedOn w:val="1"/>
    <w:autoRedefine/>
    <w:qFormat/>
    <w:uiPriority w:val="0"/>
    <w:pPr>
      <w:widowControl/>
      <w:spacing w:before="100" w:beforeAutospacing="1" w:after="100" w:afterAutospacing="1"/>
      <w:jc w:val="center"/>
    </w:pPr>
    <w:rPr>
      <w:b/>
      <w:bCs/>
      <w:kern w:val="0"/>
      <w:sz w:val="28"/>
      <w:szCs w:val="28"/>
    </w:rPr>
  </w:style>
  <w:style w:type="paragraph" w:styleId="11">
    <w:name w:val="List Paragraph"/>
    <w:basedOn w:val="1"/>
    <w:unhideWhenUsed/>
    <w:qFormat/>
    <w:uiPriority w:val="99"/>
    <w:pPr>
      <w:ind w:firstLine="420" w:firstLineChars="200"/>
    </w:pPr>
  </w:style>
  <w:style w:type="paragraph" w:styleId="1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4685</Words>
  <Characters>5516</Characters>
  <Lines>0</Lines>
  <Paragraphs>0</Paragraphs>
  <TotalTime>0</TotalTime>
  <ScaleCrop>false</ScaleCrop>
  <LinksUpToDate>false</LinksUpToDate>
  <CharactersWithSpaces>5601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2026-09-09T06:20:00Z</dcterms:created>
  <dc:creator>NTKO</dc:creator>
  <cp:lastModifiedBy>徐凯梅</cp:lastModifiedBy>
  <dcterms:modified xsi:type="dcterms:W3CDTF">2026-09-17T02:40:14Z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940543DF477042BF9B93CD5C417245E6_11</vt:lpwstr>
  </property>
  <property fmtid="{D5CDD505-2E9C-101B-9397-08002B2CF9AE}" pid="4" name="KSOTemplateDocerSaveRecord">
    <vt:lpwstr>eyJoZGlkIjoiYTU1ODQ4M2JhOGFmMDIzNDI0Zjk0YjBhMDZkNDRlZjUiLCJ1c2VySWQiOiIyODgyNzQwNjMifQ==</vt:lpwstr>
  </property>
</Properties>
</file>