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51D12">
      <w:pPr>
        <w:pStyle w:val="2"/>
        <w:adjustRightInd w:val="0"/>
        <w:spacing w:before="0" w:after="0" w:line="600" w:lineRule="exact"/>
        <w:rPr>
          <w:rFonts w:hint="eastAsia" w:ascii="宋体" w:hAnsi="宋体" w:eastAsia="宋体" w:cs="宋体"/>
          <w:color w:val="auto"/>
          <w:sz w:val="24"/>
          <w:szCs w:val="24"/>
          <w:highlight w:val="none"/>
          <w:lang w:eastAsia="zh-CN"/>
        </w:rPr>
      </w:pPr>
      <w:bookmarkStart w:id="13" w:name="_GoBack"/>
      <w:r>
        <w:rPr>
          <w:rFonts w:hint="eastAsia" w:ascii="宋体" w:hAnsi="宋体" w:cs="宋体"/>
          <w:color w:val="auto"/>
          <w:sz w:val="24"/>
          <w:szCs w:val="24"/>
          <w:highlight w:val="none"/>
        </w:rPr>
        <w:t>项目名称：</w:t>
      </w:r>
      <w:r>
        <w:rPr>
          <w:rFonts w:hint="eastAsia" w:ascii="宋体" w:hAnsi="宋体" w:eastAsia="宋体" w:cs="宋体"/>
          <w:b w:val="0"/>
          <w:bCs w:val="0"/>
          <w:color w:val="auto"/>
          <w:kern w:val="2"/>
          <w:sz w:val="24"/>
          <w:szCs w:val="24"/>
          <w:highlight w:val="none"/>
          <w:lang w:val="en-US" w:eastAsia="zh-CN" w:bidi="ar-SA"/>
        </w:rPr>
        <w:t>霍邱县2026年高标准农田建设项目“项目管理服务”</w:t>
      </w:r>
    </w:p>
    <w:p w14:paraId="26DD90DB">
      <w:pPr>
        <w:spacing w:line="600" w:lineRule="exact"/>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rPr>
        <w:t>采购单位：</w:t>
      </w:r>
      <w:r>
        <w:rPr>
          <w:rFonts w:hint="eastAsia" w:ascii="宋体" w:hAnsi="宋体" w:eastAsia="宋体" w:cs="宋体"/>
          <w:b w:val="0"/>
          <w:bCs w:val="0"/>
          <w:color w:val="auto"/>
          <w:kern w:val="2"/>
          <w:sz w:val="24"/>
          <w:szCs w:val="24"/>
          <w:highlight w:val="none"/>
          <w:lang w:val="en-US" w:eastAsia="zh-CN" w:bidi="ar-SA"/>
        </w:rPr>
        <w:t>霍邱县重点工程建设管理处</w:t>
      </w:r>
    </w:p>
    <w:p w14:paraId="19459C2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项目预算：</w:t>
      </w:r>
      <w:r>
        <w:rPr>
          <w:rFonts w:hint="eastAsia" w:ascii="宋体" w:hAnsi="宋体" w:cs="宋体"/>
          <w:b w:val="0"/>
          <w:bCs w:val="0"/>
          <w:color w:val="auto"/>
          <w:sz w:val="24"/>
          <w:szCs w:val="24"/>
          <w:highlight w:val="none"/>
          <w:lang w:val="en-US" w:eastAsia="zh-CN"/>
        </w:rPr>
        <w:t>44</w:t>
      </w:r>
      <w:r>
        <w:rPr>
          <w:rFonts w:hint="eastAsia" w:ascii="宋体" w:hAnsi="宋体" w:eastAsia="宋体" w:cs="宋体"/>
          <w:b w:val="0"/>
          <w:bCs w:val="0"/>
          <w:color w:val="auto"/>
          <w:sz w:val="24"/>
          <w:szCs w:val="24"/>
          <w:highlight w:val="none"/>
          <w:lang w:val="en-US" w:eastAsia="zh-CN"/>
        </w:rPr>
        <w:t>0</w:t>
      </w:r>
      <w:r>
        <w:rPr>
          <w:rFonts w:hint="eastAsia" w:ascii="宋体" w:hAnsi="宋体" w:cs="宋体"/>
          <w:b w:val="0"/>
          <w:bCs w:val="0"/>
          <w:color w:val="auto"/>
          <w:sz w:val="24"/>
          <w:szCs w:val="24"/>
          <w:highlight w:val="none"/>
          <w:lang w:val="en-US" w:eastAsia="zh-CN"/>
        </w:rPr>
        <w:t>万元</w:t>
      </w:r>
    </w:p>
    <w:p w14:paraId="1FDA99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color w:val="auto"/>
          <w:sz w:val="24"/>
          <w:szCs w:val="24"/>
          <w:highlight w:val="none"/>
        </w:rPr>
      </w:pPr>
      <w:r>
        <w:rPr>
          <w:rFonts w:hint="eastAsia" w:ascii="宋体" w:hAnsi="宋体" w:cs="宋体"/>
          <w:b/>
          <w:bCs/>
          <w:color w:val="auto"/>
          <w:sz w:val="24"/>
          <w:szCs w:val="24"/>
          <w:highlight w:val="none"/>
        </w:rPr>
        <w:t>公示时间：</w:t>
      </w:r>
      <w:r>
        <w:rPr>
          <w:rFonts w:hint="eastAsia" w:ascii="宋体" w:hAnsi="宋体" w:cs="宋体"/>
          <w:color w:val="auto"/>
          <w:sz w:val="24"/>
          <w:szCs w:val="24"/>
          <w:highlight w:val="none"/>
        </w:rPr>
        <w:t>2026年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日</w:t>
      </w:r>
    </w:p>
    <w:p w14:paraId="48C18ED4">
      <w:pPr>
        <w:numPr>
          <w:ilvl w:val="0"/>
          <w:numId w:val="0"/>
        </w:numPr>
        <w:spacing w:line="360" w:lineRule="auto"/>
        <w:jc w:val="center"/>
        <w:outlineLvl w:val="0"/>
        <w:rPr>
          <w:rFonts w:hint="eastAsia" w:ascii="宋体" w:hAnsi="宋体" w:eastAsia="宋体" w:cs="宋体"/>
          <w:b/>
          <w:color w:val="auto"/>
          <w:sz w:val="28"/>
          <w:highlight w:val="none"/>
          <w:lang w:eastAsia="zh-CN"/>
        </w:rPr>
      </w:pPr>
      <w:r>
        <w:rPr>
          <w:rFonts w:hint="eastAsia" w:ascii="宋体" w:hAnsi="宋体" w:eastAsia="宋体" w:cs="宋体"/>
          <w:b/>
          <w:color w:val="auto"/>
          <w:kern w:val="2"/>
          <w:sz w:val="28"/>
          <w:highlight w:val="none"/>
          <w:lang w:val="en-US" w:eastAsia="zh-CN" w:bidi="ar-SA"/>
        </w:rPr>
        <w:t>第三章</w:t>
      </w:r>
      <w:r>
        <w:rPr>
          <w:rFonts w:hint="eastAsia" w:ascii="宋体" w:hAnsi="宋体" w:eastAsia="宋体" w:cs="宋体"/>
          <w:b/>
          <w:color w:val="auto"/>
          <w:sz w:val="28"/>
          <w:highlight w:val="none"/>
        </w:rPr>
        <w:t xml:space="preserve"> </w:t>
      </w:r>
      <w:bookmarkStart w:id="0" w:name="_Toc22605"/>
      <w:r>
        <w:rPr>
          <w:rFonts w:hint="eastAsia" w:ascii="宋体" w:hAnsi="宋体" w:eastAsia="宋体" w:cs="宋体"/>
          <w:b/>
          <w:color w:val="auto"/>
          <w:sz w:val="28"/>
          <w:highlight w:val="none"/>
        </w:rPr>
        <w:t>采购需求</w:t>
      </w:r>
      <w:bookmarkEnd w:id="0"/>
    </w:p>
    <w:p w14:paraId="08A53D41">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前注：</w:t>
      </w:r>
    </w:p>
    <w:p w14:paraId="578F2E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5551D2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42FB5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3FCC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DD946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7569B391">
      <w:pPr>
        <w:spacing w:line="360" w:lineRule="auto"/>
        <w:ind w:firstLine="437"/>
        <w:outlineLvl w:val="1"/>
        <w:rPr>
          <w:rFonts w:hint="eastAsia" w:ascii="宋体" w:hAnsi="宋体" w:eastAsia="宋体" w:cs="宋体"/>
          <w:b/>
          <w:color w:val="auto"/>
          <w:sz w:val="24"/>
          <w:szCs w:val="18"/>
          <w:highlight w:val="none"/>
        </w:rPr>
      </w:pPr>
      <w:bookmarkStart w:id="1" w:name="_Toc21798"/>
      <w:bookmarkStart w:id="2" w:name="_Toc4148"/>
      <w:bookmarkStart w:id="3" w:name="_Hlk23621890"/>
      <w:r>
        <w:rPr>
          <w:rFonts w:hint="eastAsia" w:ascii="宋体" w:hAnsi="宋体" w:eastAsia="宋体" w:cs="宋体"/>
          <w:b/>
          <w:color w:val="auto"/>
          <w:sz w:val="24"/>
          <w:szCs w:val="18"/>
          <w:highlight w:val="none"/>
        </w:rPr>
        <w:t>一、采购需求前附表</w:t>
      </w:r>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188"/>
        <w:gridCol w:w="6592"/>
      </w:tblGrid>
      <w:tr w14:paraId="3B8A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35" w:type="pct"/>
            <w:vAlign w:val="center"/>
          </w:tcPr>
          <w:p w14:paraId="07A92D32">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697" w:type="pct"/>
            <w:vAlign w:val="center"/>
          </w:tcPr>
          <w:p w14:paraId="594A582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866" w:type="pct"/>
            <w:vAlign w:val="center"/>
          </w:tcPr>
          <w:p w14:paraId="4AB58AA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012C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35" w:type="pct"/>
            <w:vAlign w:val="center"/>
          </w:tcPr>
          <w:p w14:paraId="2BD0D48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697" w:type="pct"/>
            <w:vAlign w:val="center"/>
          </w:tcPr>
          <w:p w14:paraId="7C492ED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3866" w:type="pct"/>
            <w:vAlign w:val="center"/>
          </w:tcPr>
          <w:p w14:paraId="21FB3D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⑴对</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为大型企业的项目或者以人工投入为主且实行按月定期结算支付款项的项目，采购人确定预付款为合同金额的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（0-70%）；</w:t>
            </w:r>
          </w:p>
          <w:p w14:paraId="7550EE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⑵中小企业合同，采购人确定预付款为合同金额的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40%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（40%-70%）；</w:t>
            </w:r>
          </w:p>
          <w:p w14:paraId="00EEC99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⑶分年度安排预算的项目，采购人确定每年预付款为当年合同金额的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（40%-70%）。</w:t>
            </w:r>
          </w:p>
          <w:p w14:paraId="625E47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eastAsia="zh-CN"/>
              </w:rPr>
              <w:t>注</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7008D3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rPr>
              <w:t>剩余款支付方式</w:t>
            </w:r>
            <w:r>
              <w:rPr>
                <w:rFonts w:hint="eastAsia" w:ascii="宋体" w:hAnsi="宋体" w:eastAsia="宋体" w:cs="宋体"/>
                <w:color w:val="auto"/>
                <w:sz w:val="24"/>
                <w:highlight w:val="none"/>
              </w:rPr>
              <w:t>（采购人自拟）：</w:t>
            </w:r>
            <w:r>
              <w:rPr>
                <w:rFonts w:hint="eastAsia" w:ascii="宋体" w:hAnsi="宋体" w:eastAsia="宋体" w:cs="宋体"/>
                <w:color w:val="auto"/>
                <w:sz w:val="24"/>
                <w:highlight w:val="none"/>
              </w:rPr>
              <w:t>分期付款，</w:t>
            </w:r>
            <w:r>
              <w:rPr>
                <w:rFonts w:hint="eastAsia" w:ascii="宋体" w:hAnsi="宋体" w:eastAsia="宋体" w:cs="宋体"/>
                <w:color w:val="auto"/>
                <w:sz w:val="24"/>
                <w:highlight w:val="none"/>
                <w:lang w:val="en-US" w:eastAsia="zh-CN"/>
              </w:rPr>
              <w:t>进度款根据施工已完成工程量的50%同比例支付至合同款的40%</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剩余款项待完成市级验收</w:t>
            </w:r>
            <w:r>
              <w:rPr>
                <w:rFonts w:hint="eastAsia" w:ascii="宋体" w:hAnsi="宋体" w:eastAsia="宋体" w:cs="宋体"/>
                <w:color w:val="auto"/>
                <w:sz w:val="24"/>
                <w:highlight w:val="none"/>
                <w:lang w:eastAsia="zh-CN"/>
              </w:rPr>
              <w:t>后采购人在收到发票后7个工作日内将剩余资金支付到合同约定的供应商账户</w:t>
            </w:r>
            <w:r>
              <w:rPr>
                <w:rFonts w:hint="eastAsia" w:ascii="宋体" w:hAnsi="宋体" w:eastAsia="宋体" w:cs="宋体"/>
                <w:color w:val="auto"/>
                <w:sz w:val="24"/>
                <w:highlight w:val="none"/>
              </w:rPr>
              <w:t>。</w:t>
            </w:r>
          </w:p>
          <w:p w14:paraId="25C2618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eastAsia="zh-CN"/>
              </w:rPr>
              <w:t>投标人</w:t>
            </w:r>
            <w:r>
              <w:rPr>
                <w:rFonts w:hint="eastAsia" w:ascii="宋体" w:hAnsi="宋体" w:eastAsia="宋体" w:cs="宋体"/>
                <w:b w:val="0"/>
                <w:bCs w:val="0"/>
                <w:color w:val="auto"/>
                <w:sz w:val="24"/>
                <w:highlight w:val="none"/>
              </w:rPr>
              <w:t>提交的</w:t>
            </w:r>
            <w:r>
              <w:rPr>
                <w:rFonts w:hint="eastAsia" w:ascii="宋体" w:hAnsi="宋体" w:eastAsia="宋体" w:cs="宋体"/>
                <w:b w:val="0"/>
                <w:bCs w:val="0"/>
                <w:color w:val="auto"/>
                <w:sz w:val="24"/>
                <w:highlight w:val="none"/>
                <w:lang w:eastAsia="zh-CN"/>
              </w:rPr>
              <w:t>投标</w:t>
            </w:r>
            <w:r>
              <w:rPr>
                <w:rFonts w:hint="eastAsia" w:ascii="宋体" w:hAnsi="宋体" w:eastAsia="宋体" w:cs="宋体"/>
                <w:b w:val="0"/>
                <w:bCs w:val="0"/>
                <w:color w:val="auto"/>
                <w:sz w:val="24"/>
                <w:highlight w:val="none"/>
              </w:rPr>
              <w:t>文件中如有关于付款条件的表述与</w:t>
            </w:r>
            <w:r>
              <w:rPr>
                <w:rFonts w:hint="eastAsia" w:ascii="宋体" w:hAnsi="宋体" w:eastAsia="宋体" w:cs="宋体"/>
                <w:b w:val="0"/>
                <w:bCs w:val="0"/>
                <w:color w:val="auto"/>
                <w:sz w:val="24"/>
                <w:highlight w:val="none"/>
                <w:lang w:eastAsia="zh-CN"/>
              </w:rPr>
              <w:t>招标文件</w:t>
            </w:r>
            <w:r>
              <w:rPr>
                <w:rFonts w:hint="eastAsia" w:ascii="宋体" w:hAnsi="宋体" w:eastAsia="宋体" w:cs="宋体"/>
                <w:b w:val="0"/>
                <w:bCs w:val="0"/>
                <w:color w:val="auto"/>
                <w:sz w:val="24"/>
                <w:highlight w:val="none"/>
              </w:rPr>
              <w:t>规定不符，将被视为实质性不响应，将导致</w:t>
            </w:r>
            <w:r>
              <w:rPr>
                <w:rFonts w:hint="eastAsia" w:ascii="宋体" w:hAnsi="宋体" w:eastAsia="宋体" w:cs="宋体"/>
                <w:b/>
                <w:bCs/>
                <w:color w:val="auto"/>
                <w:sz w:val="24"/>
                <w:highlight w:val="none"/>
              </w:rPr>
              <w:t>响应无效</w:t>
            </w:r>
            <w:r>
              <w:rPr>
                <w:rFonts w:hint="eastAsia" w:ascii="宋体" w:hAnsi="宋体" w:eastAsia="宋体" w:cs="宋体"/>
                <w:b w:val="0"/>
                <w:bCs w:val="0"/>
                <w:color w:val="auto"/>
                <w:sz w:val="24"/>
                <w:highlight w:val="none"/>
              </w:rPr>
              <w:t>）</w:t>
            </w:r>
          </w:p>
        </w:tc>
      </w:tr>
      <w:tr w14:paraId="4F36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35" w:type="pct"/>
            <w:vAlign w:val="center"/>
          </w:tcPr>
          <w:p w14:paraId="2A4A599C">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697" w:type="pct"/>
            <w:vAlign w:val="center"/>
          </w:tcPr>
          <w:p w14:paraId="4101015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服务地点</w:t>
            </w:r>
          </w:p>
        </w:tc>
        <w:tc>
          <w:tcPr>
            <w:tcW w:w="3866" w:type="pct"/>
            <w:vAlign w:val="center"/>
          </w:tcPr>
          <w:p w14:paraId="3EDA41E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霍邱县境内</w:t>
            </w:r>
          </w:p>
        </w:tc>
      </w:tr>
      <w:tr w14:paraId="6876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35" w:type="pct"/>
            <w:vAlign w:val="center"/>
          </w:tcPr>
          <w:p w14:paraId="6D2DC3E5">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 w:val="0"/>
                <w:bCs/>
                <w:color w:val="auto"/>
                <w:kern w:val="0"/>
                <w:sz w:val="24"/>
                <w:szCs w:val="28"/>
                <w:highlight w:val="none"/>
                <w:lang w:val="en-US" w:eastAsia="zh-CN" w:bidi="ar-SA"/>
              </w:rPr>
              <w:t>3</w:t>
            </w:r>
          </w:p>
        </w:tc>
        <w:tc>
          <w:tcPr>
            <w:tcW w:w="697" w:type="pct"/>
            <w:vAlign w:val="center"/>
          </w:tcPr>
          <w:p w14:paraId="57C75990">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bCs/>
                <w:color w:val="auto"/>
                <w:kern w:val="0"/>
                <w:sz w:val="24"/>
                <w:szCs w:val="28"/>
                <w:highlight w:val="none"/>
                <w:lang w:val="en-US" w:eastAsia="zh-CN" w:bidi="ar-SA"/>
              </w:rPr>
              <w:t>服务期限</w:t>
            </w:r>
          </w:p>
        </w:tc>
        <w:tc>
          <w:tcPr>
            <w:tcW w:w="3866" w:type="pct"/>
            <w:vAlign w:val="center"/>
          </w:tcPr>
          <w:p w14:paraId="44ADA92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color w:val="auto"/>
                <w:sz w:val="24"/>
                <w:highlight w:val="none"/>
              </w:rPr>
            </w:pPr>
            <w:r>
              <w:rPr>
                <w:rFonts w:hint="eastAsia" w:ascii="宋体" w:hAnsi="宋体" w:eastAsia="宋体" w:cs="宋体"/>
                <w:b w:val="0"/>
                <w:bCs/>
                <w:color w:val="auto"/>
                <w:kern w:val="0"/>
                <w:sz w:val="24"/>
                <w:szCs w:val="28"/>
                <w:highlight w:val="none"/>
                <w:lang w:val="en-US" w:eastAsia="zh-CN" w:bidi="ar-SA"/>
              </w:rPr>
              <w:t>工程施工计划工期为180日历天（以实际施工工期为准），实际服务期限为合同签订之日起至工程通过全部竣工验收止。</w:t>
            </w:r>
          </w:p>
        </w:tc>
      </w:tr>
      <w:tr w14:paraId="472E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35" w:type="pct"/>
            <w:vAlign w:val="center"/>
          </w:tcPr>
          <w:p w14:paraId="28266F6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4</w:t>
            </w:r>
          </w:p>
        </w:tc>
        <w:tc>
          <w:tcPr>
            <w:tcW w:w="697" w:type="pct"/>
            <w:vAlign w:val="center"/>
          </w:tcPr>
          <w:p w14:paraId="09114F2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本项目采购标的名称及所属行业</w:t>
            </w:r>
          </w:p>
        </w:tc>
        <w:tc>
          <w:tcPr>
            <w:tcW w:w="3866" w:type="pct"/>
            <w:vAlign w:val="center"/>
          </w:tcPr>
          <w:p w14:paraId="676CB8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sz w:val="24"/>
                <w:highlight w:val="none"/>
                <w:lang w:eastAsia="zh-CN"/>
              </w:rPr>
              <w:t>霍邱县2026年高标准农田建设项目“项目管理服务”</w:t>
            </w:r>
          </w:p>
          <w:p w14:paraId="73AC2D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所属行业：</w:t>
            </w:r>
            <w:r>
              <w:rPr>
                <w:rFonts w:hint="eastAsia" w:ascii="宋体" w:hAnsi="宋体" w:eastAsia="宋体" w:cs="宋体"/>
                <w:color w:val="auto"/>
                <w:sz w:val="24"/>
                <w:highlight w:val="none"/>
                <w:lang w:val="en-US" w:eastAsia="zh-CN"/>
              </w:rPr>
              <w:t>科学研究和技术服务业</w:t>
            </w:r>
          </w:p>
        </w:tc>
      </w:tr>
    </w:tbl>
    <w:p w14:paraId="1021CFC7">
      <w:pPr>
        <w:numPr>
          <w:ilvl w:val="0"/>
          <w:numId w:val="0"/>
        </w:numPr>
        <w:spacing w:line="360" w:lineRule="auto"/>
        <w:outlineLvl w:val="9"/>
        <w:rPr>
          <w:rFonts w:hint="eastAsia" w:ascii="宋体" w:hAnsi="宋体" w:eastAsia="宋体" w:cs="宋体"/>
          <w:b/>
          <w:color w:val="auto"/>
          <w:sz w:val="24"/>
          <w:szCs w:val="18"/>
          <w:highlight w:val="none"/>
          <w:lang w:val="en-US" w:eastAsia="zh-CN"/>
        </w:rPr>
      </w:pPr>
      <w:bookmarkStart w:id="4" w:name="_Toc16543"/>
      <w:bookmarkStart w:id="5" w:name="_Hlk16461016"/>
    </w:p>
    <w:p w14:paraId="358148FD">
      <w:pPr>
        <w:spacing w:line="360" w:lineRule="auto"/>
        <w:ind w:firstLine="437"/>
        <w:outlineLvl w:val="1"/>
        <w:rPr>
          <w:rFonts w:hint="default" w:ascii="宋体" w:hAnsi="宋体" w:eastAsia="宋体" w:cs="宋体"/>
          <w:b/>
          <w:color w:val="auto"/>
          <w:sz w:val="24"/>
          <w:szCs w:val="18"/>
          <w:highlight w:val="none"/>
          <w:lang w:val="en-US" w:eastAsia="zh-CN"/>
        </w:rPr>
      </w:pPr>
      <w:bookmarkStart w:id="6" w:name="_Toc8753"/>
      <w:r>
        <w:rPr>
          <w:rFonts w:hint="eastAsia" w:ascii="宋体" w:hAnsi="宋体" w:eastAsia="宋体" w:cs="宋体"/>
          <w:b/>
          <w:color w:val="auto"/>
          <w:sz w:val="24"/>
          <w:szCs w:val="18"/>
          <w:highlight w:val="none"/>
          <w:lang w:val="en-US" w:eastAsia="zh-CN"/>
        </w:rPr>
        <w:t>二、</w:t>
      </w:r>
      <w:r>
        <w:rPr>
          <w:rFonts w:hint="eastAsia" w:ascii="宋体" w:hAnsi="宋体" w:eastAsia="宋体" w:cs="宋体"/>
          <w:b/>
          <w:color w:val="auto"/>
          <w:sz w:val="24"/>
          <w:szCs w:val="18"/>
          <w:highlight w:val="none"/>
        </w:rPr>
        <w:t>项目概况</w:t>
      </w:r>
      <w:bookmarkEnd w:id="4"/>
      <w:bookmarkEnd w:id="6"/>
    </w:p>
    <w:p w14:paraId="2A862B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霍邱县2026年高标准农田建设项目“项目管理服务”，项目建设地点位于霍邱县15个乡镇（其中：1片区工程地点位于岔路镇、夏店镇和花园镇，涉及2026年高标准农田建设项目及2026年节余资金补充建设项目、夏店镇2023年高标准农田建设节余资金补充建设项目、岔路镇2023年高标准农田建设节余资金补充建设项目以及夏店镇增补高标准农田建设项目；2片区工程地点位于众兴集镇、乌龙镇、扈胡镇、河口镇和龙潭镇，涉及2026年高标准农田建设项目及2026年节余资金补充建设项目、河口镇2024年高标准农田建设节余资金补充建设项目；3片区工程地点位于白莲乡、马店镇、石店镇、邵岗乡、冯井镇、高塘镇、范桥镇和周集镇，涉及2026年高标准农田建设项目及2026年节余资金补充建设项目、高塘镇2023年高标准农田建设节余资金补充建设项目、邵岗乡2023年和2024年高标准农田建设节余资金补充建设项目、石店镇2023年高标准农田建设节余资金补充建设项目、马店镇2023年高标准农田建设节余资金补充建设项目；4片区工程地点位于霍邱县新店镇，涉及2026年高标准农田建设项目及2026年节余资金补充建设项目、2024年高标准农田建设节余资金补充建设项目），高标准农田总建设规模约13万亩，总投资约3.69亿元。主要建设内容包含田块整治、灌溉排水、田间道路、土壤改良、农田输配电、农田防护与生态环境保护等工程。项目管理工作内容包含但不限于：协助采购人履行项目代建职责，对设计、招标、施工、监理、跟审、检测、验收、上图入库等各参建单位开展组织管理，协助开展进度控制、投资控制、工程质量监督、安全管理、信息管理、合同管理、项目协调相关审核工作，推进施工组织设计审查、工程变更审查、工程计量与进度付款审查、农民工用工实名制管理等各项工作，代表采购人参与项目隐蔽工程、阶段性验收的组织工作，指导施工单位开展合同段工程完工验收，编制项目竣工报告；完成采购人安排的其他与项目管理相关的工作。</w:t>
      </w:r>
    </w:p>
    <w:p w14:paraId="047D2E9C">
      <w:pPr>
        <w:spacing w:line="360" w:lineRule="auto"/>
        <w:ind w:firstLine="437"/>
        <w:outlineLvl w:val="1"/>
        <w:rPr>
          <w:rFonts w:hint="eastAsia" w:ascii="宋体" w:hAnsi="宋体" w:eastAsia="宋体" w:cs="宋体"/>
          <w:b/>
          <w:color w:val="auto"/>
          <w:sz w:val="24"/>
          <w:szCs w:val="18"/>
          <w:highlight w:val="none"/>
          <w:lang w:val="en-US" w:eastAsia="zh-CN"/>
        </w:rPr>
      </w:pPr>
      <w:bookmarkStart w:id="7" w:name="_Toc27920"/>
      <w:bookmarkStart w:id="8" w:name="_Toc13016"/>
      <w:r>
        <w:rPr>
          <w:rFonts w:hint="eastAsia" w:ascii="宋体" w:hAnsi="宋体" w:eastAsia="宋体" w:cs="宋体"/>
          <w:b/>
          <w:color w:val="auto"/>
          <w:sz w:val="24"/>
          <w:szCs w:val="18"/>
          <w:highlight w:val="none"/>
          <w:lang w:val="en-US" w:eastAsia="zh-CN"/>
        </w:rPr>
        <w:t>三、服务需求</w:t>
      </w:r>
      <w:bookmarkEnd w:id="7"/>
      <w:bookmarkEnd w:id="8"/>
    </w:p>
    <w:p w14:paraId="6CFE6365">
      <w:pPr>
        <w:spacing w:line="360" w:lineRule="auto"/>
        <w:ind w:firstLine="241" w:firstLineChars="100"/>
        <w:outlineLvl w:val="1"/>
        <w:rPr>
          <w:rFonts w:hint="eastAsia" w:ascii="宋体" w:hAnsi="宋体" w:eastAsia="宋体"/>
          <w:bCs/>
          <w:color w:val="auto"/>
          <w:sz w:val="24"/>
          <w:szCs w:val="18"/>
          <w:highlight w:val="none"/>
          <w:lang w:eastAsia="zh-CN"/>
        </w:rPr>
      </w:pPr>
      <w:bookmarkStart w:id="9" w:name="_Toc20717"/>
      <w:bookmarkStart w:id="10" w:name="_Toc16414"/>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lang w:val="en-US" w:eastAsia="zh-CN"/>
        </w:rPr>
        <w:t>1</w:t>
      </w:r>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rPr>
        <w:t>项目管理机构人员</w:t>
      </w:r>
      <w:r>
        <w:rPr>
          <w:rFonts w:hint="eastAsia" w:ascii="宋体" w:hAnsi="宋体" w:eastAsia="宋体"/>
          <w:b/>
          <w:bCs w:val="0"/>
          <w:color w:val="auto"/>
          <w:sz w:val="24"/>
          <w:szCs w:val="18"/>
          <w:highlight w:val="none"/>
          <w:lang w:val="en-US" w:eastAsia="zh-CN"/>
        </w:rPr>
        <w:t>岗位设置</w:t>
      </w:r>
      <w:r>
        <w:rPr>
          <w:rFonts w:hint="eastAsia" w:ascii="宋体" w:hAnsi="宋体" w:eastAsia="宋体"/>
          <w:b/>
          <w:bCs w:val="0"/>
          <w:color w:val="auto"/>
          <w:sz w:val="24"/>
          <w:szCs w:val="18"/>
          <w:highlight w:val="none"/>
        </w:rPr>
        <w:t>要求</w:t>
      </w:r>
      <w:r>
        <w:rPr>
          <w:rFonts w:hint="eastAsia" w:ascii="宋体" w:hAnsi="宋体" w:eastAsia="宋体"/>
          <w:b/>
          <w:bCs w:val="0"/>
          <w:color w:val="auto"/>
          <w:sz w:val="24"/>
          <w:szCs w:val="18"/>
          <w:highlight w:val="none"/>
          <w:lang w:eastAsia="zh-CN"/>
        </w:rPr>
        <w:t>：</w:t>
      </w:r>
    </w:p>
    <w:p w14:paraId="569AC745">
      <w:pPr>
        <w:spacing w:line="360" w:lineRule="auto"/>
        <w:ind w:firstLine="437"/>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1、相关岗位设置</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相关岗位设置不少于19个</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其中</w:t>
      </w:r>
      <w:r>
        <w:rPr>
          <w:rFonts w:hint="eastAsia" w:ascii="宋体" w:hAnsi="宋体" w:eastAsia="宋体"/>
          <w:bCs/>
          <w:color w:val="auto"/>
          <w:sz w:val="24"/>
          <w:szCs w:val="18"/>
          <w:highlight w:val="none"/>
          <w:lang w:eastAsia="zh-CN"/>
        </w:rPr>
        <w:t>项目</w:t>
      </w:r>
      <w:r>
        <w:rPr>
          <w:rFonts w:hint="eastAsia" w:ascii="宋体" w:hAnsi="宋体" w:eastAsia="宋体"/>
          <w:bCs/>
          <w:color w:val="auto"/>
          <w:sz w:val="24"/>
          <w:szCs w:val="18"/>
          <w:highlight w:val="none"/>
          <w:lang w:val="en-US" w:eastAsia="zh-CN"/>
        </w:rPr>
        <w:t>总</w:t>
      </w:r>
      <w:r>
        <w:rPr>
          <w:rFonts w:hint="eastAsia" w:ascii="宋体" w:hAnsi="宋体" w:eastAsia="宋体"/>
          <w:bCs/>
          <w:color w:val="auto"/>
          <w:sz w:val="24"/>
          <w:szCs w:val="18"/>
          <w:highlight w:val="none"/>
          <w:lang w:eastAsia="zh-CN"/>
        </w:rPr>
        <w:t>负责人</w:t>
      </w:r>
      <w:r>
        <w:rPr>
          <w:rFonts w:hint="eastAsia" w:ascii="宋体" w:hAnsi="宋体" w:eastAsia="宋体"/>
          <w:bCs/>
          <w:color w:val="auto"/>
          <w:sz w:val="24"/>
          <w:szCs w:val="18"/>
          <w:highlight w:val="none"/>
          <w:lang w:val="en-US" w:eastAsia="zh-CN"/>
        </w:rPr>
        <w:t>岗位1个</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项目片区负责任人岗位4个，项目组</w:t>
      </w:r>
      <w:r>
        <w:rPr>
          <w:rFonts w:hint="eastAsia" w:ascii="宋体" w:hAnsi="宋体" w:eastAsia="宋体"/>
          <w:bCs/>
          <w:color w:val="auto"/>
          <w:sz w:val="24"/>
          <w:szCs w:val="18"/>
          <w:highlight w:val="none"/>
          <w:lang w:eastAsia="zh-CN"/>
        </w:rPr>
        <w:t>成员</w:t>
      </w:r>
      <w:r>
        <w:rPr>
          <w:rFonts w:hint="eastAsia" w:ascii="宋体" w:hAnsi="宋体" w:eastAsia="宋体"/>
          <w:bCs/>
          <w:color w:val="auto"/>
          <w:sz w:val="24"/>
          <w:szCs w:val="18"/>
          <w:highlight w:val="none"/>
          <w:lang w:val="en-US" w:eastAsia="zh-CN"/>
        </w:rPr>
        <w:t>岗位14个</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须</w:t>
      </w:r>
      <w:r>
        <w:rPr>
          <w:rFonts w:hint="eastAsia" w:ascii="宋体" w:hAnsi="宋体" w:eastAsia="宋体"/>
          <w:bCs/>
          <w:color w:val="auto"/>
          <w:sz w:val="24"/>
          <w:szCs w:val="18"/>
          <w:highlight w:val="none"/>
          <w:lang w:eastAsia="zh-CN"/>
        </w:rPr>
        <w:t>在项目上考勤。</w:t>
      </w:r>
    </w:p>
    <w:p w14:paraId="47D0F4C3">
      <w:pPr>
        <w:spacing w:line="360" w:lineRule="auto"/>
        <w:ind w:firstLine="437"/>
        <w:outlineLvl w:val="1"/>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采购人将对项目管理人员进行考勤。项目管理机构人员须根据采购人要求到指定地点进行打卡（打卡方式由发包人决定，采取以下一种或多种方式相结合打卡，打卡方式包括生物识别，且不限于考勤机打卡、拍照打卡、视频打卡、位置打卡、签到打卡），不得采取任何措施逃避打卡，如发现缺打卡或替打卡承包人须向发包人支付违约金，项目总负责人和片区负责人5000元/人・次，其他管理人员3000元/人・次，同时接受行政主管部门处罚。所有项目管理人员每月驻工地天数不得少于22天，且根据国家法律法规规定以及本项目主体工程、隐蔽工程施工等重点时段和关键环节必须在工地。</w:t>
      </w:r>
    </w:p>
    <w:p w14:paraId="0BD45014">
      <w:pPr>
        <w:spacing w:line="360" w:lineRule="auto"/>
        <w:ind w:firstLine="437"/>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3、</w:t>
      </w:r>
      <w:r>
        <w:rPr>
          <w:rFonts w:hint="eastAsia" w:ascii="宋体" w:hAnsi="宋体" w:eastAsia="宋体" w:cs="宋体"/>
          <w:color w:val="auto"/>
          <w:sz w:val="24"/>
          <w:szCs w:val="24"/>
          <w:highlight w:val="none"/>
          <w:lang w:val="en-US" w:eastAsia="zh-CN"/>
        </w:rPr>
        <w:t>办公场所、办公设备、交通工具及食宿</w:t>
      </w:r>
      <w:r>
        <w:rPr>
          <w:rFonts w:hint="eastAsia" w:ascii="宋体" w:hAnsi="宋体" w:eastAsia="宋体"/>
          <w:bCs/>
          <w:color w:val="auto"/>
          <w:sz w:val="24"/>
          <w:szCs w:val="18"/>
          <w:highlight w:val="none"/>
          <w:lang w:eastAsia="zh-CN"/>
        </w:rPr>
        <w:t>由供应商自行</w:t>
      </w:r>
      <w:r>
        <w:rPr>
          <w:rFonts w:hint="eastAsia" w:ascii="宋体" w:hAnsi="宋体" w:eastAsia="宋体"/>
          <w:bCs/>
          <w:color w:val="auto"/>
          <w:sz w:val="24"/>
          <w:szCs w:val="18"/>
          <w:highlight w:val="none"/>
          <w:lang w:val="en-US" w:eastAsia="zh-CN"/>
        </w:rPr>
        <w:t>解决</w:t>
      </w:r>
      <w:r>
        <w:rPr>
          <w:rFonts w:hint="eastAsia" w:ascii="宋体" w:hAnsi="宋体" w:eastAsia="宋体"/>
          <w:bCs/>
          <w:color w:val="auto"/>
          <w:sz w:val="24"/>
          <w:szCs w:val="18"/>
          <w:highlight w:val="none"/>
          <w:lang w:eastAsia="zh-CN"/>
        </w:rPr>
        <w:t>。</w:t>
      </w:r>
    </w:p>
    <w:p w14:paraId="6FA39886">
      <w:pPr>
        <w:spacing w:line="360" w:lineRule="auto"/>
        <w:ind w:firstLine="437"/>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4、供应商在成交后原则上不得变更服务人员，必须与响应文件中的人员配备一致，否则视为自动放弃本次成交资格。如因特殊情况必须更换时须经采购人同意，并办理书面手续，且更换具有相应资格和经验的项目服务人员。除不可抗力外无论任何原因更换均需支付违约金，更换项目总负责人的每次支付违约金20万元，更换项目片区负责任人的每次支付违约金5万元，更换其余人员的每人次支付违约金1万元。</w:t>
      </w:r>
    </w:p>
    <w:p w14:paraId="1107A94B">
      <w:pPr>
        <w:spacing w:line="360" w:lineRule="auto"/>
        <w:ind w:firstLine="437"/>
        <w:outlineLvl w:val="1"/>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eastAsia="zh-CN"/>
        </w:rPr>
        <w:t>上述</w:t>
      </w:r>
      <w:r>
        <w:rPr>
          <w:rFonts w:hint="eastAsia" w:ascii="宋体" w:hAnsi="宋体" w:eastAsia="宋体"/>
          <w:bCs/>
          <w:color w:val="auto"/>
          <w:sz w:val="24"/>
          <w:szCs w:val="18"/>
          <w:highlight w:val="none"/>
          <w:lang w:val="en-US" w:eastAsia="zh-CN"/>
        </w:rPr>
        <w:t>1-4</w:t>
      </w:r>
      <w:r>
        <w:rPr>
          <w:rFonts w:hint="eastAsia" w:ascii="宋体" w:hAnsi="宋体" w:eastAsia="宋体"/>
          <w:bCs/>
          <w:color w:val="auto"/>
          <w:sz w:val="24"/>
          <w:szCs w:val="18"/>
          <w:highlight w:val="none"/>
          <w:lang w:eastAsia="zh-CN"/>
        </w:rPr>
        <w:t>条内容在招标结束，确定中标人后，</w:t>
      </w:r>
      <w:r>
        <w:rPr>
          <w:rFonts w:hint="eastAsia" w:ascii="宋体" w:hAnsi="宋体" w:eastAsia="宋体"/>
          <w:bCs/>
          <w:color w:val="auto"/>
          <w:sz w:val="24"/>
          <w:szCs w:val="18"/>
          <w:highlight w:val="none"/>
          <w:lang w:val="en-US" w:eastAsia="zh-CN"/>
        </w:rPr>
        <w:t>采购人</w:t>
      </w:r>
      <w:r>
        <w:rPr>
          <w:rFonts w:hint="eastAsia" w:ascii="宋体" w:hAnsi="宋体" w:eastAsia="宋体"/>
          <w:bCs/>
          <w:color w:val="auto"/>
          <w:sz w:val="24"/>
          <w:szCs w:val="18"/>
          <w:highlight w:val="none"/>
          <w:lang w:eastAsia="zh-CN"/>
        </w:rPr>
        <w:t>将成立考核小组对其进行考核，对不能满足要求的中标单位</w:t>
      </w:r>
      <w:r>
        <w:rPr>
          <w:rFonts w:hint="eastAsia" w:ascii="宋体" w:hAnsi="宋体" w:eastAsia="宋体"/>
          <w:bCs/>
          <w:color w:val="auto"/>
          <w:sz w:val="24"/>
          <w:szCs w:val="18"/>
          <w:highlight w:val="none"/>
          <w:lang w:val="en-US" w:eastAsia="zh-CN"/>
        </w:rPr>
        <w:t>责令限期</w:t>
      </w:r>
      <w:r>
        <w:rPr>
          <w:rFonts w:hint="eastAsia" w:ascii="宋体" w:hAnsi="宋体" w:eastAsia="宋体"/>
          <w:bCs/>
          <w:color w:val="auto"/>
          <w:sz w:val="24"/>
          <w:szCs w:val="18"/>
          <w:highlight w:val="none"/>
          <w:lang w:eastAsia="zh-CN"/>
        </w:rPr>
        <w:t>整改，整改后仍不能满足要求，</w:t>
      </w:r>
      <w:r>
        <w:rPr>
          <w:rFonts w:hint="eastAsia" w:ascii="宋体" w:hAnsi="宋体" w:eastAsia="宋体"/>
          <w:bCs/>
          <w:color w:val="auto"/>
          <w:sz w:val="24"/>
          <w:szCs w:val="18"/>
          <w:highlight w:val="none"/>
          <w:lang w:val="en-US" w:eastAsia="zh-CN"/>
        </w:rPr>
        <w:t>采购人有权</w:t>
      </w:r>
      <w:r>
        <w:rPr>
          <w:rFonts w:hint="eastAsia" w:ascii="宋体" w:hAnsi="宋体" w:eastAsia="宋体"/>
          <w:bCs/>
          <w:color w:val="auto"/>
          <w:sz w:val="24"/>
          <w:szCs w:val="18"/>
          <w:highlight w:val="none"/>
          <w:lang w:eastAsia="zh-CN"/>
        </w:rPr>
        <w:t>解除合同，</w:t>
      </w:r>
      <w:r>
        <w:rPr>
          <w:rFonts w:hint="eastAsia" w:ascii="宋体" w:hAnsi="宋体" w:eastAsia="宋体"/>
          <w:bCs/>
          <w:color w:val="auto"/>
          <w:sz w:val="24"/>
          <w:szCs w:val="18"/>
          <w:highlight w:val="none"/>
          <w:lang w:eastAsia="zh-CN"/>
        </w:rPr>
        <w:t>并保留追究相关赔偿的权</w:t>
      </w:r>
      <w:r>
        <w:rPr>
          <w:rFonts w:hint="eastAsia" w:ascii="宋体" w:hAnsi="宋体" w:eastAsia="宋体"/>
          <w:bCs/>
          <w:color w:val="auto"/>
          <w:sz w:val="24"/>
          <w:szCs w:val="18"/>
          <w:highlight w:val="none"/>
          <w:lang w:val="en-US" w:eastAsia="zh-CN"/>
        </w:rPr>
        <w:t>利</w:t>
      </w:r>
      <w:r>
        <w:rPr>
          <w:rFonts w:hint="eastAsia" w:ascii="宋体" w:hAnsi="宋体" w:eastAsia="宋体"/>
          <w:bCs/>
          <w:color w:val="auto"/>
          <w:sz w:val="24"/>
          <w:szCs w:val="18"/>
          <w:highlight w:val="none"/>
          <w:lang w:eastAsia="zh-CN"/>
        </w:rPr>
        <w:t>。</w:t>
      </w:r>
    </w:p>
    <w:p w14:paraId="44D5732D">
      <w:pPr>
        <w:numPr>
          <w:ilvl w:val="0"/>
          <w:numId w:val="0"/>
        </w:numPr>
        <w:spacing w:line="360" w:lineRule="auto"/>
        <w:ind w:firstLine="241" w:firstLineChars="100"/>
        <w:outlineLvl w:val="1"/>
        <w:rPr>
          <w:rFonts w:hint="eastAsia" w:ascii="宋体" w:hAnsi="宋体" w:eastAsia="宋体"/>
          <w:b/>
          <w:bCs w:val="0"/>
          <w:color w:val="auto"/>
          <w:sz w:val="24"/>
          <w:szCs w:val="18"/>
          <w:highlight w:val="none"/>
          <w:lang w:eastAsia="zh-CN"/>
        </w:rPr>
      </w:pPr>
      <w:r>
        <w:rPr>
          <w:rFonts w:hint="eastAsia" w:ascii="宋体" w:hAnsi="宋体" w:eastAsia="宋体" w:cs="@仿宋_GB2312"/>
          <w:b/>
          <w:bCs w:val="0"/>
          <w:color w:val="auto"/>
          <w:kern w:val="2"/>
          <w:sz w:val="24"/>
          <w:szCs w:val="18"/>
          <w:highlight w:val="none"/>
          <w:lang w:val="en-US" w:eastAsia="zh-CN" w:bidi="ar-SA"/>
        </w:rPr>
        <w:t>（2）</w:t>
      </w:r>
      <w:r>
        <w:rPr>
          <w:rFonts w:hint="eastAsia" w:ascii="宋体" w:hAnsi="宋体" w:eastAsia="宋体"/>
          <w:b/>
          <w:bCs w:val="0"/>
          <w:color w:val="auto"/>
          <w:sz w:val="24"/>
          <w:szCs w:val="18"/>
          <w:highlight w:val="none"/>
          <w:lang w:eastAsia="zh-CN"/>
        </w:rPr>
        <w:t>服务要求</w:t>
      </w:r>
    </w:p>
    <w:p w14:paraId="4378BE9A">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lang w:eastAsia="zh-CN"/>
        </w:rPr>
        <w:t>基本原则：按采购人要求的时间及时高效完成采购人委托的各项工作。</w:t>
      </w:r>
    </w:p>
    <w:p w14:paraId="4519B2D1">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每周至少两次与采购人对接工作，</w:t>
      </w:r>
      <w:r>
        <w:rPr>
          <w:rFonts w:hint="eastAsia" w:ascii="宋体" w:hAnsi="宋体" w:eastAsia="宋体"/>
          <w:bCs/>
          <w:color w:val="auto"/>
          <w:sz w:val="24"/>
          <w:szCs w:val="18"/>
          <w:highlight w:val="none"/>
          <w:lang w:val="en-US" w:eastAsia="zh-CN"/>
        </w:rPr>
        <w:t>每周至少组织一次参建各方协调调度会议，</w:t>
      </w:r>
      <w:r>
        <w:rPr>
          <w:rFonts w:hint="eastAsia" w:ascii="宋体" w:hAnsi="宋体" w:eastAsia="宋体"/>
          <w:bCs/>
          <w:color w:val="auto"/>
          <w:sz w:val="24"/>
          <w:szCs w:val="18"/>
          <w:highlight w:val="none"/>
          <w:lang w:eastAsia="zh-CN"/>
        </w:rPr>
        <w:t>并</w:t>
      </w:r>
      <w:r>
        <w:rPr>
          <w:rFonts w:hint="eastAsia" w:ascii="宋体" w:hAnsi="宋体" w:eastAsia="宋体"/>
          <w:bCs/>
          <w:color w:val="auto"/>
          <w:sz w:val="24"/>
          <w:szCs w:val="18"/>
          <w:highlight w:val="none"/>
          <w:lang w:val="en-US" w:eastAsia="zh-CN"/>
        </w:rPr>
        <w:t>常驻</w:t>
      </w:r>
      <w:r>
        <w:rPr>
          <w:rFonts w:hint="eastAsia" w:ascii="宋体" w:hAnsi="宋体" w:eastAsia="宋体"/>
          <w:bCs/>
          <w:color w:val="auto"/>
          <w:sz w:val="24"/>
          <w:szCs w:val="18"/>
          <w:highlight w:val="none"/>
          <w:lang w:eastAsia="zh-CN"/>
        </w:rPr>
        <w:t>施工现场</w:t>
      </w:r>
      <w:r>
        <w:rPr>
          <w:rFonts w:hint="eastAsia" w:ascii="宋体" w:hAnsi="宋体" w:eastAsia="宋体"/>
          <w:bCs/>
          <w:color w:val="auto"/>
          <w:sz w:val="24"/>
          <w:szCs w:val="18"/>
          <w:highlight w:val="none"/>
          <w:lang w:val="en-US" w:eastAsia="zh-CN"/>
        </w:rPr>
        <w:t>做好项目管理任务</w:t>
      </w:r>
      <w:r>
        <w:rPr>
          <w:rFonts w:hint="eastAsia" w:ascii="宋体" w:hAnsi="宋体" w:eastAsia="宋体"/>
          <w:bCs/>
          <w:color w:val="auto"/>
          <w:sz w:val="24"/>
          <w:szCs w:val="18"/>
          <w:highlight w:val="none"/>
          <w:lang w:eastAsia="zh-CN"/>
        </w:rPr>
        <w:t>，供应商应时刻维护采购人的合法权益，不得为任何一方或其他第三方的利益而损害采购人的合法权益；如果在工作中实质性损害了采购人的利益，购人有权解除合同，并保留追究相关赔偿的权力。</w:t>
      </w:r>
    </w:p>
    <w:p w14:paraId="5DAC4C7E">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lang w:eastAsia="zh-CN"/>
        </w:rPr>
        <w:t>根据采购人的实际工作需要，无偿提供日常咨询等相关服务。</w:t>
      </w:r>
    </w:p>
    <w:p w14:paraId="04D64962">
      <w:pPr>
        <w:numPr>
          <w:ilvl w:val="0"/>
          <w:numId w:val="0"/>
        </w:numPr>
        <w:spacing w:line="360" w:lineRule="auto"/>
        <w:ind w:firstLine="241" w:firstLineChars="100"/>
        <w:outlineLvl w:val="1"/>
        <w:rPr>
          <w:rFonts w:hint="eastAsia" w:ascii="宋体" w:hAnsi="宋体" w:eastAsia="宋体"/>
          <w:b/>
          <w:bCs w:val="0"/>
          <w:color w:val="auto"/>
          <w:sz w:val="24"/>
          <w:szCs w:val="18"/>
          <w:highlight w:val="none"/>
          <w:lang w:eastAsia="zh-CN"/>
        </w:rPr>
      </w:pPr>
      <w:r>
        <w:rPr>
          <w:rFonts w:hint="eastAsia" w:ascii="宋体" w:hAnsi="宋体" w:eastAsia="宋体"/>
          <w:b/>
          <w:bCs w:val="0"/>
          <w:color w:val="auto"/>
          <w:sz w:val="24"/>
          <w:szCs w:val="18"/>
          <w:highlight w:val="none"/>
          <w:lang w:eastAsia="zh-CN"/>
        </w:rPr>
        <w:t>（</w:t>
      </w:r>
      <w:r>
        <w:rPr>
          <w:rFonts w:hint="eastAsia" w:ascii="宋体" w:hAnsi="宋体" w:eastAsia="宋体"/>
          <w:b/>
          <w:bCs w:val="0"/>
          <w:color w:val="auto"/>
          <w:sz w:val="24"/>
          <w:szCs w:val="18"/>
          <w:highlight w:val="none"/>
          <w:lang w:val="en-US" w:eastAsia="zh-CN"/>
        </w:rPr>
        <w:t>3</w:t>
      </w:r>
      <w:r>
        <w:rPr>
          <w:rFonts w:hint="eastAsia" w:ascii="宋体" w:hAnsi="宋体" w:eastAsia="宋体"/>
          <w:b/>
          <w:bCs w:val="0"/>
          <w:color w:val="auto"/>
          <w:sz w:val="24"/>
          <w:szCs w:val="18"/>
          <w:highlight w:val="none"/>
          <w:lang w:eastAsia="zh-CN"/>
        </w:rPr>
        <w:t>）项目管理工作任务 （包括但不限于）</w:t>
      </w:r>
    </w:p>
    <w:p w14:paraId="5A8C4344">
      <w:pPr>
        <w:numPr>
          <w:ilvl w:val="0"/>
          <w:numId w:val="0"/>
        </w:numPr>
        <w:spacing w:line="360" w:lineRule="auto"/>
        <w:ind w:firstLine="480" w:firstLineChars="200"/>
        <w:outlineLvl w:val="1"/>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lang w:eastAsia="zh-CN"/>
        </w:rPr>
        <w:t>工程质量管理内容：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协调各方建立项目质量管理保证系统；</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协助采购人组织、管理工程服务及施工单位工作，对违反项目管理规定及要求的现象予以纠正或提出处罚建议；</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协助采购人对工程质量进行监督和检查，发现质量问题及时督促整改；</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协助采购人在发生质量事故时及时查明原因和具体责任，报采购人备案，协助采购人协调事故处理方案的实施；</w:t>
      </w:r>
      <w:r>
        <w:rPr>
          <w:rFonts w:hint="eastAsia" w:ascii="微软雅黑" w:hAnsi="微软雅黑" w:eastAsia="微软雅黑" w:cs="微软雅黑"/>
          <w:bCs/>
          <w:color w:val="auto"/>
          <w:sz w:val="24"/>
          <w:szCs w:val="18"/>
          <w:highlight w:val="none"/>
          <w:lang w:eastAsia="zh-CN"/>
        </w:rPr>
        <w:t>⑤</w:t>
      </w:r>
      <w:r>
        <w:rPr>
          <w:rFonts w:hint="eastAsia" w:ascii="宋体" w:hAnsi="宋体" w:eastAsia="宋体"/>
          <w:bCs/>
          <w:color w:val="auto"/>
          <w:sz w:val="24"/>
          <w:szCs w:val="18"/>
          <w:highlight w:val="none"/>
          <w:lang w:eastAsia="zh-CN"/>
        </w:rPr>
        <w:t>协助采购人定期组织召开项目例会，及时分析质量偏差， 提出解决方案，协调相关单位解决存在的问题，并向采购人提供周、月、季度质量的信息，相关信息应跟踪到具体人员，未完成相应任务的，相应扣减对应考核指标；</w:t>
      </w:r>
      <w:r>
        <w:rPr>
          <w:rFonts w:hint="eastAsia" w:ascii="微软雅黑" w:hAnsi="微软雅黑" w:eastAsia="微软雅黑" w:cs="微软雅黑"/>
          <w:bCs/>
          <w:color w:val="auto"/>
          <w:sz w:val="24"/>
          <w:szCs w:val="18"/>
          <w:highlight w:val="none"/>
          <w:lang w:eastAsia="zh-CN"/>
        </w:rPr>
        <w:t>⑥</w:t>
      </w:r>
      <w:r>
        <w:rPr>
          <w:rFonts w:hint="eastAsia" w:ascii="宋体" w:hAnsi="宋体" w:eastAsia="宋体"/>
          <w:bCs/>
          <w:color w:val="auto"/>
          <w:sz w:val="24"/>
          <w:szCs w:val="18"/>
          <w:highlight w:val="none"/>
          <w:lang w:eastAsia="zh-CN"/>
        </w:rPr>
        <w:t>协助采购人参加项目分部工程验收，</w:t>
      </w:r>
      <w:r>
        <w:rPr>
          <w:rFonts w:hint="eastAsia" w:ascii="宋体" w:hAnsi="宋体" w:eastAsia="宋体"/>
          <w:bCs/>
          <w:color w:val="auto"/>
          <w:sz w:val="24"/>
          <w:szCs w:val="18"/>
          <w:highlight w:val="none"/>
          <w:lang w:val="en-US" w:eastAsia="zh-CN"/>
        </w:rPr>
        <w:t>组织隐蔽工程举牌验收,</w:t>
      </w:r>
      <w:r>
        <w:rPr>
          <w:rFonts w:hint="eastAsia" w:ascii="宋体" w:hAnsi="宋体" w:eastAsia="宋体"/>
          <w:bCs/>
          <w:color w:val="auto"/>
          <w:sz w:val="24"/>
          <w:szCs w:val="18"/>
          <w:highlight w:val="none"/>
          <w:lang w:eastAsia="zh-CN"/>
        </w:rPr>
        <w:t>协助采购人组织各有关方面进行竣工验收。</w:t>
      </w:r>
    </w:p>
    <w:p w14:paraId="7EDFA452">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2、</w:t>
      </w:r>
      <w:r>
        <w:rPr>
          <w:rFonts w:hint="eastAsia" w:ascii="宋体" w:hAnsi="宋体" w:eastAsia="宋体"/>
          <w:bCs/>
          <w:color w:val="auto"/>
          <w:sz w:val="24"/>
          <w:szCs w:val="18"/>
          <w:highlight w:val="none"/>
          <w:lang w:eastAsia="zh-CN"/>
        </w:rPr>
        <w:t>进度管理内容：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协助采购人按总体工期要求编制项目总体控制计划及主要节点计划；</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协助采购人审查服务、施工总包等参建单位上报的工程进度计划；</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严格按采购人批准的计划进行监督、检查，在计划出现偏差时及时查明原因并报采购人，提出有关的进度纠偏措施；</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协助采购人定期组织召开项目例会，及时分析进度偏差，提出解决方案，协调相关单位解决存在的问题，并向采购人提供周、月、季度进度的信息，相关信息应跟踪到具体人员，未完成相应任务的，相应扣减对应的考核指标。</w:t>
      </w:r>
    </w:p>
    <w:p w14:paraId="5AF72842">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lang w:eastAsia="zh-CN"/>
        </w:rPr>
        <w:t>投资管理内容：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协助采购人编制项目投资控制计划；</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根据工程节点要求编制资金使用计划，报采购人审批后实施；</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协助采购人对经审核和确认的合同预算进行控制；</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协助采购人对材料、产品、签证的单价、数量等内容进行初步审核；</w:t>
      </w:r>
      <w:r>
        <w:rPr>
          <w:rFonts w:hint="eastAsia" w:ascii="微软雅黑" w:hAnsi="微软雅黑" w:eastAsia="微软雅黑" w:cs="微软雅黑"/>
          <w:bCs/>
          <w:color w:val="auto"/>
          <w:sz w:val="24"/>
          <w:szCs w:val="18"/>
          <w:highlight w:val="none"/>
          <w:lang w:eastAsia="zh-CN"/>
        </w:rPr>
        <w:t>⑤</w:t>
      </w:r>
      <w:r>
        <w:rPr>
          <w:rFonts w:hint="eastAsia" w:ascii="宋体" w:hAnsi="宋体" w:eastAsia="宋体"/>
          <w:bCs/>
          <w:color w:val="auto"/>
          <w:sz w:val="24"/>
          <w:szCs w:val="18"/>
          <w:highlight w:val="none"/>
          <w:lang w:eastAsia="zh-CN"/>
        </w:rPr>
        <w:t>对各参建单位提交的工程量计量报告及资金支付申请进行初步审核，报采购人办理项目资金支付审批手续；</w:t>
      </w:r>
      <w:r>
        <w:rPr>
          <w:rFonts w:hint="eastAsia" w:ascii="微软雅黑" w:hAnsi="微软雅黑" w:eastAsia="微软雅黑" w:cs="微软雅黑"/>
          <w:bCs/>
          <w:color w:val="auto"/>
          <w:sz w:val="24"/>
          <w:szCs w:val="18"/>
          <w:highlight w:val="none"/>
          <w:lang w:eastAsia="zh-CN"/>
        </w:rPr>
        <w:t>⑥</w:t>
      </w:r>
      <w:r>
        <w:rPr>
          <w:rFonts w:hint="eastAsia" w:ascii="宋体" w:hAnsi="宋体" w:eastAsia="宋体"/>
          <w:bCs/>
          <w:color w:val="auto"/>
          <w:sz w:val="24"/>
          <w:szCs w:val="18"/>
          <w:highlight w:val="none"/>
          <w:lang w:eastAsia="zh-CN"/>
        </w:rPr>
        <w:t>协助采购人定期组织召开项目例会，及时分析投资偏差，提出解决方案，协调相关单位解决存在的问题，并向采购人提供周、月、季度投资的信息，相关信息应跟踪到具体人员，未完成相应任务的，相应扣减对应的考核指标。</w:t>
      </w:r>
    </w:p>
    <w:p w14:paraId="48FB7375">
      <w:pPr>
        <w:numPr>
          <w:ilvl w:val="0"/>
          <w:numId w:val="0"/>
        </w:numPr>
        <w:spacing w:line="360" w:lineRule="auto"/>
        <w:ind w:firstLine="480" w:firstLineChars="200"/>
        <w:outlineLvl w:val="1"/>
        <w:rPr>
          <w:rFonts w:hint="eastAsia" w:ascii="宋体" w:hAnsi="宋体" w:eastAsia="宋体"/>
          <w:b w:val="0"/>
          <w:bCs/>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4、三流合一管理内容：项目管理单位就本项目实施需督促承包单位向分包单位、劳务分包单位、材料设备供应商、材料设备租赁单位等支付各类款项时，均应采用银行转账等非现金方式，确保资金流、发票流与货物（服务）流“三流合一”。</w:t>
      </w:r>
    </w:p>
    <w:p w14:paraId="6D658453">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5、</w:t>
      </w:r>
      <w:r>
        <w:rPr>
          <w:rFonts w:hint="eastAsia" w:ascii="宋体" w:hAnsi="宋体" w:eastAsia="宋体"/>
          <w:bCs/>
          <w:color w:val="auto"/>
          <w:sz w:val="24"/>
          <w:szCs w:val="18"/>
          <w:highlight w:val="none"/>
          <w:lang w:eastAsia="zh-CN"/>
        </w:rPr>
        <w:t>安全管理内容：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调各方搭建安全管理保证体系：对接采购人、施工、监理等所有参建单位，统筹搭建项目全员、全过程安全管理体系，划分安全权责，避免管理推诿缺位。配套完善安全巡查、隐患整改、应急、考核等管理制度，逐级分解安全岗位责任，形成安全责任网格。根据施工进度、规范更新动态优化体系，保障安全管理机制落地可行。</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界定参建单位安全职责，督查安全措施落地：梳理工程服务、施工单位安全职责清单并完成交底，明确各方安全义务与违规责任。督促施工单位编制危大工程、动火、临时用电等专项安全施工方案，初审方案合规性并协助采购人审批。执行日巡查、周排查、月大检查，核查安全防护、劳保佩戴、现场危险源管控等措施落实情况。检查发现安全隐患下发整改单，限期整改并复查闭环；整改不力及时上报采购人。</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安全事故处置、现场保护与上报管理：发生安全事故第一时间协助疏散人员、抢救伤员，防止事故二次扩大。严格保护事故现场，抢险需变动现场的留存影像记录，保留事故物证痕迹。配合主管部门、调查组开展事故调查，提供巡查台账、方案资料等材料。按照事故管理规定按时协助上报主管部门，严禁迟报、瞒报，跟踪事故整改复盘。</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安全例会、偏差整改及考核管理：协助采购人定期召开项目安全例会，复盘阶段安全情况，分析安全管控偏差、隐患高发问题成因。针对安全问题制定整改方案，明确责任人及时限，协调各方落实整改措施。按期报送周、月、季度安全报表，所有事项细化到具体责任人，全程跟踪进度。建立安全任务台账，对未完成安全任务、整改滞后的责任人员，依规扣减考核指标，闭环考核管理。</w:t>
      </w:r>
    </w:p>
    <w:p w14:paraId="68FD64D4">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6、</w:t>
      </w:r>
      <w:r>
        <w:rPr>
          <w:rFonts w:hint="eastAsia" w:ascii="宋体" w:hAnsi="宋体" w:eastAsia="宋体"/>
          <w:bCs/>
          <w:color w:val="auto"/>
          <w:sz w:val="24"/>
          <w:szCs w:val="18"/>
          <w:highlight w:val="none"/>
          <w:lang w:eastAsia="zh-CN"/>
        </w:rPr>
        <w:t xml:space="preserve">合同管理内容： </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跟踪、监督、检查、评价合同履行情况，协助处理与采购人有关的合同变更及索赔事宜。</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定期组织召开项目例会，及时分析合同偏差，提出解决方案，协调相关单位解决存在的问题，并向采购人提供周、月、季度合同的信息，相关合同信息应跟踪到具体人员，未完成相对应任务的，相应扣减对应的考核指标。</w:t>
      </w:r>
    </w:p>
    <w:p w14:paraId="72834326">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7、</w:t>
      </w:r>
      <w:r>
        <w:rPr>
          <w:rFonts w:hint="eastAsia" w:ascii="宋体" w:hAnsi="宋体" w:eastAsia="宋体"/>
          <w:bCs/>
          <w:color w:val="auto"/>
          <w:sz w:val="24"/>
          <w:szCs w:val="18"/>
          <w:highlight w:val="none"/>
          <w:lang w:eastAsia="zh-CN"/>
        </w:rPr>
        <w:t>信息管理内容：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协助采购人建立项目的信息管理制度，完善项目的信息化建设；</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协助采购人收集、整理工程建设过程中产生的各类信息，并负责促进信息的流转；</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协助采购人建立项目管理信息平台，保证采购人及时获取工程建设实施过程中的相关信息；</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协助采购人监督、检查服务单位、施工单位的项目信息管理工作；</w:t>
      </w:r>
      <w:r>
        <w:rPr>
          <w:rFonts w:hint="eastAsia" w:ascii="微软雅黑" w:hAnsi="微软雅黑" w:eastAsia="微软雅黑" w:cs="微软雅黑"/>
          <w:bCs/>
          <w:color w:val="auto"/>
          <w:sz w:val="24"/>
          <w:szCs w:val="18"/>
          <w:highlight w:val="none"/>
          <w:lang w:eastAsia="zh-CN"/>
        </w:rPr>
        <w:t>⑤</w:t>
      </w:r>
      <w:r>
        <w:rPr>
          <w:rFonts w:hint="eastAsia" w:ascii="宋体" w:hAnsi="宋体" w:eastAsia="宋体"/>
          <w:bCs/>
          <w:color w:val="auto"/>
          <w:sz w:val="24"/>
          <w:szCs w:val="18"/>
          <w:highlight w:val="none"/>
          <w:lang w:eastAsia="zh-CN"/>
        </w:rPr>
        <w:t>及时向采购人提供各类项目管理报告与报表；</w:t>
      </w:r>
      <w:r>
        <w:rPr>
          <w:rFonts w:hint="eastAsia" w:ascii="微软雅黑" w:hAnsi="微软雅黑" w:eastAsia="微软雅黑" w:cs="微软雅黑"/>
          <w:bCs/>
          <w:color w:val="auto"/>
          <w:sz w:val="24"/>
          <w:szCs w:val="18"/>
          <w:highlight w:val="none"/>
          <w:lang w:eastAsia="zh-CN"/>
        </w:rPr>
        <w:t>⑥</w:t>
      </w:r>
      <w:r>
        <w:rPr>
          <w:rFonts w:hint="eastAsia" w:ascii="宋体" w:hAnsi="宋体" w:eastAsia="宋体"/>
          <w:bCs/>
          <w:color w:val="auto"/>
          <w:sz w:val="24"/>
          <w:szCs w:val="18"/>
          <w:highlight w:val="none"/>
          <w:lang w:eastAsia="zh-CN"/>
        </w:rPr>
        <w:t>协助采购人负责进行项目档案的归档整理、保管、移交等工作。</w:t>
      </w:r>
    </w:p>
    <w:p w14:paraId="56B0C1D1">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8、</w:t>
      </w:r>
      <w:r>
        <w:rPr>
          <w:rFonts w:hint="eastAsia" w:ascii="宋体" w:hAnsi="宋体" w:eastAsia="宋体"/>
          <w:bCs/>
          <w:color w:val="auto"/>
          <w:sz w:val="24"/>
          <w:szCs w:val="18"/>
          <w:highlight w:val="none"/>
          <w:lang w:eastAsia="zh-CN"/>
        </w:rPr>
        <w:t>组织协调内容：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协助采购人协调服务单位、施工单位、材料供应等单位之间的关系；</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协助采购人协调与工程所在地上级有关部门的关系；</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协助采购人协调与相关部门或专业公司的关系。</w:t>
      </w:r>
    </w:p>
    <w:p w14:paraId="0C5E38B7">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9、</w:t>
      </w:r>
      <w:r>
        <w:rPr>
          <w:rFonts w:hint="eastAsia" w:ascii="宋体" w:hAnsi="宋体" w:eastAsia="宋体"/>
          <w:bCs/>
          <w:color w:val="auto"/>
          <w:sz w:val="24"/>
          <w:szCs w:val="18"/>
          <w:highlight w:val="none"/>
          <w:lang w:eastAsia="zh-CN"/>
        </w:rPr>
        <w:t>竣工及保修期的工作内容：</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及时受理和审查承包商提出的交工或单项（单位）工程的验收申请，参加服务单位组织的分部验收；</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协助采购人及时做好竣工验收的各项准备，向政府有关验收主管部门提出竣工验收备案申请，组织工程竣工验收；</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协助采购人做好向有关单位的工程交接工作；</w:t>
      </w:r>
      <w:r>
        <w:rPr>
          <w:rFonts w:hint="eastAsia" w:ascii="微软雅黑" w:hAnsi="微软雅黑" w:eastAsia="微软雅黑" w:cs="微软雅黑"/>
          <w:bCs/>
          <w:color w:val="auto"/>
          <w:sz w:val="24"/>
          <w:szCs w:val="18"/>
          <w:highlight w:val="none"/>
          <w:lang w:eastAsia="zh-CN"/>
        </w:rPr>
        <w:t>④</w:t>
      </w:r>
      <w:r>
        <w:rPr>
          <w:rFonts w:hint="eastAsia" w:ascii="宋体" w:hAnsi="宋体" w:eastAsia="宋体"/>
          <w:bCs/>
          <w:color w:val="auto"/>
          <w:sz w:val="24"/>
          <w:szCs w:val="18"/>
          <w:highlight w:val="none"/>
          <w:lang w:eastAsia="zh-CN"/>
        </w:rPr>
        <w:t>协助采购人提供保修期内相关管理协调工作。</w:t>
      </w:r>
    </w:p>
    <w:p w14:paraId="5EBD5194">
      <w:pPr>
        <w:numPr>
          <w:ilvl w:val="0"/>
          <w:numId w:val="0"/>
        </w:numPr>
        <w:spacing w:line="360" w:lineRule="auto"/>
        <w:ind w:firstLine="480" w:firstLineChars="200"/>
        <w:outlineLvl w:val="1"/>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val="en-US" w:eastAsia="zh-CN"/>
        </w:rPr>
        <w:t>10、</w:t>
      </w:r>
      <w:r>
        <w:rPr>
          <w:rFonts w:hint="eastAsia" w:ascii="宋体" w:hAnsi="宋体" w:eastAsia="宋体"/>
          <w:bCs/>
          <w:color w:val="auto"/>
          <w:sz w:val="24"/>
          <w:szCs w:val="18"/>
          <w:highlight w:val="none"/>
          <w:lang w:eastAsia="zh-CN"/>
        </w:rPr>
        <w:t>项目竣工验收及移交管理：</w:t>
      </w:r>
      <w:r>
        <w:rPr>
          <w:rFonts w:hint="eastAsia" w:ascii="微软雅黑" w:hAnsi="微软雅黑" w:eastAsia="微软雅黑" w:cs="微软雅黑"/>
          <w:bCs/>
          <w:color w:val="auto"/>
          <w:sz w:val="24"/>
          <w:szCs w:val="18"/>
          <w:highlight w:val="none"/>
          <w:lang w:eastAsia="zh-CN"/>
        </w:rPr>
        <w:t>①</w:t>
      </w:r>
      <w:r>
        <w:rPr>
          <w:rFonts w:hint="eastAsia" w:ascii="宋体" w:hAnsi="宋体" w:eastAsia="宋体"/>
          <w:bCs/>
          <w:color w:val="auto"/>
          <w:sz w:val="24"/>
          <w:szCs w:val="18"/>
          <w:highlight w:val="none"/>
          <w:lang w:eastAsia="zh-CN"/>
        </w:rPr>
        <w:t>组织采购人、勘察单位、设计单位、施工单位和服务单位五方责任主体进行项目竣工验收，验收合格后协助采购人办理竣工验收备案手续；</w:t>
      </w:r>
      <w:r>
        <w:rPr>
          <w:rFonts w:hint="eastAsia" w:ascii="微软雅黑" w:hAnsi="微软雅黑" w:eastAsia="微软雅黑" w:cs="微软雅黑"/>
          <w:bCs/>
          <w:color w:val="auto"/>
          <w:sz w:val="24"/>
          <w:szCs w:val="18"/>
          <w:highlight w:val="none"/>
          <w:lang w:eastAsia="zh-CN"/>
        </w:rPr>
        <w:t>②</w:t>
      </w:r>
      <w:r>
        <w:rPr>
          <w:rFonts w:hint="eastAsia" w:ascii="宋体" w:hAnsi="宋体" w:eastAsia="宋体"/>
          <w:bCs/>
          <w:color w:val="auto"/>
          <w:sz w:val="24"/>
          <w:szCs w:val="18"/>
          <w:highlight w:val="none"/>
          <w:lang w:eastAsia="zh-CN"/>
        </w:rPr>
        <w:t>项目竣工验收合格后，向采购人移交有关图文资料，并按照有关规定办理工程移交；</w:t>
      </w:r>
      <w:r>
        <w:rPr>
          <w:rFonts w:hint="eastAsia" w:ascii="微软雅黑" w:hAnsi="微软雅黑" w:eastAsia="微软雅黑" w:cs="微软雅黑"/>
          <w:bCs/>
          <w:color w:val="auto"/>
          <w:sz w:val="24"/>
          <w:szCs w:val="18"/>
          <w:highlight w:val="none"/>
          <w:lang w:eastAsia="zh-CN"/>
        </w:rPr>
        <w:t>③</w:t>
      </w:r>
      <w:r>
        <w:rPr>
          <w:rFonts w:hint="eastAsia" w:ascii="宋体" w:hAnsi="宋体" w:eastAsia="宋体"/>
          <w:bCs/>
          <w:color w:val="auto"/>
          <w:sz w:val="24"/>
          <w:szCs w:val="18"/>
          <w:highlight w:val="none"/>
          <w:lang w:eastAsia="zh-CN"/>
        </w:rPr>
        <w:t>协助采购人向政府部门报送工程档案资料。</w:t>
      </w:r>
    </w:p>
    <w:p w14:paraId="4A665335">
      <w:pPr>
        <w:spacing w:line="360" w:lineRule="auto"/>
        <w:ind w:firstLine="437"/>
        <w:outlineLvl w:val="1"/>
        <w:rPr>
          <w:rFonts w:hint="eastAsia" w:ascii="宋体" w:hAnsi="宋体" w:eastAsia="宋体" w:cs="宋体"/>
          <w:b/>
          <w:color w:val="auto"/>
          <w:sz w:val="24"/>
          <w:szCs w:val="18"/>
          <w:highlight w:val="none"/>
          <w:lang w:val="en-US" w:eastAsia="zh-CN"/>
        </w:rPr>
      </w:pPr>
      <w:r>
        <w:rPr>
          <w:rFonts w:hint="eastAsia" w:ascii="宋体" w:hAnsi="宋体" w:eastAsia="宋体" w:cs="宋体"/>
          <w:b/>
          <w:color w:val="auto"/>
          <w:sz w:val="24"/>
          <w:szCs w:val="18"/>
          <w:highlight w:val="none"/>
          <w:lang w:val="en-US" w:eastAsia="zh-CN"/>
        </w:rPr>
        <w:t>四、报价要求</w:t>
      </w:r>
      <w:bookmarkEnd w:id="9"/>
      <w:bookmarkEnd w:id="10"/>
    </w:p>
    <w:p w14:paraId="33D9B213">
      <w:pPr>
        <w:spacing w:line="360" w:lineRule="auto"/>
        <w:ind w:firstLine="437"/>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1、报价费用组成：投标报价为完成本次招标项目的全部费用价格，其组成包括但 </w:t>
      </w:r>
    </w:p>
    <w:p w14:paraId="0C26C369">
      <w:pPr>
        <w:spacing w:line="360" w:lineRule="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不限于人员工资、社会保险费、税金、利润以及管理费、办公费、交通费、通讯费、设备费、食宿等为完成本次招投标项目所发生的一切费用。</w:t>
      </w:r>
    </w:p>
    <w:p w14:paraId="229F5F47">
      <w:pPr>
        <w:spacing w:line="360" w:lineRule="auto"/>
        <w:ind w:firstLine="437"/>
        <w:outlineLvl w:val="1"/>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val="en-US" w:eastAsia="zh-CN"/>
        </w:rPr>
        <w:t>2、本项目报总价不得高于本项目最高限价，报价为完成本项目所须一切费用，成交后采购人不再调整费用。</w:t>
      </w:r>
    </w:p>
    <w:p w14:paraId="1E2EB149">
      <w:pPr>
        <w:spacing w:line="360" w:lineRule="auto"/>
        <w:ind w:firstLine="437"/>
        <w:outlineLvl w:val="1"/>
        <w:rPr>
          <w:rFonts w:hint="eastAsia" w:ascii="宋体" w:hAnsi="宋体" w:eastAsia="宋体" w:cs="宋体"/>
          <w:b/>
          <w:color w:val="auto"/>
          <w:sz w:val="24"/>
          <w:szCs w:val="18"/>
          <w:highlight w:val="none"/>
          <w:lang w:val="en-US" w:eastAsia="zh-CN"/>
        </w:rPr>
      </w:pPr>
      <w:bookmarkStart w:id="11" w:name="_Toc8283"/>
      <w:bookmarkStart w:id="12" w:name="_Toc18794"/>
      <w:r>
        <w:rPr>
          <w:rFonts w:hint="eastAsia" w:ascii="宋体" w:hAnsi="宋体" w:eastAsia="宋体" w:cs="宋体"/>
          <w:b/>
          <w:color w:val="auto"/>
          <w:sz w:val="24"/>
          <w:szCs w:val="18"/>
          <w:highlight w:val="none"/>
          <w:lang w:val="en-US" w:eastAsia="zh-CN"/>
        </w:rPr>
        <w:t>五、其他要求</w:t>
      </w:r>
      <w:bookmarkEnd w:id="11"/>
      <w:bookmarkEnd w:id="12"/>
    </w:p>
    <w:bookmarkEnd w:id="3"/>
    <w:bookmarkEnd w:id="5"/>
    <w:p w14:paraId="7C68466A">
      <w:pPr>
        <w:spacing w:line="360" w:lineRule="auto"/>
        <w:ind w:firstLine="437"/>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1、供应商响应的服务团队人员在服务期内需驻点开展服务，服务期间不得兼任其他与本项目无关的工作。</w:t>
      </w:r>
    </w:p>
    <w:p w14:paraId="07ABB57F">
      <w:pPr>
        <w:spacing w:line="360" w:lineRule="auto"/>
        <w:ind w:firstLine="437"/>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2、中标后供应商派驻的项目管理人员必须服从采购人管理，不得以任何理由消极怠工、推诿扯皮，否则采购人有权单方面解除合同。</w:t>
      </w:r>
    </w:p>
    <w:p w14:paraId="6B334046">
      <w:pPr>
        <w:spacing w:line="360" w:lineRule="auto"/>
        <w:ind w:firstLine="437"/>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3、服务期内供应商应建立无人机常态化巡检机制，利用无人机开展项目全域高空、偏远区域、高危点位定期巡检，自动排查安全隐患，形成巡检台账，闭环整改问题，实现安全巡检常态化、智能化。</w:t>
      </w:r>
    </w:p>
    <w:p w14:paraId="16513C1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4、服务质量监督。采购人对中标人项目管理服务质量进行监督、检查和记录。若项目管理公司、人员违法或出现严重违约情形的，采购人有权单方面解除合同，</w:t>
      </w:r>
      <w:r>
        <w:rPr>
          <w:rFonts w:hint="eastAsia" w:ascii="宋体" w:hAnsi="宋体" w:eastAsia="宋体"/>
          <w:bCs/>
          <w:color w:val="auto"/>
          <w:sz w:val="24"/>
          <w:szCs w:val="18"/>
          <w:highlight w:val="none"/>
          <w:lang w:eastAsia="zh-CN"/>
        </w:rPr>
        <w:t>并保留追究相关赔偿的权</w:t>
      </w:r>
      <w:r>
        <w:rPr>
          <w:rFonts w:hint="eastAsia" w:ascii="宋体" w:hAnsi="宋体" w:eastAsia="宋体"/>
          <w:bCs/>
          <w:color w:val="auto"/>
          <w:sz w:val="24"/>
          <w:szCs w:val="18"/>
          <w:highlight w:val="none"/>
          <w:lang w:val="en-US" w:eastAsia="zh-CN"/>
        </w:rPr>
        <w:t>利</w:t>
      </w:r>
      <w:r>
        <w:rPr>
          <w:rFonts w:hint="eastAsia" w:ascii="宋体" w:hAnsi="宋体" w:eastAsia="宋体"/>
          <w:bCs/>
          <w:color w:val="auto"/>
          <w:sz w:val="24"/>
          <w:szCs w:val="18"/>
          <w:highlight w:val="none"/>
          <w:lang w:eastAsia="zh-CN"/>
        </w:rPr>
        <w:t>。</w:t>
      </w:r>
    </w:p>
    <w:bookmarkEnd w:id="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851491"/>
    <w:rsid w:val="336E6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widowControl w:val="0"/>
      <w:spacing w:before="340" w:after="330" w:line="578" w:lineRule="auto"/>
      <w:jc w:val="both"/>
      <w:outlineLvl w:val="0"/>
    </w:pPr>
    <w:rPr>
      <w:rFonts w:ascii="Calibri" w:hAnsi="Calibri" w:eastAsia="宋体" w:cs="Times New Roman"/>
      <w:b/>
      <w:bCs/>
      <w:kern w:val="44"/>
      <w:sz w:val="30"/>
      <w:szCs w:val="4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5329</Words>
  <Characters>5451</Characters>
  <Lines>0</Lines>
  <Paragraphs>0</Paragraphs>
  <TotalTime>0</TotalTime>
  <ScaleCrop>false</ScaleCrop>
  <LinksUpToDate>false</LinksUpToDate>
  <CharactersWithSpaces>5466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2026-08-14T06:52:00Z</dcterms:created>
  <dc:creator>21592</dc:creator>
  <cp:lastModifiedBy>小艾₁₈₃₆₅₅₇₅₈₅₅</cp:lastModifiedBy>
  <dcterms:modified xsi:type="dcterms:W3CDTF">2026-08-14T09:14:36Z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eyJoZGlkIjoiNmUxYTYyN2Q2OGNlODIwZmVhNTE1OTNmMmJhYTRjMjkiLCJ1c2VySWQiOiI2MTc5NzIzMDQifQ==</vt:lpwstr>
  </property>
  <property fmtid="{D5CDD505-2E9C-101B-9397-08002B2CF9AE}" pid="4" name="ICV">
    <vt:lpwstr>311F41F38F7B490DA228E7B9B1BE6AA8_12</vt:lpwstr>
  </property>
</Properties>
</file>