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62F88">
      <w:pPr>
        <w:spacing w:line="360" w:lineRule="auto"/>
        <w:jc w:val="center"/>
        <w:outlineLvl w:val="0"/>
        <w:rPr>
          <w:rFonts w:hint="eastAsia" w:ascii="宋体" w:hAnsi="宋体" w:eastAsia="宋体" w:cs="宋体"/>
          <w:b/>
          <w:color w:val="auto"/>
          <w:sz w:val="28"/>
          <w:highlight w:val="none"/>
        </w:rPr>
      </w:pPr>
      <w:bookmarkStart w:id="5" w:name="_GoBack"/>
      <w:bookmarkStart w:id="0" w:name="_Toc30824"/>
      <w:r>
        <w:rPr>
          <w:rFonts w:hint="eastAsia" w:ascii="宋体" w:hAnsi="宋体" w:eastAsia="宋体" w:cs="宋体"/>
          <w:b/>
          <w:color w:val="auto"/>
          <w:sz w:val="28"/>
          <w:highlight w:val="none"/>
        </w:rPr>
        <w:t>第四章  评标方法和标准（综合评分法）</w:t>
      </w:r>
      <w:bookmarkEnd w:id="0"/>
    </w:p>
    <w:p w14:paraId="1B3E9C21">
      <w:pPr>
        <w:spacing w:line="360" w:lineRule="auto"/>
        <w:ind w:firstLine="437"/>
        <w:outlineLvl w:val="1"/>
        <w:rPr>
          <w:rFonts w:hint="eastAsia" w:ascii="宋体" w:hAnsi="宋体" w:eastAsia="宋体" w:cs="宋体"/>
          <w:b/>
          <w:color w:val="auto"/>
          <w:sz w:val="24"/>
          <w:highlight w:val="none"/>
        </w:rPr>
      </w:pPr>
      <w:bookmarkStart w:id="1" w:name="_Toc11823"/>
      <w:bookmarkStart w:id="2" w:name="_Toc4705"/>
      <w:r>
        <w:rPr>
          <w:rFonts w:hint="eastAsia" w:ascii="宋体" w:hAnsi="宋体" w:eastAsia="宋体" w:cs="宋体"/>
          <w:b/>
          <w:color w:val="auto"/>
          <w:sz w:val="24"/>
          <w:highlight w:val="none"/>
        </w:rPr>
        <w:t>一、总则</w:t>
      </w:r>
      <w:bookmarkEnd w:id="1"/>
      <w:bookmarkEnd w:id="2"/>
    </w:p>
    <w:p w14:paraId="3E3992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本项目将按照招标文件第二章 投标人须知的相关要求及本章的规定评标。</w:t>
      </w:r>
    </w:p>
    <w:p w14:paraId="26EE6104">
      <w:pPr>
        <w:spacing w:line="360" w:lineRule="auto"/>
        <w:ind w:firstLine="437"/>
        <w:outlineLvl w:val="1"/>
        <w:rPr>
          <w:rFonts w:hint="eastAsia" w:ascii="宋体" w:hAnsi="宋体" w:eastAsia="宋体" w:cs="宋体"/>
          <w:b/>
          <w:color w:val="auto"/>
          <w:sz w:val="24"/>
          <w:highlight w:val="none"/>
        </w:rPr>
      </w:pPr>
      <w:bookmarkStart w:id="3" w:name="_Toc31871"/>
      <w:bookmarkStart w:id="4" w:name="_Toc32410"/>
      <w:r>
        <w:rPr>
          <w:rFonts w:hint="eastAsia" w:ascii="宋体" w:hAnsi="宋体" w:eastAsia="宋体" w:cs="宋体"/>
          <w:b/>
          <w:color w:val="auto"/>
          <w:sz w:val="24"/>
          <w:highlight w:val="none"/>
        </w:rPr>
        <w:t>二、评标方法</w:t>
      </w:r>
      <w:bookmarkEnd w:id="3"/>
      <w:bookmarkEnd w:id="4"/>
    </w:p>
    <w:p w14:paraId="6653BF00">
      <w:pPr>
        <w:spacing w:line="360" w:lineRule="auto"/>
        <w:ind w:firstLine="437"/>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2.1资格审查</w:t>
      </w:r>
    </w:p>
    <w:tbl>
      <w:tblPr>
        <w:tblStyle w:val="3"/>
        <w:tblW w:w="53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667"/>
        <w:gridCol w:w="3383"/>
        <w:gridCol w:w="3505"/>
      </w:tblGrid>
      <w:tr w14:paraId="6010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000" w:type="pct"/>
            <w:gridSpan w:val="4"/>
            <w:tcBorders>
              <w:bottom w:val="single" w:color="auto" w:sz="4" w:space="0"/>
            </w:tcBorders>
            <w:vAlign w:val="center"/>
          </w:tcPr>
          <w:p w14:paraId="346E8F41">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b/>
                <w:color w:val="auto"/>
                <w:sz w:val="24"/>
                <w:szCs w:val="22"/>
                <w:highlight w:val="none"/>
              </w:rPr>
              <w:t>资格审查表</w:t>
            </w:r>
          </w:p>
        </w:tc>
      </w:tr>
      <w:tr w14:paraId="401E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tcBorders>
              <w:bottom w:val="single" w:color="auto" w:sz="4" w:space="0"/>
            </w:tcBorders>
            <w:vAlign w:val="center"/>
          </w:tcPr>
          <w:p w14:paraId="17AB2099">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913" w:type="pct"/>
            <w:tcBorders>
              <w:bottom w:val="single" w:color="auto" w:sz="4" w:space="0"/>
            </w:tcBorders>
            <w:vAlign w:val="center"/>
          </w:tcPr>
          <w:p w14:paraId="11906A39">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360" w:lineRule="exact"/>
              <w:ind w:right="0"/>
              <w:textAlignment w:val="auto"/>
              <w:rPr>
                <w:rFonts w:hint="eastAsia" w:ascii="宋体" w:hAnsi="宋体" w:eastAsia="宋体" w:cs="宋体"/>
                <w:color w:val="auto"/>
                <w:kern w:val="2"/>
                <w:szCs w:val="24"/>
                <w:highlight w:val="none"/>
                <w:lang w:val="en-US"/>
              </w:rPr>
            </w:pPr>
            <w:r>
              <w:rPr>
                <w:rFonts w:hint="eastAsia" w:ascii="宋体" w:hAnsi="宋体" w:eastAsia="宋体" w:cs="宋体"/>
                <w:color w:val="auto"/>
                <w:kern w:val="2"/>
                <w:szCs w:val="24"/>
                <w:highlight w:val="none"/>
                <w:lang w:val="en-US" w:eastAsia="zh-CN"/>
              </w:rPr>
              <w:t>审查因素</w:t>
            </w:r>
          </w:p>
        </w:tc>
        <w:tc>
          <w:tcPr>
            <w:tcW w:w="1854" w:type="pct"/>
            <w:tcBorders>
              <w:bottom w:val="single" w:color="auto" w:sz="4" w:space="0"/>
            </w:tcBorders>
            <w:vAlign w:val="center"/>
          </w:tcPr>
          <w:p w14:paraId="76140280">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审查内容</w:t>
            </w:r>
          </w:p>
        </w:tc>
        <w:tc>
          <w:tcPr>
            <w:tcW w:w="1921" w:type="pct"/>
            <w:tcBorders>
              <w:bottom w:val="single" w:color="auto" w:sz="4" w:space="0"/>
            </w:tcBorders>
            <w:vAlign w:val="center"/>
          </w:tcPr>
          <w:p w14:paraId="4AFF1F11">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格式要求</w:t>
            </w:r>
          </w:p>
        </w:tc>
      </w:tr>
      <w:tr w14:paraId="7E85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09" w:type="pct"/>
            <w:tcBorders>
              <w:bottom w:val="single" w:color="auto" w:sz="4" w:space="0"/>
            </w:tcBorders>
            <w:vAlign w:val="center"/>
          </w:tcPr>
          <w:p w14:paraId="66758758">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1</w:t>
            </w:r>
          </w:p>
        </w:tc>
        <w:tc>
          <w:tcPr>
            <w:tcW w:w="913" w:type="pct"/>
            <w:tcBorders>
              <w:bottom w:val="single" w:color="auto" w:sz="4" w:space="0"/>
            </w:tcBorders>
            <w:vAlign w:val="center"/>
          </w:tcPr>
          <w:p w14:paraId="2DCE71A2">
            <w:pPr>
              <w:keepNext w:val="0"/>
              <w:keepLines w:val="0"/>
              <w:pageBreakBefore w:val="0"/>
              <w:widowControl w:val="0"/>
              <w:kinsoku/>
              <w:wordWrap/>
              <w:overflowPunct/>
              <w:topLinePunct w:val="0"/>
              <w:autoSpaceDE/>
              <w:autoSpaceDN/>
              <w:bidi w:val="0"/>
              <w:spacing w:line="360" w:lineRule="exact"/>
              <w:ind w:right="0" w:rightChars="0"/>
              <w:jc w:val="center"/>
              <w:textAlignment w:val="auto"/>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1854" w:type="pct"/>
            <w:tcBorders>
              <w:bottom w:val="single" w:color="auto" w:sz="4" w:space="0"/>
            </w:tcBorders>
            <w:vAlign w:val="center"/>
          </w:tcPr>
          <w:p w14:paraId="4B3B4CF2">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供有效的营业执照；</w:t>
            </w:r>
          </w:p>
          <w:p w14:paraId="7DCDC922">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供有效的事业单位法人证书；</w:t>
            </w:r>
          </w:p>
          <w:p w14:paraId="5BEC5CC3">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登记证书等证明文件；</w:t>
            </w:r>
          </w:p>
          <w:p w14:paraId="3F2EA839">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供有效的个体工商户营业执照；</w:t>
            </w:r>
          </w:p>
          <w:p w14:paraId="333AF5B5">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供有效的自然人身份证明。</w:t>
            </w:r>
          </w:p>
        </w:tc>
        <w:tc>
          <w:tcPr>
            <w:tcW w:w="1921" w:type="pct"/>
            <w:vAlign w:val="center"/>
          </w:tcPr>
          <w:p w14:paraId="02F011B0">
            <w:pPr>
              <w:keepNext w:val="0"/>
              <w:keepLines w:val="0"/>
              <w:pageBreakBefore w:val="0"/>
              <w:widowControl w:val="0"/>
              <w:kinsoku/>
              <w:wordWrap/>
              <w:overflowPunct/>
              <w:topLinePunct w:val="0"/>
              <w:autoSpaceDE/>
              <w:autoSpaceDN/>
              <w:bidi w:val="0"/>
              <w:spacing w:line="360" w:lineRule="exact"/>
              <w:ind w:right="0"/>
              <w:jc w:val="left"/>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5D62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09" w:type="pct"/>
            <w:tcBorders>
              <w:bottom w:val="single" w:color="auto" w:sz="4" w:space="0"/>
            </w:tcBorders>
            <w:vAlign w:val="center"/>
          </w:tcPr>
          <w:p w14:paraId="5DC97514">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p>
        </w:tc>
        <w:tc>
          <w:tcPr>
            <w:tcW w:w="913" w:type="pct"/>
            <w:tcBorders>
              <w:bottom w:val="single" w:color="auto" w:sz="4" w:space="0"/>
            </w:tcBorders>
            <w:vAlign w:val="center"/>
          </w:tcPr>
          <w:p w14:paraId="39B9CD3D">
            <w:pPr>
              <w:keepNext w:val="0"/>
              <w:keepLines w:val="0"/>
              <w:pageBreakBefore w:val="0"/>
              <w:widowControl w:val="0"/>
              <w:kinsoku/>
              <w:wordWrap/>
              <w:overflowPunct/>
              <w:topLinePunct w:val="0"/>
              <w:autoSpaceDE/>
              <w:autoSpaceDN/>
              <w:bidi w:val="0"/>
              <w:spacing w:line="360" w:lineRule="exact"/>
              <w:ind w:right="0" w:rightChars="0"/>
              <w:jc w:val="center"/>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sz w:val="24"/>
                <w:szCs w:val="18"/>
                <w:highlight w:val="none"/>
                <w:lang w:val="en-US" w:eastAsia="zh-CN"/>
              </w:rPr>
              <w:t>投标人资格声明书</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4"/>
                <w:szCs w:val="18"/>
                <w:highlight w:val="none"/>
                <w:lang w:val="en-US" w:eastAsia="zh-CN"/>
              </w:rPr>
              <w:t>资格承诺</w:t>
            </w:r>
          </w:p>
        </w:tc>
        <w:tc>
          <w:tcPr>
            <w:tcW w:w="1854" w:type="pct"/>
            <w:tcBorders>
              <w:bottom w:val="single" w:color="auto" w:sz="4" w:space="0"/>
            </w:tcBorders>
            <w:vAlign w:val="center"/>
          </w:tcPr>
          <w:p w14:paraId="67003EFC">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供符合招标文件要求的《投标人资格声明书》《无重大违法记录声明函、无不良信用记录承诺函》</w:t>
            </w:r>
            <w:r>
              <w:rPr>
                <w:rFonts w:hint="eastAsia" w:ascii="宋体" w:hAnsi="宋体" w:eastAsia="宋体" w:cs="宋体"/>
                <w:color w:val="auto"/>
                <w:sz w:val="24"/>
                <w:szCs w:val="24"/>
                <w:highlight w:val="none"/>
                <w:lang w:eastAsia="zh-CN"/>
              </w:rPr>
              <w:t>。</w:t>
            </w:r>
          </w:p>
        </w:tc>
        <w:tc>
          <w:tcPr>
            <w:tcW w:w="1921" w:type="pct"/>
            <w:vAlign w:val="center"/>
          </w:tcPr>
          <w:p w14:paraId="6887004C">
            <w:pPr>
              <w:keepNext w:val="0"/>
              <w:keepLines w:val="0"/>
              <w:pageBreakBefore w:val="0"/>
              <w:widowControl w:val="0"/>
              <w:kinsoku/>
              <w:wordWrap/>
              <w:overflowPunct/>
              <w:topLinePunct w:val="0"/>
              <w:autoSpaceDE/>
              <w:autoSpaceDN/>
              <w:bidi w:val="0"/>
              <w:spacing w:line="360" w:lineRule="exact"/>
              <w:ind w:right="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5582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tcBorders>
              <w:bottom w:val="single" w:color="auto" w:sz="4" w:space="0"/>
            </w:tcBorders>
            <w:vAlign w:val="center"/>
          </w:tcPr>
          <w:p w14:paraId="03796779">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w:t>
            </w:r>
          </w:p>
        </w:tc>
        <w:tc>
          <w:tcPr>
            <w:tcW w:w="913" w:type="pct"/>
            <w:tcBorders>
              <w:bottom w:val="single" w:color="auto" w:sz="4" w:space="0"/>
            </w:tcBorders>
            <w:vAlign w:val="center"/>
          </w:tcPr>
          <w:p w14:paraId="4BD31488">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投标人信用记录</w:t>
            </w:r>
          </w:p>
        </w:tc>
        <w:tc>
          <w:tcPr>
            <w:tcW w:w="1854" w:type="pct"/>
            <w:tcBorders>
              <w:bottom w:val="single" w:color="auto" w:sz="4" w:space="0"/>
            </w:tcBorders>
            <w:vAlign w:val="center"/>
          </w:tcPr>
          <w:p w14:paraId="2B30743C">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921" w:type="pct"/>
            <w:tcBorders>
              <w:bottom w:val="single" w:color="auto" w:sz="4" w:space="0"/>
            </w:tcBorders>
            <w:vAlign w:val="center"/>
          </w:tcPr>
          <w:p w14:paraId="3BCEAAE8">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sz w:val="24"/>
                <w:szCs w:val="24"/>
                <w:highlight w:val="none"/>
                <w:lang w:eastAsia="zh-CN"/>
              </w:rPr>
              <w:t>无需提供证明材料。</w:t>
            </w:r>
            <w:r>
              <w:rPr>
                <w:rFonts w:hint="eastAsia" w:ascii="宋体" w:hAnsi="宋体" w:eastAsia="宋体" w:cs="宋体"/>
                <w:color w:val="auto"/>
                <w:sz w:val="24"/>
                <w:szCs w:val="24"/>
                <w:highlight w:val="none"/>
              </w:rPr>
              <w:t>投标截止时间后至评审结束前</w:t>
            </w:r>
            <w:r>
              <w:rPr>
                <w:rFonts w:hint="eastAsia" w:ascii="宋体" w:hAnsi="宋体" w:eastAsia="宋体" w:cs="宋体"/>
                <w:color w:val="auto"/>
                <w:sz w:val="24"/>
                <w:szCs w:val="24"/>
                <w:highlight w:val="none"/>
                <w:lang w:eastAsia="zh-CN"/>
              </w:rPr>
              <w:t>，通过</w:t>
            </w:r>
            <w:r>
              <w:rPr>
                <w:rFonts w:hint="eastAsia" w:ascii="宋体" w:hAnsi="宋体" w:eastAsia="宋体" w:cs="宋体"/>
                <w:color w:val="auto"/>
                <w:sz w:val="24"/>
                <w:szCs w:val="24"/>
                <w:highlight w:val="none"/>
              </w:rPr>
              <w:t>评标系统对</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(含联合体成员)进行交互查询，以评标时</w:t>
            </w:r>
            <w:r>
              <w:rPr>
                <w:rFonts w:hint="eastAsia" w:ascii="宋体" w:hAnsi="宋体" w:eastAsia="宋体" w:cs="宋体"/>
                <w:color w:val="auto"/>
                <w:sz w:val="24"/>
                <w:szCs w:val="24"/>
                <w:highlight w:val="none"/>
                <w:lang w:eastAsia="zh-CN"/>
              </w:rPr>
              <w:t>六安市</w:t>
            </w:r>
            <w:r>
              <w:rPr>
                <w:rFonts w:hint="eastAsia" w:ascii="宋体" w:hAnsi="宋体" w:eastAsia="宋体" w:cs="宋体"/>
                <w:color w:val="auto"/>
                <w:sz w:val="24"/>
                <w:szCs w:val="24"/>
                <w:highlight w:val="none"/>
              </w:rPr>
              <w:t>公共资源交易</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rPr>
              <w:t>评标系统与“信用中国(www.creditchina.gov.cn)”平台实时交互数据为准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相关查询结果系统自动存档</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w:t>
            </w:r>
            <w:r>
              <w:rPr>
                <w:rFonts w:hint="eastAsia" w:ascii="宋体" w:hAnsi="宋体" w:eastAsia="宋体" w:cs="宋体"/>
                <w:color w:val="auto"/>
                <w:sz w:val="24"/>
                <w:szCs w:val="24"/>
                <w:highlight w:val="none"/>
              </w:rPr>
              <w:t>遇系统故障，</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rPr>
              <w:t>“信用中国(www.creditchina.gov.cn)”</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现场对查询结果截图存档</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人工查询仍有故障的，则此项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1267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tcBorders>
              <w:bottom w:val="single" w:color="auto" w:sz="4" w:space="0"/>
            </w:tcBorders>
            <w:vAlign w:val="center"/>
          </w:tcPr>
          <w:p w14:paraId="4F7DE1D6">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4</w:t>
            </w:r>
          </w:p>
        </w:tc>
        <w:tc>
          <w:tcPr>
            <w:tcW w:w="913" w:type="pct"/>
            <w:tcBorders>
              <w:bottom w:val="single" w:color="auto" w:sz="4" w:space="0"/>
            </w:tcBorders>
            <w:vAlign w:val="center"/>
          </w:tcPr>
          <w:p w14:paraId="627ABEAB">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1854" w:type="pct"/>
            <w:tcBorders>
              <w:bottom w:val="single" w:color="auto" w:sz="4" w:space="0"/>
            </w:tcBorders>
            <w:vAlign w:val="top"/>
          </w:tcPr>
          <w:p w14:paraId="5A836731">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szCs w:val="28"/>
                <w:highlight w:val="none"/>
                <w:lang w:val="en-US" w:eastAsia="zh-CN"/>
              </w:rPr>
              <w:t>申请人的</w:t>
            </w:r>
            <w:r>
              <w:rPr>
                <w:rFonts w:hint="eastAsia" w:ascii="宋体" w:hAnsi="宋体" w:eastAsia="宋体" w:cs="宋体"/>
                <w:color w:val="auto"/>
                <w:sz w:val="24"/>
                <w:szCs w:val="28"/>
                <w:highlight w:val="none"/>
              </w:rPr>
              <w:t>资格</w:t>
            </w:r>
            <w:r>
              <w:rPr>
                <w:rFonts w:hint="eastAsia" w:ascii="宋体" w:hAnsi="宋体" w:eastAsia="宋体" w:cs="宋体"/>
                <w:color w:val="auto"/>
                <w:sz w:val="24"/>
                <w:szCs w:val="28"/>
                <w:highlight w:val="none"/>
                <w:lang w:val="en-US" w:eastAsia="zh-CN"/>
              </w:rPr>
              <w:t>要求</w:t>
            </w:r>
            <w:r>
              <w:rPr>
                <w:rFonts w:hint="eastAsia" w:ascii="宋体" w:hAnsi="宋体" w:eastAsia="宋体" w:cs="宋体"/>
                <w:color w:val="auto"/>
                <w:sz w:val="24"/>
                <w:szCs w:val="28"/>
                <w:highlight w:val="none"/>
              </w:rPr>
              <w:t>中落实政府采购政策需满足的资格要求</w:t>
            </w:r>
            <w:r>
              <w:rPr>
                <w:rFonts w:hint="eastAsia" w:ascii="宋体" w:hAnsi="宋体" w:eastAsia="宋体" w:cs="宋体"/>
                <w:color w:val="auto"/>
                <w:sz w:val="24"/>
                <w:szCs w:val="28"/>
                <w:highlight w:val="none"/>
                <w:lang w:eastAsia="zh-CN"/>
              </w:rPr>
              <w:t>：</w:t>
            </w:r>
          </w:p>
          <w:p w14:paraId="2DFE99B8">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p w14:paraId="07B640E2">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921" w:type="pct"/>
            <w:tcBorders>
              <w:bottom w:val="single" w:color="auto" w:sz="4" w:space="0"/>
            </w:tcBorders>
            <w:vAlign w:val="center"/>
          </w:tcPr>
          <w:p w14:paraId="105B6CDE">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3F0E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tcBorders>
              <w:bottom w:val="single" w:color="auto" w:sz="4" w:space="0"/>
            </w:tcBorders>
            <w:vAlign w:val="center"/>
          </w:tcPr>
          <w:p w14:paraId="32D424A7">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5</w:t>
            </w:r>
          </w:p>
        </w:tc>
        <w:tc>
          <w:tcPr>
            <w:tcW w:w="913" w:type="pct"/>
            <w:tcBorders>
              <w:bottom w:val="single" w:color="auto" w:sz="4" w:space="0"/>
            </w:tcBorders>
            <w:vAlign w:val="top"/>
          </w:tcPr>
          <w:p w14:paraId="7E982F13">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拟分包情况说明及分包意向协议（</w:t>
            </w:r>
            <w:r>
              <w:rPr>
                <w:rFonts w:hint="eastAsia" w:ascii="宋体" w:hAnsi="宋体" w:eastAsia="宋体" w:cs="宋体"/>
                <w:i/>
                <w:iCs/>
                <w:color w:val="auto"/>
                <w:sz w:val="24"/>
                <w:szCs w:val="24"/>
                <w:highlight w:val="none"/>
                <w:lang w:val="en-US" w:eastAsia="zh-CN"/>
              </w:rPr>
              <w:t>适用于合同分包预留中小企业采购份额项目</w:t>
            </w:r>
            <w:r>
              <w:rPr>
                <w:rFonts w:hint="eastAsia" w:ascii="宋体" w:hAnsi="宋体" w:eastAsia="宋体" w:cs="宋体"/>
                <w:color w:val="auto"/>
                <w:sz w:val="24"/>
                <w:szCs w:val="24"/>
                <w:highlight w:val="none"/>
              </w:rPr>
              <w:t>）</w:t>
            </w:r>
          </w:p>
        </w:tc>
        <w:tc>
          <w:tcPr>
            <w:tcW w:w="1854" w:type="pct"/>
            <w:tcBorders>
              <w:bottom w:val="single" w:color="auto" w:sz="4" w:space="0"/>
            </w:tcBorders>
            <w:vAlign w:val="center"/>
          </w:tcPr>
          <w:p w14:paraId="40B5060A">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通过分包措施预留部分采购份额面向中小企业采购且投标人因落实政府采购政策拟进行分包的。</w:t>
            </w:r>
          </w:p>
        </w:tc>
        <w:tc>
          <w:tcPr>
            <w:tcW w:w="1921" w:type="pct"/>
            <w:tcBorders>
              <w:bottom w:val="single" w:color="auto" w:sz="4" w:space="0"/>
            </w:tcBorders>
            <w:vAlign w:val="center"/>
          </w:tcPr>
          <w:p w14:paraId="6A615877">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559C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309" w:type="pct"/>
            <w:tcBorders>
              <w:bottom w:val="single" w:color="auto" w:sz="4" w:space="0"/>
            </w:tcBorders>
            <w:vAlign w:val="center"/>
          </w:tcPr>
          <w:p w14:paraId="5A405E29">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w:t>
            </w:r>
          </w:p>
        </w:tc>
        <w:tc>
          <w:tcPr>
            <w:tcW w:w="913" w:type="pct"/>
            <w:tcBorders>
              <w:bottom w:val="single" w:color="auto" w:sz="4" w:space="0"/>
            </w:tcBorders>
            <w:vAlign w:val="center"/>
          </w:tcPr>
          <w:p w14:paraId="13E8B2B8">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其它落实政府采</w:t>
            </w:r>
            <w:r>
              <w:rPr>
                <w:rFonts w:hint="eastAsia" w:ascii="宋体" w:hAnsi="宋体" w:eastAsia="宋体" w:cs="宋体"/>
                <w:color w:val="auto"/>
                <w:spacing w:val="11"/>
                <w:sz w:val="24"/>
                <w:szCs w:val="24"/>
                <w:highlight w:val="none"/>
              </w:rPr>
              <w:t>购政策的资格要</w:t>
            </w:r>
            <w:r>
              <w:rPr>
                <w:rFonts w:hint="eastAsia" w:ascii="宋体" w:hAnsi="宋体" w:eastAsia="宋体" w:cs="宋体"/>
                <w:color w:val="auto"/>
                <w:sz w:val="24"/>
                <w:szCs w:val="24"/>
                <w:highlight w:val="none"/>
              </w:rPr>
              <w:t>求</w:t>
            </w:r>
          </w:p>
        </w:tc>
        <w:tc>
          <w:tcPr>
            <w:tcW w:w="1854" w:type="pct"/>
            <w:tcBorders>
              <w:bottom w:val="single" w:color="auto" w:sz="4" w:space="0"/>
            </w:tcBorders>
            <w:vAlign w:val="center"/>
          </w:tcPr>
          <w:p w14:paraId="71EBC1DD">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如有，见第一章《</w:t>
            </w:r>
            <w:r>
              <w:rPr>
                <w:rFonts w:hint="eastAsia" w:ascii="宋体" w:hAnsi="宋体" w:eastAsia="宋体" w:cs="宋体"/>
                <w:color w:val="auto"/>
                <w:spacing w:val="-2"/>
                <w:sz w:val="24"/>
                <w:szCs w:val="24"/>
                <w:highlight w:val="none"/>
                <w:lang w:eastAsia="zh-CN"/>
              </w:rPr>
              <w:t>投标邀请</w:t>
            </w:r>
            <w:r>
              <w:rPr>
                <w:rFonts w:hint="eastAsia" w:ascii="宋体" w:hAnsi="宋体" w:eastAsia="宋体" w:cs="宋体"/>
                <w:color w:val="auto"/>
                <w:spacing w:val="-2"/>
                <w:sz w:val="24"/>
                <w:szCs w:val="24"/>
                <w:highlight w:val="none"/>
              </w:rPr>
              <w:t>》</w:t>
            </w:r>
          </w:p>
        </w:tc>
        <w:tc>
          <w:tcPr>
            <w:tcW w:w="1921" w:type="pct"/>
            <w:tcBorders>
              <w:bottom w:val="single" w:color="auto" w:sz="4" w:space="0"/>
            </w:tcBorders>
            <w:vAlign w:val="center"/>
          </w:tcPr>
          <w:p w14:paraId="012A2D08">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0A52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309" w:type="pct"/>
            <w:tcBorders>
              <w:bottom w:val="single" w:color="auto" w:sz="4" w:space="0"/>
            </w:tcBorders>
            <w:vAlign w:val="center"/>
          </w:tcPr>
          <w:p w14:paraId="064676BC">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p>
        </w:tc>
        <w:tc>
          <w:tcPr>
            <w:tcW w:w="913" w:type="pct"/>
            <w:tcBorders>
              <w:bottom w:val="single" w:color="auto" w:sz="4" w:space="0"/>
            </w:tcBorders>
            <w:vAlign w:val="center"/>
          </w:tcPr>
          <w:p w14:paraId="0C58F9D8">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rPr>
              <w:t>本项目对于联合</w:t>
            </w:r>
            <w:r>
              <w:rPr>
                <w:rFonts w:hint="eastAsia" w:ascii="宋体" w:hAnsi="宋体" w:eastAsia="宋体" w:cs="宋体"/>
                <w:color w:val="auto"/>
                <w:spacing w:val="-2"/>
                <w:sz w:val="24"/>
                <w:szCs w:val="24"/>
                <w:highlight w:val="none"/>
              </w:rPr>
              <w:t>体的要求</w:t>
            </w:r>
            <w:r>
              <w:rPr>
                <w:rFonts w:hint="eastAsia" w:ascii="宋体" w:hAnsi="宋体" w:eastAsia="宋体" w:cs="宋体"/>
                <w:color w:val="auto"/>
                <w:spacing w:val="-2"/>
                <w:sz w:val="24"/>
                <w:szCs w:val="24"/>
                <w:highlight w:val="none"/>
                <w:lang w:eastAsia="zh-CN"/>
              </w:rPr>
              <w:t>（</w:t>
            </w:r>
            <w:r>
              <w:rPr>
                <w:rFonts w:hint="eastAsia" w:ascii="宋体" w:hAnsi="宋体" w:eastAsia="宋体" w:cs="宋体"/>
                <w:i/>
                <w:iCs/>
                <w:color w:val="auto"/>
                <w:spacing w:val="-2"/>
                <w:sz w:val="24"/>
                <w:szCs w:val="24"/>
                <w:highlight w:val="none"/>
                <w:lang w:val="en-US" w:eastAsia="zh-CN"/>
              </w:rPr>
              <w:t>适用于接受联合体投标项目</w:t>
            </w:r>
            <w:r>
              <w:rPr>
                <w:rFonts w:hint="eastAsia" w:ascii="宋体" w:hAnsi="宋体" w:eastAsia="宋体" w:cs="宋体"/>
                <w:color w:val="auto"/>
                <w:spacing w:val="-2"/>
                <w:sz w:val="24"/>
                <w:szCs w:val="24"/>
                <w:highlight w:val="none"/>
                <w:lang w:eastAsia="zh-CN"/>
              </w:rPr>
              <w:t>）</w:t>
            </w:r>
          </w:p>
        </w:tc>
        <w:tc>
          <w:tcPr>
            <w:tcW w:w="1854" w:type="pct"/>
            <w:tcBorders>
              <w:bottom w:val="single" w:color="auto" w:sz="4" w:space="0"/>
            </w:tcBorders>
            <w:vAlign w:val="center"/>
          </w:tcPr>
          <w:p w14:paraId="23F823A1">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联合体投标的</w:t>
            </w:r>
            <w:r>
              <w:rPr>
                <w:rFonts w:hint="eastAsia" w:ascii="宋体" w:hAnsi="宋体" w:eastAsia="宋体" w:cs="宋体"/>
                <w:color w:val="auto"/>
                <w:spacing w:val="10"/>
                <w:kern w:val="2"/>
                <w:sz w:val="24"/>
                <w:szCs w:val="24"/>
                <w:highlight w:val="none"/>
                <w:lang w:val="en-US" w:eastAsia="zh-CN" w:bidi="ar-SA"/>
              </w:rPr>
              <w:t>详见</w:t>
            </w:r>
            <w:r>
              <w:rPr>
                <w:rFonts w:hint="eastAsia" w:ascii="宋体" w:hAnsi="宋体" w:eastAsia="宋体" w:cs="宋体"/>
                <w:color w:val="auto"/>
                <w:sz w:val="24"/>
                <w:szCs w:val="24"/>
                <w:highlight w:val="none"/>
                <w:lang w:val="zh-CN" w:eastAsia="zh-CN"/>
              </w:rPr>
              <w:t>投标人须知正文第</w:t>
            </w:r>
            <w:r>
              <w:rPr>
                <w:rFonts w:hint="eastAsia" w:ascii="宋体" w:hAnsi="宋体" w:eastAsia="宋体" w:cs="宋体"/>
                <w:color w:val="auto"/>
                <w:sz w:val="24"/>
                <w:szCs w:val="24"/>
                <w:highlight w:val="none"/>
                <w:lang w:val="en-US" w:eastAsia="zh-CN"/>
              </w:rPr>
              <w:t>1.5，且</w:t>
            </w:r>
            <w:r>
              <w:rPr>
                <w:rFonts w:hint="eastAsia" w:ascii="宋体" w:hAnsi="宋体" w:eastAsia="宋体" w:cs="宋体"/>
                <w:color w:val="auto"/>
                <w:spacing w:val="10"/>
                <w:kern w:val="2"/>
                <w:sz w:val="24"/>
                <w:szCs w:val="24"/>
                <w:highlight w:val="none"/>
                <w:lang w:val="en-US" w:eastAsia="zh-CN" w:bidi="ar-SA"/>
              </w:rPr>
              <w:t>提供《联合协议》。</w:t>
            </w:r>
          </w:p>
        </w:tc>
        <w:tc>
          <w:tcPr>
            <w:tcW w:w="1921" w:type="pct"/>
            <w:tcBorders>
              <w:bottom w:val="single" w:color="auto" w:sz="4" w:space="0"/>
            </w:tcBorders>
            <w:vAlign w:val="center"/>
          </w:tcPr>
          <w:p w14:paraId="4D784A1A">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0"/>
                <w:kern w:val="2"/>
                <w:sz w:val="24"/>
                <w:szCs w:val="24"/>
                <w:highlight w:val="none"/>
                <w:lang w:val="en-US" w:eastAsia="zh-CN" w:bidi="ar-SA"/>
              </w:rPr>
              <w:t>《联合协议》</w:t>
            </w: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7652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14:paraId="1FBD5F84">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8</w:t>
            </w:r>
          </w:p>
        </w:tc>
        <w:tc>
          <w:tcPr>
            <w:tcW w:w="913" w:type="pct"/>
            <w:vAlign w:val="center"/>
          </w:tcPr>
          <w:p w14:paraId="5DF6E55E">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rPr>
              <w:t>其他特定资格要求</w:t>
            </w:r>
          </w:p>
        </w:tc>
        <w:tc>
          <w:tcPr>
            <w:tcW w:w="1854" w:type="pct"/>
            <w:vAlign w:val="center"/>
          </w:tcPr>
          <w:p w14:paraId="0457020E">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lang w:eastAsia="zh-CN"/>
              </w:rPr>
              <w:t>投标邀请</w:t>
            </w:r>
            <w:r>
              <w:rPr>
                <w:rFonts w:hint="eastAsia" w:ascii="宋体" w:hAnsi="宋体" w:eastAsia="宋体" w:cs="宋体"/>
                <w:color w:val="auto"/>
                <w:spacing w:val="10"/>
                <w:sz w:val="24"/>
                <w:szCs w:val="24"/>
                <w:highlight w:val="none"/>
              </w:rPr>
              <w:t>》</w:t>
            </w:r>
          </w:p>
        </w:tc>
        <w:tc>
          <w:tcPr>
            <w:tcW w:w="1921" w:type="pct"/>
            <w:vAlign w:val="center"/>
          </w:tcPr>
          <w:p w14:paraId="4E23174B">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1A020116">
      <w:pPr>
        <w:spacing w:line="360" w:lineRule="auto"/>
        <w:ind w:firstLine="43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资格审查指标通过标准：</w:t>
      </w:r>
      <w:r>
        <w:rPr>
          <w:rFonts w:hint="eastAsia" w:ascii="宋体" w:hAnsi="宋体" w:eastAsia="宋体" w:cs="宋体"/>
          <w:color w:val="auto"/>
          <w:sz w:val="24"/>
          <w:highlight w:val="none"/>
        </w:rPr>
        <w:t>投标人必须通过资格审查表中的全部评审指标。</w:t>
      </w:r>
    </w:p>
    <w:p w14:paraId="14D50156">
      <w:pPr>
        <w:spacing w:line="360" w:lineRule="auto"/>
        <w:ind w:firstLine="437"/>
        <w:outlineLvl w:val="2"/>
        <w:rPr>
          <w:rFonts w:hint="eastAsia" w:ascii="宋体" w:hAnsi="宋体" w:eastAsia="宋体" w:cs="宋体"/>
          <w:b/>
          <w:bCs/>
          <w:color w:val="auto"/>
          <w:sz w:val="24"/>
          <w:highlight w:val="none"/>
        </w:rPr>
      </w:pPr>
    </w:p>
    <w:p w14:paraId="5203B5E6">
      <w:pPr>
        <w:spacing w:line="360" w:lineRule="auto"/>
        <w:ind w:firstLine="437"/>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2.2符合性审查</w:t>
      </w:r>
    </w:p>
    <w:p w14:paraId="3B916C7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评标委员会对通过资格审查的投标人的投标文件进行符合性审查，以确定其是否满足招标文件的实质性要求。符合性审查表如下：</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907"/>
        <w:gridCol w:w="3170"/>
        <w:gridCol w:w="2695"/>
      </w:tblGrid>
      <w:tr w14:paraId="1ED2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55D07C72">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符合性审查表</w:t>
            </w:r>
          </w:p>
        </w:tc>
      </w:tr>
      <w:tr w14:paraId="55A3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40" w:type="pct"/>
            <w:tcBorders>
              <w:bottom w:val="single" w:color="auto" w:sz="4" w:space="0"/>
            </w:tcBorders>
            <w:vAlign w:val="center"/>
          </w:tcPr>
          <w:p w14:paraId="1EB2C375">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119" w:type="pct"/>
            <w:tcBorders>
              <w:bottom w:val="single" w:color="auto" w:sz="4" w:space="0"/>
            </w:tcBorders>
            <w:vAlign w:val="center"/>
          </w:tcPr>
          <w:p w14:paraId="2AC07E40">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360" w:lineRule="exact"/>
              <w:ind w:right="0"/>
              <w:textAlignment w:val="auto"/>
              <w:rPr>
                <w:rFonts w:hint="eastAsia" w:ascii="宋体" w:hAnsi="宋体" w:eastAsia="宋体" w:cs="宋体"/>
                <w:b/>
                <w:bCs/>
                <w:color w:val="auto"/>
                <w:kern w:val="2"/>
                <w:sz w:val="24"/>
                <w:szCs w:val="20"/>
                <w:highlight w:val="none"/>
                <w:lang w:val="en-US" w:eastAsia="zh-CN" w:bidi="ar-SA"/>
              </w:rPr>
            </w:pPr>
            <w:r>
              <w:rPr>
                <w:rFonts w:hint="eastAsia" w:ascii="宋体" w:hAnsi="宋体" w:eastAsia="宋体" w:cs="宋体"/>
                <w:b/>
                <w:bCs/>
                <w:color w:val="auto"/>
                <w:kern w:val="2"/>
                <w:sz w:val="24"/>
                <w:szCs w:val="20"/>
                <w:highlight w:val="none"/>
                <w:lang w:val="en-US" w:eastAsia="zh-CN" w:bidi="ar-SA"/>
              </w:rPr>
              <w:t>审查指标</w:t>
            </w:r>
          </w:p>
        </w:tc>
        <w:tc>
          <w:tcPr>
            <w:tcW w:w="1860" w:type="pct"/>
            <w:tcBorders>
              <w:bottom w:val="single" w:color="auto" w:sz="4" w:space="0"/>
            </w:tcBorders>
            <w:vAlign w:val="center"/>
          </w:tcPr>
          <w:p w14:paraId="1640AA28">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kern w:val="2"/>
                <w:sz w:val="24"/>
                <w:szCs w:val="20"/>
                <w:highlight w:val="none"/>
                <w:lang w:val="en-US" w:eastAsia="zh-CN" w:bidi="ar-SA"/>
              </w:rPr>
            </w:pPr>
            <w:r>
              <w:rPr>
                <w:rFonts w:hint="eastAsia" w:ascii="宋体" w:hAnsi="宋体" w:eastAsia="宋体" w:cs="宋体"/>
                <w:b/>
                <w:bCs/>
                <w:color w:val="auto"/>
                <w:kern w:val="2"/>
                <w:sz w:val="24"/>
                <w:szCs w:val="20"/>
                <w:highlight w:val="none"/>
                <w:lang w:val="en-US" w:eastAsia="zh-CN" w:bidi="ar-SA"/>
              </w:rPr>
              <w:t>审查标准</w:t>
            </w:r>
          </w:p>
        </w:tc>
        <w:tc>
          <w:tcPr>
            <w:tcW w:w="1578" w:type="pct"/>
            <w:tcBorders>
              <w:bottom w:val="single" w:color="auto" w:sz="4" w:space="0"/>
            </w:tcBorders>
            <w:vAlign w:val="center"/>
          </w:tcPr>
          <w:p w14:paraId="682843AF">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格式要求</w:t>
            </w:r>
          </w:p>
        </w:tc>
      </w:tr>
      <w:tr w14:paraId="0DAE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5AA2B76F">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119" w:type="pct"/>
            <w:vAlign w:val="center"/>
          </w:tcPr>
          <w:p w14:paraId="4EF02983">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开标一览表</w:t>
            </w:r>
          </w:p>
        </w:tc>
        <w:tc>
          <w:tcPr>
            <w:tcW w:w="1860" w:type="pct"/>
            <w:vAlign w:val="center"/>
          </w:tcPr>
          <w:p w14:paraId="72AAF001">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578" w:type="pct"/>
            <w:vAlign w:val="center"/>
          </w:tcPr>
          <w:p w14:paraId="6C773AFC">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54F9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4381EB07">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119" w:type="pct"/>
            <w:vAlign w:val="center"/>
          </w:tcPr>
          <w:p w14:paraId="776A6FCB">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投标函</w:t>
            </w:r>
          </w:p>
        </w:tc>
        <w:tc>
          <w:tcPr>
            <w:tcW w:w="1860" w:type="pct"/>
            <w:vAlign w:val="center"/>
          </w:tcPr>
          <w:p w14:paraId="18970778">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578" w:type="pct"/>
            <w:vAlign w:val="center"/>
          </w:tcPr>
          <w:p w14:paraId="1774D346">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1806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6A71CF1D">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119" w:type="pct"/>
            <w:vAlign w:val="center"/>
          </w:tcPr>
          <w:p w14:paraId="56E8B88A">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授权书</w:t>
            </w:r>
          </w:p>
        </w:tc>
        <w:tc>
          <w:tcPr>
            <w:tcW w:w="1860" w:type="pct"/>
            <w:vAlign w:val="center"/>
          </w:tcPr>
          <w:p w14:paraId="19A6D82B">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578" w:type="pct"/>
            <w:vAlign w:val="center"/>
          </w:tcPr>
          <w:p w14:paraId="6472AD69">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法定代表人参加投标的无需此件，提供身份证明即可。详见第六章投标文件格式</w:t>
            </w:r>
            <w:r>
              <w:rPr>
                <w:rFonts w:hint="eastAsia" w:ascii="宋体" w:hAnsi="宋体" w:eastAsia="宋体" w:cs="宋体"/>
                <w:color w:val="auto"/>
                <w:sz w:val="24"/>
                <w:highlight w:val="none"/>
                <w:lang w:eastAsia="zh-CN"/>
              </w:rPr>
              <w:t>。</w:t>
            </w:r>
          </w:p>
        </w:tc>
      </w:tr>
      <w:tr w14:paraId="64EF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5E88F660">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119" w:type="pct"/>
            <w:vAlign w:val="center"/>
          </w:tcPr>
          <w:p w14:paraId="4BE1CBCC">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投标报价</w:t>
            </w:r>
          </w:p>
        </w:tc>
        <w:tc>
          <w:tcPr>
            <w:tcW w:w="1860" w:type="pct"/>
            <w:vAlign w:val="center"/>
          </w:tcPr>
          <w:p w14:paraId="292F6CCD">
            <w:pPr>
              <w:keepNext w:val="0"/>
              <w:keepLines w:val="0"/>
              <w:pageBreakBefore w:val="0"/>
              <w:widowControl w:val="0"/>
              <w:kinsoku/>
              <w:wordWrap/>
              <w:overflowPunct/>
              <w:topLinePunct w:val="0"/>
              <w:autoSpaceDE/>
              <w:autoSpaceDN/>
              <w:bidi w:val="0"/>
              <w:spacing w:line="360" w:lineRule="exact"/>
              <w:ind w:right="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highlight w:val="none"/>
              </w:rPr>
              <w:t>招标文件投标人须知正文第</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条要求</w:t>
            </w:r>
          </w:p>
        </w:tc>
        <w:tc>
          <w:tcPr>
            <w:tcW w:w="1578" w:type="pct"/>
            <w:vAlign w:val="center"/>
          </w:tcPr>
          <w:p w14:paraId="76E5A6BD">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4E74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47A9543E">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1119" w:type="pct"/>
            <w:vAlign w:val="center"/>
          </w:tcPr>
          <w:p w14:paraId="57FEBC8A">
            <w:pPr>
              <w:keepNext w:val="0"/>
              <w:keepLines w:val="0"/>
              <w:pageBreakBefore w:val="0"/>
              <w:widowControl w:val="0"/>
              <w:kinsoku/>
              <w:wordWrap/>
              <w:overflowPunct/>
              <w:topLinePunct w:val="0"/>
              <w:autoSpaceDE/>
              <w:autoSpaceDN/>
              <w:bidi w:val="0"/>
              <w:spacing w:line="360" w:lineRule="exact"/>
              <w:ind w:right="0"/>
              <w:jc w:val="center"/>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商务响应情况</w:t>
            </w:r>
          </w:p>
        </w:tc>
        <w:tc>
          <w:tcPr>
            <w:tcW w:w="1860" w:type="pct"/>
            <w:vAlign w:val="center"/>
          </w:tcPr>
          <w:p w14:paraId="63C7C84D">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符合招标文件采购需求中对付款方式、</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地点、</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期限</w:t>
            </w:r>
            <w:r>
              <w:rPr>
                <w:rFonts w:hint="eastAsia" w:ascii="宋体" w:hAnsi="宋体" w:eastAsia="宋体" w:cs="宋体"/>
                <w:color w:val="auto"/>
                <w:sz w:val="24"/>
                <w:szCs w:val="28"/>
                <w:highlight w:val="none"/>
                <w:lang w:val="en-US" w:eastAsia="zh-CN"/>
              </w:rPr>
              <w:t>等实质性</w:t>
            </w:r>
            <w:r>
              <w:rPr>
                <w:rFonts w:hint="eastAsia" w:ascii="宋体" w:hAnsi="宋体" w:eastAsia="宋体" w:cs="宋体"/>
                <w:color w:val="auto"/>
                <w:sz w:val="24"/>
                <w:szCs w:val="28"/>
                <w:highlight w:val="none"/>
              </w:rPr>
              <w:t>要求</w:t>
            </w:r>
          </w:p>
        </w:tc>
        <w:tc>
          <w:tcPr>
            <w:tcW w:w="1578" w:type="pct"/>
            <w:vAlign w:val="center"/>
          </w:tcPr>
          <w:p w14:paraId="07A16BFB">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67D5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34A49868">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w:t>
            </w:r>
          </w:p>
        </w:tc>
        <w:tc>
          <w:tcPr>
            <w:tcW w:w="1119" w:type="pct"/>
            <w:vAlign w:val="center"/>
          </w:tcPr>
          <w:p w14:paraId="0B14579F">
            <w:pPr>
              <w:keepNext w:val="0"/>
              <w:keepLines w:val="0"/>
              <w:pageBreakBefore w:val="0"/>
              <w:widowControl w:val="0"/>
              <w:kinsoku/>
              <w:wordWrap/>
              <w:overflowPunct/>
              <w:topLinePunct w:val="0"/>
              <w:autoSpaceDE/>
              <w:autoSpaceDN/>
              <w:bidi w:val="0"/>
              <w:spacing w:line="360" w:lineRule="exact"/>
              <w:ind w:right="0"/>
              <w:jc w:val="center"/>
              <w:textAlignment w:val="auto"/>
              <w:outlineLvl w:val="2"/>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技术</w:t>
            </w:r>
            <w:r>
              <w:rPr>
                <w:rFonts w:hint="eastAsia" w:ascii="宋体" w:hAnsi="宋体" w:eastAsia="宋体" w:cs="宋体"/>
                <w:color w:val="auto"/>
                <w:sz w:val="24"/>
                <w:szCs w:val="28"/>
                <w:highlight w:val="none"/>
              </w:rPr>
              <w:t>响应情况</w:t>
            </w:r>
          </w:p>
        </w:tc>
        <w:tc>
          <w:tcPr>
            <w:tcW w:w="1860" w:type="pct"/>
            <w:vAlign w:val="center"/>
          </w:tcPr>
          <w:p w14:paraId="32EA873C">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w:t>
            </w:r>
            <w:r>
              <w:rPr>
                <w:rFonts w:hint="eastAsia" w:ascii="宋体" w:hAnsi="宋体" w:eastAsia="宋体" w:cs="宋体"/>
                <w:color w:val="auto"/>
                <w:sz w:val="24"/>
                <w:szCs w:val="28"/>
                <w:highlight w:val="none"/>
                <w:lang w:val="en-US" w:eastAsia="zh-CN"/>
              </w:rPr>
              <w:t>实质性响应技术参数</w:t>
            </w:r>
            <w:r>
              <w:rPr>
                <w:rFonts w:hint="eastAsia" w:ascii="宋体" w:hAnsi="宋体" w:eastAsia="宋体" w:cs="宋体"/>
                <w:color w:val="auto"/>
                <w:sz w:val="24"/>
                <w:szCs w:val="28"/>
                <w:highlight w:val="none"/>
              </w:rPr>
              <w:t>要求</w:t>
            </w:r>
          </w:p>
        </w:tc>
        <w:tc>
          <w:tcPr>
            <w:tcW w:w="1578" w:type="pct"/>
            <w:vAlign w:val="center"/>
          </w:tcPr>
          <w:p w14:paraId="2BD7558D">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0F21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pct"/>
            <w:vAlign w:val="center"/>
          </w:tcPr>
          <w:p w14:paraId="4B66D09B">
            <w:pPr>
              <w:keepNext w:val="0"/>
              <w:keepLines w:val="0"/>
              <w:pageBreakBefore w:val="0"/>
              <w:widowControl w:val="0"/>
              <w:kinsoku/>
              <w:wordWrap/>
              <w:overflowPunct/>
              <w:topLinePunct w:val="0"/>
              <w:autoSpaceDE/>
              <w:autoSpaceDN/>
              <w:bidi w:val="0"/>
              <w:adjustRightInd w:val="0"/>
              <w:snapToGrid w:val="0"/>
              <w:spacing w:line="360" w:lineRule="exact"/>
              <w:ind w:right="0"/>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p>
        </w:tc>
        <w:tc>
          <w:tcPr>
            <w:tcW w:w="1119" w:type="pct"/>
            <w:shd w:val="clear" w:color="auto" w:fill="auto"/>
            <w:vAlign w:val="center"/>
          </w:tcPr>
          <w:p w14:paraId="724FDD6E">
            <w:pPr>
              <w:pStyle w:val="6"/>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宋体" w:hAnsi="宋体" w:eastAsia="宋体" w:cs="宋体"/>
                <w:color w:val="auto"/>
                <w:spacing w:val="-1"/>
                <w:sz w:val="24"/>
                <w:szCs w:val="24"/>
                <w:highlight w:val="none"/>
                <w:u w:val="none"/>
                <w:lang w:val="en-US" w:eastAsia="zh-CN"/>
              </w:rPr>
            </w:pPr>
            <w:r>
              <w:rPr>
                <w:rFonts w:hint="eastAsia" w:ascii="宋体" w:hAnsi="宋体" w:eastAsia="宋体" w:cs="宋体"/>
                <w:color w:val="auto"/>
                <w:spacing w:val="-1"/>
                <w:sz w:val="24"/>
                <w:szCs w:val="24"/>
                <w:highlight w:val="none"/>
                <w:u w:val="none"/>
              </w:rPr>
              <w:t>其他要求</w:t>
            </w:r>
          </w:p>
        </w:tc>
        <w:tc>
          <w:tcPr>
            <w:tcW w:w="1860" w:type="pct"/>
            <w:shd w:val="clear" w:color="auto" w:fill="auto"/>
            <w:vAlign w:val="center"/>
          </w:tcPr>
          <w:p w14:paraId="3030BC9A">
            <w:pPr>
              <w:keepNext w:val="0"/>
              <w:keepLines w:val="0"/>
              <w:pageBreakBefore w:val="0"/>
              <w:widowControl w:val="0"/>
              <w:kinsoku/>
              <w:wordWrap/>
              <w:overflowPunct/>
              <w:topLinePunct w:val="0"/>
              <w:autoSpaceDE/>
              <w:autoSpaceDN/>
              <w:bidi w:val="0"/>
              <w:spacing w:line="360" w:lineRule="exact"/>
              <w:ind w:right="0" w:rightChars="0"/>
              <w:jc w:val="both"/>
              <w:textAlignment w:val="auto"/>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color w:val="auto"/>
                <w:sz w:val="24"/>
                <w:szCs w:val="28"/>
                <w:highlight w:val="none"/>
              </w:rPr>
              <w:t>符合法律、行政法规规定的其他条件或招标文件列明的其他</w:t>
            </w:r>
            <w:r>
              <w:rPr>
                <w:rFonts w:hint="eastAsia" w:ascii="宋体" w:hAnsi="宋体" w:eastAsia="宋体" w:cs="宋体"/>
                <w:color w:val="auto"/>
                <w:sz w:val="24"/>
                <w:szCs w:val="28"/>
                <w:highlight w:val="none"/>
                <w:lang w:val="en-US" w:eastAsia="zh-CN"/>
              </w:rPr>
              <w:t>实质性</w:t>
            </w:r>
            <w:r>
              <w:rPr>
                <w:rFonts w:hint="eastAsia" w:ascii="宋体" w:hAnsi="宋体" w:eastAsia="宋体" w:cs="宋体"/>
                <w:color w:val="auto"/>
                <w:sz w:val="24"/>
                <w:szCs w:val="28"/>
                <w:highlight w:val="none"/>
              </w:rPr>
              <w:t>要求</w:t>
            </w:r>
          </w:p>
        </w:tc>
        <w:tc>
          <w:tcPr>
            <w:tcW w:w="1578" w:type="pct"/>
            <w:vAlign w:val="center"/>
          </w:tcPr>
          <w:p w14:paraId="65EA1176">
            <w:pPr>
              <w:keepNext w:val="0"/>
              <w:keepLines w:val="0"/>
              <w:pageBreakBefore w:val="0"/>
              <w:widowControl w:val="0"/>
              <w:kinsoku/>
              <w:wordWrap/>
              <w:overflowPunct/>
              <w:topLinePunct w:val="0"/>
              <w:autoSpaceDE/>
              <w:autoSpaceDN/>
              <w:bidi w:val="0"/>
              <w:adjustRightInd w:val="0"/>
              <w:snapToGrid w:val="0"/>
              <w:spacing w:line="360" w:lineRule="exact"/>
              <w:ind w:right="0"/>
              <w:jc w:val="both"/>
              <w:textAlignment w:val="auto"/>
              <w:rPr>
                <w:rFonts w:hint="eastAsia" w:ascii="宋体" w:hAnsi="宋体" w:eastAsia="宋体" w:cs="宋体"/>
                <w:color w:val="auto"/>
                <w:sz w:val="24"/>
                <w:highlight w:val="none"/>
              </w:rPr>
            </w:pPr>
          </w:p>
        </w:tc>
      </w:tr>
    </w:tbl>
    <w:p w14:paraId="380A0943">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符合性审查指标通过标准：</w:t>
      </w:r>
      <w:r>
        <w:rPr>
          <w:rFonts w:hint="eastAsia" w:ascii="宋体" w:hAnsi="宋体" w:eastAsia="宋体" w:cs="宋体"/>
          <w:color w:val="auto"/>
          <w:sz w:val="24"/>
          <w:highlight w:val="none"/>
        </w:rPr>
        <w:t>投标人必须通过符合性审查表中的全部评审指标。</w:t>
      </w:r>
    </w:p>
    <w:p w14:paraId="3A2BCF26">
      <w:pPr>
        <w:spacing w:line="360" w:lineRule="auto"/>
        <w:ind w:firstLine="437"/>
        <w:outlineLvl w:val="2"/>
        <w:rPr>
          <w:rFonts w:hint="eastAsia" w:ascii="宋体" w:hAnsi="宋体" w:eastAsia="宋体" w:cs="宋体"/>
          <w:color w:val="auto"/>
          <w:sz w:val="24"/>
          <w:highlight w:val="none"/>
        </w:rPr>
      </w:pPr>
    </w:p>
    <w:p w14:paraId="49BBCB1C">
      <w:pPr>
        <w:spacing w:line="360" w:lineRule="auto"/>
        <w:ind w:firstLine="437"/>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2.3详细审查</w:t>
      </w:r>
    </w:p>
    <w:p w14:paraId="648B534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2.3.1评标委员会按照下表对投标文件进行详细审查和评分。</w:t>
      </w:r>
    </w:p>
    <w:p w14:paraId="1FE5037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2.3.2本项目综合评分满分为100分，其中：技术资信分值占总分值的权重为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90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价格分值占总分值的权重为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。具体评分细则如下：</w:t>
      </w:r>
    </w:p>
    <w:tbl>
      <w:tblPr>
        <w:tblStyle w:val="3"/>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1310"/>
        <w:gridCol w:w="1404"/>
        <w:gridCol w:w="4721"/>
        <w:gridCol w:w="1106"/>
      </w:tblGrid>
      <w:tr w14:paraId="232B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2" w:hRule="atLeast"/>
          <w:jc w:val="center"/>
        </w:trPr>
        <w:tc>
          <w:tcPr>
            <w:tcW w:w="767" w:type="pct"/>
            <w:tcBorders>
              <w:top w:val="single" w:color="auto" w:sz="4" w:space="0"/>
              <w:left w:val="single" w:color="auto" w:sz="4" w:space="0"/>
              <w:bottom w:val="single" w:color="auto" w:sz="4" w:space="0"/>
              <w:right w:val="single" w:color="auto" w:sz="4" w:space="0"/>
            </w:tcBorders>
            <w:vAlign w:val="center"/>
          </w:tcPr>
          <w:p w14:paraId="701811D2">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类别</w:t>
            </w:r>
          </w:p>
        </w:tc>
        <w:tc>
          <w:tcPr>
            <w:tcW w:w="822" w:type="pct"/>
            <w:tcBorders>
              <w:top w:val="single" w:color="auto" w:sz="4" w:space="0"/>
              <w:left w:val="single" w:color="auto" w:sz="4" w:space="0"/>
              <w:bottom w:val="single" w:color="auto" w:sz="4" w:space="0"/>
              <w:right w:val="single" w:color="auto" w:sz="4" w:space="0"/>
            </w:tcBorders>
            <w:vAlign w:val="center"/>
          </w:tcPr>
          <w:p w14:paraId="5D53C06C">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评分内容</w:t>
            </w:r>
          </w:p>
        </w:tc>
        <w:tc>
          <w:tcPr>
            <w:tcW w:w="2763" w:type="pct"/>
            <w:tcBorders>
              <w:top w:val="single" w:color="auto" w:sz="4" w:space="0"/>
              <w:left w:val="single" w:color="auto" w:sz="4" w:space="0"/>
              <w:bottom w:val="single" w:color="auto" w:sz="4" w:space="0"/>
              <w:right w:val="single" w:color="auto" w:sz="4" w:space="0"/>
            </w:tcBorders>
            <w:vAlign w:val="center"/>
          </w:tcPr>
          <w:p w14:paraId="7D35EF5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评分标准</w:t>
            </w:r>
          </w:p>
        </w:tc>
        <w:tc>
          <w:tcPr>
            <w:tcW w:w="646" w:type="pct"/>
            <w:tcBorders>
              <w:top w:val="single" w:color="auto" w:sz="4" w:space="0"/>
              <w:left w:val="single" w:color="auto" w:sz="4" w:space="0"/>
              <w:bottom w:val="single" w:color="auto" w:sz="4" w:space="0"/>
              <w:right w:val="single" w:color="auto" w:sz="4" w:space="0"/>
            </w:tcBorders>
            <w:vAlign w:val="center"/>
          </w:tcPr>
          <w:p w14:paraId="18000BD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分值范围</w:t>
            </w:r>
          </w:p>
        </w:tc>
      </w:tr>
      <w:tr w14:paraId="2E1F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restart"/>
            <w:tcBorders>
              <w:top w:val="single" w:color="auto" w:sz="4" w:space="0"/>
              <w:left w:val="single" w:color="auto" w:sz="4" w:space="0"/>
              <w:right w:val="single" w:color="auto" w:sz="4" w:space="0"/>
            </w:tcBorders>
            <w:vAlign w:val="center"/>
          </w:tcPr>
          <w:p w14:paraId="67FCEB07">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034B3FA7">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90 </w:t>
            </w:r>
            <w:r>
              <w:rPr>
                <w:rFonts w:hint="eastAsia" w:ascii="宋体" w:hAnsi="宋体" w:eastAsia="宋体" w:cs="宋体"/>
                <w:color w:val="auto"/>
                <w:sz w:val="24"/>
                <w:highlight w:val="none"/>
              </w:rPr>
              <w:t>分）</w:t>
            </w:r>
          </w:p>
        </w:tc>
        <w:tc>
          <w:tcPr>
            <w:tcW w:w="822" w:type="pct"/>
            <w:tcBorders>
              <w:top w:val="single" w:color="auto" w:sz="4" w:space="0"/>
              <w:left w:val="single" w:color="auto" w:sz="4" w:space="0"/>
              <w:bottom w:val="single" w:color="auto" w:sz="4" w:space="0"/>
              <w:right w:val="single" w:color="auto" w:sz="4" w:space="0"/>
            </w:tcBorders>
            <w:vAlign w:val="center"/>
          </w:tcPr>
          <w:p w14:paraId="3013EE69">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管理体系</w:t>
            </w:r>
          </w:p>
        </w:tc>
        <w:tc>
          <w:tcPr>
            <w:tcW w:w="2763" w:type="pct"/>
            <w:tcBorders>
              <w:top w:val="single" w:color="auto" w:sz="4" w:space="0"/>
              <w:left w:val="single" w:color="auto" w:sz="4" w:space="0"/>
              <w:bottom w:val="single" w:color="auto" w:sz="4" w:space="0"/>
              <w:right w:val="single" w:color="auto" w:sz="4" w:space="0"/>
            </w:tcBorders>
            <w:vAlign w:val="center"/>
          </w:tcPr>
          <w:p w14:paraId="7CEF9D2A">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投标供应商具有经中国国家认证认可监督管理委员会认证机构颁发的： </w:t>
            </w:r>
          </w:p>
          <w:p w14:paraId="417B67D2">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1、质量管理体系认证证书，得 7 分； </w:t>
            </w:r>
          </w:p>
          <w:p w14:paraId="5847159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2、环境管理体系认证证书，得7 分； </w:t>
            </w:r>
          </w:p>
          <w:p w14:paraId="7B8C7AC0">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3、职业健康安全管理体系认证证书，得 7 分。 </w:t>
            </w:r>
          </w:p>
          <w:p w14:paraId="4D5E1B03">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注：上述证书须在有效期内，提供证书扫描件及全国认证认可信息公共服务平台的证书信息查询截图。</w:t>
            </w:r>
          </w:p>
        </w:tc>
        <w:tc>
          <w:tcPr>
            <w:tcW w:w="646" w:type="pct"/>
            <w:tcBorders>
              <w:top w:val="single" w:color="auto" w:sz="4" w:space="0"/>
              <w:left w:val="single" w:color="auto" w:sz="4" w:space="0"/>
              <w:bottom w:val="single" w:color="auto" w:sz="4" w:space="0"/>
              <w:right w:val="single" w:color="auto" w:sz="4" w:space="0"/>
            </w:tcBorders>
            <w:vAlign w:val="center"/>
          </w:tcPr>
          <w:p w14:paraId="0E9917D9">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0-21分</w:t>
            </w:r>
          </w:p>
        </w:tc>
      </w:tr>
      <w:tr w14:paraId="7D0A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02E51BD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62A26F75">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类似业绩</w:t>
            </w:r>
          </w:p>
        </w:tc>
        <w:tc>
          <w:tcPr>
            <w:tcW w:w="2763" w:type="pct"/>
            <w:tcBorders>
              <w:top w:val="single" w:color="auto" w:sz="4" w:space="0"/>
              <w:left w:val="single" w:color="auto" w:sz="4" w:space="0"/>
              <w:bottom w:val="single" w:color="auto" w:sz="4" w:space="0"/>
              <w:right w:val="single" w:color="auto" w:sz="4" w:space="0"/>
            </w:tcBorders>
            <w:vAlign w:val="center"/>
          </w:tcPr>
          <w:p w14:paraId="222845F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2"/>
                <w:sz w:val="24"/>
                <w:highlight w:val="none"/>
                <w:lang w:val="en-US" w:eastAsia="zh-CN" w:bidi="ar-SA"/>
              </w:rPr>
              <w:t>1、</w:t>
            </w:r>
            <w:r>
              <w:rPr>
                <w:rFonts w:hint="eastAsia" w:ascii="宋体" w:hAnsi="宋体" w:eastAsia="宋体" w:cs="宋体"/>
                <w:color w:val="auto"/>
                <w:sz w:val="24"/>
                <w:highlight w:val="none"/>
                <w:lang w:val="en-US" w:eastAsia="zh-CN"/>
              </w:rPr>
              <w:t>投标供应商每有一个类似业绩，得6分，最高18 分。</w:t>
            </w:r>
          </w:p>
          <w:p w14:paraId="17A3407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2、拟派项目负责人每有一个类似业绩，得 3 分。最高6 分。</w:t>
            </w:r>
          </w:p>
          <w:p w14:paraId="22CA9B43">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注:1.投标文件中提供业绩合同扫描件，若合同 </w:t>
            </w:r>
          </w:p>
          <w:p w14:paraId="37127E13">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无法体现签订时间、服务内容等关键评审因素的， </w:t>
            </w:r>
          </w:p>
          <w:p w14:paraId="0A2370A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需另附招标人（合同甲方）证明材料的扫描件。 </w:t>
            </w:r>
          </w:p>
          <w:p w14:paraId="1D7E70C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否则不得分。</w:t>
            </w:r>
          </w:p>
          <w:p w14:paraId="6B8BAA14">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2.提供拟派项目负责人业绩合同扫描件，业绩合 </w:t>
            </w:r>
          </w:p>
          <w:p w14:paraId="0C72154D">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同均不能体现拟派项目负责人姓名的，还须另附 </w:t>
            </w:r>
          </w:p>
          <w:p w14:paraId="1E67A5B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业主单位出具的证明。 </w:t>
            </w:r>
          </w:p>
          <w:p w14:paraId="32E0F7C0">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3.本项对正在履约或履约完成业绩均予以认可。 </w:t>
            </w:r>
          </w:p>
          <w:p w14:paraId="37289220">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4.提供同一业主单位的多份业绩合同仅计分一 </w:t>
            </w:r>
          </w:p>
          <w:p w14:paraId="0ADEAD75">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次，不累计计分。</w:t>
            </w:r>
          </w:p>
        </w:tc>
        <w:tc>
          <w:tcPr>
            <w:tcW w:w="646" w:type="pct"/>
            <w:tcBorders>
              <w:top w:val="single" w:color="auto" w:sz="4" w:space="0"/>
              <w:left w:val="single" w:color="auto" w:sz="4" w:space="0"/>
              <w:bottom w:val="single" w:color="auto" w:sz="4" w:space="0"/>
              <w:right w:val="single" w:color="auto" w:sz="4" w:space="0"/>
            </w:tcBorders>
            <w:vAlign w:val="center"/>
          </w:tcPr>
          <w:p w14:paraId="7380851A">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0-24</w:t>
            </w:r>
          </w:p>
        </w:tc>
      </w:tr>
      <w:tr w14:paraId="173C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2331D469">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3A325769">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项目班子配备</w:t>
            </w:r>
          </w:p>
        </w:tc>
        <w:tc>
          <w:tcPr>
            <w:tcW w:w="2763" w:type="pct"/>
            <w:tcBorders>
              <w:top w:val="single" w:color="auto" w:sz="4" w:space="0"/>
              <w:left w:val="single" w:color="auto" w:sz="4" w:space="0"/>
              <w:bottom w:val="single" w:color="auto" w:sz="4" w:space="0"/>
              <w:right w:val="single" w:color="auto" w:sz="4" w:space="0"/>
            </w:tcBorders>
            <w:vAlign w:val="center"/>
          </w:tcPr>
          <w:p w14:paraId="79F29A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2"/>
                <w:sz w:val="24"/>
                <w:highlight w:val="none"/>
                <w:lang w:val="en-US" w:eastAsia="zh-CN" w:bidi="ar-SA"/>
              </w:rPr>
              <w:t>1、</w:t>
            </w:r>
            <w:r>
              <w:rPr>
                <w:rFonts w:hint="eastAsia" w:ascii="宋体" w:hAnsi="宋体" w:eastAsia="宋体" w:cs="宋体"/>
                <w:color w:val="auto"/>
                <w:sz w:val="24"/>
                <w:highlight w:val="none"/>
                <w:lang w:val="en-US" w:eastAsia="zh-CN"/>
              </w:rPr>
              <w:t>拟派项目负责人具有</w:t>
            </w:r>
            <w:r>
              <w:rPr>
                <w:rFonts w:hint="eastAsia" w:ascii="宋体" w:hAnsi="宋体" w:eastAsia="宋体" w:cs="宋体"/>
                <w:color w:val="auto"/>
                <w:kern w:val="2"/>
                <w:sz w:val="24"/>
                <w:highlight w:val="none"/>
                <w:lang w:val="en-US" w:eastAsia="zh-CN" w:bidi="ar-SA"/>
              </w:rPr>
              <w:t>农业工程或水利水电工程相关专业</w:t>
            </w:r>
            <w:r>
              <w:rPr>
                <w:rFonts w:hint="eastAsia" w:ascii="宋体" w:hAnsi="宋体" w:eastAsia="宋体" w:cs="宋体"/>
                <w:color w:val="auto"/>
                <w:sz w:val="24"/>
                <w:highlight w:val="none"/>
                <w:lang w:val="en-US" w:eastAsia="zh-CN"/>
              </w:rPr>
              <w:t>高级及以上职称的得 5 分。最高5分。</w:t>
            </w:r>
          </w:p>
          <w:p w14:paraId="548FCC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2"/>
                <w:sz w:val="24"/>
                <w:highlight w:val="none"/>
                <w:lang w:val="en-US" w:eastAsia="zh-CN" w:bidi="ar-SA"/>
              </w:rPr>
              <w:t>2、</w:t>
            </w:r>
            <w:r>
              <w:rPr>
                <w:rFonts w:hint="eastAsia" w:ascii="宋体" w:hAnsi="宋体" w:eastAsia="宋体" w:cs="宋体"/>
                <w:color w:val="auto"/>
                <w:sz w:val="24"/>
                <w:highlight w:val="none"/>
                <w:lang w:val="en-US" w:eastAsia="zh-CN"/>
              </w:rPr>
              <w:t xml:space="preserve">拟派现场管理人员中，每有1人具有农业工程或水利水电工程相关专业中级及以上职称的，得2分，最高16分。 </w:t>
            </w:r>
          </w:p>
          <w:p w14:paraId="67C89D3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注：1.项目负责人、现场管理人员提供证书扫描件。</w:t>
            </w:r>
          </w:p>
          <w:p w14:paraId="7CEB90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2.同一人员不重复计分。</w:t>
            </w:r>
          </w:p>
          <w:p w14:paraId="542ABEC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3.提供所有参与评分的拟派人员为本单位在职员 </w:t>
            </w:r>
          </w:p>
          <w:p w14:paraId="080240F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工、在本项目服务期内均服务于本项目的承诺函， </w:t>
            </w:r>
          </w:p>
          <w:p w14:paraId="42D114A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格式自拟。</w:t>
            </w:r>
          </w:p>
        </w:tc>
        <w:tc>
          <w:tcPr>
            <w:tcW w:w="646" w:type="pct"/>
            <w:tcBorders>
              <w:top w:val="single" w:color="auto" w:sz="4" w:space="0"/>
              <w:left w:val="single" w:color="auto" w:sz="4" w:space="0"/>
              <w:bottom w:val="single" w:color="auto" w:sz="4" w:space="0"/>
              <w:right w:val="single" w:color="auto" w:sz="4" w:space="0"/>
            </w:tcBorders>
            <w:vAlign w:val="center"/>
          </w:tcPr>
          <w:p w14:paraId="25DFD49A">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0-21</w:t>
            </w:r>
          </w:p>
        </w:tc>
      </w:tr>
      <w:tr w14:paraId="50C8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1A3BEFAE">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43B3D03E">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总体服务方案</w:t>
            </w:r>
          </w:p>
        </w:tc>
        <w:tc>
          <w:tcPr>
            <w:tcW w:w="2763" w:type="pct"/>
            <w:tcBorders>
              <w:top w:val="single" w:color="auto" w:sz="4" w:space="0"/>
              <w:left w:val="single" w:color="auto" w:sz="4" w:space="0"/>
              <w:bottom w:val="single" w:color="auto" w:sz="4" w:space="0"/>
              <w:right w:val="single" w:color="auto" w:sz="4" w:space="0"/>
            </w:tcBorders>
            <w:vAlign w:val="center"/>
          </w:tcPr>
          <w:p w14:paraId="67DB4F28">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评标委员会根据供应商应提供的针对项目背景和采购需求，进行综合评分，至少包含下列内容： </w:t>
            </w:r>
          </w:p>
          <w:p w14:paraId="4550711A">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1、本项目的总体服务思路和目标，服务内容及保 </w:t>
            </w:r>
          </w:p>
          <w:p w14:paraId="16345F44">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障措施，以及为实现服务目标拟建立的监督管理 </w:t>
            </w:r>
          </w:p>
          <w:p w14:paraId="2103CE7F">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机制；</w:t>
            </w:r>
          </w:p>
          <w:p w14:paraId="61306702">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2、本项目工作重点、难点分析。 </w:t>
            </w:r>
          </w:p>
          <w:p w14:paraId="2C7E84BF">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（1）对本项目特点和难点理解准确，总体服务方 </w:t>
            </w:r>
          </w:p>
          <w:p w14:paraId="0C3F97F8">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案优于本项目采购需求，完整详细，可行性、实 </w:t>
            </w:r>
          </w:p>
          <w:p w14:paraId="065E8929">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用性、针对性强，得 4 分； </w:t>
            </w:r>
          </w:p>
          <w:p w14:paraId="5FEB6703">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（2）对本项目特点和难点理解基本准确，总体服 </w:t>
            </w:r>
          </w:p>
          <w:p w14:paraId="5E81D911">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务方案适合本项目采购需求，完整详细，具有可 </w:t>
            </w:r>
          </w:p>
          <w:p w14:paraId="0F456BE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行性、实用性和针对性，得 2 分； </w:t>
            </w:r>
          </w:p>
          <w:p w14:paraId="65FF6CE3">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（3）对本项目特点和难点理解有待提升，总体服务方案基本适合本项目采购需求，可行性、实用 </w:t>
            </w:r>
          </w:p>
          <w:p w14:paraId="631F8E22">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性、针对性有待改善，得 1 分； </w:t>
            </w:r>
          </w:p>
          <w:p w14:paraId="6147EAA9">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（4）方案不可行或者未提供得 0 分。</w:t>
            </w:r>
          </w:p>
        </w:tc>
        <w:tc>
          <w:tcPr>
            <w:tcW w:w="646" w:type="pct"/>
            <w:tcBorders>
              <w:top w:val="single" w:color="auto" w:sz="4" w:space="0"/>
              <w:left w:val="single" w:color="auto" w:sz="4" w:space="0"/>
              <w:bottom w:val="single" w:color="auto" w:sz="4" w:space="0"/>
              <w:right w:val="single" w:color="auto" w:sz="4" w:space="0"/>
            </w:tcBorders>
            <w:vAlign w:val="center"/>
          </w:tcPr>
          <w:p w14:paraId="37EDA237">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0-4</w:t>
            </w:r>
          </w:p>
        </w:tc>
      </w:tr>
      <w:tr w14:paraId="0FAB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750E89F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51856E9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组织管理方案</w:t>
            </w:r>
          </w:p>
        </w:tc>
        <w:tc>
          <w:tcPr>
            <w:tcW w:w="2763" w:type="pct"/>
            <w:tcBorders>
              <w:top w:val="single" w:color="auto" w:sz="4" w:space="0"/>
              <w:left w:val="single" w:color="auto" w:sz="4" w:space="0"/>
              <w:bottom w:val="single" w:color="auto" w:sz="4" w:space="0"/>
              <w:right w:val="single" w:color="auto" w:sz="4" w:space="0"/>
            </w:tcBorders>
            <w:vAlign w:val="center"/>
          </w:tcPr>
          <w:p w14:paraId="742BECE4">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评标委员会根据供应商应提供的针对项目背景和采购需求，进行综合评分，至少包含下列内容： </w:t>
            </w:r>
          </w:p>
          <w:p w14:paraId="7FCBCE9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1、项目管理机构的架构和配置，专职管理人员的管理制度、选聘淘汰机制、奖罚考核办法等；</w:t>
            </w:r>
          </w:p>
          <w:p w14:paraId="618FEE9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2、专职管理人员的工具装备方案、设备设施的配置方案，物资管理使用制度； </w:t>
            </w:r>
          </w:p>
          <w:p w14:paraId="22318034">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（1）对本项目特点和难点理解准确，组织管理方 </w:t>
            </w:r>
          </w:p>
          <w:p w14:paraId="44A10D8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案优于本项目采购需求，完整详细，可行性、实 </w:t>
            </w:r>
          </w:p>
          <w:p w14:paraId="2191A3BF">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用性、针对性强，得 4 分； </w:t>
            </w:r>
          </w:p>
          <w:p w14:paraId="10157201">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（2）对本项目特点和难点理解基本准确，组织管 </w:t>
            </w:r>
          </w:p>
          <w:p w14:paraId="573560AE">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理方案适合本项目采购需求，完整详细，具有可 </w:t>
            </w:r>
          </w:p>
          <w:p w14:paraId="108D7221">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行性、实用性和针对性，得 2 分； </w:t>
            </w:r>
          </w:p>
          <w:p w14:paraId="68AC4859">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（3）对本项目特点和难点理解有待提升，组织管 </w:t>
            </w:r>
          </w:p>
          <w:p w14:paraId="1874E6BD">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理方案基本适合本项目采购需求，可行性、实用 </w:t>
            </w:r>
          </w:p>
          <w:p w14:paraId="74FEA9DA">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性、针对性有待改善，得 1 分； </w:t>
            </w:r>
          </w:p>
          <w:p w14:paraId="7A1A46BC">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（4）方案不可行或者未提供得 0 分。</w:t>
            </w:r>
          </w:p>
        </w:tc>
        <w:tc>
          <w:tcPr>
            <w:tcW w:w="646" w:type="pct"/>
            <w:tcBorders>
              <w:top w:val="single" w:color="auto" w:sz="4" w:space="0"/>
              <w:left w:val="single" w:color="auto" w:sz="4" w:space="0"/>
              <w:bottom w:val="single" w:color="auto" w:sz="4" w:space="0"/>
              <w:right w:val="single" w:color="auto" w:sz="4" w:space="0"/>
            </w:tcBorders>
            <w:vAlign w:val="center"/>
          </w:tcPr>
          <w:p w14:paraId="7B4CCB2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0-4</w:t>
            </w:r>
          </w:p>
        </w:tc>
      </w:tr>
      <w:tr w14:paraId="31F7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60E59410">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6DC861D5">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项目进度计划</w:t>
            </w:r>
          </w:p>
        </w:tc>
        <w:tc>
          <w:tcPr>
            <w:tcW w:w="2763" w:type="pct"/>
            <w:tcBorders>
              <w:top w:val="single" w:color="auto" w:sz="4" w:space="0"/>
              <w:left w:val="single" w:color="auto" w:sz="4" w:space="0"/>
              <w:bottom w:val="single" w:color="auto" w:sz="4" w:space="0"/>
              <w:right w:val="single" w:color="auto" w:sz="4" w:space="0"/>
            </w:tcBorders>
            <w:vAlign w:val="center"/>
          </w:tcPr>
          <w:p w14:paraId="2CC16D0A">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评标委员会根据供应商提供的针对本项目的项目进度计划，进行综合评分，至少包含下列内容： </w:t>
            </w:r>
          </w:p>
          <w:p w14:paraId="51B26F4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①总体进度安排； </w:t>
            </w:r>
          </w:p>
          <w:p w14:paraId="0A0FD269">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②进度控制保障措施； </w:t>
            </w:r>
          </w:p>
          <w:p w14:paraId="0365980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(1)对本项目特点和难点理解准确，项目进度计划优于本项目采购需求，完整详细，可行性、实用性、针对性强，得 4 分； </w:t>
            </w:r>
          </w:p>
          <w:p w14:paraId="62C0021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(2)对本项目特点和难点理解基本准确，项目进度计划适合本项目采购需求，完整详细，具有可行性、实用性和针对性，得 2 分； </w:t>
            </w:r>
          </w:p>
          <w:p w14:paraId="738C577F">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(3)对本项目特点和难点理解有待提升，项目进度计划基本适合本项目采购需求，可行性、实用性、针对性有待改善，得 1 分； </w:t>
            </w:r>
          </w:p>
          <w:p w14:paraId="1A9BC136">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(4)项目进度计划不可行或者未提供得 0 分。</w:t>
            </w:r>
          </w:p>
        </w:tc>
        <w:tc>
          <w:tcPr>
            <w:tcW w:w="646" w:type="pct"/>
            <w:tcBorders>
              <w:top w:val="single" w:color="auto" w:sz="4" w:space="0"/>
              <w:left w:val="single" w:color="auto" w:sz="4" w:space="0"/>
              <w:bottom w:val="single" w:color="auto" w:sz="4" w:space="0"/>
              <w:right w:val="single" w:color="auto" w:sz="4" w:space="0"/>
            </w:tcBorders>
            <w:vAlign w:val="center"/>
          </w:tcPr>
          <w:p w14:paraId="50A8DD53">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0-4</w:t>
            </w:r>
          </w:p>
        </w:tc>
      </w:tr>
      <w:tr w14:paraId="3C04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6A0C1E7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0C9C41C2">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项目重难点分析</w:t>
            </w:r>
          </w:p>
        </w:tc>
        <w:tc>
          <w:tcPr>
            <w:tcW w:w="2763" w:type="pct"/>
            <w:tcBorders>
              <w:top w:val="single" w:color="auto" w:sz="4" w:space="0"/>
              <w:left w:val="single" w:color="auto" w:sz="4" w:space="0"/>
              <w:bottom w:val="single" w:color="auto" w:sz="4" w:space="0"/>
              <w:right w:val="single" w:color="auto" w:sz="4" w:space="0"/>
            </w:tcBorders>
            <w:vAlign w:val="center"/>
          </w:tcPr>
          <w:p w14:paraId="6889C888">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评标委员会根据供应商提供的针对本项目的项目重难点分析，进行综合评分，至少包含下列内容：</w:t>
            </w:r>
          </w:p>
          <w:p w14:paraId="2FFA5AC8">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①关键性技术问题的解决； </w:t>
            </w:r>
          </w:p>
          <w:p w14:paraId="2DC66C94">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②应对问题的措施； </w:t>
            </w:r>
          </w:p>
          <w:p w14:paraId="2152876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(1)对本项目特点和难点理解准确，项目重难点分析优于本项目采购需求，完整详细，可行性、实用性、针对性强，得 4 分； </w:t>
            </w:r>
          </w:p>
          <w:p w14:paraId="01F3575F">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(2)对本项目特点和难点理解基本准确，项目重难点分析适合本项目采购需求，完整详细，具有可行性、实用性和针对性，得 2 分； </w:t>
            </w:r>
          </w:p>
          <w:p w14:paraId="694DF259">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(3)对本项目特点和难点理解有待提升，项目重难点分析基本适合本项目采购需求， 可行性、实用性、针对性有待改善，得 1 分； </w:t>
            </w:r>
          </w:p>
          <w:p w14:paraId="21EB4DB6">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(4)项目重难点分析不可行或者未提供得 0分。</w:t>
            </w:r>
          </w:p>
        </w:tc>
        <w:tc>
          <w:tcPr>
            <w:tcW w:w="646" w:type="pct"/>
            <w:tcBorders>
              <w:top w:val="single" w:color="auto" w:sz="4" w:space="0"/>
              <w:left w:val="single" w:color="auto" w:sz="4" w:space="0"/>
              <w:bottom w:val="single" w:color="auto" w:sz="4" w:space="0"/>
              <w:right w:val="single" w:color="auto" w:sz="4" w:space="0"/>
            </w:tcBorders>
            <w:vAlign w:val="center"/>
          </w:tcPr>
          <w:p w14:paraId="54633705">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0-4</w:t>
            </w:r>
          </w:p>
        </w:tc>
      </w:tr>
      <w:tr w14:paraId="6A04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79BE87D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07B7AE61">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项目安全管理措施</w:t>
            </w:r>
          </w:p>
        </w:tc>
        <w:tc>
          <w:tcPr>
            <w:tcW w:w="2763" w:type="pct"/>
            <w:tcBorders>
              <w:top w:val="single" w:color="auto" w:sz="4" w:space="0"/>
              <w:left w:val="single" w:color="auto" w:sz="4" w:space="0"/>
              <w:bottom w:val="single" w:color="auto" w:sz="4" w:space="0"/>
              <w:right w:val="single" w:color="auto" w:sz="4" w:space="0"/>
            </w:tcBorders>
            <w:vAlign w:val="center"/>
          </w:tcPr>
          <w:p w14:paraId="766144F2">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评标委员会根据供应商提供的针对本项目的项目安全管理措施，进行综合评分，至少包含下列内容：</w:t>
            </w:r>
          </w:p>
          <w:p w14:paraId="26F8AFF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①关键安全风险处置； </w:t>
            </w:r>
          </w:p>
          <w:p w14:paraId="22B25C1A">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②安全风险应对管控措施； </w:t>
            </w:r>
          </w:p>
          <w:p w14:paraId="5CA3A5FD">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(1)对本项目安全管控重点、高危风险点研判精准到位，安全管理措施优于采购需求标准，内容完整详实，措施针对性、实用性、落地可行性极强，可全面规避项目安全隐患，得4分； </w:t>
            </w:r>
          </w:p>
          <w:p w14:paraId="3EE29365">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(2)对本项目安全管控重点、高危风险点理解基本准确，安全管理措施符合采购需求要求，内容完整详实，措施具备可行性、实用性与针对性，能够有效管控常规安全风险，得2分；</w:t>
            </w:r>
          </w:p>
          <w:p w14:paraId="43F69945">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(3)对本项目安全管控要点理解有所欠缺，安全管理措施基本契合采购需求，措施可行性、实用性、针对性不足，风险防控能力一般，得1分； </w:t>
            </w:r>
          </w:p>
          <w:p w14:paraId="20C79BD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(4)安全管理措施方案脱离项目实际、防控措施无效不可行，或是投标文件未提供安全管理措施内容，本项得0分。</w:t>
            </w:r>
          </w:p>
        </w:tc>
        <w:tc>
          <w:tcPr>
            <w:tcW w:w="646" w:type="pct"/>
            <w:tcBorders>
              <w:top w:val="single" w:color="auto" w:sz="4" w:space="0"/>
              <w:left w:val="single" w:color="auto" w:sz="4" w:space="0"/>
              <w:bottom w:val="single" w:color="auto" w:sz="4" w:space="0"/>
              <w:right w:val="single" w:color="auto" w:sz="4" w:space="0"/>
            </w:tcBorders>
            <w:vAlign w:val="center"/>
          </w:tcPr>
          <w:p w14:paraId="6A4EC16C">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0-4</w:t>
            </w:r>
          </w:p>
        </w:tc>
      </w:tr>
      <w:tr w14:paraId="793B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vMerge w:val="continue"/>
            <w:tcBorders>
              <w:left w:val="single" w:color="auto" w:sz="4" w:space="0"/>
              <w:right w:val="single" w:color="auto" w:sz="4" w:space="0"/>
            </w:tcBorders>
            <w:vAlign w:val="center"/>
          </w:tcPr>
          <w:p w14:paraId="3EF5B392">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p>
        </w:tc>
        <w:tc>
          <w:tcPr>
            <w:tcW w:w="822" w:type="pct"/>
            <w:tcBorders>
              <w:top w:val="single" w:color="auto" w:sz="4" w:space="0"/>
              <w:left w:val="single" w:color="auto" w:sz="4" w:space="0"/>
              <w:bottom w:val="single" w:color="auto" w:sz="4" w:space="0"/>
              <w:right w:val="single" w:color="auto" w:sz="4" w:space="0"/>
            </w:tcBorders>
            <w:vAlign w:val="center"/>
          </w:tcPr>
          <w:p w14:paraId="5389C4D7">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质量保障措施</w:t>
            </w:r>
          </w:p>
        </w:tc>
        <w:tc>
          <w:tcPr>
            <w:tcW w:w="2763" w:type="pct"/>
            <w:tcBorders>
              <w:top w:val="single" w:color="auto" w:sz="4" w:space="0"/>
              <w:left w:val="single" w:color="auto" w:sz="4" w:space="0"/>
              <w:bottom w:val="single" w:color="auto" w:sz="4" w:space="0"/>
              <w:right w:val="single" w:color="auto" w:sz="4" w:space="0"/>
            </w:tcBorders>
            <w:vAlign w:val="center"/>
          </w:tcPr>
          <w:p w14:paraId="5BE0C6B8">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评标委员会根据供应商提供的针对本项目质量保障措施，进行综合评分，至少包含下列内容： </w:t>
            </w:r>
          </w:p>
          <w:p w14:paraId="295C2947">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①项目质量控制机制； </w:t>
            </w:r>
          </w:p>
          <w:p w14:paraId="0C092283">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②驻点服务、现场巡查等关键环节质量保障施。 </w:t>
            </w:r>
          </w:p>
          <w:p w14:paraId="04FD14E1">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(1)对本项目特点和难点理解准确，质量保障措施优于本项目采购需求，完整详细，可行性、实用性、针对性强，得 4 分； </w:t>
            </w:r>
          </w:p>
          <w:p w14:paraId="5241A74B">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(2)对本项目特点和难点理解基本准确，质量保障措施适合本项目采购需求，完整详细，具有可行性、实用性和针对性，得 2 分； </w:t>
            </w:r>
          </w:p>
          <w:p w14:paraId="5088A052">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(3)对本项目特点和难点理解有待提升，质量保障措施基本适合本项目采购需求，可行性、实用性、针对性有待改善，得 1 分； </w:t>
            </w:r>
          </w:p>
          <w:p w14:paraId="634346E1">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(4)质量保障措施及服务承诺不可行或者未提供得 0 分。</w:t>
            </w:r>
          </w:p>
        </w:tc>
        <w:tc>
          <w:tcPr>
            <w:tcW w:w="646" w:type="pct"/>
            <w:tcBorders>
              <w:top w:val="single" w:color="auto" w:sz="4" w:space="0"/>
              <w:left w:val="single" w:color="auto" w:sz="4" w:space="0"/>
              <w:bottom w:val="single" w:color="auto" w:sz="4" w:space="0"/>
              <w:right w:val="single" w:color="auto" w:sz="4" w:space="0"/>
            </w:tcBorders>
            <w:vAlign w:val="center"/>
          </w:tcPr>
          <w:p w14:paraId="3971F270">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0-4</w:t>
            </w:r>
          </w:p>
        </w:tc>
      </w:tr>
      <w:tr w14:paraId="3B71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7" w:type="pct"/>
            <w:tcBorders>
              <w:left w:val="single" w:color="auto" w:sz="4" w:space="0"/>
              <w:right w:val="single" w:color="auto" w:sz="4" w:space="0"/>
            </w:tcBorders>
            <w:vAlign w:val="center"/>
          </w:tcPr>
          <w:p w14:paraId="3F6BCD6E">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56DD878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rPr>
              <w:t>分）</w:t>
            </w:r>
          </w:p>
        </w:tc>
        <w:tc>
          <w:tcPr>
            <w:tcW w:w="4232" w:type="pct"/>
            <w:gridSpan w:val="3"/>
            <w:tcBorders>
              <w:top w:val="single" w:color="auto" w:sz="4" w:space="0"/>
              <w:left w:val="single" w:color="auto" w:sz="4" w:space="0"/>
              <w:bottom w:val="single" w:color="auto" w:sz="4" w:space="0"/>
              <w:right w:val="single" w:color="auto" w:sz="4" w:space="0"/>
            </w:tcBorders>
            <w:vAlign w:val="center"/>
          </w:tcPr>
          <w:p w14:paraId="3C3A2FD9">
            <w:pPr>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w:t>
            </w:r>
            <w:r>
              <w:rPr>
                <w:rFonts w:hint="eastAsia" w:ascii="宋体" w:hAnsi="宋体" w:eastAsia="宋体" w:cs="宋体"/>
                <w:color w:val="auto"/>
                <w:sz w:val="24"/>
                <w:highlight w:val="none"/>
              </w:rPr>
              <w:t>。其他投标人的价格分统一按照下列公式计算：</w:t>
            </w:r>
          </w:p>
          <w:p w14:paraId="4257A3C7">
            <w:pPr>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投标报价得分＝（评标基准价/投标报价）×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×100</w:t>
            </w:r>
          </w:p>
        </w:tc>
      </w:tr>
    </w:tbl>
    <w:p w14:paraId="392DF17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2.3.3分值汇总</w:t>
      </w:r>
    </w:p>
    <w:p w14:paraId="4F52808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23F506B7">
      <w:pPr>
        <w:rPr>
          <w:color w:val="auto"/>
          <w:highlight w:val="none"/>
        </w:rPr>
      </w:pPr>
      <w:r>
        <w:rPr>
          <w:rFonts w:hint="eastAsia" w:ascii="宋体" w:hAnsi="宋体" w:eastAsia="宋体" w:cs="宋体"/>
          <w:color w:val="auto"/>
          <w:sz w:val="24"/>
          <w:highlight w:val="none"/>
        </w:rPr>
        <w:t>（2）将投标人的技术资信分加上根据上述标准计算出的价格分，即为该投标人的综合总得分。</w:t>
      </w:r>
    </w:p>
    <w:bookmarkEnd w:i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B35BFC"/>
    <w:rsid w:val="646F2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1883</Words>
  <Characters>1956</Characters>
  <Lines>0</Lines>
  <Paragraphs>0</Paragraphs>
  <TotalTime>0</TotalTime>
  <ScaleCrop>false</ScaleCrop>
  <LinksUpToDate>false</LinksUpToDate>
  <CharactersWithSpaces>1974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2026-08-14T06:57:00Z</dcterms:created>
  <dc:creator>21592</dc:creator>
  <cp:lastModifiedBy>小艾₁₈₃₆₅₅₇₅₈₅₅</cp:lastModifiedBy>
  <dcterms:modified xsi:type="dcterms:W3CDTF">2026-08-14T09:15:14Z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eyJoZGlkIjoiNmUxYTYyN2Q2OGNlODIwZmVhNTE1OTNmMmJhYTRjMjkiLCJ1c2VySWQiOiI2MTc5NzIzMDQifQ==</vt:lpwstr>
  </property>
  <property fmtid="{D5CDD505-2E9C-101B-9397-08002B2CF9AE}" pid="4" name="ICV">
    <vt:lpwstr>4A9C76E926D44216847ED0EE79020EFB_12</vt:lpwstr>
  </property>
</Properties>
</file>