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D175A">
      <w:pPr>
        <w:spacing w:line="360" w:lineRule="auto"/>
        <w:jc w:val="center"/>
        <w:outlineLvl w:val="1"/>
        <w:rPr>
          <w:rFonts w:hint="default" w:ascii="宋体" w:hAnsi="宋体" w:eastAsia="宋体"/>
          <w:b/>
          <w:color w:val="auto"/>
          <w:sz w:val="24"/>
          <w:szCs w:val="18"/>
          <w:highlight w:val="none"/>
          <w:lang w:val="en-US" w:eastAsia="zh-CN"/>
        </w:rPr>
      </w:pPr>
      <w:bookmarkStart w:id="0" w:name="_Toc3257"/>
      <w:r>
        <w:rPr>
          <w:rFonts w:hint="eastAsia" w:ascii="宋体" w:hAnsi="宋体" w:eastAsia="宋体"/>
          <w:b/>
          <w:color w:val="auto"/>
          <w:sz w:val="24"/>
          <w:szCs w:val="18"/>
          <w:highlight w:val="none"/>
          <w:lang w:val="en-US" w:eastAsia="zh-CN"/>
        </w:rPr>
        <w:t>采购需求</w:t>
      </w:r>
    </w:p>
    <w:p w14:paraId="73695D7C">
      <w:pPr>
        <w:spacing w:line="360" w:lineRule="auto"/>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一</w:t>
      </w:r>
      <w:r>
        <w:rPr>
          <w:rFonts w:hint="eastAsia" w:ascii="宋体" w:hAnsi="宋体" w:eastAsia="宋体"/>
          <w:b/>
          <w:color w:val="auto"/>
          <w:sz w:val="24"/>
          <w:szCs w:val="18"/>
          <w:highlight w:val="none"/>
        </w:rPr>
        <w:t>、项目概况</w:t>
      </w:r>
      <w:bookmarkEnd w:id="0"/>
    </w:p>
    <w:p w14:paraId="1A29BAD9">
      <w:pPr>
        <w:spacing w:line="360" w:lineRule="auto"/>
        <w:ind w:firstLine="976" w:firstLineChars="407"/>
        <w:rPr>
          <w:rFonts w:ascii="宋体" w:hAnsi="宋体" w:eastAsia="宋体"/>
          <w:b/>
          <w:color w:val="auto"/>
          <w:sz w:val="24"/>
          <w:szCs w:val="18"/>
          <w:highlight w:val="none"/>
        </w:rPr>
      </w:pPr>
      <w:r>
        <w:rPr>
          <w:rFonts w:hint="eastAsia" w:ascii="宋体" w:hAnsi="宋体" w:eastAsia="宋体" w:cs="宋体"/>
          <w:color w:val="000000"/>
          <w:kern w:val="0"/>
          <w:sz w:val="24"/>
          <w:szCs w:val="24"/>
          <w:highlight w:val="none"/>
          <w:lang w:val="en-US" w:eastAsia="zh-CN" w:bidi="ar"/>
        </w:rPr>
        <w:t>为</w:t>
      </w:r>
      <w:r>
        <w:rPr>
          <w:rFonts w:hint="eastAsia" w:ascii="宋体" w:hAnsi="宋体" w:eastAsia="宋体" w:cs="宋体"/>
          <w:color w:val="000000"/>
          <w:kern w:val="0"/>
          <w:sz w:val="24"/>
          <w:szCs w:val="24"/>
          <w:highlight w:val="none"/>
          <w:lang w:bidi="ar"/>
        </w:rPr>
        <w:t>金安区翁墩乡、木厂镇、东桥镇、马头镇、淠东乡、先生店镇、中店镇等14个乡镇学校</w:t>
      </w:r>
      <w:r>
        <w:rPr>
          <w:rFonts w:hint="eastAsia" w:ascii="宋体" w:hAnsi="宋体" w:eastAsia="宋体" w:cs="宋体"/>
          <w:color w:val="000000"/>
          <w:kern w:val="0"/>
          <w:sz w:val="24"/>
          <w:szCs w:val="24"/>
          <w:highlight w:val="none"/>
          <w:lang w:val="en-US" w:eastAsia="zh-CN" w:bidi="ar"/>
        </w:rPr>
        <w:t>学生</w:t>
      </w:r>
      <w:r>
        <w:rPr>
          <w:rFonts w:hint="eastAsia" w:ascii="宋体" w:hAnsi="宋体" w:eastAsia="宋体" w:cs="宋体"/>
          <w:color w:val="000000"/>
          <w:kern w:val="0"/>
          <w:sz w:val="24"/>
          <w:szCs w:val="24"/>
          <w:highlight w:val="none"/>
          <w:lang w:bidi="ar"/>
        </w:rPr>
        <w:t>采购32辆校车接送服务。供应商须按照采购人要求提供校车接送服务，确保相关学校学生在规定时间内安全上下学。受各乡镇地理跨度、接送点位、通行路线差异影响，本项目划分为3个分包实施采购，第一包：翁墩乡、木厂镇、东桥镇、马头镇、淠东乡、先生店镇、中店镇，第二包：先生店镇、张店镇、椿树镇、东河口镇、施桥镇、横塘岗镇、孙岗镇、双河镇，第三包：翁墩乡、木厂镇、马头镇、淠东乡。</w:t>
      </w:r>
    </w:p>
    <w:p w14:paraId="12D5406F">
      <w:pPr>
        <w:spacing w:line="360" w:lineRule="auto"/>
        <w:outlineLvl w:val="1"/>
        <w:rPr>
          <w:rFonts w:ascii="宋体" w:hAnsi="宋体" w:eastAsia="宋体"/>
          <w:b/>
          <w:color w:val="auto"/>
          <w:sz w:val="24"/>
          <w:szCs w:val="18"/>
          <w:highlight w:val="none"/>
        </w:rPr>
      </w:pPr>
      <w:bookmarkStart w:id="1" w:name="_Toc16068"/>
      <w:bookmarkStart w:id="2" w:name="_Toc17736"/>
      <w:bookmarkStart w:id="3" w:name="_Toc21757"/>
      <w:bookmarkStart w:id="4" w:name="_Toc8586"/>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、服务需求</w:t>
      </w:r>
      <w:bookmarkEnd w:id="1"/>
      <w:bookmarkEnd w:id="2"/>
      <w:bookmarkEnd w:id="3"/>
      <w:bookmarkEnd w:id="4"/>
    </w:p>
    <w:p w14:paraId="151B4D35">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（一）车辆数量及要求：</w:t>
      </w:r>
    </w:p>
    <w:p w14:paraId="3CAE6711">
      <w:pPr>
        <w:keepNext w:val="0"/>
        <w:keepLines w:val="0"/>
        <w:widowControl/>
        <w:suppressLineNumbers w:val="0"/>
        <w:spacing w:line="360" w:lineRule="auto"/>
        <w:jc w:val="left"/>
        <w:rPr>
          <w:rFonts w:hint="eastAsia" w:ascii="宋体" w:hAnsi="宋体" w:eastAsia="宋体" w:cs="宋体"/>
          <w:color w:val="000000"/>
          <w:kern w:val="0"/>
          <w:sz w:val="24"/>
          <w:szCs w:val="24"/>
          <w:lang w:eastAsia="zh-CN" w:bidi="ar"/>
        </w:rPr>
      </w:pPr>
      <w:r>
        <w:rPr>
          <w:rFonts w:hint="eastAsia" w:ascii="宋体" w:hAnsi="宋体" w:eastAsia="宋体" w:cs="宋体"/>
          <w:b w:val="0"/>
          <w:bCs w:val="0"/>
          <w:color w:val="000000"/>
          <w:kern w:val="0"/>
          <w:sz w:val="24"/>
          <w:szCs w:val="24"/>
          <w:lang w:val="en-US" w:eastAsia="zh-CN" w:bidi="ar"/>
        </w:rPr>
        <w:t xml:space="preserve">     第一包校车需求如下：</w:t>
      </w:r>
      <w:r>
        <w:rPr>
          <w:rFonts w:hint="eastAsia" w:ascii="宋体" w:hAnsi="宋体" w:eastAsia="宋体" w:cs="宋体"/>
          <w:color w:val="000000"/>
          <w:kern w:val="0"/>
          <w:sz w:val="24"/>
          <w:szCs w:val="24"/>
          <w:lang w:bidi="ar"/>
        </w:rPr>
        <w:t>翁墩乡</w:t>
      </w:r>
      <w:r>
        <w:rPr>
          <w:rFonts w:hint="eastAsia" w:ascii="宋体" w:hAnsi="宋体" w:eastAsia="宋体" w:cs="宋体"/>
          <w:color w:val="000000"/>
          <w:kern w:val="0"/>
          <w:sz w:val="24"/>
          <w:szCs w:val="24"/>
          <w:lang w:val="en-US" w:eastAsia="zh-CN" w:bidi="ar"/>
        </w:rPr>
        <w:t>需19座校车2辆；</w:t>
      </w:r>
      <w:r>
        <w:rPr>
          <w:rFonts w:hint="eastAsia" w:ascii="宋体" w:hAnsi="宋体" w:eastAsia="宋体" w:cs="宋体"/>
          <w:color w:val="000000"/>
          <w:kern w:val="0"/>
          <w:sz w:val="24"/>
          <w:szCs w:val="24"/>
          <w:lang w:bidi="ar"/>
        </w:rPr>
        <w:t>木厂镇</w:t>
      </w:r>
      <w:r>
        <w:rPr>
          <w:rFonts w:hint="eastAsia" w:ascii="宋体" w:hAnsi="宋体" w:eastAsia="宋体" w:cs="宋体"/>
          <w:color w:val="000000"/>
          <w:kern w:val="0"/>
          <w:sz w:val="24"/>
          <w:szCs w:val="24"/>
          <w:lang w:val="en-US" w:eastAsia="zh-CN" w:bidi="ar"/>
        </w:rPr>
        <w:t>需19座校车1辆</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东桥镇</w:t>
      </w:r>
      <w:r>
        <w:rPr>
          <w:rFonts w:hint="eastAsia" w:ascii="宋体" w:hAnsi="宋体" w:eastAsia="宋体" w:cs="宋体"/>
          <w:color w:val="000000"/>
          <w:kern w:val="0"/>
          <w:sz w:val="24"/>
          <w:szCs w:val="24"/>
          <w:lang w:val="en-US" w:eastAsia="zh-CN" w:bidi="ar"/>
        </w:rPr>
        <w:t>需19座校车1辆</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马头镇</w:t>
      </w:r>
      <w:r>
        <w:rPr>
          <w:rFonts w:hint="eastAsia" w:ascii="宋体" w:hAnsi="宋体" w:eastAsia="宋体" w:cs="宋体"/>
          <w:color w:val="000000"/>
          <w:kern w:val="0"/>
          <w:sz w:val="24"/>
          <w:szCs w:val="24"/>
          <w:lang w:val="en-US" w:eastAsia="zh-CN" w:bidi="ar"/>
        </w:rPr>
        <w:t>需19座校车1辆</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淠东乡</w:t>
      </w:r>
      <w:r>
        <w:rPr>
          <w:rFonts w:hint="eastAsia" w:ascii="宋体" w:hAnsi="宋体" w:eastAsia="宋体" w:cs="宋体"/>
          <w:color w:val="000000"/>
          <w:kern w:val="0"/>
          <w:sz w:val="24"/>
          <w:szCs w:val="24"/>
          <w:lang w:val="en-US" w:eastAsia="zh-CN" w:bidi="ar"/>
        </w:rPr>
        <w:t>需19座校车2辆</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先生店镇</w:t>
      </w:r>
      <w:r>
        <w:rPr>
          <w:rFonts w:hint="eastAsia" w:ascii="宋体" w:hAnsi="宋体" w:eastAsia="宋体" w:cs="宋体"/>
          <w:color w:val="000000"/>
          <w:kern w:val="0"/>
          <w:sz w:val="24"/>
          <w:szCs w:val="24"/>
          <w:lang w:val="en-US" w:eastAsia="zh-CN" w:bidi="ar"/>
        </w:rPr>
        <w:t>需19座校车1辆</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中店镇需19座校车</w:t>
      </w:r>
      <w:r>
        <w:rPr>
          <w:rFonts w:hint="eastAsia" w:ascii="宋体" w:hAnsi="宋体" w:eastAsia="宋体" w:cs="宋体"/>
          <w:color w:val="000000"/>
          <w:kern w:val="0"/>
          <w:sz w:val="24"/>
          <w:szCs w:val="24"/>
          <w:lang w:eastAsia="zh-CN" w:bidi="ar"/>
        </w:rPr>
        <w:t>1</w:t>
      </w:r>
      <w:r>
        <w:rPr>
          <w:rFonts w:hint="eastAsia" w:ascii="宋体" w:hAnsi="宋体" w:eastAsia="宋体" w:cs="宋体"/>
          <w:color w:val="000000"/>
          <w:kern w:val="0"/>
          <w:sz w:val="24"/>
          <w:szCs w:val="24"/>
          <w:lang w:bidi="ar"/>
        </w:rPr>
        <w:t>辆</w:t>
      </w:r>
      <w:r>
        <w:rPr>
          <w:rFonts w:hint="eastAsia" w:ascii="宋体" w:hAnsi="宋体" w:eastAsia="宋体" w:cs="宋体"/>
          <w:color w:val="000000"/>
          <w:kern w:val="0"/>
          <w:sz w:val="24"/>
          <w:szCs w:val="24"/>
          <w:lang w:eastAsia="zh-CN" w:bidi="ar"/>
        </w:rPr>
        <w:t>。</w:t>
      </w:r>
    </w:p>
    <w:p w14:paraId="7DFFC682">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第二包校车需求如下：</w:t>
      </w:r>
      <w:r>
        <w:rPr>
          <w:rFonts w:hint="eastAsia" w:ascii="宋体" w:hAnsi="宋体" w:eastAsia="宋体" w:cs="宋体"/>
          <w:color w:val="000000"/>
          <w:kern w:val="0"/>
          <w:sz w:val="24"/>
          <w:szCs w:val="24"/>
          <w:lang w:bidi="ar"/>
        </w:rPr>
        <w:t>先生店镇</w:t>
      </w:r>
      <w:r>
        <w:rPr>
          <w:rFonts w:hint="eastAsia" w:ascii="宋体" w:hAnsi="宋体" w:eastAsia="宋体" w:cs="宋体"/>
          <w:color w:val="000000"/>
          <w:kern w:val="0"/>
          <w:sz w:val="24"/>
          <w:szCs w:val="24"/>
          <w:lang w:val="en-US" w:eastAsia="zh-CN" w:bidi="ar"/>
        </w:rPr>
        <w:t>需19座校车1辆；</w:t>
      </w:r>
      <w:r>
        <w:rPr>
          <w:rFonts w:hint="eastAsia" w:ascii="宋体" w:hAnsi="宋体" w:eastAsia="宋体" w:cs="宋体"/>
          <w:color w:val="000000"/>
          <w:kern w:val="0"/>
          <w:sz w:val="24"/>
          <w:szCs w:val="24"/>
          <w:lang w:bidi="ar"/>
        </w:rPr>
        <w:t>张店镇</w:t>
      </w:r>
      <w:r>
        <w:rPr>
          <w:rFonts w:hint="eastAsia" w:ascii="宋体" w:hAnsi="宋体" w:eastAsia="宋体" w:cs="宋体"/>
          <w:color w:val="000000"/>
          <w:kern w:val="0"/>
          <w:sz w:val="24"/>
          <w:szCs w:val="24"/>
          <w:lang w:val="en-US" w:eastAsia="zh-CN" w:bidi="ar"/>
        </w:rPr>
        <w:t>需19座校车3辆；</w:t>
      </w:r>
      <w:r>
        <w:rPr>
          <w:rFonts w:hint="eastAsia" w:ascii="宋体" w:hAnsi="宋体" w:eastAsia="宋体" w:cs="宋体"/>
          <w:color w:val="000000"/>
          <w:kern w:val="0"/>
          <w:sz w:val="24"/>
          <w:szCs w:val="24"/>
          <w:lang w:bidi="ar"/>
        </w:rPr>
        <w:t>椿树镇</w:t>
      </w:r>
      <w:r>
        <w:rPr>
          <w:rFonts w:hint="eastAsia" w:ascii="宋体" w:hAnsi="宋体" w:eastAsia="宋体" w:cs="宋体"/>
          <w:color w:val="000000"/>
          <w:kern w:val="0"/>
          <w:sz w:val="24"/>
          <w:szCs w:val="24"/>
          <w:lang w:val="en-US" w:eastAsia="zh-CN" w:bidi="ar"/>
        </w:rPr>
        <w:t>需19座校车2辆；</w:t>
      </w:r>
      <w:r>
        <w:rPr>
          <w:rFonts w:hint="eastAsia" w:ascii="宋体" w:hAnsi="宋体" w:eastAsia="宋体" w:cs="宋体"/>
          <w:color w:val="000000"/>
          <w:kern w:val="0"/>
          <w:sz w:val="24"/>
          <w:szCs w:val="24"/>
          <w:lang w:bidi="ar"/>
        </w:rPr>
        <w:t>东河口镇</w:t>
      </w:r>
      <w:r>
        <w:rPr>
          <w:rFonts w:hint="eastAsia" w:ascii="宋体" w:hAnsi="宋体" w:eastAsia="宋体" w:cs="宋体"/>
          <w:color w:val="000000"/>
          <w:kern w:val="0"/>
          <w:sz w:val="24"/>
          <w:szCs w:val="24"/>
          <w:lang w:val="en-US" w:eastAsia="zh-CN" w:bidi="ar"/>
        </w:rPr>
        <w:t>需19座校车3辆；</w:t>
      </w:r>
      <w:r>
        <w:rPr>
          <w:rFonts w:hint="eastAsia" w:ascii="宋体" w:hAnsi="宋体" w:eastAsia="宋体" w:cs="宋体"/>
          <w:color w:val="000000"/>
          <w:kern w:val="0"/>
          <w:sz w:val="24"/>
          <w:szCs w:val="24"/>
          <w:lang w:bidi="ar"/>
        </w:rPr>
        <w:t>施桥镇</w:t>
      </w:r>
      <w:r>
        <w:rPr>
          <w:rFonts w:hint="eastAsia" w:ascii="宋体" w:hAnsi="宋体" w:eastAsia="宋体" w:cs="宋体"/>
          <w:color w:val="000000"/>
          <w:kern w:val="0"/>
          <w:sz w:val="24"/>
          <w:szCs w:val="24"/>
          <w:lang w:val="en-US" w:eastAsia="zh-CN" w:bidi="ar"/>
        </w:rPr>
        <w:t>需19座校车1辆；</w:t>
      </w:r>
      <w:r>
        <w:rPr>
          <w:rFonts w:hint="eastAsia" w:ascii="宋体" w:hAnsi="宋体" w:eastAsia="宋体" w:cs="宋体"/>
          <w:color w:val="000000"/>
          <w:kern w:val="0"/>
          <w:sz w:val="24"/>
          <w:szCs w:val="24"/>
          <w:lang w:bidi="ar"/>
        </w:rPr>
        <w:t>横塘岗镇</w:t>
      </w:r>
      <w:r>
        <w:rPr>
          <w:rFonts w:hint="eastAsia" w:ascii="宋体" w:hAnsi="宋体" w:eastAsia="宋体" w:cs="宋体"/>
          <w:color w:val="000000"/>
          <w:kern w:val="0"/>
          <w:sz w:val="24"/>
          <w:szCs w:val="24"/>
          <w:lang w:val="en-US" w:eastAsia="zh-CN" w:bidi="ar"/>
        </w:rPr>
        <w:t>需19座校车2辆；</w:t>
      </w:r>
      <w:r>
        <w:rPr>
          <w:rFonts w:hint="eastAsia" w:ascii="宋体" w:hAnsi="宋体" w:eastAsia="宋体" w:cs="宋体"/>
          <w:color w:val="000000"/>
          <w:kern w:val="0"/>
          <w:sz w:val="24"/>
          <w:szCs w:val="24"/>
          <w:lang w:bidi="ar"/>
        </w:rPr>
        <w:t>孙岗镇</w:t>
      </w:r>
      <w:r>
        <w:rPr>
          <w:rFonts w:hint="eastAsia" w:ascii="宋体" w:hAnsi="宋体" w:eastAsia="宋体" w:cs="宋体"/>
          <w:color w:val="000000"/>
          <w:kern w:val="0"/>
          <w:sz w:val="24"/>
          <w:szCs w:val="24"/>
          <w:lang w:val="en-US" w:eastAsia="zh-CN" w:bidi="ar"/>
        </w:rPr>
        <w:t>需19座校车1辆；</w:t>
      </w:r>
      <w:r>
        <w:rPr>
          <w:rFonts w:hint="eastAsia" w:ascii="宋体" w:hAnsi="宋体" w:eastAsia="宋体" w:cs="宋体"/>
          <w:color w:val="000000"/>
          <w:kern w:val="0"/>
          <w:sz w:val="24"/>
          <w:szCs w:val="24"/>
          <w:lang w:bidi="ar"/>
        </w:rPr>
        <w:t>双河镇</w:t>
      </w:r>
      <w:r>
        <w:rPr>
          <w:rFonts w:hint="eastAsia" w:ascii="宋体" w:hAnsi="宋体" w:eastAsia="宋体" w:cs="宋体"/>
          <w:color w:val="000000"/>
          <w:kern w:val="0"/>
          <w:sz w:val="24"/>
          <w:szCs w:val="24"/>
          <w:lang w:val="en-US" w:eastAsia="zh-CN" w:bidi="ar"/>
        </w:rPr>
        <w:t>需19座校车1辆。</w:t>
      </w:r>
    </w:p>
    <w:p w14:paraId="4ED8C0D5">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b w:val="0"/>
          <w:bCs w:val="0"/>
          <w:color w:val="000000"/>
          <w:kern w:val="0"/>
          <w:sz w:val="24"/>
          <w:szCs w:val="24"/>
          <w:u w:val="none"/>
          <w:lang w:val="en-US" w:eastAsia="zh-CN" w:bidi="ar"/>
        </w:rPr>
        <w:t>第三包</w:t>
      </w:r>
      <w:r>
        <w:rPr>
          <w:rFonts w:hint="eastAsia" w:ascii="宋体" w:hAnsi="宋体" w:eastAsia="宋体" w:cs="宋体"/>
          <w:color w:val="000000"/>
          <w:kern w:val="0"/>
          <w:sz w:val="24"/>
          <w:szCs w:val="24"/>
          <w:lang w:val="en-US" w:eastAsia="zh-CN" w:bidi="ar"/>
        </w:rPr>
        <w:t>校车需求如下</w:t>
      </w:r>
      <w:r>
        <w:rPr>
          <w:rFonts w:hint="eastAsia" w:ascii="宋体" w:hAnsi="宋体" w:eastAsia="宋体" w:cs="宋体"/>
          <w:b w:val="0"/>
          <w:bCs w:val="0"/>
          <w:color w:val="000000"/>
          <w:kern w:val="0"/>
          <w:sz w:val="24"/>
          <w:szCs w:val="24"/>
          <w:u w:val="none"/>
          <w:lang w:val="en-US" w:eastAsia="zh-CN" w:bidi="ar"/>
        </w:rPr>
        <w:t>：</w:t>
      </w:r>
      <w:r>
        <w:rPr>
          <w:rFonts w:hint="eastAsia" w:ascii="宋体" w:hAnsi="宋体" w:eastAsia="宋体" w:cs="宋体"/>
          <w:color w:val="000000"/>
          <w:kern w:val="0"/>
          <w:sz w:val="24"/>
          <w:szCs w:val="24"/>
          <w:lang w:bidi="ar"/>
        </w:rPr>
        <w:t>翁墩乡</w:t>
      </w:r>
      <w:r>
        <w:rPr>
          <w:rFonts w:hint="eastAsia" w:ascii="宋体" w:hAnsi="宋体" w:eastAsia="宋体" w:cs="宋体"/>
          <w:color w:val="000000"/>
          <w:kern w:val="0"/>
          <w:sz w:val="24"/>
          <w:szCs w:val="24"/>
          <w:lang w:val="en-US" w:eastAsia="zh-CN" w:bidi="ar"/>
        </w:rPr>
        <w:t>需19座校车2辆；</w:t>
      </w:r>
      <w:r>
        <w:rPr>
          <w:rFonts w:hint="eastAsia" w:ascii="宋体" w:hAnsi="宋体" w:eastAsia="宋体" w:cs="宋体"/>
          <w:color w:val="000000"/>
          <w:kern w:val="0"/>
          <w:sz w:val="24"/>
          <w:szCs w:val="24"/>
          <w:lang w:bidi="ar"/>
        </w:rPr>
        <w:t>木厂镇</w:t>
      </w:r>
      <w:r>
        <w:rPr>
          <w:rFonts w:hint="eastAsia" w:ascii="宋体" w:hAnsi="宋体" w:eastAsia="宋体" w:cs="宋体"/>
          <w:color w:val="000000"/>
          <w:kern w:val="0"/>
          <w:sz w:val="24"/>
          <w:szCs w:val="24"/>
          <w:lang w:val="en-US" w:eastAsia="zh-CN" w:bidi="ar"/>
        </w:rPr>
        <w:t>需19座校车3辆；</w:t>
      </w:r>
      <w:r>
        <w:rPr>
          <w:rFonts w:hint="eastAsia" w:ascii="宋体" w:hAnsi="宋体" w:eastAsia="宋体" w:cs="宋体"/>
          <w:b w:val="0"/>
          <w:bCs w:val="0"/>
          <w:color w:val="000000"/>
          <w:kern w:val="0"/>
          <w:sz w:val="24"/>
          <w:szCs w:val="24"/>
          <w:u w:val="none"/>
          <w:lang w:val="en-US" w:eastAsia="zh-CN" w:bidi="ar"/>
        </w:rPr>
        <w:t>马头镇</w:t>
      </w:r>
      <w:r>
        <w:rPr>
          <w:rFonts w:hint="eastAsia" w:ascii="宋体" w:hAnsi="宋体" w:eastAsia="宋体" w:cs="宋体"/>
          <w:color w:val="000000"/>
          <w:kern w:val="0"/>
          <w:sz w:val="24"/>
          <w:szCs w:val="24"/>
          <w:lang w:val="en-US" w:eastAsia="zh-CN" w:bidi="ar"/>
        </w:rPr>
        <w:t>需19座校车2辆；</w:t>
      </w:r>
      <w:r>
        <w:rPr>
          <w:rFonts w:hint="eastAsia" w:ascii="宋体" w:hAnsi="宋体" w:eastAsia="宋体" w:cs="宋体"/>
          <w:b w:val="0"/>
          <w:bCs w:val="0"/>
          <w:color w:val="000000"/>
          <w:kern w:val="0"/>
          <w:sz w:val="24"/>
          <w:szCs w:val="24"/>
          <w:u w:val="none"/>
          <w:lang w:val="en-US" w:eastAsia="zh-CN" w:bidi="ar"/>
        </w:rPr>
        <w:t>淠东乡</w:t>
      </w:r>
      <w:r>
        <w:rPr>
          <w:rFonts w:hint="eastAsia" w:ascii="宋体" w:hAnsi="宋体" w:eastAsia="宋体" w:cs="宋体"/>
          <w:color w:val="000000"/>
          <w:kern w:val="0"/>
          <w:sz w:val="24"/>
          <w:szCs w:val="24"/>
          <w:lang w:val="en-US" w:eastAsia="zh-CN" w:bidi="ar"/>
        </w:rPr>
        <w:t>需19座校车2辆。</w:t>
      </w:r>
    </w:p>
    <w:p w14:paraId="5730C3F5">
      <w:pPr>
        <w:keepNext w:val="0"/>
        <w:keepLines w:val="0"/>
        <w:widowControl/>
        <w:suppressLineNumbers w:val="0"/>
        <w:spacing w:line="360" w:lineRule="auto"/>
        <w:jc w:val="left"/>
      </w:pPr>
      <w:r>
        <w:rPr>
          <w:rFonts w:hint="eastAsia" w:ascii="宋体" w:hAnsi="宋体" w:eastAsia="宋体" w:cs="宋体"/>
          <w:b w:val="0"/>
          <w:bCs w:val="0"/>
          <w:color w:val="000000"/>
          <w:kern w:val="0"/>
          <w:sz w:val="24"/>
          <w:szCs w:val="24"/>
          <w:lang w:val="en-US" w:eastAsia="zh-CN" w:bidi="ar"/>
        </w:rPr>
        <w:t>（二）时间、路线等要求</w:t>
      </w:r>
      <w:r>
        <w:rPr>
          <w:rFonts w:hint="eastAsia" w:ascii="宋体" w:hAnsi="宋体" w:eastAsia="宋体" w:cs="宋体"/>
          <w:b/>
          <w:bCs/>
          <w:color w:val="000000"/>
          <w:kern w:val="0"/>
          <w:sz w:val="24"/>
          <w:szCs w:val="24"/>
          <w:lang w:val="en-US" w:eastAsia="zh-CN" w:bidi="ar"/>
        </w:rPr>
        <w:t xml:space="preserve"> </w:t>
      </w:r>
    </w:p>
    <w:p w14:paraId="3E4A1FFA">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具体接送时间、路线、停靠点将会以主管部门规定作息时间为依据，由成交供应商与需求学校具体签订服务协议，结合季节变化实际，双方作适时调整。原则上，每辆车每天总行程不超过 90 公里。 </w:t>
      </w:r>
    </w:p>
    <w:p w14:paraId="681CE925">
      <w:pPr>
        <w:keepNext w:val="0"/>
        <w:keepLines w:val="0"/>
        <w:widowControl/>
        <w:suppressLineNumbers w:val="0"/>
        <w:spacing w:line="360" w:lineRule="auto"/>
        <w:jc w:val="left"/>
        <w:rPr>
          <w:b/>
          <w:bCs/>
        </w:rPr>
      </w:pPr>
      <w:r>
        <w:rPr>
          <w:rFonts w:hint="eastAsia" w:ascii="宋体" w:hAnsi="宋体" w:eastAsia="宋体" w:cs="宋体"/>
          <w:b w:val="0"/>
          <w:bCs w:val="0"/>
          <w:color w:val="000000"/>
          <w:kern w:val="0"/>
          <w:sz w:val="24"/>
          <w:szCs w:val="24"/>
          <w:lang w:val="en-US" w:eastAsia="zh-CN" w:bidi="ar"/>
        </w:rPr>
        <w:t>（三）车型要求</w:t>
      </w:r>
      <w:r>
        <w:rPr>
          <w:rFonts w:hint="eastAsia" w:ascii="宋体" w:hAnsi="宋体" w:eastAsia="宋体" w:cs="宋体"/>
          <w:b/>
          <w:bCs/>
          <w:color w:val="000000"/>
          <w:kern w:val="0"/>
          <w:sz w:val="24"/>
          <w:szCs w:val="24"/>
          <w:lang w:val="en-US" w:eastAsia="zh-CN" w:bidi="ar"/>
        </w:rPr>
        <w:t xml:space="preserve"> </w:t>
      </w:r>
    </w:p>
    <w:p w14:paraId="1D31F8F8">
      <w:pPr>
        <w:keepNext w:val="0"/>
        <w:keepLines w:val="0"/>
        <w:widowControl/>
        <w:suppressLineNumbers w:val="0"/>
        <w:spacing w:line="360" w:lineRule="auto"/>
        <w:ind w:firstLine="480" w:firstLineChars="200"/>
        <w:jc w:val="left"/>
        <w:rPr>
          <w:highlight w:val="none"/>
        </w:rPr>
      </w:pPr>
      <w:r>
        <w:rPr>
          <w:rFonts w:hint="eastAsia" w:ascii="宋体" w:hAnsi="宋体" w:eastAsia="宋体" w:cs="宋体"/>
          <w:color w:val="000000"/>
          <w:kern w:val="0"/>
          <w:sz w:val="24"/>
          <w:szCs w:val="24"/>
          <w:lang w:bidi="ar"/>
        </w:rPr>
        <w:t>供应商提供的车辆必须符合国家相关规定及技术规范要求，符合国家工业和信息</w:t>
      </w:r>
      <w:bookmarkStart w:id="9" w:name="_GoBack"/>
      <w:bookmarkEnd w:id="9"/>
      <w:r>
        <w:rPr>
          <w:rFonts w:hint="eastAsia" w:ascii="宋体" w:hAnsi="宋体" w:eastAsia="宋体" w:cs="宋体"/>
          <w:color w:val="000000"/>
          <w:kern w:val="0"/>
          <w:sz w:val="24"/>
          <w:szCs w:val="24"/>
          <w:lang w:bidi="ar"/>
        </w:rPr>
        <w:t>化部《校车生产企业及产品名录》公布的合格车辆（报价车辆属于《校车生产企业及产品名录》中的车辆，需在响应文件中提供证明材料原件扫描件），且符合《专用校车安全技术条件（GB24407-2012）》和</w:t>
      </w:r>
      <w:r>
        <w:rPr>
          <w:rFonts w:hint="eastAsia" w:ascii="宋体" w:hAnsi="宋体" w:eastAsia="宋体" w:cs="宋体"/>
          <w:color w:val="000000"/>
          <w:kern w:val="0"/>
          <w:sz w:val="24"/>
          <w:szCs w:val="24"/>
          <w:highlight w:val="none"/>
          <w:lang w:bidi="ar"/>
        </w:rPr>
        <w:t>《专用校车学生座椅及其车辆固定件的强度》（GB 24406-2024）要求，技术性能良好，且应有统一校车标牌。</w:t>
      </w:r>
      <w:r>
        <w:rPr>
          <w:rFonts w:hint="eastAsia" w:ascii="宋体" w:hAnsi="宋体" w:eastAsia="宋体" w:cs="宋体"/>
          <w:color w:val="000000"/>
          <w:kern w:val="0"/>
          <w:sz w:val="24"/>
          <w:szCs w:val="24"/>
          <w:highlight w:val="none"/>
          <w:lang w:val="en-US" w:eastAsia="zh-CN" w:bidi="ar"/>
        </w:rPr>
        <w:t xml:space="preserve"> </w:t>
      </w:r>
    </w:p>
    <w:p w14:paraId="29ECD208">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b w:val="0"/>
          <w:bCs w:val="0"/>
          <w:color w:val="000000"/>
          <w:kern w:val="0"/>
          <w:sz w:val="24"/>
          <w:szCs w:val="24"/>
          <w:highlight w:val="none"/>
          <w:lang w:val="en-US" w:eastAsia="zh-CN" w:bidi="ar"/>
        </w:rPr>
        <w:t xml:space="preserve">（三）车辆要求 </w:t>
      </w:r>
    </w:p>
    <w:p w14:paraId="695AD0A6">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highlight w:val="none"/>
          <w:lang w:bidi="ar"/>
        </w:rPr>
        <w:t>1、提供</w:t>
      </w:r>
      <w:r>
        <w:rPr>
          <w:rFonts w:hint="eastAsia" w:ascii="宋体" w:hAnsi="宋体" w:eastAsia="宋体" w:cs="宋体"/>
          <w:color w:val="000000"/>
          <w:kern w:val="0"/>
          <w:sz w:val="24"/>
          <w:szCs w:val="24"/>
          <w:highlight w:val="none"/>
          <w:lang w:val="en-US" w:eastAsia="zh-CN" w:bidi="ar"/>
        </w:rPr>
        <w:t>满足需求数量且</w:t>
      </w:r>
      <w:r>
        <w:rPr>
          <w:rFonts w:hint="eastAsia" w:ascii="宋体" w:hAnsi="宋体" w:eastAsia="宋体" w:cs="宋体"/>
          <w:color w:val="000000"/>
          <w:kern w:val="0"/>
          <w:sz w:val="24"/>
          <w:szCs w:val="24"/>
          <w:highlight w:val="none"/>
          <w:lang w:bidi="ar"/>
        </w:rPr>
        <w:t>符合国家标准的校车，取得机动车检验合格证明，</w:t>
      </w:r>
      <w:r>
        <w:rPr>
          <w:rFonts w:hint="eastAsia" w:ascii="宋体" w:hAnsi="宋体" w:eastAsia="宋体" w:cs="宋体"/>
          <w:color w:val="000000"/>
          <w:kern w:val="0"/>
          <w:sz w:val="24"/>
          <w:szCs w:val="24"/>
          <w:lang w:bidi="ar"/>
        </w:rPr>
        <w:t>并已经在公安交通管理部门办理注册登记（提供国家标准校车信息及相关证明材料的原件扫描件）；</w:t>
      </w:r>
    </w:p>
    <w:p w14:paraId="1A6E1F3C">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2、异地公司中标后需在运营前，完成交通运输管理部门运营许可等相关手续的办理工作； </w:t>
      </w:r>
    </w:p>
    <w:p w14:paraId="6429F61C">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3、符合《校车安全管理条例》相关要求；</w:t>
      </w:r>
    </w:p>
    <w:p w14:paraId="0497AAFC">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4、每辆校车的保险要齐全（机动车交通事故责任强制险、商业第三者责任险、承运人责任险、座位险、车辆损失险、玻璃单独破碎险、不计免赔险等），不得漏保、少保；</w:t>
      </w:r>
    </w:p>
    <w:p w14:paraId="6C72C5DE">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5、校车在投入运营使用前，须取得校车标牌。</w:t>
      </w:r>
    </w:p>
    <w:p w14:paraId="117258B9">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每辆校车必须安装汽车行驶记录仪，该装置俗称“汽车黑匣子”，可对车辆行驶速度、时间、里程以及有关车辆行驶的其他状态信息进行记录、存储，并可以通过接口实现数据输出；校车需具备网络连接功能，且可以连接到学校或其他需要连接的部门。校车应当配备逃生锤、干粉灭火器、急救箱等安全设备。安全设备应当放置在便手取用的位置，并确保性能良好、有效适用。</w:t>
      </w:r>
    </w:p>
    <w:p w14:paraId="4FC595A3">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为确保学生的安全，要求校车内每个小学生座位必须安装安全带，如果车上装有能开启每个座位安全带的集中控制装置，其操纵件应在驾驶员可操控范围内，并且该装置在任何情況下均不影响每个安全带的正常操作功能。</w:t>
      </w:r>
    </w:p>
    <w:p w14:paraId="461ABDA9">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符合《校车安全管理条例》相关要求，校车应当由依法取得相应资质的维修企业维修，承接校车维修业务的企业应当按照规定的维修技术规范维修校车；加强车辆安全管理，定期对车辆进行安全检查，保持良好车况。供应商配套有自营或者长期稳定合作的具有汽车维修企业资质的修理厂（提供修理厂资质证明材料的原件扫描件，如修理厂不是自营的，还须提供合作协议原件扫描件）。</w:t>
      </w:r>
    </w:p>
    <w:p w14:paraId="05D12384">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9、在校车服务期内，成交供应商不得转让或抵押校车。</w:t>
      </w:r>
    </w:p>
    <w:p w14:paraId="4EAD382F">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10、在履约过程中，如成交供应商提供的校车与投标时的校车不一致，成交供应商需提供优于投标时车辆车况的校车，并向金安区教育局提出书面报告同意后方可投入运营。</w:t>
      </w:r>
    </w:p>
    <w:p w14:paraId="4125E180">
      <w:pPr>
        <w:keepNext w:val="0"/>
        <w:keepLines w:val="0"/>
        <w:widowControl/>
        <w:suppressLineNumbers w:val="0"/>
        <w:spacing w:line="360" w:lineRule="auto"/>
        <w:ind w:firstLine="482" w:firstLineChars="200"/>
        <w:jc w:val="left"/>
      </w:pPr>
      <w:r>
        <w:rPr>
          <w:rFonts w:hint="eastAsia" w:ascii="宋体" w:hAnsi="宋体" w:eastAsia="宋体" w:cs="宋体"/>
          <w:b/>
          <w:bCs/>
          <w:color w:val="000000"/>
          <w:kern w:val="0"/>
          <w:sz w:val="24"/>
          <w:szCs w:val="24"/>
          <w:lang w:bidi="ar"/>
        </w:rPr>
        <w:t>注：以上须在响应文件中提供承诺函并加盖公章，格式自拟。</w:t>
      </w:r>
      <w:r>
        <w:rPr>
          <w:rFonts w:hint="eastAsia" w:ascii="宋体" w:hAnsi="宋体" w:eastAsia="宋体" w:cs="宋体"/>
          <w:color w:val="000000"/>
          <w:kern w:val="0"/>
          <w:sz w:val="24"/>
          <w:szCs w:val="24"/>
          <w:lang w:val="en-US" w:eastAsia="zh-CN" w:bidi="ar"/>
        </w:rPr>
        <w:t xml:space="preserve"> </w:t>
      </w:r>
    </w:p>
    <w:p w14:paraId="56FAFFFD">
      <w:pPr>
        <w:widowControl/>
        <w:spacing w:line="360" w:lineRule="auto"/>
        <w:ind w:firstLine="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val="en-US" w:eastAsia="zh-CN" w:bidi="ar"/>
        </w:rPr>
        <w:t>四）</w:t>
      </w:r>
      <w:r>
        <w:rPr>
          <w:rFonts w:hint="eastAsia" w:ascii="宋体" w:hAnsi="宋体" w:eastAsia="宋体" w:cs="宋体"/>
          <w:color w:val="000000"/>
          <w:kern w:val="0"/>
          <w:sz w:val="24"/>
          <w:szCs w:val="24"/>
          <w:lang w:bidi="ar"/>
        </w:rPr>
        <w:t xml:space="preserve">人员配备及其他要求 </w:t>
      </w:r>
    </w:p>
    <w:p w14:paraId="478F44C9">
      <w:pPr>
        <w:widowControl/>
        <w:spacing w:line="360" w:lineRule="auto"/>
        <w:ind w:firstLine="720" w:firstLineChars="3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highlight w:val="none"/>
          <w:lang w:bidi="ar"/>
        </w:rPr>
        <w:t>、每一辆车配备一名驾驶人员，驾驶员须是本单位人员</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lang w:bidi="ar"/>
        </w:rPr>
        <w:t>（提供近六个月内任意一个月的社保缴费证明扫描件），禁止聘用未取得校车驾驶资格的机动车驾驶人驾驶校车；且聘用的校车驾驶人员必须符合《中华人民共和国道路交通安全法》和国务院颁布的《校车安全管理条例》的相关条件及资质；并具备良好的职业道德，政治思想好、有事业心、技术过硬、有熟练的维修、操作技能的优秀驾驶人员；</w:t>
      </w:r>
    </w:p>
    <w:p w14:paraId="5EBADAD8">
      <w:pPr>
        <w:widowControl/>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校车驾驶人员应当每年接受公安机关交通管理部门的审验。校车驾驶人员应当遵守道路交通安全法律法规，严格按照机动车道路通行规则和驾驶操作规范安全驾驶、文明驾驶。校车驾驶人员需持有符合要求的驾驶证和道路旅客运输驾驶从业资格证，符合《校车安全管理条例》相关要求：（1）驾驶经历三年及以上年龄在 25 周岁（含）以上、不超过 60 周岁；（2）最近连续三个记分周期内没有被记满 12 分记录；（3）无致人死亡或者重伤的交通事故责任记录；（4）无酒后驾驶或者醉酒驾驶机动车记录，最近一年内无驾驶客运车辆超员、超速等严重交通违法行为记录；（5）无犯罪记录；（6）身心健康，无传染性疾病，无癫痫病、精神病等可能危及行车安全的疾病病史，无酗酒、吸毒行为记录。</w:t>
      </w:r>
    </w:p>
    <w:p w14:paraId="5EFA10C1">
      <w:pPr>
        <w:widowControl/>
        <w:numPr>
          <w:ilvl w:val="-1"/>
          <w:numId w:val="0"/>
        </w:numPr>
        <w:spacing w:line="360" w:lineRule="auto"/>
        <w:ind w:firstLine="480" w:firstLineChars="200"/>
        <w:jc w:val="left"/>
        <w:rPr>
          <w:rFonts w:hint="eastAsia" w:ascii="宋体" w:hAnsi="宋体" w:eastAsia="宋体" w:cs="宋体"/>
          <w:b w:val="0"/>
          <w:color w:val="000000"/>
          <w:kern w:val="0"/>
          <w:sz w:val="24"/>
          <w:szCs w:val="24"/>
          <w:lang w:bidi="ar"/>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成交供应商必须定期对司机进行安全和业务培训及考核；</w:t>
      </w:r>
    </w:p>
    <w:p w14:paraId="02E0E841">
      <w:pPr>
        <w:widowControl/>
        <w:numPr>
          <w:ilvl w:val="-1"/>
          <w:numId w:val="0"/>
        </w:numPr>
        <w:spacing w:line="360" w:lineRule="auto"/>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4、车辆工作人员须保证车厢卫生清洁；</w:t>
      </w:r>
    </w:p>
    <w:p w14:paraId="3A9384E5">
      <w:pPr>
        <w:widowControl/>
        <w:numPr>
          <w:ilvl w:val="-1"/>
          <w:numId w:val="0"/>
        </w:numPr>
        <w:spacing w:line="360" w:lineRule="auto"/>
        <w:ind w:firstLine="480" w:firstLineChars="200"/>
        <w:jc w:val="left"/>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bidi="ar"/>
        </w:rPr>
        <w:t>5、校车驾驶人员及随车照管员统一着装、挂牌上岗。校车及驾驶员一旦确定不得随意更换，因故需调整的应及时向采购方提出申请经批准后方可更换</w:t>
      </w:r>
      <w:r>
        <w:rPr>
          <w:rFonts w:hint="eastAsia" w:ascii="宋体" w:hAnsi="宋体" w:eastAsia="宋体" w:cs="宋体"/>
          <w:color w:val="000000"/>
          <w:kern w:val="0"/>
          <w:sz w:val="24"/>
          <w:szCs w:val="24"/>
          <w:lang w:eastAsia="zh-CN" w:bidi="ar"/>
        </w:rPr>
        <w:t>。</w:t>
      </w:r>
    </w:p>
    <w:p w14:paraId="3243FA30">
      <w:pPr>
        <w:keepNext w:val="0"/>
        <w:keepLines w:val="0"/>
        <w:widowControl/>
        <w:numPr>
          <w:ilvl w:val="0"/>
          <w:numId w:val="0"/>
        </w:numPr>
        <w:suppressLineNumbers w:val="0"/>
        <w:spacing w:line="360" w:lineRule="auto"/>
        <w:ind w:firstLine="482" w:firstLineChars="200"/>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注：以上须在响应文件中提供承诺函并加盖公章，格式自拟。</w:t>
      </w:r>
    </w:p>
    <w:p w14:paraId="3B333BDE">
      <w:pPr>
        <w:keepNext w:val="0"/>
        <w:keepLines w:val="0"/>
        <w:widowControl/>
        <w:numPr>
          <w:ilvl w:val="0"/>
          <w:numId w:val="0"/>
        </w:numPr>
        <w:suppressLineNumbers w:val="0"/>
        <w:spacing w:line="360" w:lineRule="auto"/>
        <w:ind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6、</w:t>
      </w:r>
      <w:r>
        <w:rPr>
          <w:rFonts w:hint="eastAsia" w:ascii="宋体" w:hAnsi="宋体" w:eastAsia="宋体" w:cs="宋体"/>
          <w:color w:val="000000"/>
          <w:kern w:val="0"/>
          <w:sz w:val="24"/>
          <w:szCs w:val="24"/>
          <w:lang w:bidi="ar"/>
        </w:rPr>
        <w:t>成交供应商提供校车服务前，要将校车及人员相关材料证件，如车辆在《车辆生产企业及产品公告》目录内证明材料，车辆购销合同，车辆合格证，车辆一致性证书，购买的相关保险原件扫描件，取得校车标牌的证明材料原件扫描件，校车使用许可材料原件扫描件，校车驾驶人员身份证正反面原件扫描件，校车驾驶人员的准驾车型驾驶证和校车驾驶人员从业资格证原件扫描件等此次校车服务的其他相关材料证件交付采购人审核备案。</w:t>
      </w:r>
    </w:p>
    <w:p w14:paraId="7F26BA39">
      <w:pPr>
        <w:widowControl/>
        <w:numPr>
          <w:ilvl w:val="0"/>
          <w:numId w:val="0"/>
        </w:numPr>
        <w:spacing w:line="360" w:lineRule="auto"/>
        <w:jc w:val="left"/>
        <w:outlineLvl w:val="9"/>
        <w:rPr>
          <w:rFonts w:hint="eastAsia" w:ascii="宋体" w:hAnsi="宋体" w:eastAsia="宋体"/>
          <w:b/>
          <w:color w:val="auto"/>
          <w:sz w:val="24"/>
          <w:szCs w:val="18"/>
          <w:highlight w:val="none"/>
          <w:lang w:bidi="ar"/>
        </w:rPr>
      </w:pPr>
      <w:r>
        <w:rPr>
          <w:rFonts w:hint="eastAsia" w:ascii="宋体" w:hAnsi="宋体" w:eastAsia="宋体"/>
          <w:b/>
          <w:color w:val="auto"/>
          <w:sz w:val="24"/>
          <w:szCs w:val="18"/>
          <w:highlight w:val="none"/>
          <w:lang w:val="en-US" w:eastAsia="zh-CN" w:bidi="ar"/>
        </w:rPr>
        <w:t>三、</w:t>
      </w:r>
      <w:r>
        <w:rPr>
          <w:rFonts w:hint="eastAsia" w:ascii="宋体" w:hAnsi="宋体" w:eastAsia="宋体"/>
          <w:b/>
          <w:color w:val="auto"/>
          <w:sz w:val="24"/>
          <w:szCs w:val="18"/>
          <w:highlight w:val="none"/>
          <w:lang w:bidi="ar"/>
        </w:rPr>
        <w:t>报价要求</w:t>
      </w:r>
    </w:p>
    <w:p w14:paraId="1F7D0EC8">
      <w:pPr>
        <w:widowControl/>
        <w:numPr>
          <w:ilvl w:val="0"/>
          <w:numId w:val="0"/>
        </w:numPr>
        <w:spacing w:line="360" w:lineRule="auto"/>
        <w:ind w:firstLine="480" w:firstLineChars="200"/>
        <w:jc w:val="left"/>
        <w:outlineLvl w:val="9"/>
        <w:rPr>
          <w:rFonts w:hint="eastAsia" w:ascii="宋体" w:hAnsi="宋体" w:eastAsia="宋体" w:cs="宋体"/>
          <w:color w:val="000000"/>
          <w:kern w:val="0"/>
          <w:sz w:val="24"/>
          <w:szCs w:val="24"/>
          <w:lang w:bidi="ar"/>
        </w:rPr>
      </w:pPr>
      <w:bookmarkStart w:id="5" w:name="_Toc32125"/>
      <w:bookmarkStart w:id="6" w:name="_Toc3530"/>
      <w:bookmarkStart w:id="7" w:name="_Toc23590"/>
      <w:r>
        <w:rPr>
          <w:rFonts w:hint="eastAsia" w:ascii="宋体" w:hAnsi="宋体" w:eastAsia="宋体" w:cs="宋体"/>
          <w:color w:val="000000"/>
          <w:kern w:val="0"/>
          <w:sz w:val="24"/>
          <w:szCs w:val="24"/>
          <w:lang w:eastAsia="zh-CN" w:bidi="ar"/>
        </w:rPr>
        <w:t>1、</w:t>
      </w:r>
      <w:r>
        <w:rPr>
          <w:rFonts w:hint="eastAsia" w:ascii="宋体" w:hAnsi="宋体" w:eastAsia="宋体" w:cs="宋体"/>
          <w:color w:val="000000"/>
          <w:kern w:val="0"/>
          <w:sz w:val="24"/>
          <w:szCs w:val="24"/>
          <w:lang w:bidi="ar"/>
        </w:rPr>
        <w:t>如服务期内人员最低工资标准、保险费（包括人员保险和车辆保险）、燃油费等因国家、省、市政策性调整或市场变化，成交供应商应自行考虑，不得因此调整服务报价。</w:t>
      </w:r>
    </w:p>
    <w:p w14:paraId="0031E367">
      <w:pPr>
        <w:widowControl/>
        <w:spacing w:line="360" w:lineRule="auto"/>
        <w:ind w:firstLine="480" w:firstLineChars="200"/>
        <w:jc w:val="left"/>
        <w:outlineLvl w:val="9"/>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采购人若对个别服务范围进行调整，按成交供应商的报价清单相应增减服务费。</w:t>
      </w:r>
    </w:p>
    <w:p w14:paraId="17ECAD24">
      <w:pPr>
        <w:widowControl/>
        <w:spacing w:line="360" w:lineRule="auto"/>
        <w:ind w:firstLine="480" w:firstLineChars="200"/>
        <w:jc w:val="left"/>
        <w:outlineLvl w:val="9"/>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eastAsia="zh-CN" w:bidi="ar"/>
        </w:rPr>
        <w:t>3、</w:t>
      </w:r>
      <w:r>
        <w:rPr>
          <w:rFonts w:hint="eastAsia" w:ascii="宋体" w:hAnsi="宋体" w:eastAsia="宋体" w:cs="宋体"/>
          <w:color w:val="000000"/>
          <w:kern w:val="0"/>
          <w:sz w:val="24"/>
          <w:szCs w:val="24"/>
          <w:lang w:bidi="ar"/>
        </w:rPr>
        <w:t>采购人不再支付本项目的其他任何费用。</w:t>
      </w:r>
    </w:p>
    <w:p w14:paraId="0D1CABA1">
      <w:pPr>
        <w:widowControl/>
        <w:spacing w:line="360" w:lineRule="auto"/>
        <w:ind w:firstLine="480" w:firstLineChars="200"/>
        <w:jc w:val="left"/>
        <w:outlineLvl w:val="9"/>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eastAsia="zh-CN" w:bidi="ar"/>
        </w:rPr>
        <w:t>4、</w:t>
      </w:r>
      <w:r>
        <w:rPr>
          <w:rFonts w:hint="eastAsia" w:ascii="宋体" w:hAnsi="宋体" w:eastAsia="宋体" w:cs="宋体"/>
          <w:color w:val="000000"/>
          <w:kern w:val="0"/>
          <w:sz w:val="24"/>
          <w:szCs w:val="24"/>
          <w:lang w:bidi="ar"/>
        </w:rPr>
        <w:t>服务期内发生交通安全事故，由成交供应商负责全部法律责任及承担全部经济赔偿责任。</w:t>
      </w:r>
    </w:p>
    <w:p w14:paraId="15B4B4DF">
      <w:pPr>
        <w:spacing w:line="360" w:lineRule="auto"/>
        <w:outlineLvl w:val="1"/>
        <w:rPr>
          <w:rFonts w:ascii="宋体" w:hAnsi="宋体" w:eastAsia="宋体"/>
          <w:b/>
          <w:color w:val="auto"/>
          <w:sz w:val="24"/>
          <w:szCs w:val="18"/>
          <w:highlight w:val="none"/>
        </w:rPr>
      </w:pPr>
      <w:bookmarkStart w:id="8" w:name="_Toc700"/>
      <w:r>
        <w:rPr>
          <w:rFonts w:hint="eastAsia" w:ascii="宋体" w:hAnsi="宋体" w:eastAsia="宋体"/>
          <w:b/>
          <w:color w:val="auto"/>
          <w:sz w:val="24"/>
          <w:szCs w:val="18"/>
          <w:highlight w:val="none"/>
          <w:lang w:val="en-US" w:eastAsia="zh-CN"/>
        </w:rPr>
        <w:t>四</w:t>
      </w:r>
      <w:r>
        <w:rPr>
          <w:rFonts w:hint="eastAsia" w:ascii="宋体" w:hAnsi="宋体" w:eastAsia="宋体"/>
          <w:b/>
          <w:color w:val="auto"/>
          <w:sz w:val="24"/>
          <w:szCs w:val="18"/>
          <w:highlight w:val="none"/>
        </w:rPr>
        <w:t>、其他要求</w:t>
      </w:r>
      <w:bookmarkEnd w:id="5"/>
      <w:bookmarkEnd w:id="6"/>
      <w:bookmarkEnd w:id="7"/>
      <w:bookmarkEnd w:id="8"/>
    </w:p>
    <w:p w14:paraId="25FC425A">
      <w:pPr>
        <w:keepNext w:val="0"/>
        <w:keepLines w:val="0"/>
        <w:widowControl/>
        <w:suppressLineNumbers w:val="0"/>
        <w:ind w:firstLine="720" w:firstLineChars="300"/>
        <w:jc w:val="left"/>
      </w:pPr>
      <w:r>
        <w:rPr>
          <w:rFonts w:hint="eastAsia" w:ascii="宋体" w:hAnsi="宋体" w:eastAsia="宋体" w:cs="宋体"/>
          <w:color w:val="000000"/>
          <w:kern w:val="0"/>
          <w:sz w:val="24"/>
          <w:szCs w:val="24"/>
          <w:lang w:val="en-US" w:eastAsia="zh-CN" w:bidi="ar"/>
        </w:rPr>
        <w:t>需满足中华人民共和国国务院令第 617 号《校车安全管理条例》。</w:t>
      </w:r>
    </w:p>
    <w:p w14:paraId="679AD25C">
      <w:pPr>
        <w:keepNext w:val="0"/>
        <w:keepLines w:val="0"/>
        <w:widowControl/>
        <w:suppressLineNumbers w:val="0"/>
        <w:ind w:firstLine="630" w:firstLineChars="300"/>
        <w:jc w:val="left"/>
      </w:pPr>
    </w:p>
    <w:p w14:paraId="26A84E89"/>
    <w:p w14:paraId="5DA3D91C"/>
    <w:p w14:paraId="332D9B44"/>
    <w:p w14:paraId="5DB6D159"/>
    <w:p w14:paraId="13CD4743"/>
    <w:p w14:paraId="38DCE687"/>
    <w:p w14:paraId="63B18953"/>
    <w:p w14:paraId="3247A332"/>
    <w:p w14:paraId="7B3C3A04"/>
    <w:p w14:paraId="6AEAD187"/>
    <w:p w14:paraId="0C4B5023"/>
    <w:p w14:paraId="10AA4393"/>
    <w:p w14:paraId="2D27545C"/>
    <w:p w14:paraId="37876924"/>
    <w:p w14:paraId="0348BE2E"/>
    <w:p w14:paraId="187EF4C5"/>
    <w:p w14:paraId="30B2D728"/>
    <w:p w14:paraId="7F924770"/>
    <w:p w14:paraId="04111627"/>
    <w:p w14:paraId="7D9FEA19"/>
    <w:p w14:paraId="634572D6"/>
    <w:p w14:paraId="50481325"/>
    <w:p w14:paraId="6D4C8DB7"/>
    <w:p w14:paraId="3C440A02"/>
    <w:p w14:paraId="3A9658EF">
      <w:pPr>
        <w:jc w:val="center"/>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评分办法</w:t>
      </w:r>
    </w:p>
    <w:p w14:paraId="4F2C7815">
      <w:pPr>
        <w:spacing w:line="360" w:lineRule="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综合评分</w:t>
      </w:r>
    </w:p>
    <w:p w14:paraId="0A0BDC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1621EF83">
      <w:pPr>
        <w:spacing w:line="360" w:lineRule="auto"/>
        <w:ind w:firstLine="435"/>
        <w:rPr>
          <w:color w:val="auto"/>
          <w:highlight w:val="none"/>
        </w:rPr>
      </w:pP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609"/>
        <w:gridCol w:w="4376"/>
        <w:gridCol w:w="1288"/>
      </w:tblGrid>
      <w:tr w14:paraId="69E7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41" w:type="pct"/>
            <w:tcBorders>
              <w:top w:val="single" w:color="auto" w:sz="4" w:space="0"/>
              <w:left w:val="single" w:color="auto" w:sz="4" w:space="0"/>
              <w:bottom w:val="single" w:color="auto" w:sz="4" w:space="0"/>
              <w:right w:val="single" w:color="auto" w:sz="4" w:space="0"/>
            </w:tcBorders>
            <w:vAlign w:val="center"/>
          </w:tcPr>
          <w:p w14:paraId="2B8961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920" w:type="pct"/>
            <w:tcBorders>
              <w:top w:val="single" w:color="auto" w:sz="4" w:space="0"/>
              <w:left w:val="single" w:color="auto" w:sz="4" w:space="0"/>
              <w:bottom w:val="single" w:color="auto" w:sz="4" w:space="0"/>
              <w:right w:val="single" w:color="auto" w:sz="4" w:space="0"/>
            </w:tcBorders>
            <w:vAlign w:val="center"/>
          </w:tcPr>
          <w:p w14:paraId="2E3823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502" w:type="pct"/>
            <w:tcBorders>
              <w:top w:val="single" w:color="auto" w:sz="4" w:space="0"/>
              <w:left w:val="single" w:color="auto" w:sz="4" w:space="0"/>
              <w:bottom w:val="single" w:color="auto" w:sz="4" w:space="0"/>
              <w:right w:val="single" w:color="auto" w:sz="4" w:space="0"/>
            </w:tcBorders>
            <w:vAlign w:val="center"/>
          </w:tcPr>
          <w:p w14:paraId="28C3D6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736" w:type="pct"/>
            <w:tcBorders>
              <w:top w:val="single" w:color="auto" w:sz="4" w:space="0"/>
              <w:left w:val="single" w:color="auto" w:sz="4" w:space="0"/>
              <w:bottom w:val="single" w:color="auto" w:sz="4" w:space="0"/>
              <w:right w:val="single" w:color="auto" w:sz="4" w:space="0"/>
            </w:tcBorders>
            <w:vAlign w:val="center"/>
          </w:tcPr>
          <w:p w14:paraId="4FAD87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C44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vMerge w:val="restart"/>
            <w:tcBorders>
              <w:top w:val="single" w:color="auto" w:sz="4" w:space="0"/>
              <w:left w:val="single" w:color="auto" w:sz="4" w:space="0"/>
              <w:right w:val="single" w:color="auto" w:sz="4" w:space="0"/>
            </w:tcBorders>
            <w:vAlign w:val="center"/>
          </w:tcPr>
          <w:p w14:paraId="267DF6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5E9D13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80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920" w:type="pct"/>
            <w:tcBorders>
              <w:top w:val="single" w:color="auto" w:sz="4" w:space="0"/>
              <w:left w:val="single" w:color="auto" w:sz="4" w:space="0"/>
              <w:bottom w:val="single" w:color="auto" w:sz="4" w:space="0"/>
              <w:right w:val="single" w:color="auto" w:sz="4" w:space="0"/>
            </w:tcBorders>
            <w:vAlign w:val="center"/>
          </w:tcPr>
          <w:p w14:paraId="413FD05A">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体系认证</w:t>
            </w:r>
          </w:p>
          <w:p w14:paraId="010000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Cs/>
                <w:color w:val="auto"/>
                <w:sz w:val="24"/>
                <w:highlight w:val="none"/>
              </w:rPr>
            </w:pPr>
          </w:p>
        </w:tc>
        <w:tc>
          <w:tcPr>
            <w:tcW w:w="2502" w:type="pct"/>
            <w:tcBorders>
              <w:top w:val="single" w:color="auto" w:sz="4" w:space="0"/>
              <w:left w:val="single" w:color="auto" w:sz="4" w:space="0"/>
              <w:bottom w:val="single" w:color="auto" w:sz="4" w:space="0"/>
              <w:right w:val="single" w:color="auto" w:sz="4" w:space="0"/>
            </w:tcBorders>
            <w:vAlign w:val="center"/>
          </w:tcPr>
          <w:p w14:paraId="5510D0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供应商具有下列在有效期内的证书：</w:t>
            </w:r>
          </w:p>
          <w:p w14:paraId="3DE115E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1、质量管理体系认证证书；</w:t>
            </w:r>
          </w:p>
          <w:p w14:paraId="208FE7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2、环境管理体系认证证书；</w:t>
            </w:r>
          </w:p>
          <w:p w14:paraId="6865A1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3、职业健康安全管理体系认证证书。</w:t>
            </w:r>
          </w:p>
          <w:p w14:paraId="4FC68D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每提供一项得</w:t>
            </w:r>
            <w:r>
              <w:rPr>
                <w:rFonts w:hint="eastAsia" w:asciiTheme="minorEastAsia" w:hAnsiTheme="minorEastAsia" w:eastAsiaTheme="minorEastAsia"/>
                <w:bCs/>
                <w:color w:val="auto"/>
                <w:sz w:val="24"/>
                <w:highlight w:val="none"/>
                <w:lang w:val="en-US" w:eastAsia="zh-CN"/>
              </w:rPr>
              <w:t>9</w:t>
            </w:r>
            <w:r>
              <w:rPr>
                <w:rFonts w:hint="eastAsia" w:asciiTheme="minorEastAsia" w:hAnsiTheme="minorEastAsia" w:eastAsiaTheme="minorEastAsia"/>
                <w:bCs/>
                <w:color w:val="auto"/>
                <w:sz w:val="24"/>
                <w:highlight w:val="none"/>
              </w:rPr>
              <w:t>分，本项最高</w:t>
            </w:r>
            <w:r>
              <w:rPr>
                <w:rFonts w:hint="eastAsia" w:asciiTheme="minorEastAsia" w:hAnsiTheme="minorEastAsia" w:eastAsiaTheme="minorEastAsia"/>
                <w:bCs/>
                <w:color w:val="auto"/>
                <w:sz w:val="24"/>
                <w:highlight w:val="none"/>
                <w:lang w:val="en-US" w:eastAsia="zh-CN"/>
              </w:rPr>
              <w:t>27</w:t>
            </w:r>
            <w:r>
              <w:rPr>
                <w:rFonts w:hint="eastAsia" w:asciiTheme="minorEastAsia" w:hAnsiTheme="minorEastAsia" w:eastAsiaTheme="minorEastAsia"/>
                <w:bCs/>
                <w:color w:val="auto"/>
                <w:sz w:val="24"/>
                <w:highlight w:val="none"/>
              </w:rPr>
              <w:t>分。</w:t>
            </w:r>
          </w:p>
          <w:p w14:paraId="1F038B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注：提供上述证书的清晰扫描件或影印件及全国认证认可信息公共服务平台网站证书查询截图，未提供不得分。</w:t>
            </w:r>
          </w:p>
        </w:tc>
        <w:tc>
          <w:tcPr>
            <w:tcW w:w="736" w:type="pct"/>
            <w:tcBorders>
              <w:top w:val="single" w:color="auto" w:sz="4" w:space="0"/>
              <w:left w:val="single" w:color="auto" w:sz="4" w:space="0"/>
              <w:bottom w:val="single" w:color="auto" w:sz="4" w:space="0"/>
              <w:right w:val="single" w:color="auto" w:sz="4" w:space="0"/>
            </w:tcBorders>
            <w:vAlign w:val="center"/>
          </w:tcPr>
          <w:p w14:paraId="05E678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0-27</w:t>
            </w:r>
          </w:p>
        </w:tc>
      </w:tr>
      <w:tr w14:paraId="7EEE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vMerge w:val="continue"/>
            <w:tcBorders>
              <w:left w:val="single" w:color="auto" w:sz="4" w:space="0"/>
              <w:right w:val="single" w:color="auto" w:sz="4" w:space="0"/>
            </w:tcBorders>
            <w:vAlign w:val="center"/>
          </w:tcPr>
          <w:p w14:paraId="057FCBA1">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920" w:type="pct"/>
            <w:tcBorders>
              <w:top w:val="single" w:color="auto" w:sz="4" w:space="0"/>
              <w:left w:val="single" w:color="auto" w:sz="4" w:space="0"/>
              <w:bottom w:val="single" w:color="auto" w:sz="4" w:space="0"/>
              <w:right w:val="single" w:color="auto" w:sz="4" w:space="0"/>
            </w:tcBorders>
            <w:vAlign w:val="center"/>
          </w:tcPr>
          <w:p w14:paraId="5BD865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供应商业绩</w:t>
            </w:r>
          </w:p>
        </w:tc>
        <w:tc>
          <w:tcPr>
            <w:tcW w:w="2502" w:type="pct"/>
            <w:tcBorders>
              <w:top w:val="single" w:color="auto" w:sz="4" w:space="0"/>
              <w:left w:val="single" w:color="auto" w:sz="4" w:space="0"/>
              <w:bottom w:val="single" w:color="auto" w:sz="4" w:space="0"/>
              <w:right w:val="single" w:color="auto" w:sz="4" w:space="0"/>
            </w:tcBorders>
            <w:vAlign w:val="center"/>
          </w:tcPr>
          <w:p w14:paraId="4BDC53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每提供一份相似类型项目业绩的，得</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分，满分</w:t>
            </w:r>
            <w:r>
              <w:rPr>
                <w:rFonts w:hint="eastAsia" w:asciiTheme="minorEastAsia" w:hAnsiTheme="minorEastAsia" w:eastAsiaTheme="minorEastAsia"/>
                <w:color w:val="auto"/>
                <w:sz w:val="24"/>
                <w:highlight w:val="none"/>
                <w:lang w:eastAsia="zh-CN"/>
              </w:rPr>
              <w:t>2</w:t>
            </w: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分。</w:t>
            </w:r>
          </w:p>
          <w:p w14:paraId="4F136D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注：（1）类似业绩需包含校车接送服务项目；</w:t>
            </w:r>
          </w:p>
          <w:p w14:paraId="5504CD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（2）响应文件中提供中标（成交）通知书及合同原件的扫描件或影印件，否则不得分。</w:t>
            </w:r>
          </w:p>
        </w:tc>
        <w:tc>
          <w:tcPr>
            <w:tcW w:w="736" w:type="pct"/>
            <w:tcBorders>
              <w:top w:val="single" w:color="auto" w:sz="4" w:space="0"/>
              <w:left w:val="single" w:color="auto" w:sz="4" w:space="0"/>
              <w:bottom w:val="single" w:color="auto" w:sz="4" w:space="0"/>
              <w:right w:val="single" w:color="auto" w:sz="4" w:space="0"/>
            </w:tcBorders>
            <w:vAlign w:val="center"/>
          </w:tcPr>
          <w:p w14:paraId="5E2F21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0-28</w:t>
            </w:r>
          </w:p>
        </w:tc>
      </w:tr>
      <w:tr w14:paraId="6AAA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vMerge w:val="continue"/>
            <w:tcBorders>
              <w:left w:val="single" w:color="auto" w:sz="4" w:space="0"/>
              <w:right w:val="single" w:color="auto" w:sz="4" w:space="0"/>
            </w:tcBorders>
            <w:vAlign w:val="center"/>
          </w:tcPr>
          <w:p w14:paraId="39293764">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920" w:type="pct"/>
            <w:tcBorders>
              <w:top w:val="single" w:color="auto" w:sz="4" w:space="0"/>
              <w:left w:val="single" w:color="auto" w:sz="4" w:space="0"/>
              <w:bottom w:val="single" w:color="auto" w:sz="4" w:space="0"/>
              <w:right w:val="single" w:color="auto" w:sz="4" w:space="0"/>
            </w:tcBorders>
            <w:vAlign w:val="center"/>
          </w:tcPr>
          <w:p w14:paraId="2AF8BC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运营方案</w:t>
            </w:r>
          </w:p>
        </w:tc>
        <w:tc>
          <w:tcPr>
            <w:tcW w:w="2502" w:type="pct"/>
            <w:tcBorders>
              <w:top w:val="single" w:color="auto" w:sz="4" w:space="0"/>
              <w:left w:val="single" w:color="auto" w:sz="4" w:space="0"/>
              <w:bottom w:val="single" w:color="auto" w:sz="4" w:space="0"/>
              <w:right w:val="single" w:color="auto" w:sz="4" w:space="0"/>
            </w:tcBorders>
            <w:vAlign w:val="center"/>
          </w:tcPr>
          <w:p w14:paraId="65F1DEF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供应商应对照采购需求，根据项目实际运营情况，提供符合本项目特点的日常运营方案：</w:t>
            </w:r>
          </w:p>
          <w:p w14:paraId="30176D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①组织机构和人员配备；</w:t>
            </w:r>
          </w:p>
          <w:p w14:paraId="24267C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②校车接送学生流程；</w:t>
            </w:r>
          </w:p>
          <w:p w14:paraId="698B06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③服务保障方案。</w:t>
            </w:r>
          </w:p>
          <w:p w14:paraId="6A4561C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根据供应商提供的方案中针对上述各小项内容的体现情况，由评审小组按顺序分别进行评审：</w:t>
            </w:r>
          </w:p>
          <w:p w14:paraId="72A95D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(1)对本项目特点和难点理解准确，方案优于本项目采购需求，完整详细，可行性、实用性、针对性强，得5分；</w:t>
            </w:r>
          </w:p>
          <w:p w14:paraId="3544FC4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(2)对本项目特点和难点理解基本准确，方案适合本项目采购需求，完整详细，具有可行性、实用性和针对性，得3分；</w:t>
            </w:r>
          </w:p>
          <w:p w14:paraId="0AB316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(3)对本项目特点和难点理解有待提升，方案基本适合本项目采购需求，可行性、实用性、针对性有待改善，得1分；</w:t>
            </w:r>
          </w:p>
          <w:p w14:paraId="12FC11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(4)方案不可行或者未提供得0分。</w:t>
            </w:r>
          </w:p>
        </w:tc>
        <w:tc>
          <w:tcPr>
            <w:tcW w:w="736" w:type="pct"/>
            <w:tcBorders>
              <w:top w:val="single" w:color="auto" w:sz="4" w:space="0"/>
              <w:left w:val="single" w:color="auto" w:sz="4" w:space="0"/>
              <w:bottom w:val="single" w:color="auto" w:sz="4" w:space="0"/>
              <w:right w:val="single" w:color="auto" w:sz="4" w:space="0"/>
            </w:tcBorders>
            <w:vAlign w:val="center"/>
          </w:tcPr>
          <w:p w14:paraId="24FA40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0A2A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vMerge w:val="continue"/>
            <w:tcBorders>
              <w:left w:val="single" w:color="auto" w:sz="4" w:space="0"/>
              <w:right w:val="single" w:color="auto" w:sz="4" w:space="0"/>
            </w:tcBorders>
            <w:vAlign w:val="center"/>
          </w:tcPr>
          <w:p w14:paraId="1413BB2F">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920" w:type="pct"/>
            <w:tcBorders>
              <w:top w:val="single" w:color="auto" w:sz="4" w:space="0"/>
              <w:left w:val="single" w:color="auto" w:sz="4" w:space="0"/>
              <w:bottom w:val="single" w:color="auto" w:sz="4" w:space="0"/>
              <w:right w:val="single" w:color="auto" w:sz="4" w:space="0"/>
            </w:tcBorders>
            <w:vAlign w:val="center"/>
          </w:tcPr>
          <w:p w14:paraId="00A07B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应急方案</w:t>
            </w:r>
          </w:p>
        </w:tc>
        <w:tc>
          <w:tcPr>
            <w:tcW w:w="2502" w:type="pct"/>
            <w:tcBorders>
              <w:top w:val="single" w:color="auto" w:sz="4" w:space="0"/>
              <w:left w:val="single" w:color="auto" w:sz="4" w:space="0"/>
              <w:bottom w:val="single" w:color="auto" w:sz="4" w:space="0"/>
              <w:right w:val="single" w:color="auto" w:sz="4" w:space="0"/>
            </w:tcBorders>
            <w:vAlign w:val="center"/>
          </w:tcPr>
          <w:p w14:paraId="3545AF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供应商应深入理解本项目实施过程中可能出现的各种突发事件，提出应急措施。至少包含下列内容：</w:t>
            </w:r>
          </w:p>
          <w:p w14:paraId="3334FB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①遇到恶劣天气、车辆故障、火灾、暴力事件等；</w:t>
            </w:r>
          </w:p>
          <w:p w14:paraId="728261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②车辆行驶过程中有人生病、人员漏接、人员被困车中等；</w:t>
            </w:r>
          </w:p>
          <w:p w14:paraId="68BE65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③轻微交通事故、出现人员伤亡的交通事故、单方面事故等；</w:t>
            </w:r>
          </w:p>
          <w:p w14:paraId="7D8686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根据供应商提供的方案中针对上述各小项内容的体现情况，由评审小组按顺序分别进行评审：</w:t>
            </w:r>
          </w:p>
          <w:p w14:paraId="040359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（1）方案内容优于项目实际需求，逻辑清晰，措施规范详细，该小项得 5 分；</w:t>
            </w:r>
          </w:p>
          <w:p w14:paraId="498B04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（2）方案内容贴合项目实际需求，完整详细，措施规范全面，该小项得 3 分；</w:t>
            </w:r>
          </w:p>
          <w:p w14:paraId="2A8254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（3）方案内容与项目实际需求有出入，逻辑不清晰，措施缺失，该小项得 1 分；</w:t>
            </w:r>
          </w:p>
          <w:p w14:paraId="15C542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（4）方案不可行或者未提供得 0 分。</w:t>
            </w:r>
          </w:p>
        </w:tc>
        <w:tc>
          <w:tcPr>
            <w:tcW w:w="736" w:type="pct"/>
            <w:tcBorders>
              <w:top w:val="single" w:color="auto" w:sz="4" w:space="0"/>
              <w:left w:val="single" w:color="auto" w:sz="4" w:space="0"/>
              <w:bottom w:val="single" w:color="auto" w:sz="4" w:space="0"/>
              <w:right w:val="single" w:color="auto" w:sz="4" w:space="0"/>
            </w:tcBorders>
            <w:vAlign w:val="center"/>
          </w:tcPr>
          <w:p w14:paraId="5BA67B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7D34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vMerge w:val="continue"/>
            <w:tcBorders>
              <w:left w:val="single" w:color="auto" w:sz="4" w:space="0"/>
              <w:right w:val="single" w:color="auto" w:sz="4" w:space="0"/>
            </w:tcBorders>
            <w:vAlign w:val="center"/>
          </w:tcPr>
          <w:p w14:paraId="5BBA6AF0">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920" w:type="pct"/>
            <w:tcBorders>
              <w:top w:val="single" w:color="auto" w:sz="4" w:space="0"/>
              <w:left w:val="single" w:color="auto" w:sz="4" w:space="0"/>
              <w:bottom w:val="single" w:color="auto" w:sz="4" w:space="0"/>
              <w:right w:val="single" w:color="auto" w:sz="4" w:space="0"/>
            </w:tcBorders>
            <w:vAlign w:val="center"/>
          </w:tcPr>
          <w:p w14:paraId="64C257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安全方案</w:t>
            </w:r>
          </w:p>
        </w:tc>
        <w:tc>
          <w:tcPr>
            <w:tcW w:w="2502" w:type="pct"/>
            <w:tcBorders>
              <w:top w:val="single" w:color="auto" w:sz="4" w:space="0"/>
              <w:left w:val="single" w:color="auto" w:sz="4" w:space="0"/>
              <w:bottom w:val="single" w:color="auto" w:sz="4" w:space="0"/>
              <w:right w:val="single" w:color="auto" w:sz="4" w:space="0"/>
            </w:tcBorders>
            <w:vAlign w:val="center"/>
          </w:tcPr>
          <w:p w14:paraId="43ABEC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供应商对本项目实施过程中的安全方面，提出方案：</w:t>
            </w:r>
          </w:p>
          <w:p w14:paraId="1CECF2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①车辆安全管理方案，定期对车辆进行安全检查，保持良好车况等；</w:t>
            </w:r>
          </w:p>
          <w:p w14:paraId="4EAC6F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②驾驶人员及其他工作人员安全培训及考核方案；</w:t>
            </w:r>
          </w:p>
          <w:p w14:paraId="33BACB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③校车动态监控，实时监控网络平台能否联络到校和其他管理部门。</w:t>
            </w:r>
          </w:p>
          <w:p w14:paraId="0799B5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据供应商提供的方案中针对上述各小项内容的体现情况，由评审小组按顺序分别进行评审：</w:t>
            </w:r>
          </w:p>
          <w:p w14:paraId="71845C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（1）方案内容优于项目实际需求，逻辑清晰，措施规范详细，该小项得 5 分；</w:t>
            </w:r>
          </w:p>
          <w:p w14:paraId="60D8BD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（2）方案内容贴合项目实际需求，完整详细，措施规范全面，该小项得 3 分；</w:t>
            </w:r>
          </w:p>
          <w:p w14:paraId="6330BD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（3）方案内容与项目实际需求有出入，逻辑不清晰，措施缺失，该小项得 1 分；</w:t>
            </w:r>
          </w:p>
          <w:p w14:paraId="6DE7A0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（4）方案不可行或者未提供得 0 分。</w:t>
            </w:r>
          </w:p>
        </w:tc>
        <w:tc>
          <w:tcPr>
            <w:tcW w:w="736" w:type="pct"/>
            <w:tcBorders>
              <w:top w:val="single" w:color="auto" w:sz="4" w:space="0"/>
              <w:left w:val="single" w:color="auto" w:sz="4" w:space="0"/>
              <w:bottom w:val="single" w:color="auto" w:sz="4" w:space="0"/>
              <w:right w:val="single" w:color="auto" w:sz="4" w:space="0"/>
            </w:tcBorders>
            <w:vAlign w:val="center"/>
          </w:tcPr>
          <w:p w14:paraId="7FF22E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04F7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vMerge w:val="continue"/>
            <w:tcBorders>
              <w:left w:val="single" w:color="auto" w:sz="4" w:space="0"/>
              <w:right w:val="single" w:color="auto" w:sz="4" w:space="0"/>
            </w:tcBorders>
            <w:vAlign w:val="center"/>
          </w:tcPr>
          <w:p w14:paraId="03E86DE2">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920" w:type="pct"/>
            <w:tcBorders>
              <w:top w:val="single" w:color="auto" w:sz="4" w:space="0"/>
              <w:left w:val="single" w:color="auto" w:sz="4" w:space="0"/>
              <w:bottom w:val="single" w:color="auto" w:sz="4" w:space="0"/>
              <w:right w:val="single" w:color="auto" w:sz="4" w:space="0"/>
            </w:tcBorders>
            <w:vAlign w:val="center"/>
          </w:tcPr>
          <w:p w14:paraId="40633A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管理制度</w:t>
            </w:r>
          </w:p>
        </w:tc>
        <w:tc>
          <w:tcPr>
            <w:tcW w:w="2502" w:type="pct"/>
            <w:tcBorders>
              <w:top w:val="single" w:color="auto" w:sz="4" w:space="0"/>
              <w:left w:val="single" w:color="auto" w:sz="4" w:space="0"/>
              <w:bottom w:val="single" w:color="auto" w:sz="4" w:space="0"/>
              <w:right w:val="single" w:color="auto" w:sz="4" w:space="0"/>
            </w:tcBorders>
            <w:vAlign w:val="center"/>
          </w:tcPr>
          <w:p w14:paraId="5942EC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供应商应对照采购需求，根据项目实际情况，编制本项目管理制度：</w:t>
            </w:r>
          </w:p>
          <w:p w14:paraId="3C4714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①工作人员管理制度；</w:t>
            </w:r>
          </w:p>
          <w:p w14:paraId="78C621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②学生安全乘车管理制度；</w:t>
            </w:r>
          </w:p>
          <w:p w14:paraId="0C4E49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③档案管理制度。</w:t>
            </w:r>
          </w:p>
          <w:p w14:paraId="13FF46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（1）对本项目特点和难点理解准确，方案优于本项目采购需求，完整详细，可行性、实用性、针对性强，得 5 分；</w:t>
            </w:r>
          </w:p>
          <w:p w14:paraId="64D625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(2)对本项目特点和难点理解基本准确，方案适合本项目采购需求，完整详细，具有可行性、实用性和针对性，得 3 分；</w:t>
            </w:r>
          </w:p>
          <w:p w14:paraId="476223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(3)对本项目特点和难点理解有待提升，方案基本适合本项目采购需求，可行性、实用性、针对性有待改善，得 1 分；</w:t>
            </w:r>
          </w:p>
          <w:p w14:paraId="2AB969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(4)方案不可行或者未提供得 0 分。</w:t>
            </w:r>
          </w:p>
        </w:tc>
        <w:tc>
          <w:tcPr>
            <w:tcW w:w="736" w:type="pct"/>
            <w:tcBorders>
              <w:top w:val="single" w:color="auto" w:sz="4" w:space="0"/>
              <w:left w:val="single" w:color="auto" w:sz="4" w:space="0"/>
              <w:bottom w:val="single" w:color="auto" w:sz="4" w:space="0"/>
              <w:right w:val="single" w:color="auto" w:sz="4" w:space="0"/>
            </w:tcBorders>
            <w:vAlign w:val="center"/>
          </w:tcPr>
          <w:p w14:paraId="686C34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6D6B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vMerge w:val="continue"/>
            <w:tcBorders>
              <w:left w:val="single" w:color="auto" w:sz="4" w:space="0"/>
              <w:right w:val="single" w:color="auto" w:sz="4" w:space="0"/>
            </w:tcBorders>
            <w:vAlign w:val="center"/>
          </w:tcPr>
          <w:p w14:paraId="4429C3FD">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920" w:type="pct"/>
            <w:tcBorders>
              <w:top w:val="single" w:color="auto" w:sz="4" w:space="0"/>
              <w:left w:val="single" w:color="auto" w:sz="4" w:space="0"/>
              <w:bottom w:val="single" w:color="auto" w:sz="4" w:space="0"/>
              <w:right w:val="single" w:color="auto" w:sz="4" w:space="0"/>
            </w:tcBorders>
            <w:vAlign w:val="center"/>
          </w:tcPr>
          <w:p w14:paraId="7993C3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服务监督方案</w:t>
            </w:r>
          </w:p>
        </w:tc>
        <w:tc>
          <w:tcPr>
            <w:tcW w:w="2502" w:type="pct"/>
            <w:tcBorders>
              <w:top w:val="single" w:color="auto" w:sz="4" w:space="0"/>
              <w:left w:val="single" w:color="auto" w:sz="4" w:space="0"/>
              <w:bottom w:val="single" w:color="auto" w:sz="4" w:space="0"/>
              <w:right w:val="single" w:color="auto" w:sz="4" w:space="0"/>
            </w:tcBorders>
            <w:vAlign w:val="center"/>
          </w:tcPr>
          <w:p w14:paraId="626804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供应商应对照采购需求，根据项目实际情况，提供符合本项目的服务监督方案，包括但不限于：</w:t>
            </w:r>
          </w:p>
          <w:p w14:paraId="3D6309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①公示有效的服务监督投诉电话，接受学校和家长的意见或投诉等；</w:t>
            </w:r>
          </w:p>
          <w:p w14:paraId="346427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②所有意见或投诉的回复期限等。</w:t>
            </w:r>
          </w:p>
          <w:p w14:paraId="36DD30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据供应商提供的方案中针对上述内容的体现情况，由评审小组按顺序分别进行评审：</w:t>
            </w:r>
          </w:p>
          <w:p w14:paraId="347B85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（1）方案内容完整详细，可行性、实用性、针对性强，该小项得 5 分；</w:t>
            </w:r>
          </w:p>
          <w:p w14:paraId="075311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（2）方案内容完整详细，具有可行性、实用性和针对性，该小项得 3 分；</w:t>
            </w:r>
          </w:p>
          <w:p w14:paraId="04E533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（3）方案内容基本适合本项目采购需求，可行性、实用性、针对性有待改善，该小项得 1 分；</w:t>
            </w:r>
          </w:p>
          <w:p w14:paraId="265E30A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（4）方案不可行或者未提供得 0 分。</w:t>
            </w:r>
          </w:p>
        </w:tc>
        <w:tc>
          <w:tcPr>
            <w:tcW w:w="736" w:type="pct"/>
            <w:tcBorders>
              <w:top w:val="single" w:color="auto" w:sz="4" w:space="0"/>
              <w:left w:val="single" w:color="auto" w:sz="4" w:space="0"/>
              <w:bottom w:val="single" w:color="auto" w:sz="4" w:space="0"/>
              <w:right w:val="single" w:color="auto" w:sz="4" w:space="0"/>
            </w:tcBorders>
            <w:vAlign w:val="center"/>
          </w:tcPr>
          <w:p w14:paraId="4601F9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w:t>
            </w:r>
          </w:p>
        </w:tc>
      </w:tr>
      <w:tr w14:paraId="78D6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pct"/>
            <w:tcBorders>
              <w:left w:val="single" w:color="auto" w:sz="4" w:space="0"/>
              <w:right w:val="single" w:color="auto" w:sz="4" w:space="0"/>
            </w:tcBorders>
            <w:vAlign w:val="center"/>
          </w:tcPr>
          <w:p w14:paraId="3CF924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05DCFB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58" w:type="pct"/>
            <w:gridSpan w:val="3"/>
            <w:tcBorders>
              <w:top w:val="single" w:color="auto" w:sz="4" w:space="0"/>
              <w:left w:val="single" w:color="auto" w:sz="4" w:space="0"/>
              <w:bottom w:val="single" w:color="auto" w:sz="4" w:space="0"/>
              <w:right w:val="single" w:color="auto" w:sz="4" w:space="0"/>
            </w:tcBorders>
            <w:vAlign w:val="center"/>
          </w:tcPr>
          <w:p w14:paraId="0E8F6CA1">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分。其他供应商的价格分统一按照下列公式计算：</w:t>
            </w:r>
          </w:p>
          <w:p w14:paraId="5FCC0F57">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ascii="宋体" w:hAnsi="宋体" w:eastAsia="宋体"/>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20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77F934A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分值汇总</w:t>
      </w:r>
    </w:p>
    <w:p w14:paraId="70C261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磋商小组各成员应当独立对每个有效响应的文件进行评价、打分，然后汇总每个供应商每项评分因素的得分，再取各位评委评分之平均值，四舍五入保留至小数点后两位数，得到该供应商的技术资信分。</w:t>
      </w:r>
    </w:p>
    <w:p w14:paraId="44E673A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将每个供应商的技术资信分加上根据上述标准计算出的价格分，即为该供应商的综合总得分。</w:t>
      </w:r>
    </w:p>
    <w:p w14:paraId="7B5A47B2">
      <w:pPr>
        <w:jc w:val="both"/>
        <w:rPr>
          <w:rFonts w:hint="default" w:ascii="宋体" w:hAnsi="宋体" w:eastAsia="宋体"/>
          <w:b/>
          <w:color w:val="auto"/>
          <w:sz w:val="24"/>
          <w:szCs w:val="1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34BFA"/>
    <w:rsid w:val="076444C8"/>
    <w:rsid w:val="07950B26"/>
    <w:rsid w:val="08F04266"/>
    <w:rsid w:val="20760E33"/>
    <w:rsid w:val="2652435A"/>
    <w:rsid w:val="29701C8C"/>
    <w:rsid w:val="33735C5F"/>
    <w:rsid w:val="36D14E27"/>
    <w:rsid w:val="3D7E1B30"/>
    <w:rsid w:val="44C55FD4"/>
    <w:rsid w:val="455C4456"/>
    <w:rsid w:val="45C06792"/>
    <w:rsid w:val="470D1EAB"/>
    <w:rsid w:val="4BA34BFA"/>
    <w:rsid w:val="4D907392"/>
    <w:rsid w:val="4F604B42"/>
    <w:rsid w:val="503C110B"/>
    <w:rsid w:val="55B300C2"/>
    <w:rsid w:val="57AC694D"/>
    <w:rsid w:val="5A2A6479"/>
    <w:rsid w:val="5C846314"/>
    <w:rsid w:val="5DFD6B74"/>
    <w:rsid w:val="62D578C9"/>
    <w:rsid w:val="6C9D1BC9"/>
    <w:rsid w:val="730B5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2868</Words>
  <Characters>2926</Characters>
  <Lines>0</Lines>
  <Paragraphs>0</Paragraphs>
  <TotalTime>0</TotalTime>
  <ScaleCrop>false</ScaleCrop>
  <LinksUpToDate>false</LinksUpToDate>
  <CharactersWithSpaces>2966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2026-07-30T06:42:00Z</dcterms:created>
  <dc:creator>℡可乐雪碧</dc:creator>
  <cp:lastModifiedBy>℡可乐雪碧</cp:lastModifiedBy>
  <dcterms:modified xsi:type="dcterms:W3CDTF">2026-08-03T02:40:56Z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DAA7C594C11C444599FDE3BA0DCF8134_11</vt:lpwstr>
  </property>
  <property fmtid="{D5CDD505-2E9C-101B-9397-08002B2CF9AE}" pid="4" name="KSOTemplateDocerSaveRecord">
    <vt:lpwstr>eyJoZGlkIjoiZDI4NGU0OGMzNDQ5ZGY0YzNiMTUyNzAxYmNjNDJhNGUiLCJ1c2VySWQiOiI1NjU5NzEwMzQifQ==</vt:lpwstr>
  </property>
</Properties>
</file>