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8205E8">
      <w:pPr>
        <w:pStyle w:val="2"/>
        <w:pageBreakBefore w:val="0"/>
        <w:widowControl w:val="0"/>
        <w:kinsoku/>
        <w:wordWrap/>
        <w:overflowPunct/>
        <w:topLinePunct w:val="0"/>
        <w:autoSpaceDE/>
        <w:autoSpaceDN/>
        <w:bidi w:val="0"/>
        <w:adjustRightInd w:val="0"/>
        <w:snapToGrid/>
        <w:spacing w:before="0" w:after="0" w:line="360" w:lineRule="auto"/>
        <w:jc w:val="both"/>
        <w:textAlignment w:val="auto"/>
        <w:rPr>
          <w:rFonts w:hint="eastAsia" w:ascii="宋体" w:hAnsi="宋体" w:cs="宋体"/>
          <w:b w:val="0"/>
          <w:bCs w:val="0"/>
          <w:color w:val="auto"/>
          <w:sz w:val="28"/>
          <w:szCs w:val="28"/>
          <w:highlight w:val="none"/>
          <w:lang w:val="en-US" w:eastAsia="zh-CN"/>
        </w:rPr>
      </w:pPr>
      <w:bookmarkStart w:id="0" w:name="_Toc18135"/>
      <w:r>
        <w:rPr>
          <w:rFonts w:hint="eastAsia" w:ascii="黑体" w:hAnsi="黑体" w:eastAsia="黑体" w:cs="黑体"/>
          <w:b w:val="0"/>
          <w:bCs w:val="0"/>
          <w:color w:val="auto"/>
          <w:sz w:val="28"/>
          <w:szCs w:val="28"/>
          <w:highlight w:val="none"/>
          <w:lang w:val="en-US" w:eastAsia="zh-CN"/>
        </w:rPr>
        <w:t>项目名称：</w:t>
      </w:r>
      <w:r>
        <w:rPr>
          <w:rFonts w:hint="eastAsia" w:ascii="方正仿宋_GB2312" w:hAnsi="方正仿宋_GB2312" w:eastAsia="方正仿宋_GB2312" w:cs="方正仿宋_GB2312"/>
          <w:b w:val="0"/>
          <w:bCs w:val="0"/>
          <w:color w:val="auto"/>
          <w:sz w:val="28"/>
          <w:szCs w:val="28"/>
          <w:highlight w:val="none"/>
          <w:lang w:val="en-US" w:eastAsia="zh-CN"/>
        </w:rPr>
        <w:t>安徽国防科技职业学院新校区智慧教学系统及多媒体会议系统采购项目</w:t>
      </w:r>
    </w:p>
    <w:p w14:paraId="4538AF69">
      <w:pPr>
        <w:pageBreakBefore w:val="0"/>
        <w:widowControl w:val="0"/>
        <w:kinsoku/>
        <w:wordWrap/>
        <w:overflowPunct/>
        <w:topLinePunct w:val="0"/>
        <w:autoSpaceDE/>
        <w:autoSpaceDN/>
        <w:bidi w:val="0"/>
        <w:snapToGrid/>
        <w:spacing w:line="360" w:lineRule="auto"/>
        <w:textAlignment w:val="auto"/>
        <w:rPr>
          <w:rFonts w:hint="eastAsia" w:ascii="宋体" w:hAnsi="宋体" w:cs="宋体"/>
          <w:b/>
          <w:bCs/>
          <w:color w:val="auto"/>
          <w:sz w:val="28"/>
          <w:szCs w:val="28"/>
          <w:highlight w:val="none"/>
          <w:lang w:val="en-US" w:eastAsia="zh-CN"/>
        </w:rPr>
      </w:pPr>
      <w:r>
        <w:rPr>
          <w:rFonts w:hint="eastAsia" w:ascii="黑体" w:hAnsi="黑体" w:eastAsia="黑体" w:cs="黑体"/>
          <w:b w:val="0"/>
          <w:bCs w:val="0"/>
          <w:color w:val="auto"/>
          <w:sz w:val="28"/>
          <w:szCs w:val="28"/>
          <w:highlight w:val="none"/>
          <w:lang w:val="en-US" w:eastAsia="zh-CN"/>
        </w:rPr>
        <w:t>采购单位：</w:t>
      </w:r>
      <w:r>
        <w:rPr>
          <w:rFonts w:hint="eastAsia" w:ascii="方正仿宋_GB2312" w:hAnsi="方正仿宋_GB2312" w:eastAsia="方正仿宋_GB2312" w:cs="方正仿宋_GB2312"/>
          <w:b w:val="0"/>
          <w:bCs w:val="0"/>
          <w:color w:val="auto"/>
          <w:sz w:val="28"/>
          <w:szCs w:val="28"/>
          <w:highlight w:val="none"/>
          <w:lang w:val="en-US" w:eastAsia="zh-CN"/>
        </w:rPr>
        <w:t>安徽国防科技职业学院</w:t>
      </w:r>
    </w:p>
    <w:p w14:paraId="00598495">
      <w:pPr>
        <w:pageBreakBefore w:val="0"/>
        <w:widowControl w:val="0"/>
        <w:kinsoku/>
        <w:wordWrap/>
        <w:overflowPunct/>
        <w:topLinePunct w:val="0"/>
        <w:autoSpaceDE/>
        <w:autoSpaceDN/>
        <w:bidi w:val="0"/>
        <w:snapToGrid/>
        <w:spacing w:line="360" w:lineRule="auto"/>
        <w:textAlignment w:val="auto"/>
        <w:rPr>
          <w:rFonts w:hint="eastAsia" w:ascii="宋体" w:hAnsi="宋体" w:cs="宋体"/>
          <w:b w:val="0"/>
          <w:bCs w:val="0"/>
          <w:color w:val="auto"/>
          <w:sz w:val="28"/>
          <w:szCs w:val="28"/>
          <w:highlight w:val="none"/>
          <w:lang w:val="en-US" w:eastAsia="zh-CN"/>
        </w:rPr>
      </w:pPr>
      <w:r>
        <w:rPr>
          <w:rFonts w:hint="eastAsia" w:ascii="黑体" w:hAnsi="黑体" w:eastAsia="黑体" w:cs="黑体"/>
          <w:b w:val="0"/>
          <w:bCs w:val="0"/>
          <w:color w:val="auto"/>
          <w:sz w:val="28"/>
          <w:szCs w:val="28"/>
          <w:highlight w:val="none"/>
          <w:lang w:val="en-US" w:eastAsia="zh-CN"/>
        </w:rPr>
        <w:t>公示时间：</w:t>
      </w:r>
      <w:r>
        <w:rPr>
          <w:rFonts w:hint="eastAsia" w:ascii="方正仿宋_GB2312" w:hAnsi="方正仿宋_GB2312" w:eastAsia="方正仿宋_GB2312" w:cs="方正仿宋_GB2312"/>
          <w:b w:val="0"/>
          <w:bCs w:val="0"/>
          <w:color w:val="auto"/>
          <w:sz w:val="28"/>
          <w:szCs w:val="28"/>
          <w:highlight w:val="none"/>
          <w:lang w:val="en-US" w:eastAsia="zh-CN"/>
        </w:rPr>
        <w:t>2026年8月5日</w:t>
      </w:r>
    </w:p>
    <w:p w14:paraId="7753959B">
      <w:pPr>
        <w:pageBreakBefore w:val="0"/>
        <w:widowControl w:val="0"/>
        <w:kinsoku/>
        <w:wordWrap/>
        <w:overflowPunct/>
        <w:topLinePunct w:val="0"/>
        <w:autoSpaceDE/>
        <w:autoSpaceDN/>
        <w:bidi w:val="0"/>
        <w:snapToGrid/>
        <w:spacing w:line="360" w:lineRule="auto"/>
        <w:textAlignment w:val="auto"/>
        <w:rPr>
          <w:rFonts w:hint="default" w:ascii="宋体" w:hAnsi="宋体" w:cs="宋体"/>
          <w:b w:val="0"/>
          <w:bCs w:val="0"/>
          <w:color w:val="auto"/>
          <w:sz w:val="28"/>
          <w:szCs w:val="28"/>
          <w:highlight w:val="none"/>
          <w:lang w:val="en-US" w:eastAsia="zh-CN"/>
        </w:rPr>
      </w:pPr>
      <w:r>
        <w:rPr>
          <w:rFonts w:hint="eastAsia" w:ascii="黑体" w:hAnsi="黑体" w:eastAsia="黑体" w:cs="黑体"/>
          <w:b w:val="0"/>
          <w:bCs w:val="0"/>
          <w:color w:val="auto"/>
          <w:sz w:val="28"/>
          <w:szCs w:val="28"/>
          <w:highlight w:val="none"/>
          <w:lang w:val="en-US" w:eastAsia="zh-CN"/>
        </w:rPr>
        <w:t>项目预算：</w:t>
      </w:r>
      <w:r>
        <w:rPr>
          <w:rFonts w:hint="eastAsia" w:ascii="方正仿宋_GB2312" w:hAnsi="方正仿宋_GB2312" w:eastAsia="方正仿宋_GB2312" w:cs="方正仿宋_GB2312"/>
          <w:b w:val="0"/>
          <w:bCs w:val="0"/>
          <w:color w:val="auto"/>
          <w:sz w:val="28"/>
          <w:szCs w:val="28"/>
          <w:highlight w:val="none"/>
          <w:lang w:val="en-US" w:eastAsia="zh-CN"/>
        </w:rPr>
        <w:t>234.00万元</w:t>
      </w:r>
    </w:p>
    <w:p w14:paraId="11EB0D19">
      <w:pPr>
        <w:pageBreakBefore w:val="0"/>
        <w:widowControl w:val="0"/>
        <w:kinsoku/>
        <w:wordWrap/>
        <w:overflowPunct/>
        <w:topLinePunct w:val="0"/>
        <w:autoSpaceDE/>
        <w:autoSpaceDN/>
        <w:bidi w:val="0"/>
        <w:snapToGrid/>
        <w:spacing w:line="360" w:lineRule="auto"/>
        <w:textAlignment w:val="auto"/>
        <w:rPr>
          <w:rFonts w:hint="default" w:ascii="宋体" w:hAnsi="宋体" w:cs="宋体"/>
          <w:b/>
          <w:bCs/>
          <w:color w:val="auto"/>
          <w:sz w:val="28"/>
          <w:szCs w:val="28"/>
          <w:highlight w:val="none"/>
          <w:lang w:val="en-US" w:eastAsia="zh-CN"/>
        </w:rPr>
      </w:pPr>
      <w:r>
        <w:rPr>
          <w:rFonts w:hint="eastAsia" w:ascii="黑体" w:hAnsi="黑体" w:eastAsia="黑体" w:cs="黑体"/>
          <w:b w:val="0"/>
          <w:bCs w:val="0"/>
          <w:color w:val="auto"/>
          <w:sz w:val="28"/>
          <w:szCs w:val="28"/>
          <w:highlight w:val="none"/>
          <w:lang w:val="en-US" w:eastAsia="zh-CN"/>
        </w:rPr>
        <w:t>需求概述：</w:t>
      </w:r>
      <w:r>
        <w:rPr>
          <w:rFonts w:hint="eastAsia" w:ascii="方正仿宋_GB2312" w:hAnsi="方正仿宋_GB2312" w:eastAsia="方正仿宋_GB2312" w:cs="方正仿宋_GB2312"/>
          <w:b w:val="0"/>
          <w:bCs w:val="0"/>
          <w:color w:val="auto"/>
          <w:sz w:val="28"/>
          <w:szCs w:val="28"/>
          <w:highlight w:val="none"/>
          <w:lang w:val="en-US" w:eastAsia="zh-CN"/>
        </w:rPr>
        <w:t>安徽国防科技职业学院拟就新校区智慧教学系统及多媒体会议系统开展采购，主要内容包括新校区70 间实训室教学设备，包含90寸教学一体机、90寸书写玻璃、教学音箱、无线话筒等，以及一套新校区图书馆报告厅多媒体会议系统。</w:t>
      </w:r>
      <w:r>
        <w:rPr>
          <w:rFonts w:hint="eastAsia" w:ascii="方正仿宋_GB2312" w:hAnsi="方正仿宋_GB2312" w:eastAsia="方正仿宋_GB2312" w:cs="方正仿宋_GB2312"/>
          <w:sz w:val="28"/>
          <w:szCs w:val="28"/>
          <w:highlight w:val="none"/>
          <w:lang w:val="en-US" w:eastAsia="zh-CN"/>
        </w:rPr>
        <w:t>具体内容详见采购文件。</w:t>
      </w:r>
    </w:p>
    <w:p w14:paraId="55E9F5B2">
      <w:pPr>
        <w:pageBreakBefore w:val="0"/>
        <w:widowControl w:val="0"/>
        <w:kinsoku/>
        <w:wordWrap/>
        <w:overflowPunct/>
        <w:topLinePunct w:val="0"/>
        <w:autoSpaceDE/>
        <w:autoSpaceDN/>
        <w:bidi w:val="0"/>
        <w:snapToGrid/>
        <w:spacing w:line="360" w:lineRule="auto"/>
        <w:jc w:val="left"/>
        <w:textAlignment w:val="auto"/>
        <w:rPr>
          <w:rFonts w:hint="eastAsia" w:ascii="宋体" w:hAnsi="宋体" w:cs="宋体"/>
          <w:b w:val="0"/>
          <w:bCs w:val="0"/>
          <w:color w:val="auto"/>
          <w:sz w:val="28"/>
          <w:szCs w:val="28"/>
          <w:highlight w:val="none"/>
          <w:lang w:val="en-US" w:eastAsia="zh-CN"/>
        </w:rPr>
      </w:pPr>
      <w:r>
        <w:rPr>
          <w:rFonts w:hint="eastAsia" w:ascii="黑体" w:hAnsi="黑体" w:eastAsia="黑体" w:cs="黑体"/>
          <w:b w:val="0"/>
          <w:bCs w:val="0"/>
          <w:color w:val="auto"/>
          <w:sz w:val="28"/>
          <w:szCs w:val="28"/>
          <w:highlight w:val="none"/>
          <w:lang w:val="en-US" w:eastAsia="zh-CN"/>
        </w:rPr>
        <w:t>是否专门面向中小企业采购：</w:t>
      </w:r>
      <w:r>
        <w:rPr>
          <w:rFonts w:hint="eastAsia" w:ascii="方正仿宋_GB2312" w:hAnsi="方正仿宋_GB2312" w:eastAsia="方正仿宋_GB2312" w:cs="方正仿宋_GB2312"/>
          <w:b w:val="0"/>
          <w:bCs w:val="0"/>
          <w:color w:val="auto"/>
          <w:sz w:val="28"/>
          <w:szCs w:val="28"/>
          <w:highlight w:val="none"/>
          <w:lang w:val="en-US" w:eastAsia="zh-CN"/>
        </w:rPr>
        <w:t>否</w:t>
      </w:r>
    </w:p>
    <w:p w14:paraId="76C2BAC2">
      <w:pPr>
        <w:spacing w:line="360" w:lineRule="auto"/>
        <w:rPr>
          <w:rFonts w:hint="eastAsia" w:ascii="宋体" w:hAnsi="宋体" w:cs="宋体"/>
          <w:b w:val="0"/>
          <w:bCs w:val="0"/>
          <w:color w:val="auto"/>
          <w:sz w:val="24"/>
          <w:szCs w:val="24"/>
          <w:highlight w:val="none"/>
          <w:lang w:val="en-US" w:eastAsia="zh-CN"/>
        </w:rPr>
      </w:pPr>
    </w:p>
    <w:p w14:paraId="33AAC386">
      <w:pPr>
        <w:spacing w:line="360" w:lineRule="auto"/>
        <w:rPr>
          <w:rFonts w:hint="eastAsia" w:ascii="宋体" w:hAnsi="宋体" w:cs="宋体"/>
          <w:b w:val="0"/>
          <w:bCs w:val="0"/>
          <w:color w:val="auto"/>
          <w:sz w:val="24"/>
          <w:szCs w:val="24"/>
          <w:highlight w:val="none"/>
          <w:lang w:val="en-US" w:eastAsia="zh-CN"/>
        </w:rPr>
      </w:pPr>
    </w:p>
    <w:p w14:paraId="0D100027">
      <w:pPr>
        <w:spacing w:line="360" w:lineRule="auto"/>
        <w:rPr>
          <w:rFonts w:hint="eastAsia" w:ascii="宋体" w:hAnsi="宋体" w:cs="宋体"/>
          <w:b w:val="0"/>
          <w:bCs w:val="0"/>
          <w:color w:val="auto"/>
          <w:sz w:val="24"/>
          <w:szCs w:val="24"/>
          <w:highlight w:val="none"/>
          <w:lang w:val="en-US" w:eastAsia="zh-CN"/>
        </w:rPr>
      </w:pPr>
    </w:p>
    <w:p w14:paraId="21B7BCAA">
      <w:pPr>
        <w:rPr>
          <w:rFonts w:hint="eastAsia" w:ascii="宋体" w:hAnsi="宋体" w:cs="宋体"/>
          <w:color w:val="auto"/>
          <w:sz w:val="36"/>
          <w:szCs w:val="36"/>
          <w:highlight w:val="none"/>
        </w:rPr>
      </w:pPr>
      <w:r>
        <w:rPr>
          <w:rFonts w:hint="eastAsia" w:ascii="宋体" w:hAnsi="宋体" w:cs="宋体"/>
          <w:color w:val="auto"/>
          <w:sz w:val="36"/>
          <w:szCs w:val="36"/>
          <w:highlight w:val="none"/>
        </w:rPr>
        <w:br w:type="page"/>
      </w:r>
    </w:p>
    <w:p w14:paraId="7A2C10AC">
      <w:pPr>
        <w:pStyle w:val="2"/>
        <w:numPr>
          <w:ilvl w:val="0"/>
          <w:numId w:val="0"/>
        </w:numPr>
        <w:adjustRightInd w:val="0"/>
        <w:spacing w:before="120" w:beforeLines="50" w:after="120" w:afterLines="50" w:line="360" w:lineRule="auto"/>
        <w:jc w:val="center"/>
        <w:rPr>
          <w:rFonts w:hint="eastAsia" w:ascii="宋体" w:hAnsi="宋体" w:cs="宋体"/>
          <w:color w:val="auto"/>
          <w:sz w:val="36"/>
          <w:szCs w:val="36"/>
          <w:highlight w:val="none"/>
        </w:rPr>
      </w:pPr>
      <w:r>
        <w:rPr>
          <w:rFonts w:hint="eastAsia" w:ascii="宋体" w:hAnsi="宋体" w:cs="宋体"/>
          <w:color w:val="auto"/>
          <w:sz w:val="36"/>
          <w:szCs w:val="36"/>
          <w:highlight w:val="none"/>
        </w:rPr>
        <w:t>采购需求</w:t>
      </w:r>
      <w:bookmarkEnd w:id="0"/>
      <w:bookmarkStart w:id="1" w:name="_Hlt509716920"/>
      <w:bookmarkEnd w:id="1"/>
    </w:p>
    <w:p w14:paraId="3A5F4302">
      <w:pPr>
        <w:pStyle w:val="7"/>
        <w:keepNext w:val="0"/>
        <w:keepLines w:val="0"/>
        <w:pageBreakBefore w:val="0"/>
        <w:widowControl w:val="0"/>
        <w:kinsoku/>
        <w:wordWrap/>
        <w:overflowPunct/>
        <w:topLinePunct w:val="0"/>
        <w:autoSpaceDE/>
        <w:autoSpaceDN/>
        <w:bidi w:val="0"/>
        <w:adjustRightInd/>
        <w:snapToGrid/>
        <w:spacing w:line="560" w:lineRule="exact"/>
        <w:textAlignment w:val="auto"/>
        <w:rPr>
          <w:sz w:val="24"/>
          <w:szCs w:val="24"/>
          <w:lang w:eastAsia="zh-CN"/>
        </w:rPr>
      </w:pPr>
      <w:r>
        <w:rPr>
          <w:b/>
          <w:bCs/>
          <w:spacing w:val="-7"/>
          <w:sz w:val="24"/>
          <w:szCs w:val="24"/>
          <w:lang w:eastAsia="zh-CN"/>
        </w:rPr>
        <w:t>前注：</w:t>
      </w:r>
    </w:p>
    <w:p w14:paraId="6AE29D24">
      <w:pPr>
        <w:keepNext w:val="0"/>
        <w:keepLines w:val="0"/>
        <w:pageBreakBefore w:val="0"/>
        <w:widowControl w:val="0"/>
        <w:kinsoku/>
        <w:wordWrap/>
        <w:overflowPunct/>
        <w:topLinePunct w:val="0"/>
        <w:autoSpaceDE/>
        <w:autoSpaceDN/>
        <w:bidi w:val="0"/>
        <w:adjustRightInd/>
        <w:snapToGrid/>
        <w:spacing w:line="560" w:lineRule="exact"/>
        <w:ind w:left="0" w:firstLine="480" w:firstLineChars="200"/>
        <w:jc w:val="both"/>
        <w:textAlignment w:val="auto"/>
        <w:rPr>
          <w:rFonts w:ascii="宋体" w:hAnsi="宋体" w:eastAsia="宋体" w:cs="宋体"/>
          <w:sz w:val="24"/>
        </w:rPr>
      </w:pPr>
      <w:r>
        <w:rPr>
          <w:rFonts w:hint="eastAsia" w:ascii="宋体" w:hAnsi="宋体" w:eastAsia="宋体" w:cs="宋体"/>
          <w:sz w:val="24"/>
        </w:rPr>
        <w:t>1.根据《政府采购进口产品管理办法》及政府采购管理部门的相关规定，下列采购需求中标注进口产品的货物均已履行相关论证手续，经核准采购进口产品，但不限制满足招标文件要求的国内产品参与竞争。未标注进口产品的货物均为拒绝采购进口产品。</w:t>
      </w:r>
    </w:p>
    <w:p w14:paraId="5DA4AAD0">
      <w:pPr>
        <w:keepNext w:val="0"/>
        <w:keepLines w:val="0"/>
        <w:pageBreakBefore w:val="0"/>
        <w:widowControl w:val="0"/>
        <w:kinsoku/>
        <w:wordWrap/>
        <w:overflowPunct/>
        <w:topLinePunct w:val="0"/>
        <w:autoSpaceDE/>
        <w:autoSpaceDN/>
        <w:bidi w:val="0"/>
        <w:adjustRightInd/>
        <w:snapToGrid/>
        <w:spacing w:line="560" w:lineRule="exact"/>
        <w:ind w:left="0" w:firstLine="480" w:firstLineChars="200"/>
        <w:jc w:val="both"/>
        <w:textAlignment w:val="auto"/>
        <w:rPr>
          <w:rFonts w:ascii="宋体" w:hAnsi="宋体" w:eastAsia="宋体" w:cs="宋体"/>
          <w:sz w:val="24"/>
        </w:rPr>
      </w:pPr>
      <w:r>
        <w:rPr>
          <w:rFonts w:hint="eastAsia" w:ascii="宋体" w:hAnsi="宋体" w:eastAsia="宋体" w:cs="宋体"/>
          <w:sz w:val="24"/>
        </w:rPr>
        <w:t>2.下列采购需求中：</w:t>
      </w:r>
    </w:p>
    <w:p w14:paraId="37F529A5">
      <w:pPr>
        <w:keepNext w:val="0"/>
        <w:keepLines w:val="0"/>
        <w:pageBreakBefore w:val="0"/>
        <w:widowControl w:val="0"/>
        <w:kinsoku/>
        <w:wordWrap/>
        <w:overflowPunct/>
        <w:topLinePunct w:val="0"/>
        <w:autoSpaceDE/>
        <w:autoSpaceDN/>
        <w:bidi w:val="0"/>
        <w:adjustRightInd/>
        <w:snapToGrid/>
        <w:spacing w:line="560" w:lineRule="exact"/>
        <w:ind w:left="0" w:firstLine="480" w:firstLineChars="200"/>
        <w:jc w:val="both"/>
        <w:textAlignment w:val="auto"/>
        <w:rPr>
          <w:rFonts w:ascii="宋体" w:hAnsi="宋体" w:eastAsia="宋体" w:cs="宋体"/>
          <w:sz w:val="24"/>
        </w:rPr>
      </w:pPr>
      <w:r>
        <w:rPr>
          <w:rFonts w:hint="eastAsia" w:ascii="宋体" w:hAnsi="宋体" w:eastAsia="宋体" w:cs="宋体"/>
          <w:sz w:val="24"/>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292FEAAF">
      <w:pPr>
        <w:keepNext w:val="0"/>
        <w:keepLines w:val="0"/>
        <w:pageBreakBefore w:val="0"/>
        <w:widowControl w:val="0"/>
        <w:kinsoku/>
        <w:wordWrap/>
        <w:overflowPunct/>
        <w:topLinePunct w:val="0"/>
        <w:autoSpaceDE/>
        <w:autoSpaceDN/>
        <w:bidi w:val="0"/>
        <w:adjustRightInd/>
        <w:snapToGrid/>
        <w:spacing w:line="560" w:lineRule="exact"/>
        <w:ind w:left="0" w:firstLine="480" w:firstLineChars="200"/>
        <w:jc w:val="both"/>
        <w:textAlignment w:val="auto"/>
        <w:rPr>
          <w:rFonts w:ascii="宋体" w:hAnsi="宋体" w:eastAsia="宋体" w:cs="宋体"/>
          <w:sz w:val="24"/>
        </w:rPr>
      </w:pPr>
      <w:r>
        <w:rPr>
          <w:rFonts w:hint="eastAsia" w:ascii="宋体" w:hAnsi="宋体" w:eastAsia="宋体" w:cs="宋体"/>
          <w:sz w:val="24"/>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64B2FF16">
      <w:pPr>
        <w:keepNext w:val="0"/>
        <w:keepLines w:val="0"/>
        <w:pageBreakBefore w:val="0"/>
        <w:widowControl w:val="0"/>
        <w:kinsoku/>
        <w:wordWrap/>
        <w:overflowPunct/>
        <w:topLinePunct w:val="0"/>
        <w:autoSpaceDE/>
        <w:autoSpaceDN/>
        <w:bidi w:val="0"/>
        <w:adjustRightInd/>
        <w:snapToGrid/>
        <w:spacing w:line="560" w:lineRule="exact"/>
        <w:ind w:left="0" w:firstLine="482" w:firstLineChars="200"/>
        <w:jc w:val="both"/>
        <w:textAlignment w:val="auto"/>
        <w:rPr>
          <w:rFonts w:hint="default" w:ascii="宋体" w:hAnsi="宋体" w:eastAsia="宋体" w:cs="宋体"/>
          <w:b/>
          <w:bCs/>
          <w:strike w:val="0"/>
          <w:dstrike w:val="0"/>
          <w:sz w:val="24"/>
          <w:highlight w:val="none"/>
          <w:lang w:val="en-US" w:eastAsia="zh-CN"/>
        </w:rPr>
      </w:pPr>
      <w:r>
        <w:rPr>
          <w:rFonts w:hint="eastAsia" w:ascii="宋体" w:hAnsi="宋体" w:eastAsia="宋体" w:cs="宋体"/>
          <w:b/>
          <w:bCs/>
          <w:strike w:val="0"/>
          <w:dstrike w:val="0"/>
          <w:sz w:val="24"/>
          <w:highlight w:val="none"/>
          <w:lang w:val="en-US" w:eastAsia="zh-CN"/>
        </w:rPr>
        <w:t>3、各项标识含义解释：</w:t>
      </w:r>
    </w:p>
    <w:tbl>
      <w:tblPr>
        <w:tblStyle w:val="25"/>
        <w:tblW w:w="916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28" w:type="dxa"/>
          <w:left w:w="57" w:type="dxa"/>
          <w:bottom w:w="28" w:type="dxa"/>
          <w:right w:w="57" w:type="dxa"/>
        </w:tblCellMar>
      </w:tblPr>
      <w:tblGrid>
        <w:gridCol w:w="1343"/>
        <w:gridCol w:w="7818"/>
      </w:tblGrid>
      <w:tr w14:paraId="34AE59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57" w:type="dxa"/>
            <w:bottom w:w="28" w:type="dxa"/>
            <w:right w:w="57" w:type="dxa"/>
          </w:tblCellMar>
        </w:tblPrEx>
        <w:trPr>
          <w:trHeight w:val="687" w:hRule="atLeast"/>
          <w:jc w:val="center"/>
        </w:trPr>
        <w:tc>
          <w:tcPr>
            <w:tcW w:w="1343" w:type="dxa"/>
            <w:vAlign w:val="center"/>
          </w:tcPr>
          <w:p w14:paraId="54FF8B3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宋体"/>
                <w:b/>
                <w:bCs/>
                <w:sz w:val="24"/>
                <w:szCs w:val="24"/>
              </w:rPr>
            </w:pPr>
            <w:r>
              <w:rPr>
                <w:rFonts w:hint="eastAsia" w:ascii="宋体" w:hAnsi="宋体" w:eastAsia="宋体" w:cs="宋体"/>
                <w:b/>
                <w:bCs/>
                <w:sz w:val="24"/>
                <w:szCs w:val="24"/>
              </w:rPr>
              <w:t>标识符号</w:t>
            </w:r>
          </w:p>
        </w:tc>
        <w:tc>
          <w:tcPr>
            <w:tcW w:w="7818" w:type="dxa"/>
            <w:vAlign w:val="center"/>
          </w:tcPr>
          <w:p w14:paraId="1A6159C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宋体"/>
                <w:b/>
                <w:bCs/>
                <w:sz w:val="24"/>
                <w:szCs w:val="24"/>
              </w:rPr>
            </w:pPr>
            <w:r>
              <w:rPr>
                <w:rFonts w:hint="eastAsia" w:ascii="宋体" w:hAnsi="宋体" w:eastAsia="宋体" w:cs="宋体"/>
                <w:b/>
                <w:bCs/>
                <w:sz w:val="24"/>
                <w:szCs w:val="24"/>
              </w:rPr>
              <w:t>标识</w:t>
            </w:r>
            <w:r>
              <w:rPr>
                <w:rFonts w:hint="eastAsia" w:ascii="宋体" w:hAnsi="宋体" w:cs="宋体"/>
                <w:b/>
                <w:bCs/>
                <w:sz w:val="24"/>
                <w:szCs w:val="24"/>
                <w:lang w:val="en-US" w:eastAsia="zh-CN"/>
              </w:rPr>
              <w:t>含义</w:t>
            </w:r>
          </w:p>
        </w:tc>
      </w:tr>
      <w:tr w14:paraId="41C205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57" w:type="dxa"/>
            <w:bottom w:w="28" w:type="dxa"/>
            <w:right w:w="57" w:type="dxa"/>
          </w:tblCellMar>
        </w:tblPrEx>
        <w:trPr>
          <w:trHeight w:val="586" w:hRule="atLeast"/>
          <w:jc w:val="center"/>
        </w:trPr>
        <w:tc>
          <w:tcPr>
            <w:tcW w:w="1343" w:type="dxa"/>
            <w:vAlign w:val="center"/>
          </w:tcPr>
          <w:p w14:paraId="65F5448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p>
        </w:tc>
        <w:tc>
          <w:tcPr>
            <w:tcW w:w="7818" w:type="dxa"/>
            <w:vAlign w:val="center"/>
          </w:tcPr>
          <w:p w14:paraId="530B6DE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本项目核心产品</w:t>
            </w:r>
          </w:p>
        </w:tc>
      </w:tr>
      <w:tr w14:paraId="43DD58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57" w:type="dxa"/>
            <w:bottom w:w="28" w:type="dxa"/>
            <w:right w:w="57" w:type="dxa"/>
          </w:tblCellMar>
        </w:tblPrEx>
        <w:trPr>
          <w:trHeight w:val="708" w:hRule="atLeast"/>
          <w:jc w:val="center"/>
        </w:trPr>
        <w:tc>
          <w:tcPr>
            <w:tcW w:w="1343" w:type="dxa"/>
            <w:vAlign w:val="center"/>
          </w:tcPr>
          <w:p w14:paraId="12E71D1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highlight w:val="none"/>
                <w:lang w:eastAsia="zh-CN"/>
              </w:rPr>
            </w:pPr>
            <w:r>
              <w:rPr>
                <w:rFonts w:hint="eastAsia" w:ascii="宋体" w:hAnsi="宋体" w:cs="宋体"/>
                <w:sz w:val="24"/>
                <w:szCs w:val="24"/>
                <w:highlight w:val="none"/>
                <w:lang w:eastAsia="zh-CN"/>
              </w:rPr>
              <w:t>★</w:t>
            </w:r>
          </w:p>
        </w:tc>
        <w:tc>
          <w:tcPr>
            <w:tcW w:w="7818" w:type="dxa"/>
            <w:vAlign w:val="center"/>
          </w:tcPr>
          <w:p w14:paraId="094B8F5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重要指标评分项</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针对标</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项参数要求需提供相关证明材料，有明确要求的按相关要求提供，未明确要求的可提供材料包括但不限于：官网截图/功能界面截图/产品彩页/技术白皮书/第三方检测机构出具的检测报告等，提供其中之一即可。</w:t>
            </w:r>
          </w:p>
        </w:tc>
      </w:tr>
      <w:tr w14:paraId="39A75F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57" w:type="dxa"/>
            <w:bottom w:w="28" w:type="dxa"/>
            <w:right w:w="57" w:type="dxa"/>
          </w:tblCellMar>
        </w:tblPrEx>
        <w:trPr>
          <w:trHeight w:val="689" w:hRule="atLeast"/>
          <w:jc w:val="center"/>
        </w:trPr>
        <w:tc>
          <w:tcPr>
            <w:tcW w:w="1343" w:type="dxa"/>
            <w:vAlign w:val="center"/>
          </w:tcPr>
          <w:p w14:paraId="5A034D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宋体"/>
                <w:sz w:val="24"/>
                <w:szCs w:val="24"/>
                <w:highlight w:val="none"/>
              </w:rPr>
            </w:pPr>
            <w:r>
              <w:rPr>
                <w:rFonts w:hint="eastAsia" w:ascii="宋体" w:hAnsi="宋体" w:eastAsia="宋体" w:cs="宋体"/>
                <w:sz w:val="24"/>
                <w:szCs w:val="24"/>
                <w:highlight w:val="none"/>
              </w:rPr>
              <w:t>无标识项</w:t>
            </w:r>
          </w:p>
        </w:tc>
        <w:tc>
          <w:tcPr>
            <w:tcW w:w="7818" w:type="dxa"/>
            <w:vAlign w:val="center"/>
          </w:tcPr>
          <w:p w14:paraId="46AD84E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ascii="宋体" w:hAnsi="宋体" w:eastAsia="宋体" w:cs="宋体"/>
                <w:sz w:val="24"/>
                <w:szCs w:val="24"/>
                <w:highlight w:val="none"/>
              </w:rPr>
            </w:pPr>
            <w:r>
              <w:rPr>
                <w:rFonts w:hint="eastAsia" w:ascii="宋体" w:hAnsi="宋体" w:eastAsia="宋体" w:cs="宋体"/>
                <w:sz w:val="24"/>
                <w:szCs w:val="24"/>
                <w:highlight w:val="none"/>
              </w:rPr>
              <w:t>未响应或负偏离</w:t>
            </w:r>
            <w:r>
              <w:rPr>
                <w:rFonts w:hint="eastAsia" w:ascii="宋体" w:hAnsi="宋体" w:cs="宋体"/>
                <w:sz w:val="24"/>
                <w:szCs w:val="24"/>
                <w:highlight w:val="none"/>
                <w:lang w:eastAsia="zh-CN"/>
              </w:rPr>
              <w:t>超过</w:t>
            </w:r>
            <w:r>
              <w:rPr>
                <w:rFonts w:hint="eastAsia" w:ascii="宋体" w:hAnsi="宋体" w:cs="宋体"/>
                <w:sz w:val="24"/>
                <w:szCs w:val="24"/>
                <w:highlight w:val="none"/>
                <w:u w:val="single"/>
                <w:lang w:val="en-US" w:eastAsia="zh-CN"/>
              </w:rPr>
              <w:t xml:space="preserve"> 5 </w:t>
            </w:r>
            <w:r>
              <w:rPr>
                <w:rFonts w:hint="eastAsia" w:ascii="宋体" w:hAnsi="宋体" w:cs="宋体"/>
                <w:sz w:val="24"/>
                <w:szCs w:val="24"/>
                <w:highlight w:val="none"/>
                <w:u w:val="none"/>
                <w:lang w:val="en-US" w:eastAsia="zh-CN"/>
              </w:rPr>
              <w:t>项的</w:t>
            </w:r>
            <w:r>
              <w:rPr>
                <w:rFonts w:hint="eastAsia" w:ascii="宋体" w:hAnsi="宋体" w:cs="宋体"/>
                <w:b w:val="0"/>
                <w:bCs w:val="0"/>
                <w:sz w:val="24"/>
                <w:szCs w:val="24"/>
                <w:highlight w:val="none"/>
                <w:u w:val="none"/>
                <w:lang w:val="en-US" w:eastAsia="zh-CN"/>
              </w:rPr>
              <w:t>，</w:t>
            </w:r>
            <w:r>
              <w:rPr>
                <w:rFonts w:hint="eastAsia" w:ascii="宋体" w:hAnsi="宋体" w:eastAsia="宋体" w:cs="宋体"/>
                <w:b w:val="0"/>
                <w:bCs w:val="0"/>
                <w:sz w:val="24"/>
                <w:szCs w:val="24"/>
                <w:highlight w:val="none"/>
              </w:rPr>
              <w:t>将导致</w:t>
            </w:r>
            <w:r>
              <w:rPr>
                <w:rFonts w:hint="eastAsia" w:ascii="宋体" w:hAnsi="宋体" w:eastAsia="宋体" w:cs="宋体"/>
                <w:b/>
                <w:bCs/>
                <w:sz w:val="24"/>
                <w:szCs w:val="24"/>
                <w:highlight w:val="none"/>
              </w:rPr>
              <w:t>投标无效。</w:t>
            </w:r>
          </w:p>
        </w:tc>
      </w:tr>
    </w:tbl>
    <w:p w14:paraId="3F659F10">
      <w:pPr>
        <w:bidi w:val="0"/>
      </w:pPr>
    </w:p>
    <w:p w14:paraId="6A8AA4E3">
      <w:pPr>
        <w:pStyle w:val="3"/>
        <w:keepNext/>
        <w:keepLines/>
        <w:pageBreakBefore w:val="0"/>
        <w:widowControl w:val="0"/>
        <w:kinsoku/>
        <w:wordWrap/>
        <w:overflowPunct/>
        <w:topLinePunct w:val="0"/>
        <w:autoSpaceDE/>
        <w:autoSpaceDN/>
        <w:bidi w:val="0"/>
        <w:adjustRightInd/>
        <w:snapToGrid/>
        <w:spacing w:before="0" w:after="0" w:line="360" w:lineRule="auto"/>
        <w:jc w:val="left"/>
        <w:textAlignment w:val="auto"/>
        <w:rPr>
          <w:sz w:val="24"/>
          <w:szCs w:val="24"/>
        </w:rPr>
      </w:pPr>
      <w:r>
        <w:rPr>
          <w:sz w:val="24"/>
          <w:szCs w:val="24"/>
        </w:rPr>
        <w:t>一、采购需求前附表</w:t>
      </w:r>
    </w:p>
    <w:tbl>
      <w:tblPr>
        <w:tblStyle w:val="25"/>
        <w:tblW w:w="928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28" w:type="dxa"/>
          <w:bottom w:w="0" w:type="dxa"/>
          <w:right w:w="28" w:type="dxa"/>
        </w:tblCellMar>
      </w:tblPr>
      <w:tblGrid>
        <w:gridCol w:w="712"/>
        <w:gridCol w:w="1382"/>
        <w:gridCol w:w="7188"/>
      </w:tblGrid>
      <w:tr w14:paraId="0725C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724" w:hRule="atLeast"/>
          <w:jc w:val="center"/>
        </w:trPr>
        <w:tc>
          <w:tcPr>
            <w:tcW w:w="712" w:type="dxa"/>
            <w:vAlign w:val="center"/>
          </w:tcPr>
          <w:p w14:paraId="221184F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b/>
                <w:bCs/>
                <w:sz w:val="24"/>
                <w:szCs w:val="24"/>
              </w:rPr>
            </w:pPr>
            <w:r>
              <w:rPr>
                <w:rFonts w:hint="eastAsia" w:ascii="宋体" w:hAnsi="宋体" w:eastAsia="宋体" w:cs="宋体"/>
                <w:b/>
                <w:bCs/>
                <w:sz w:val="24"/>
                <w:szCs w:val="24"/>
              </w:rPr>
              <w:t>序号</w:t>
            </w:r>
          </w:p>
        </w:tc>
        <w:tc>
          <w:tcPr>
            <w:tcW w:w="1382" w:type="dxa"/>
            <w:vAlign w:val="center"/>
          </w:tcPr>
          <w:p w14:paraId="6560E1F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b/>
                <w:bCs/>
                <w:sz w:val="24"/>
                <w:szCs w:val="24"/>
              </w:rPr>
            </w:pPr>
            <w:r>
              <w:rPr>
                <w:rFonts w:hint="eastAsia" w:ascii="宋体" w:hAnsi="宋体" w:eastAsia="宋体" w:cs="宋体"/>
                <w:b/>
                <w:bCs/>
                <w:sz w:val="24"/>
                <w:szCs w:val="24"/>
              </w:rPr>
              <w:t>条款名称</w:t>
            </w:r>
          </w:p>
        </w:tc>
        <w:tc>
          <w:tcPr>
            <w:tcW w:w="7188" w:type="dxa"/>
            <w:vAlign w:val="center"/>
          </w:tcPr>
          <w:p w14:paraId="0A053EC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b/>
                <w:bCs/>
                <w:sz w:val="24"/>
                <w:szCs w:val="24"/>
              </w:rPr>
            </w:pPr>
            <w:r>
              <w:rPr>
                <w:rFonts w:hint="eastAsia" w:ascii="宋体" w:hAnsi="宋体" w:eastAsia="宋体" w:cs="宋体"/>
                <w:b/>
                <w:bCs/>
                <w:sz w:val="24"/>
                <w:szCs w:val="24"/>
              </w:rPr>
              <w:t>内容、说明与要求</w:t>
            </w:r>
          </w:p>
        </w:tc>
      </w:tr>
      <w:tr w14:paraId="60F96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1251" w:hRule="atLeast"/>
          <w:jc w:val="center"/>
        </w:trPr>
        <w:tc>
          <w:tcPr>
            <w:tcW w:w="712" w:type="dxa"/>
            <w:vAlign w:val="center"/>
          </w:tcPr>
          <w:p w14:paraId="0C2EE7C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sz w:val="24"/>
                <w:szCs w:val="24"/>
              </w:rPr>
            </w:pPr>
            <w:r>
              <w:rPr>
                <w:rFonts w:hint="eastAsia" w:ascii="宋体" w:hAnsi="宋体" w:eastAsia="宋体" w:cs="宋体"/>
                <w:sz w:val="24"/>
                <w:szCs w:val="24"/>
              </w:rPr>
              <w:t>1</w:t>
            </w:r>
          </w:p>
        </w:tc>
        <w:tc>
          <w:tcPr>
            <w:tcW w:w="1382" w:type="dxa"/>
            <w:vAlign w:val="center"/>
          </w:tcPr>
          <w:p w14:paraId="53053B7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sz w:val="24"/>
                <w:szCs w:val="24"/>
              </w:rPr>
            </w:pPr>
          </w:p>
          <w:p w14:paraId="18D304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sz w:val="24"/>
                <w:szCs w:val="24"/>
              </w:rPr>
            </w:pPr>
            <w:r>
              <w:rPr>
                <w:rFonts w:hint="eastAsia" w:ascii="宋体" w:hAnsi="宋体" w:eastAsia="宋体" w:cs="宋体"/>
                <w:sz w:val="24"/>
                <w:szCs w:val="24"/>
              </w:rPr>
              <w:t>付款方式</w:t>
            </w:r>
          </w:p>
        </w:tc>
        <w:tc>
          <w:tcPr>
            <w:tcW w:w="7188" w:type="dxa"/>
            <w:vAlign w:val="center"/>
          </w:tcPr>
          <w:p w14:paraId="695468AE">
            <w:pPr>
              <w:spacing w:line="500" w:lineRule="exact"/>
              <w:jc w:val="left"/>
              <w:rPr>
                <w:rFonts w:hint="eastAsia" w:ascii="宋体" w:hAnsi="宋体" w:cs="宋体"/>
                <w:b w:val="0"/>
                <w:bCs w:val="0"/>
                <w:sz w:val="24"/>
              </w:rPr>
            </w:pPr>
            <w:r>
              <w:rPr>
                <w:rFonts w:hint="eastAsia" w:ascii="宋体" w:hAnsi="宋体" w:cs="宋体"/>
                <w:b w:val="0"/>
                <w:bCs w:val="0"/>
                <w:sz w:val="24"/>
              </w:rPr>
              <w:t>⑴对供应商为大型企业的项目或者以人工投入为主且实行按月定期结算支付款项的项目，采购人确定预付款为合同金额的</w:t>
            </w:r>
            <w:r>
              <w:rPr>
                <w:rFonts w:hint="eastAsia" w:ascii="宋体" w:hAnsi="宋体" w:cs="宋体"/>
                <w:b w:val="0"/>
                <w:bCs w:val="0"/>
                <w:sz w:val="24"/>
                <w:u w:val="single"/>
              </w:rPr>
              <w:t xml:space="preserve"> </w:t>
            </w:r>
            <w:r>
              <w:rPr>
                <w:rFonts w:hint="eastAsia" w:ascii="宋体" w:hAnsi="宋体" w:cs="宋体"/>
                <w:b w:val="0"/>
                <w:bCs w:val="0"/>
                <w:sz w:val="24"/>
                <w:u w:val="single"/>
                <w:lang w:val="en-US" w:eastAsia="zh-CN"/>
              </w:rPr>
              <w:t>0</w:t>
            </w:r>
            <w:r>
              <w:rPr>
                <w:rFonts w:hint="eastAsia" w:ascii="宋体" w:hAnsi="宋体" w:cs="宋体"/>
                <w:b w:val="0"/>
                <w:bCs w:val="0"/>
                <w:sz w:val="24"/>
                <w:u w:val="single"/>
              </w:rPr>
              <w:t xml:space="preserve"> </w:t>
            </w:r>
            <w:r>
              <w:rPr>
                <w:rFonts w:hint="eastAsia" w:ascii="宋体" w:hAnsi="宋体" w:cs="宋体"/>
                <w:b w:val="0"/>
                <w:bCs w:val="0"/>
                <w:sz w:val="24"/>
              </w:rPr>
              <w:t>（0-70%）；</w:t>
            </w:r>
          </w:p>
          <w:p w14:paraId="138679CB">
            <w:pPr>
              <w:spacing w:line="500" w:lineRule="exact"/>
              <w:jc w:val="left"/>
              <w:rPr>
                <w:rFonts w:hint="eastAsia" w:ascii="宋体" w:hAnsi="宋体" w:cs="宋体"/>
                <w:b w:val="0"/>
                <w:bCs w:val="0"/>
                <w:sz w:val="24"/>
              </w:rPr>
            </w:pPr>
            <w:r>
              <w:rPr>
                <w:rFonts w:hint="eastAsia" w:ascii="宋体" w:hAnsi="宋体" w:cs="宋体"/>
                <w:b w:val="0"/>
                <w:bCs w:val="0"/>
                <w:sz w:val="24"/>
              </w:rPr>
              <w:t>⑵中小企业合同，采购人确定预付款为合同金额的</w:t>
            </w:r>
            <w:r>
              <w:rPr>
                <w:rFonts w:hint="eastAsia" w:ascii="宋体" w:hAnsi="宋体" w:cs="宋体"/>
                <w:b w:val="0"/>
                <w:bCs w:val="0"/>
                <w:sz w:val="24"/>
                <w:u w:val="single"/>
              </w:rPr>
              <w:t xml:space="preserve"> 40% </w:t>
            </w:r>
            <w:r>
              <w:rPr>
                <w:rFonts w:hint="eastAsia" w:ascii="宋体" w:hAnsi="宋体" w:cs="宋体"/>
                <w:b w:val="0"/>
                <w:bCs w:val="0"/>
                <w:sz w:val="24"/>
              </w:rPr>
              <w:t>（40%-70%）；</w:t>
            </w:r>
          </w:p>
          <w:p w14:paraId="161EFC98">
            <w:pPr>
              <w:spacing w:line="500" w:lineRule="exact"/>
              <w:jc w:val="left"/>
              <w:rPr>
                <w:rFonts w:hint="eastAsia" w:ascii="宋体" w:hAnsi="宋体" w:cs="宋体"/>
                <w:b w:val="0"/>
                <w:bCs w:val="0"/>
                <w:sz w:val="24"/>
              </w:rPr>
            </w:pPr>
            <w:r>
              <w:rPr>
                <w:rFonts w:hint="eastAsia" w:ascii="宋体" w:hAnsi="宋体" w:cs="宋体"/>
                <w:b w:val="0"/>
                <w:bCs w:val="0"/>
                <w:sz w:val="24"/>
              </w:rPr>
              <w:t>⑶分年度安排预算的项目，采购人确定每年预付款为当年合同金额的</w:t>
            </w:r>
            <w:r>
              <w:rPr>
                <w:rFonts w:hint="eastAsia" w:ascii="宋体" w:hAnsi="宋体" w:cs="宋体"/>
                <w:b w:val="0"/>
                <w:bCs w:val="0"/>
                <w:sz w:val="24"/>
                <w:u w:val="single"/>
              </w:rPr>
              <w:t xml:space="preserve"> </w:t>
            </w:r>
            <w:r>
              <w:rPr>
                <w:rFonts w:hint="eastAsia" w:ascii="宋体" w:hAnsi="宋体" w:cs="宋体"/>
                <w:b w:val="0"/>
                <w:bCs w:val="0"/>
                <w:sz w:val="24"/>
                <w:u w:val="single"/>
                <w:lang w:val="en-US" w:eastAsia="zh-CN"/>
              </w:rPr>
              <w:t xml:space="preserve">/ </w:t>
            </w:r>
            <w:r>
              <w:rPr>
                <w:rFonts w:hint="eastAsia" w:ascii="宋体" w:hAnsi="宋体" w:cs="宋体"/>
                <w:b w:val="0"/>
                <w:bCs w:val="0"/>
                <w:sz w:val="24"/>
              </w:rPr>
              <w:t>（40%-70%）。</w:t>
            </w:r>
          </w:p>
          <w:p w14:paraId="10889640">
            <w:pPr>
              <w:spacing w:line="500" w:lineRule="exact"/>
              <w:jc w:val="left"/>
              <w:rPr>
                <w:rFonts w:ascii="宋体" w:hAnsi="宋体" w:eastAsia="宋体" w:cs="宋体"/>
                <w:sz w:val="24"/>
                <w:szCs w:val="24"/>
              </w:rPr>
            </w:pPr>
            <w:r>
              <w:rPr>
                <w:rFonts w:hint="eastAsia" w:ascii="宋体" w:hAnsi="宋体" w:eastAsia="宋体" w:cs="宋体"/>
                <w:b/>
                <w:bCs/>
                <w:sz w:val="24"/>
                <w:szCs w:val="24"/>
              </w:rPr>
              <w:t>剩余款支付方式</w:t>
            </w:r>
            <w:r>
              <w:rPr>
                <w:rFonts w:hint="eastAsia" w:ascii="宋体" w:hAnsi="宋体" w:cs="宋体"/>
                <w:b/>
                <w:bCs/>
                <w:sz w:val="24"/>
                <w:szCs w:val="24"/>
                <w:lang w:eastAsia="zh-CN"/>
              </w:rPr>
              <w:t>：</w:t>
            </w:r>
            <w:r>
              <w:rPr>
                <w:rFonts w:hint="eastAsia" w:ascii="宋体" w:hAnsi="宋体" w:cs="宋体"/>
                <w:sz w:val="24"/>
                <w:szCs w:val="24"/>
                <w:lang w:val="en-US" w:eastAsia="zh-CN"/>
              </w:rPr>
              <w:t>验收合格后一次性付清剩余合同款。</w:t>
            </w:r>
            <w:r>
              <w:rPr>
                <w:rFonts w:hint="eastAsia" w:ascii="宋体" w:hAnsi="宋体" w:eastAsia="宋体" w:cs="宋体"/>
                <w:sz w:val="24"/>
                <w:szCs w:val="24"/>
              </w:rPr>
              <w:br w:type="textWrapping"/>
            </w:r>
            <w:r>
              <w:rPr>
                <w:rFonts w:hint="eastAsia" w:ascii="宋体" w:hAnsi="宋体" w:eastAsia="宋体" w:cs="宋体"/>
                <w:b/>
                <w:bCs/>
                <w:sz w:val="24"/>
                <w:szCs w:val="24"/>
              </w:rPr>
              <w:t>注：</w:t>
            </w:r>
            <w:r>
              <w:rPr>
                <w:rFonts w:hint="eastAsia" w:ascii="宋体" w:hAnsi="宋体" w:eastAsia="宋体" w:cs="宋体"/>
                <w:b w:val="0"/>
                <w:bCs w:val="0"/>
                <w:sz w:val="24"/>
                <w:szCs w:val="24"/>
              </w:rPr>
              <w:t>采购人可根据项目特点、供应商诚信等因素，要求供应商提交银行、保险公司、担保公司等金融机构出具的预付款保函或其他担保措施。政府采购预付款在合同、担保措施生效以及具备实施条件后 5 个工作日内支付。</w:t>
            </w:r>
            <w:r>
              <w:rPr>
                <w:rFonts w:hint="eastAsia" w:ascii="宋体" w:hAnsi="宋体" w:eastAsia="宋体" w:cs="宋体"/>
                <w:b/>
                <w:bCs/>
                <w:sz w:val="24"/>
                <w:szCs w:val="24"/>
              </w:rPr>
              <w:br w:type="textWrapping"/>
            </w:r>
            <w:r>
              <w:rPr>
                <w:rFonts w:hint="eastAsia" w:ascii="宋体" w:hAnsi="宋体" w:eastAsia="宋体" w:cs="宋体"/>
                <w:b/>
                <w:bCs/>
                <w:sz w:val="24"/>
                <w:szCs w:val="24"/>
              </w:rPr>
              <w:t>（投标人提交的投标文件中如有关于付款条件的表述与招标文件规定不符，将被视为实质性不响应，将导致响应无效）</w:t>
            </w:r>
          </w:p>
        </w:tc>
      </w:tr>
      <w:tr w14:paraId="7947F1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940" w:hRule="atLeast"/>
          <w:jc w:val="center"/>
        </w:trPr>
        <w:tc>
          <w:tcPr>
            <w:tcW w:w="712" w:type="dxa"/>
            <w:vAlign w:val="center"/>
          </w:tcPr>
          <w:p w14:paraId="457CB33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sz w:val="24"/>
                <w:szCs w:val="24"/>
              </w:rPr>
            </w:pPr>
            <w:r>
              <w:rPr>
                <w:rFonts w:hint="eastAsia" w:ascii="宋体" w:hAnsi="宋体" w:eastAsia="宋体" w:cs="宋体"/>
                <w:sz w:val="24"/>
                <w:szCs w:val="24"/>
              </w:rPr>
              <w:t>2</w:t>
            </w:r>
          </w:p>
        </w:tc>
        <w:tc>
          <w:tcPr>
            <w:tcW w:w="1382" w:type="dxa"/>
            <w:vAlign w:val="center"/>
          </w:tcPr>
          <w:p w14:paraId="6499820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sz w:val="24"/>
                <w:szCs w:val="24"/>
              </w:rPr>
            </w:pPr>
            <w:r>
              <w:rPr>
                <w:rFonts w:hint="eastAsia" w:ascii="宋体" w:hAnsi="宋体" w:eastAsia="宋体" w:cs="宋体"/>
                <w:sz w:val="24"/>
                <w:szCs w:val="24"/>
              </w:rPr>
              <w:t>供货及安装地点</w:t>
            </w:r>
          </w:p>
        </w:tc>
        <w:tc>
          <w:tcPr>
            <w:tcW w:w="7188" w:type="dxa"/>
            <w:vAlign w:val="center"/>
          </w:tcPr>
          <w:p w14:paraId="03DF33E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hAnsi="宋体" w:eastAsia="宋体" w:cs="宋体"/>
                <w:sz w:val="24"/>
                <w:szCs w:val="24"/>
              </w:rPr>
            </w:pPr>
            <w:r>
              <w:rPr>
                <w:rFonts w:hint="eastAsia" w:ascii="宋体" w:hAnsi="宋体" w:eastAsia="宋体" w:cs="宋体"/>
                <w:sz w:val="24"/>
                <w:szCs w:val="24"/>
              </w:rPr>
              <w:t>安徽国防科技职业学院新校区，具体地点由采购人指定。</w:t>
            </w:r>
          </w:p>
        </w:tc>
      </w:tr>
      <w:tr w14:paraId="187174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1025" w:hRule="atLeast"/>
          <w:jc w:val="center"/>
        </w:trPr>
        <w:tc>
          <w:tcPr>
            <w:tcW w:w="712" w:type="dxa"/>
            <w:vAlign w:val="center"/>
          </w:tcPr>
          <w:p w14:paraId="4C6F6B7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sz w:val="24"/>
                <w:szCs w:val="24"/>
              </w:rPr>
            </w:pPr>
            <w:r>
              <w:rPr>
                <w:rFonts w:hint="eastAsia" w:ascii="宋体" w:hAnsi="宋体" w:eastAsia="宋体" w:cs="宋体"/>
                <w:sz w:val="24"/>
                <w:szCs w:val="24"/>
              </w:rPr>
              <w:t>3</w:t>
            </w:r>
          </w:p>
        </w:tc>
        <w:tc>
          <w:tcPr>
            <w:tcW w:w="1382" w:type="dxa"/>
            <w:vAlign w:val="center"/>
          </w:tcPr>
          <w:p w14:paraId="3EF74DC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sz w:val="24"/>
                <w:szCs w:val="24"/>
              </w:rPr>
            </w:pPr>
            <w:r>
              <w:rPr>
                <w:rFonts w:hint="eastAsia" w:ascii="宋体" w:hAnsi="宋体" w:eastAsia="宋体" w:cs="宋体"/>
                <w:sz w:val="24"/>
                <w:szCs w:val="24"/>
              </w:rPr>
              <w:t>供货及安装期限</w:t>
            </w:r>
          </w:p>
        </w:tc>
        <w:tc>
          <w:tcPr>
            <w:tcW w:w="7188" w:type="dxa"/>
            <w:vAlign w:val="center"/>
          </w:tcPr>
          <w:p w14:paraId="30D1BD8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s="宋体"/>
                <w:sz w:val="24"/>
                <w:szCs w:val="24"/>
                <w:lang w:val="en-US" w:eastAsia="zh-CN"/>
              </w:rPr>
            </w:pPr>
            <w:r>
              <w:rPr>
                <w:rFonts w:hint="eastAsia" w:ascii="宋体" w:hAnsi="宋体" w:eastAsia="宋体" w:cs="宋体"/>
                <w:sz w:val="24"/>
                <w:szCs w:val="24"/>
              </w:rPr>
              <w:t>合同签订后</w:t>
            </w:r>
            <w:r>
              <w:rPr>
                <w:rFonts w:hint="eastAsia" w:ascii="宋体" w:hAnsi="宋体" w:cs="宋体"/>
                <w:sz w:val="24"/>
                <w:szCs w:val="24"/>
                <w:lang w:val="en-US" w:eastAsia="zh-CN"/>
              </w:rPr>
              <w:t>90</w:t>
            </w:r>
            <w:r>
              <w:rPr>
                <w:rFonts w:hint="eastAsia" w:ascii="宋体" w:hAnsi="宋体" w:eastAsia="宋体" w:cs="宋体"/>
                <w:sz w:val="24"/>
                <w:szCs w:val="24"/>
              </w:rPr>
              <w:t>日内完成</w:t>
            </w:r>
            <w:r>
              <w:rPr>
                <w:rFonts w:hint="eastAsia" w:ascii="宋体" w:hAnsi="宋体" w:cs="宋体"/>
                <w:sz w:val="24"/>
                <w:szCs w:val="24"/>
                <w:lang w:val="en-US" w:eastAsia="zh-CN"/>
              </w:rPr>
              <w:t>供货、</w:t>
            </w:r>
            <w:r>
              <w:rPr>
                <w:rFonts w:hint="eastAsia" w:ascii="宋体" w:hAnsi="宋体" w:eastAsia="宋体" w:cs="宋体"/>
                <w:sz w:val="24"/>
                <w:szCs w:val="24"/>
              </w:rPr>
              <w:t>安装、调试</w:t>
            </w:r>
            <w:r>
              <w:rPr>
                <w:rFonts w:hint="eastAsia" w:ascii="宋体" w:hAnsi="宋体" w:cs="宋体"/>
                <w:sz w:val="24"/>
                <w:szCs w:val="24"/>
                <w:lang w:val="en-US" w:eastAsia="zh-CN"/>
              </w:rPr>
              <w:t>等</w:t>
            </w:r>
            <w:r>
              <w:rPr>
                <w:rFonts w:hint="eastAsia" w:ascii="宋体" w:hAnsi="宋体" w:eastAsia="宋体" w:cs="宋体"/>
                <w:sz w:val="24"/>
                <w:szCs w:val="24"/>
              </w:rPr>
              <w:t>工作</w:t>
            </w:r>
            <w:r>
              <w:rPr>
                <w:rFonts w:hint="eastAsia" w:ascii="宋体" w:hAnsi="宋体" w:cs="宋体"/>
                <w:sz w:val="24"/>
                <w:szCs w:val="24"/>
                <w:lang w:val="en-US" w:eastAsia="zh-CN"/>
              </w:rPr>
              <w:t>。</w:t>
            </w:r>
          </w:p>
        </w:tc>
      </w:tr>
      <w:tr w14:paraId="3EF23D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626" w:hRule="atLeast"/>
          <w:jc w:val="center"/>
        </w:trPr>
        <w:tc>
          <w:tcPr>
            <w:tcW w:w="712" w:type="dxa"/>
            <w:vAlign w:val="center"/>
          </w:tcPr>
          <w:p w14:paraId="5AA1F6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4</w:t>
            </w:r>
          </w:p>
        </w:tc>
        <w:tc>
          <w:tcPr>
            <w:tcW w:w="1382" w:type="dxa"/>
            <w:vAlign w:val="center"/>
          </w:tcPr>
          <w:p w14:paraId="1832A57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sz w:val="24"/>
                <w:szCs w:val="24"/>
                <w:highlight w:val="none"/>
              </w:rPr>
            </w:pPr>
            <w:r>
              <w:rPr>
                <w:rFonts w:hint="eastAsia" w:ascii="宋体" w:hAnsi="宋体" w:eastAsia="宋体" w:cs="宋体"/>
                <w:sz w:val="24"/>
                <w:szCs w:val="24"/>
                <w:highlight w:val="none"/>
              </w:rPr>
              <w:t>免费质保期</w:t>
            </w:r>
          </w:p>
        </w:tc>
        <w:tc>
          <w:tcPr>
            <w:tcW w:w="7188" w:type="dxa"/>
            <w:vAlign w:val="center"/>
          </w:tcPr>
          <w:p w14:paraId="786AE3FB">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s="宋体"/>
                <w:sz w:val="24"/>
                <w:szCs w:val="24"/>
                <w:highlight w:val="none"/>
              </w:rPr>
            </w:pPr>
            <w:r>
              <w:rPr>
                <w:rFonts w:hint="eastAsia" w:ascii="宋体" w:hAnsi="宋体" w:eastAsia="宋体" w:cs="宋体"/>
                <w:sz w:val="24"/>
                <w:szCs w:val="24"/>
                <w:highlight w:val="none"/>
              </w:rPr>
              <w:t>验收合格之日起</w:t>
            </w: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rPr>
              <w:t>年。</w:t>
            </w:r>
          </w:p>
        </w:tc>
      </w:tr>
    </w:tbl>
    <w:p w14:paraId="1122DD66">
      <w:pPr>
        <w:spacing w:before="148" w:line="360" w:lineRule="auto"/>
        <w:rPr>
          <w:b/>
          <w:bCs/>
          <w:sz w:val="24"/>
          <w:szCs w:val="24"/>
        </w:rPr>
      </w:pPr>
    </w:p>
    <w:p w14:paraId="2B8E7468">
      <w:pPr>
        <w:spacing w:before="148" w:line="360" w:lineRule="auto"/>
        <w:rPr>
          <w:rFonts w:hint="default" w:ascii="Calibri" w:hAnsi="Calibri" w:eastAsia="宋体" w:cs="Times New Roman"/>
          <w:b/>
          <w:bCs/>
          <w:szCs w:val="24"/>
          <w:lang w:val="en-US" w:eastAsia="zh-CN"/>
        </w:rPr>
      </w:pPr>
      <w:r>
        <w:rPr>
          <w:b/>
          <w:bCs/>
          <w:sz w:val="24"/>
          <w:szCs w:val="24"/>
        </w:rPr>
        <w:t>二、</w:t>
      </w:r>
      <w:r>
        <w:rPr>
          <w:rFonts w:hint="eastAsia"/>
          <w:b/>
          <w:bCs/>
          <w:sz w:val="24"/>
          <w:szCs w:val="24"/>
          <w:lang w:val="en-US" w:eastAsia="zh-CN"/>
        </w:rPr>
        <w:t>采购清单</w:t>
      </w:r>
    </w:p>
    <w:tbl>
      <w:tblPr>
        <w:tblStyle w:val="15"/>
        <w:tblW w:w="9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51" w:type="dxa"/>
          <w:bottom w:w="28" w:type="dxa"/>
          <w:right w:w="51" w:type="dxa"/>
        </w:tblCellMar>
      </w:tblPr>
      <w:tblGrid>
        <w:gridCol w:w="595"/>
        <w:gridCol w:w="1249"/>
        <w:gridCol w:w="6120"/>
        <w:gridCol w:w="702"/>
        <w:gridCol w:w="612"/>
      </w:tblGrid>
      <w:tr w14:paraId="469BC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705" w:hRule="atLeast"/>
          <w:jc w:val="center"/>
        </w:trPr>
        <w:tc>
          <w:tcPr>
            <w:tcW w:w="595" w:type="dxa"/>
            <w:vAlign w:val="center"/>
          </w:tcPr>
          <w:p w14:paraId="6B7A3CCC">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kern w:val="0"/>
                <w:sz w:val="24"/>
                <w:szCs w:val="24"/>
                <w:lang w:bidi="ar"/>
                <w14:textFill>
                  <w14:solidFill>
                    <w14:schemeClr w14:val="tx1"/>
                  </w14:solidFill>
                </w14:textFill>
              </w:rPr>
              <w:t>序号</w:t>
            </w:r>
          </w:p>
        </w:tc>
        <w:tc>
          <w:tcPr>
            <w:tcW w:w="1249" w:type="dxa"/>
            <w:vAlign w:val="center"/>
          </w:tcPr>
          <w:p w14:paraId="4B7B4CA1">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kern w:val="0"/>
                <w:sz w:val="24"/>
                <w:szCs w:val="24"/>
                <w:lang w:bidi="ar"/>
                <w14:textFill>
                  <w14:solidFill>
                    <w14:schemeClr w14:val="tx1"/>
                  </w14:solidFill>
                </w14:textFill>
              </w:rPr>
              <w:t>标的名称</w:t>
            </w:r>
          </w:p>
        </w:tc>
        <w:tc>
          <w:tcPr>
            <w:tcW w:w="6120" w:type="dxa"/>
            <w:vAlign w:val="center"/>
          </w:tcPr>
          <w:p w14:paraId="54379354">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kern w:val="0"/>
                <w:sz w:val="24"/>
                <w:szCs w:val="24"/>
                <w:lang w:bidi="ar"/>
                <w14:textFill>
                  <w14:solidFill>
                    <w14:schemeClr w14:val="tx1"/>
                  </w14:solidFill>
                </w14:textFill>
              </w:rPr>
              <w:t>详细技术要求</w:t>
            </w:r>
          </w:p>
        </w:tc>
        <w:tc>
          <w:tcPr>
            <w:tcW w:w="702" w:type="dxa"/>
            <w:vAlign w:val="center"/>
          </w:tcPr>
          <w:p w14:paraId="731BEB5C">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kern w:val="0"/>
                <w:sz w:val="24"/>
                <w:szCs w:val="24"/>
                <w:lang w:bidi="ar"/>
                <w14:textFill>
                  <w14:solidFill>
                    <w14:schemeClr w14:val="tx1"/>
                  </w14:solidFill>
                </w14:textFill>
              </w:rPr>
              <w:t>数量</w:t>
            </w:r>
          </w:p>
        </w:tc>
        <w:tc>
          <w:tcPr>
            <w:tcW w:w="612" w:type="dxa"/>
            <w:vAlign w:val="center"/>
          </w:tcPr>
          <w:p w14:paraId="11210D34">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kern w:val="0"/>
                <w:sz w:val="24"/>
                <w:szCs w:val="24"/>
                <w:lang w:bidi="ar"/>
                <w14:textFill>
                  <w14:solidFill>
                    <w14:schemeClr w14:val="tx1"/>
                  </w14:solidFill>
                </w14:textFill>
              </w:rPr>
              <w:t>单位</w:t>
            </w:r>
          </w:p>
        </w:tc>
      </w:tr>
      <w:tr w14:paraId="54490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9278" w:type="dxa"/>
            <w:gridSpan w:val="5"/>
            <w:vAlign w:val="center"/>
          </w:tcPr>
          <w:p w14:paraId="4F42A365">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b/>
                <w:color w:val="000000" w:themeColor="text1"/>
                <w:kern w:val="0"/>
                <w:sz w:val="24"/>
                <w:szCs w:val="24"/>
                <w:lang w:bidi="ar"/>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一、</w:t>
            </w:r>
            <w:r>
              <w:rPr>
                <w:rFonts w:hint="eastAsia" w:ascii="宋体" w:hAnsi="宋体" w:eastAsia="宋体" w:cs="宋体"/>
                <w:b/>
                <w:bCs/>
                <w:color w:val="000000" w:themeColor="text1"/>
                <w:sz w:val="24"/>
                <w:szCs w:val="24"/>
                <w14:textFill>
                  <w14:solidFill>
                    <w14:schemeClr w14:val="tx1"/>
                  </w14:solidFill>
                </w14:textFill>
              </w:rPr>
              <w:t>实训室智慧教学系统</w:t>
            </w:r>
          </w:p>
        </w:tc>
      </w:tr>
      <w:tr w14:paraId="3E6D2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595" w:type="dxa"/>
            <w:vAlign w:val="center"/>
          </w:tcPr>
          <w:p w14:paraId="61174079">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w:t>
            </w:r>
          </w:p>
        </w:tc>
        <w:tc>
          <w:tcPr>
            <w:tcW w:w="1249" w:type="dxa"/>
            <w:vAlign w:val="center"/>
          </w:tcPr>
          <w:p w14:paraId="541140BE">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z w:val="24"/>
                <w:szCs w:val="24"/>
                <w:highlight w:val="none"/>
              </w:rPr>
              <w:t>▲</w:t>
            </w:r>
            <w:r>
              <w:rPr>
                <w:rFonts w:hint="eastAsia" w:ascii="宋体" w:hAnsi="宋体" w:eastAsia="宋体" w:cs="宋体"/>
                <w:color w:val="000000" w:themeColor="text1"/>
                <w:kern w:val="0"/>
                <w:sz w:val="24"/>
                <w:szCs w:val="24"/>
                <w:lang w:bidi="ar"/>
                <w14:textFill>
                  <w14:solidFill>
                    <w14:schemeClr w14:val="tx1"/>
                  </w14:solidFill>
                </w14:textFill>
              </w:rPr>
              <w:t>90寸教学一体机</w:t>
            </w:r>
          </w:p>
        </w:tc>
        <w:tc>
          <w:tcPr>
            <w:tcW w:w="6120" w:type="dxa"/>
            <w:vAlign w:val="center"/>
          </w:tcPr>
          <w:p w14:paraId="34ED8A3F">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1、液晶显示屏≥90英寸，显示比例：16:9，分辨率不小于3840×2160，4K UHD超高清。屏幕亮度：≥350cd/㎡。</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2、采用红外触控技术，手指、触控笔轻触、实现多点互动、多人同时流畅书写并支持≥40点触控。</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3、前置端口：≥2路USB、≥1路TYPE-C输入接口，方便拓展使用。</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4、内置高性能安卓14.0系统，RAM≥2GB，ROM≥8GB；</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5、侧置接口：≥HDMI×2、≥USB×1、≥Touch USB×1、AUDIO OUT×1、≥R232×1。</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6、插拔式OPS微型PC设计，主板采用处理器核数≥8核，核心线程数≥12核，主频≥2.0GHz,内存：16GB或以上配置。硬盘：512GB或以上固态硬盘。</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7、上边框内置非独立式≥3个智能拼接摄像头，视场角≥140度且水平视场角≥139度，可拍摄≥1600万像素，具有输出8192×2048分辨率的照片和视频，具有画面畸变矫正功能。</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8、整机内置非独立外扩展的8阵列麦克风，可用于对教室环境音频进行采集，拾音角度≥180°，拾音距离≥12m。整机内置2.2声道扬声器，位于设备上边框，顶置朝前发声，前朝向10W高音扬声器2个，上朝向20W中低音扬声器2个，额定总功率60W。具有标准、听力、观影和AI空间感知音效模式，AI空间感知音效模式可通过内置麦克风采集教室物理环境声音，自动生成符合当前教室物理环境的频段、音量、音效。</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9、整机具有上边框内置非独立摄像头模组，同时输出至少3路视频流，同时具有课堂远程巡课、课堂教学数据采集、本地画面预览（拍照或视频录制）。整机Windows通道具有文件传输应用，具有通过扫码、wifi直联、超声三种方式与手机进行握手连接，实现文件传输功能。</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10、★整机设备自带地震预警软件，具有在地震预警页面中获取位置，可以手动进行位置校准。具有在地震预警页面中选择提醒阈值；具有在地震预警界面中开启和关闭地震预警服务</w:t>
            </w:r>
            <w:r>
              <w:rPr>
                <w:rFonts w:hint="eastAsia" w:ascii="宋体" w:hAnsi="宋体" w:eastAsia="宋体" w:cs="宋体"/>
                <w:color w:val="000000"/>
                <w:kern w:val="0"/>
                <w:sz w:val="24"/>
                <w:szCs w:val="24"/>
                <w:lang w:bidi="ar"/>
              </w:rPr>
              <w:t>。</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11、整机具有发出频率为18kHz-22kHz超声波信号，智能手机通过麦克风接收后，智能手机与整机无需在同一局域网内，可实现配对，一键投屏，用户无需手动输入投屏码或扫码获取投屏码。</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12、学科资源软件：</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12.1、采用3DwebGl技术进行研发，资源内容在云端服务器上，可在线更新资源内容，无需安装任何应用程序，可直接在教学白板软件中打开使用。</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12.2、提供丰富的3D模型类数字素材资源，无学科使用限制，具有通过多媒体设备等多种智能终端设备的浏览器（Chrome, Firefox, Edge, Safari）访问并进行预览和操作；</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12.3、具有通过主流 PPT 及主流白板软件工具一键插入单个或多个 3D 百科模型资源，在授课时直接打开3D数字模型资源进行二次操作，同时可改变插入的资源封面图的大小、位置。</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12.4、★所有模型均具有AR直播功能，可在扩展屏上将3D模型与现实使用场景实时叠加并输出。同时具有人脸识别功能，通过AI人脸识别技术和算法将画面中3D模型资源与动态授课中的用户进行智能联动呈现，避免在操作3D模型中遮挡操作用户</w:t>
            </w:r>
            <w:r>
              <w:rPr>
                <w:rFonts w:hint="eastAsia" w:ascii="宋体" w:hAnsi="宋体" w:eastAsia="宋体" w:cs="宋体"/>
                <w:color w:val="000000"/>
                <w:kern w:val="0"/>
                <w:sz w:val="24"/>
                <w:szCs w:val="24"/>
                <w:lang w:bidi="ar"/>
              </w:rPr>
              <w:t>。</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13、OPS电脑系统管理软件:</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13.1、终端具有裸机部署模式，具有多硬盘管理，终端设备在部署时指定系统安装位置，同时具有在现有终端设备上部署利旧使用，可灵活具有U盘、网络、本机硬盘等多种部署方式。</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13.2、具有增量同传，教学环境更新仅传输增量部分，大幅减少网络传输中的重复数据，提高传输效率。</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13.3、★具有在云桌面镜像系统无法启动、系统异常时，可通过手势在屏幕上调取触摸中控菜单进行系统恢复至出厂默认状态正常启动云桌面镜像系统，无需连接网络、无需连接管理平台、无需额外工具辅助</w:t>
            </w:r>
            <w:r>
              <w:rPr>
                <w:rFonts w:hint="eastAsia" w:ascii="宋体" w:hAnsi="宋体" w:eastAsia="宋体" w:cs="宋体"/>
                <w:color w:val="000000"/>
                <w:kern w:val="0"/>
                <w:sz w:val="24"/>
                <w:szCs w:val="24"/>
                <w:lang w:bidi="ar"/>
              </w:rPr>
              <w:t>。</w:t>
            </w:r>
          </w:p>
        </w:tc>
        <w:tc>
          <w:tcPr>
            <w:tcW w:w="702" w:type="dxa"/>
            <w:vAlign w:val="center"/>
          </w:tcPr>
          <w:p w14:paraId="17DD68D5">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70</w:t>
            </w:r>
          </w:p>
        </w:tc>
        <w:tc>
          <w:tcPr>
            <w:tcW w:w="612" w:type="dxa"/>
            <w:vAlign w:val="center"/>
          </w:tcPr>
          <w:p w14:paraId="240B73F8">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台</w:t>
            </w:r>
          </w:p>
        </w:tc>
      </w:tr>
      <w:tr w14:paraId="7B866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595" w:type="dxa"/>
            <w:vAlign w:val="center"/>
          </w:tcPr>
          <w:p w14:paraId="7CD89E23">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w:t>
            </w:r>
          </w:p>
        </w:tc>
        <w:tc>
          <w:tcPr>
            <w:tcW w:w="1249" w:type="dxa"/>
            <w:vAlign w:val="center"/>
          </w:tcPr>
          <w:p w14:paraId="1D379E40">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90寸书写玻璃</w:t>
            </w:r>
          </w:p>
        </w:tc>
        <w:tc>
          <w:tcPr>
            <w:tcW w:w="6120" w:type="dxa"/>
            <w:vAlign w:val="center"/>
          </w:tcPr>
          <w:p w14:paraId="79BEC8B3">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1、参考尺寸≥90寸；</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2、防爆磁性钢化玻璃板；</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3、挂壁式安装；</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4、厚度5毫米；</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5、防爆耐用好擦写；</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6、配套板擦1个及白板笔3支；</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7、包含安装底面木工板找平及不锈钢封边。</w:t>
            </w:r>
          </w:p>
        </w:tc>
        <w:tc>
          <w:tcPr>
            <w:tcW w:w="702" w:type="dxa"/>
            <w:vAlign w:val="center"/>
          </w:tcPr>
          <w:p w14:paraId="272677DC">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70</w:t>
            </w:r>
          </w:p>
        </w:tc>
        <w:tc>
          <w:tcPr>
            <w:tcW w:w="612" w:type="dxa"/>
            <w:vAlign w:val="center"/>
          </w:tcPr>
          <w:p w14:paraId="09D0FE14">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副</w:t>
            </w:r>
          </w:p>
        </w:tc>
      </w:tr>
      <w:tr w14:paraId="1945B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595" w:type="dxa"/>
            <w:vAlign w:val="center"/>
          </w:tcPr>
          <w:p w14:paraId="6EDD4A92">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3</w:t>
            </w:r>
          </w:p>
        </w:tc>
        <w:tc>
          <w:tcPr>
            <w:tcW w:w="1249" w:type="dxa"/>
            <w:vAlign w:val="center"/>
          </w:tcPr>
          <w:p w14:paraId="3A82BFF2">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教学音箱</w:t>
            </w:r>
          </w:p>
        </w:tc>
        <w:tc>
          <w:tcPr>
            <w:tcW w:w="6120" w:type="dxa"/>
            <w:vAlign w:val="center"/>
          </w:tcPr>
          <w:p w14:paraId="450A78F6">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1、箱体采用纳米</w:t>
            </w:r>
            <w:r>
              <w:rPr>
                <w:rFonts w:hint="eastAsia" w:ascii="宋体" w:hAnsi="宋体" w:cs="宋体"/>
                <w:color w:val="000000" w:themeColor="text1"/>
                <w:kern w:val="0"/>
                <w:sz w:val="24"/>
                <w:szCs w:val="24"/>
                <w:lang w:val="en-US" w:eastAsia="zh-CN" w:bidi="ar"/>
                <w14:textFill>
                  <w14:solidFill>
                    <w14:schemeClr w14:val="tx1"/>
                  </w14:solidFill>
                </w14:textFill>
              </w:rPr>
              <w:t>喷漆</w:t>
            </w:r>
            <w:r>
              <w:rPr>
                <w:rFonts w:hint="eastAsia" w:ascii="宋体" w:hAnsi="宋体" w:eastAsia="宋体" w:cs="宋体"/>
                <w:color w:val="000000" w:themeColor="text1"/>
                <w:kern w:val="0"/>
                <w:sz w:val="24"/>
                <w:szCs w:val="24"/>
                <w:lang w:bidi="ar"/>
                <w14:textFill>
                  <w14:solidFill>
                    <w14:schemeClr w14:val="tx1"/>
                  </w14:solidFill>
                </w14:textFill>
              </w:rPr>
              <w:t>工艺防潮耐磨，配置专业6.5寸低音和3寸高音。</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 xml:space="preserve">2、频率响应：线路 20Hz-20KHz，话筒  60Hz-18KHz </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3、额定功率：50W，阻抗：8Ω；</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4、集合并式音频功率放大器、音箱、话筒于一体综合扩音系统；接口：一路PC输入、一组立体声线路输入、一路内置USB数字无线话筒接收、一路有线话筒输入（6V幻象电源）、二组立体声线路输出及一路副箱功率输出；</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 xml:space="preserve">5、输入电平：有线话筒  20mV，线路  300mV ； </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6、话筒音调控制：高音 3KHz±12dB 低音 100Hz±12dB；</w:t>
            </w:r>
          </w:p>
        </w:tc>
        <w:tc>
          <w:tcPr>
            <w:tcW w:w="702" w:type="dxa"/>
            <w:vAlign w:val="center"/>
          </w:tcPr>
          <w:p w14:paraId="3DCF4B3C">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70</w:t>
            </w:r>
          </w:p>
        </w:tc>
        <w:tc>
          <w:tcPr>
            <w:tcW w:w="612" w:type="dxa"/>
            <w:vAlign w:val="center"/>
          </w:tcPr>
          <w:p w14:paraId="54861CC7">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对</w:t>
            </w:r>
          </w:p>
        </w:tc>
      </w:tr>
      <w:tr w14:paraId="3E072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595" w:type="dxa"/>
            <w:vAlign w:val="center"/>
          </w:tcPr>
          <w:p w14:paraId="224D5B08">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4</w:t>
            </w:r>
          </w:p>
        </w:tc>
        <w:tc>
          <w:tcPr>
            <w:tcW w:w="1249" w:type="dxa"/>
            <w:vAlign w:val="center"/>
          </w:tcPr>
          <w:p w14:paraId="0CAA0C3D">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无线话筒</w:t>
            </w:r>
          </w:p>
        </w:tc>
        <w:tc>
          <w:tcPr>
            <w:tcW w:w="6120" w:type="dxa"/>
            <w:vAlign w:val="center"/>
          </w:tcPr>
          <w:p w14:paraId="72A43AD4">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1、2.4G、UHF、IR红外三种无线传输模式，双咪头设计, 拾音范围:270度范围拾音;</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2、集话筒、激光教鞭和无线PPT翻页三种使用功能一身，支持无线充电；</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3、OLED显示屏，清晰显示系统状态及参数；Type C充电和数据接口。</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4、★内置DSP数字防啸叫功能、内置至少7段麦克风均衡器</w:t>
            </w:r>
            <w:r>
              <w:rPr>
                <w:rFonts w:hint="eastAsia" w:ascii="宋体" w:hAnsi="宋体" w:eastAsia="宋体" w:cs="宋体"/>
                <w:color w:val="000000"/>
                <w:kern w:val="0"/>
                <w:sz w:val="24"/>
                <w:szCs w:val="24"/>
                <w:lang w:bidi="ar"/>
              </w:rPr>
              <w:t>。</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5、内置麦克风和3.5MM音频输入和麦克风输入；</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6、★开机自动检测工作环境，自动选择合适工作信道</w:t>
            </w:r>
            <w:r>
              <w:rPr>
                <w:rFonts w:hint="eastAsia" w:ascii="宋体" w:hAnsi="宋体" w:eastAsia="宋体" w:cs="宋体"/>
                <w:color w:val="000000"/>
                <w:kern w:val="0"/>
                <w:sz w:val="24"/>
                <w:szCs w:val="24"/>
                <w:lang w:bidi="ar"/>
              </w:rPr>
              <w:t>。</w:t>
            </w:r>
            <w:r>
              <w:rPr>
                <w:rFonts w:hint="eastAsia" w:ascii="宋体" w:hAnsi="宋体" w:eastAsia="宋体" w:cs="宋体"/>
                <w:color w:val="000000" w:themeColor="text1"/>
                <w:kern w:val="0"/>
                <w:sz w:val="24"/>
                <w:szCs w:val="24"/>
                <w:lang w:bidi="ar"/>
                <w14:textFill>
                  <w14:solidFill>
                    <w14:schemeClr w14:val="tx1"/>
                  </w14:solidFill>
                </w14:textFill>
              </w:rPr>
              <w:t xml:space="preserve"> </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7、★2.4G、UHF红外两种无线模式融合使用</w:t>
            </w:r>
            <w:r>
              <w:rPr>
                <w:rFonts w:hint="eastAsia" w:ascii="宋体" w:hAnsi="宋体" w:eastAsia="宋体" w:cs="宋体"/>
                <w:color w:val="000000"/>
                <w:kern w:val="0"/>
                <w:sz w:val="24"/>
                <w:szCs w:val="24"/>
                <w:lang w:bidi="ar"/>
              </w:rPr>
              <w:t>。</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8、发射功率：﹥10 dBm最大工作距离：室内&gt;30M 耗电电流：35mA；</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9、话筒配件：挂绳、USB充电线、充电器；</w:t>
            </w:r>
          </w:p>
        </w:tc>
        <w:tc>
          <w:tcPr>
            <w:tcW w:w="702" w:type="dxa"/>
            <w:vAlign w:val="center"/>
          </w:tcPr>
          <w:p w14:paraId="2171B979">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70</w:t>
            </w:r>
          </w:p>
        </w:tc>
        <w:tc>
          <w:tcPr>
            <w:tcW w:w="612" w:type="dxa"/>
            <w:vAlign w:val="center"/>
          </w:tcPr>
          <w:p w14:paraId="22E52483">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个</w:t>
            </w:r>
          </w:p>
        </w:tc>
      </w:tr>
      <w:tr w14:paraId="605A9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595" w:type="dxa"/>
            <w:vAlign w:val="center"/>
          </w:tcPr>
          <w:p w14:paraId="348940BB">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5</w:t>
            </w:r>
          </w:p>
        </w:tc>
        <w:tc>
          <w:tcPr>
            <w:tcW w:w="1249" w:type="dxa"/>
            <w:vAlign w:val="center"/>
          </w:tcPr>
          <w:p w14:paraId="10851536">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智能话筒充电终端</w:t>
            </w:r>
          </w:p>
        </w:tc>
        <w:tc>
          <w:tcPr>
            <w:tcW w:w="6120" w:type="dxa"/>
            <w:vAlign w:val="center"/>
          </w:tcPr>
          <w:p w14:paraId="5C8B72D6">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1、电源供应：5V适配器供电。</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2、充电模式：无线充电模式。</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3、充电指示灯：充电状态显示红灯，充满点显示绿灯。</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4、充电保护：无线话筒充电满后，充电线圈自动断电保护。</w:t>
            </w:r>
          </w:p>
        </w:tc>
        <w:tc>
          <w:tcPr>
            <w:tcW w:w="702" w:type="dxa"/>
            <w:vAlign w:val="center"/>
          </w:tcPr>
          <w:p w14:paraId="6CC15AC0">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70</w:t>
            </w:r>
          </w:p>
        </w:tc>
        <w:tc>
          <w:tcPr>
            <w:tcW w:w="612" w:type="dxa"/>
            <w:vAlign w:val="center"/>
          </w:tcPr>
          <w:p w14:paraId="50C35DE0">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个</w:t>
            </w:r>
          </w:p>
        </w:tc>
      </w:tr>
      <w:tr w14:paraId="30869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595" w:type="dxa"/>
            <w:vAlign w:val="center"/>
          </w:tcPr>
          <w:p w14:paraId="0E59B470">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w:t>
            </w:r>
          </w:p>
        </w:tc>
        <w:tc>
          <w:tcPr>
            <w:tcW w:w="1249" w:type="dxa"/>
            <w:vAlign w:val="center"/>
          </w:tcPr>
          <w:p w14:paraId="226BE99B">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高清控制终端</w:t>
            </w:r>
          </w:p>
        </w:tc>
        <w:tc>
          <w:tcPr>
            <w:tcW w:w="6120" w:type="dxa"/>
            <w:shd w:val="clear" w:color="auto" w:fill="FFFFFF"/>
            <w:vAlign w:val="center"/>
          </w:tcPr>
          <w:p w14:paraId="20EDACA3">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1、ARMCPU架构，嵌入式ARM32位多核心处理器，linux系统。</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2、检测和弱电端口：需支持≥2路数字I/O 接口，可接人体感知、断线报警等开关量传感设备；≥7路千兆自适应以太网通讯接口，支持跨网段网络集控管理；</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3、★高清接口和通讯端口：集成4进4出高清混合切换接口．输入HDMI≥4路；输出HDMI≥4路，HDMI信号具有4K/30Hz标准，具有EDID自动读取设置和手动设置，可同时输出四路不同信号，满足各种教学环境。红外控制≥2路，IO控制≥2路，RS485控制≥2路，RS232控制≥8路，有线麦输入≥1路，无线麦输入≥1路，线路输入≥1路，线路输出≥1路，物联天线接口≥1路，电子锁单刀触点控制口≥1路，电动讲台单刀双掷控制口≥1路，外置扩展单刀触点控制接口≥2路，船形主机电源机械开关≥1个。</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4、≥2路MIC输入，≥1路音频输入、≥1路音频输出，支持扩展≥60W数字功放输出。</w:t>
            </w:r>
            <w:r>
              <w:rPr>
                <w:rFonts w:hint="eastAsia" w:ascii="宋体" w:hAnsi="宋体" w:eastAsia="宋体" w:cs="宋体"/>
                <w:color w:val="000000"/>
                <w:kern w:val="0"/>
                <w:sz w:val="24"/>
                <w:szCs w:val="24"/>
                <w:lang w:bidi="ar"/>
              </w:rPr>
              <w:t>投标时提供第三方权威机构出具的检测（检验）报告扫描件。</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 xml:space="preserve">5、强电接口：≥4路强电(3路输出，1路输入)，无需单独外接模块进行电源管理；并且强电带85V-275V稳压模块，防雷击、防冲击，电压不稳定情况下也可以正常使用；设备具有断电散热保护功能，系统正在关闭时，设备供电继续保持散热，且带电流过载保护模块：电流过载时自动断电，保护电脑投影机等外接电源设备。 </w:t>
            </w:r>
          </w:p>
        </w:tc>
        <w:tc>
          <w:tcPr>
            <w:tcW w:w="702" w:type="dxa"/>
            <w:vAlign w:val="center"/>
          </w:tcPr>
          <w:p w14:paraId="5904AE13">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70</w:t>
            </w:r>
          </w:p>
        </w:tc>
        <w:tc>
          <w:tcPr>
            <w:tcW w:w="612" w:type="dxa"/>
            <w:vAlign w:val="center"/>
          </w:tcPr>
          <w:p w14:paraId="2396E5F9">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台</w:t>
            </w:r>
          </w:p>
        </w:tc>
      </w:tr>
      <w:tr w14:paraId="051AB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595" w:type="dxa"/>
            <w:vAlign w:val="center"/>
          </w:tcPr>
          <w:p w14:paraId="37ADA32A">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7</w:t>
            </w:r>
          </w:p>
        </w:tc>
        <w:tc>
          <w:tcPr>
            <w:tcW w:w="1249" w:type="dxa"/>
            <w:vAlign w:val="center"/>
          </w:tcPr>
          <w:p w14:paraId="1B59495E">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桌面控制屏</w:t>
            </w:r>
          </w:p>
        </w:tc>
        <w:tc>
          <w:tcPr>
            <w:tcW w:w="6120" w:type="dxa"/>
            <w:shd w:val="clear" w:color="auto" w:fill="FFFFFF"/>
            <w:vAlign w:val="center"/>
          </w:tcPr>
          <w:p w14:paraId="4B605D16">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1、桌面屏具有≥10.1英寸副电容屏，自带安卓系统，具有显示控制菜单，具有人脸识别，IP对讲，可扩展连接中控和物联网关，控制教室各种设备。</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2、桌面屏内嵌安卓主板，要求采用≧四核64位芯片，2G内存，16GEMMC，具有Android11系统，具有主流音视频格式和图片的解码。具有4K显示。摄像头1/4COMS200万像素，</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3、屏体内置接口：安卓USB≥1个；网络口≥1个；RS232为1路；</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4、屏体内置刷卡模块；讲台屏具有刷卡实现设备开机或者解锁按键。</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5、设备内置摄像头、读卡器、扬声器、拾音器、支持WIFI等功能模块;</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6、终端支持远程加锁与解锁操作，同时允许教师通过插卡或刷卡、扫描动态二维码或被扫描二维码进行身份认证以授权解锁，系统同时具备远程授权功能</w:t>
            </w:r>
            <w:r>
              <w:rPr>
                <w:rFonts w:hint="eastAsia" w:ascii="宋体" w:hAnsi="宋体" w:eastAsia="宋体" w:cs="宋体"/>
                <w:color w:val="000000" w:themeColor="text1"/>
                <w:kern w:val="0"/>
                <w:sz w:val="24"/>
                <w:szCs w:val="24"/>
                <w:lang w:eastAsia="zh-CN" w:bidi="ar"/>
                <w14:textFill>
                  <w14:solidFill>
                    <w14:schemeClr w14:val="tx1"/>
                  </w14:solidFill>
                </w14:textFill>
              </w:rPr>
              <w:t>：</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7、支持对投影仪、幕布、智慧黑板、功放、音频处理器、灯光、空调等设备的控制:</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 xml:space="preserve">8、情景模式可配置需要开启或关闭与中控系统连接的设备，可配置≥2 种上课情景模式，≥1 种下课情景模式，实现不同授课模式的快捷上下课操作。 </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9、具备对一体机、投影机等显示设备的开关机、通道切换等功能实现;</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10、具备对音频设备的音量调节、通道静音等功能实现:</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11、★AI智能神经元深度学习功能：自动记录每位老师的使用习惯，自动调节灯光照度、空调温度、功放音响及话筒音量大小，打造专属于每位老师的智能模式。</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12、★具备连堂功能，在授课过程中或两节课的课间，教师卡可临时取走；取走后的临时时段内（时长可根据学校实际需求灵活设置），系统仅锁定而不关闭，以满足两节课连堂等场景的使用需求。</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13、内置RTC时钟，支持日期与时间显示；支持亮度调节和屏幕保护功能，空闲状态下电子时钟屏保的显示模式可进行编程设置。</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14、★高清控制终端与桌面控制屏需接入学校现有智慧教学一体化管理平台。</w:t>
            </w:r>
            <w:r>
              <w:rPr>
                <w:rFonts w:hint="eastAsia" w:ascii="宋体" w:hAnsi="宋体" w:cs="宋体"/>
                <w:color w:val="000000" w:themeColor="text1"/>
                <w:kern w:val="0"/>
                <w:sz w:val="24"/>
                <w:szCs w:val="24"/>
                <w:lang w:eastAsia="zh-CN" w:bidi="ar"/>
                <w14:textFill>
                  <w14:solidFill>
                    <w14:schemeClr w14:val="tx1"/>
                  </w14:solidFill>
                </w14:textFill>
              </w:rPr>
              <w:t>（</w:t>
            </w:r>
            <w:r>
              <w:rPr>
                <w:rFonts w:hint="eastAsia" w:ascii="宋体" w:hAnsi="宋体" w:cs="宋体"/>
                <w:color w:val="000000" w:themeColor="text1"/>
                <w:kern w:val="0"/>
                <w:sz w:val="24"/>
                <w:szCs w:val="24"/>
                <w:lang w:val="en-US" w:eastAsia="zh-CN" w:bidi="ar"/>
                <w14:textFill>
                  <w14:solidFill>
                    <w14:schemeClr w14:val="tx1"/>
                  </w14:solidFill>
                </w14:textFill>
              </w:rPr>
              <w:t>投标文件中提供承诺函，格式自拟</w:t>
            </w:r>
            <w:r>
              <w:rPr>
                <w:rFonts w:hint="eastAsia" w:ascii="宋体" w:hAnsi="宋体" w:cs="宋体"/>
                <w:color w:val="000000" w:themeColor="text1"/>
                <w:kern w:val="0"/>
                <w:sz w:val="24"/>
                <w:szCs w:val="24"/>
                <w:lang w:eastAsia="zh-CN" w:bidi="ar"/>
                <w14:textFill>
                  <w14:solidFill>
                    <w14:schemeClr w14:val="tx1"/>
                  </w14:solidFill>
                </w14:textFill>
              </w:rPr>
              <w:t>）</w:t>
            </w:r>
          </w:p>
        </w:tc>
        <w:tc>
          <w:tcPr>
            <w:tcW w:w="702" w:type="dxa"/>
            <w:vAlign w:val="center"/>
          </w:tcPr>
          <w:p w14:paraId="4ADFE8D6">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70</w:t>
            </w:r>
          </w:p>
        </w:tc>
        <w:tc>
          <w:tcPr>
            <w:tcW w:w="612" w:type="dxa"/>
            <w:vAlign w:val="center"/>
          </w:tcPr>
          <w:p w14:paraId="0AF43D66">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台</w:t>
            </w:r>
          </w:p>
        </w:tc>
      </w:tr>
      <w:tr w14:paraId="7AC2A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595" w:type="dxa"/>
            <w:vAlign w:val="center"/>
          </w:tcPr>
          <w:p w14:paraId="6BE193AE">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8</w:t>
            </w:r>
          </w:p>
        </w:tc>
        <w:tc>
          <w:tcPr>
            <w:tcW w:w="1249" w:type="dxa"/>
            <w:shd w:val="clear" w:color="auto" w:fill="FFFFFF"/>
            <w:vAlign w:val="center"/>
          </w:tcPr>
          <w:p w14:paraId="47EB5EB1">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23.8寸显示器</w:t>
            </w:r>
          </w:p>
        </w:tc>
        <w:tc>
          <w:tcPr>
            <w:tcW w:w="6120" w:type="dxa"/>
            <w:shd w:val="clear" w:color="auto" w:fill="FFFFFF"/>
            <w:vAlign w:val="center"/>
          </w:tcPr>
          <w:p w14:paraId="2B9C761B">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1、≥23.8显示屏幕，分辨率≥1920*1080，屏幕亮度≥250nit；</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2、支持VGA≥1，HDMI≥1；</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3、显示屏幕sRGB色域覆盖率≥99%；</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4、屏幕刷新率≥100Hz，响应时间≤7ms；</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5、可视角度≥178°；</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6、★显示屏分别提供标准模式、炫彩模式、护眼模式、阅读模式选项。</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7、上左右边框≤4mm，下边框≤17mm，屏占比≥92%。</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8、★为保证教师、学生的用眼舒适，显示屏幕提供护眼模式，护眼模式下，蓝光比例≤20%。</w:t>
            </w:r>
          </w:p>
        </w:tc>
        <w:tc>
          <w:tcPr>
            <w:tcW w:w="702" w:type="dxa"/>
            <w:vAlign w:val="center"/>
          </w:tcPr>
          <w:p w14:paraId="2C6BC06D">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70</w:t>
            </w:r>
          </w:p>
        </w:tc>
        <w:tc>
          <w:tcPr>
            <w:tcW w:w="612" w:type="dxa"/>
            <w:shd w:val="clear" w:color="auto" w:fill="FFFFFF"/>
            <w:vAlign w:val="center"/>
          </w:tcPr>
          <w:p w14:paraId="3CC1EE8A">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台</w:t>
            </w:r>
          </w:p>
        </w:tc>
      </w:tr>
      <w:tr w14:paraId="672AD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595" w:type="dxa"/>
            <w:vAlign w:val="center"/>
          </w:tcPr>
          <w:p w14:paraId="1877A095">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9</w:t>
            </w:r>
          </w:p>
        </w:tc>
        <w:tc>
          <w:tcPr>
            <w:tcW w:w="1249" w:type="dxa"/>
            <w:shd w:val="clear" w:color="auto" w:fill="FFFFFF"/>
            <w:vAlign w:val="center"/>
          </w:tcPr>
          <w:p w14:paraId="405826B5">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21.5英寸空间管理终端</w:t>
            </w:r>
          </w:p>
        </w:tc>
        <w:tc>
          <w:tcPr>
            <w:tcW w:w="6120" w:type="dxa"/>
            <w:shd w:val="clear" w:color="auto" w:fill="FFFFFF"/>
            <w:vAlign w:val="center"/>
          </w:tcPr>
          <w:p w14:paraId="10D1B889">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1.显示尺寸≥21.5英寸，物理分辨率 1920*1080，500亮度，屏幕比例16：9，前置钢化玻璃；</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2.CPU四核 2.0GHz及以上；运行内存：≥2G；内置存储器：≥16G，带WiFi，带蓝牙；</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3.内置IC读卡器；内置500万像素摄像头；带宽动态 内置高清麦克风；</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4.系统版本：Android 11 及以上；</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5.内置三色呼吸灯，有红,蓝.绿三色，可软件控制。</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6、接口：2个USB接口，1个RJ45接口，一个DC供电接口；</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7、设备外壳防护等级≥IP65；</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8、设备能效等级≥1.5cd/W；</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9、设备需通过光生物系统安全权威检测，保护学生视力；</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10、盐雾试验：设备金属外壳采用耐腐蚀技术处理，通过盐雾检测，测试时间不小于2000小时，无腐蚀和生锈；</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11、高低温试验：整机可在高温60℃和低温-20℃等不同环境的条件下，连续开机工作不小于1000小时，产品结构和触控均正常</w:t>
            </w:r>
            <w:r>
              <w:rPr>
                <w:rFonts w:hint="eastAsia" w:ascii="宋体" w:hAnsi="宋体" w:eastAsia="宋体" w:cs="宋体"/>
                <w:color w:val="000000" w:themeColor="text1"/>
                <w:kern w:val="0"/>
                <w:sz w:val="24"/>
                <w:szCs w:val="24"/>
                <w:lang w:eastAsia="zh-CN" w:bidi="ar"/>
                <w14:textFill>
                  <w14:solidFill>
                    <w14:schemeClr w14:val="tx1"/>
                  </w14:solidFill>
                </w14:textFill>
              </w:rPr>
              <w:t>。</w:t>
            </w:r>
          </w:p>
        </w:tc>
        <w:tc>
          <w:tcPr>
            <w:tcW w:w="702" w:type="dxa"/>
            <w:vAlign w:val="center"/>
          </w:tcPr>
          <w:p w14:paraId="58A11DE2">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70</w:t>
            </w:r>
          </w:p>
        </w:tc>
        <w:tc>
          <w:tcPr>
            <w:tcW w:w="612" w:type="dxa"/>
            <w:shd w:val="clear" w:color="auto" w:fill="FFFFFF"/>
            <w:vAlign w:val="center"/>
          </w:tcPr>
          <w:p w14:paraId="38045732">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台</w:t>
            </w:r>
          </w:p>
        </w:tc>
      </w:tr>
      <w:tr w14:paraId="57E0E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595" w:type="dxa"/>
            <w:vAlign w:val="center"/>
          </w:tcPr>
          <w:p w14:paraId="7128270A">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10</w:t>
            </w:r>
          </w:p>
        </w:tc>
        <w:tc>
          <w:tcPr>
            <w:tcW w:w="1249" w:type="dxa"/>
            <w:shd w:val="clear" w:color="auto" w:fill="FFFFFF"/>
            <w:vAlign w:val="center"/>
          </w:tcPr>
          <w:p w14:paraId="2C6EAF55">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空间管理终端客户端软件</w:t>
            </w:r>
          </w:p>
        </w:tc>
        <w:tc>
          <w:tcPr>
            <w:tcW w:w="6120" w:type="dxa"/>
            <w:shd w:val="clear" w:color="auto" w:fill="FFFFFF"/>
            <w:vAlign w:val="center"/>
          </w:tcPr>
          <w:p w14:paraId="2D491DBB">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1.电子门牌：根据当前空间使用状态，显示相关信息，具有显示空间排程信息；</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2、公播：具有通过终端发布公播资讯，系统具有音视频、图片、文字等媒体素材；</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3、通知公告：具有通过终端发布通知通告信息，具有多条通知循环播放，具有查看所有通知信息；</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4、空间预约：具有通过终端查看空间排程，预约、续借、提前释放空间，具有预约时段未报到自动释放空间；</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5、人员考勤：可实现教师和学生的考勤签到功能，具有IC卡刷卡考勤、二维码扫码考勤、人脸识别考勤等多种考勤方式。</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6、考场模式：具有对于考试科目、考场号、准考证起始号、考试时间等信息的编辑显示，具有对于显示播放时间的自定义，实现考场模式下播放内容的自动开启和结束；</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7、欢迎模式：具有文字、图片、视频文件的全屏显示播放，具有对于显示播放时间的自定义，实现欢迎模式下播放内容的自动开启和结束；</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8、锁屏模式：具有设置锁屏模式，点击终端任意区域均无法对当前界面进行操作，保持当前界面播放内容的正常显示；</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9、具有中英文双语显示、切换语系，包括简体中文、繁体中文和英文；</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10、系统需无缝接入智慧空间管理平台的统一管理。</w:t>
            </w:r>
          </w:p>
        </w:tc>
        <w:tc>
          <w:tcPr>
            <w:tcW w:w="702" w:type="dxa"/>
            <w:vAlign w:val="center"/>
          </w:tcPr>
          <w:p w14:paraId="69065E35">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70</w:t>
            </w:r>
          </w:p>
        </w:tc>
        <w:tc>
          <w:tcPr>
            <w:tcW w:w="612" w:type="dxa"/>
            <w:shd w:val="clear" w:color="auto" w:fill="FFFFFF"/>
            <w:vAlign w:val="center"/>
          </w:tcPr>
          <w:p w14:paraId="3458F7D6">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套</w:t>
            </w:r>
          </w:p>
        </w:tc>
      </w:tr>
      <w:tr w14:paraId="73BE0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595" w:type="dxa"/>
            <w:vAlign w:val="center"/>
          </w:tcPr>
          <w:p w14:paraId="697D8280">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11</w:t>
            </w:r>
          </w:p>
        </w:tc>
        <w:tc>
          <w:tcPr>
            <w:tcW w:w="1249" w:type="dxa"/>
            <w:shd w:val="clear" w:color="auto" w:fill="FFFFFF"/>
            <w:vAlign w:val="center"/>
          </w:tcPr>
          <w:p w14:paraId="0F044DCE">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智慧讲台</w:t>
            </w:r>
          </w:p>
        </w:tc>
        <w:tc>
          <w:tcPr>
            <w:tcW w:w="6120" w:type="dxa"/>
            <w:shd w:val="clear" w:color="auto" w:fill="FFFFFF"/>
            <w:vAlign w:val="center"/>
          </w:tcPr>
          <w:p w14:paraId="3329A17E">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1.参考规格：长*宽*高：≥1200*600*1070mm。</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2、讲桌为钢木结合设计，桌面及三面围边采用木质，其余采用≥1.0mm厚的冷轧钢板。</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3、讲桌设置带滑轨抽拉式抽屉，抽屉带锁。</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4、配套USB键盘、鼠标1套。</w:t>
            </w:r>
          </w:p>
        </w:tc>
        <w:tc>
          <w:tcPr>
            <w:tcW w:w="702" w:type="dxa"/>
            <w:vAlign w:val="center"/>
          </w:tcPr>
          <w:p w14:paraId="5F252774">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70</w:t>
            </w:r>
          </w:p>
        </w:tc>
        <w:tc>
          <w:tcPr>
            <w:tcW w:w="612" w:type="dxa"/>
            <w:shd w:val="clear" w:color="auto" w:fill="FFFFFF"/>
            <w:vAlign w:val="center"/>
          </w:tcPr>
          <w:p w14:paraId="2F676E53">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台</w:t>
            </w:r>
          </w:p>
        </w:tc>
      </w:tr>
      <w:tr w14:paraId="6CD54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595" w:type="dxa"/>
            <w:vAlign w:val="center"/>
          </w:tcPr>
          <w:p w14:paraId="26D69D39">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12</w:t>
            </w:r>
          </w:p>
        </w:tc>
        <w:tc>
          <w:tcPr>
            <w:tcW w:w="1249" w:type="dxa"/>
            <w:shd w:val="clear" w:color="auto" w:fill="FFFFFF"/>
            <w:vAlign w:val="center"/>
          </w:tcPr>
          <w:p w14:paraId="125A5233">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线缆线材及集成费</w:t>
            </w:r>
          </w:p>
        </w:tc>
        <w:tc>
          <w:tcPr>
            <w:tcW w:w="6120" w:type="dxa"/>
            <w:shd w:val="clear" w:color="auto" w:fill="FFFFFF"/>
            <w:vAlign w:val="center"/>
          </w:tcPr>
          <w:p w14:paraId="2E1034BD">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包括实训室智慧教学系统中所有强弱电线缆线材及设备安装调试等，所有线材管材均符合国家标准，设备安装调试需按照行业规范要求。</w:t>
            </w:r>
          </w:p>
        </w:tc>
        <w:tc>
          <w:tcPr>
            <w:tcW w:w="702" w:type="dxa"/>
            <w:vAlign w:val="center"/>
          </w:tcPr>
          <w:p w14:paraId="3EC3F1B4">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w:t>
            </w:r>
          </w:p>
        </w:tc>
        <w:tc>
          <w:tcPr>
            <w:tcW w:w="612" w:type="dxa"/>
            <w:shd w:val="clear" w:color="auto" w:fill="FFFFFF"/>
            <w:vAlign w:val="center"/>
          </w:tcPr>
          <w:p w14:paraId="7E1C6552">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套</w:t>
            </w:r>
          </w:p>
        </w:tc>
      </w:tr>
      <w:tr w14:paraId="39136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595" w:type="dxa"/>
            <w:vAlign w:val="center"/>
          </w:tcPr>
          <w:p w14:paraId="5CA0D0C7">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13</w:t>
            </w:r>
          </w:p>
        </w:tc>
        <w:tc>
          <w:tcPr>
            <w:tcW w:w="1249" w:type="dxa"/>
            <w:shd w:val="clear" w:color="auto" w:fill="FFFFFF"/>
            <w:vAlign w:val="center"/>
          </w:tcPr>
          <w:p w14:paraId="20763C49">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数据对接</w:t>
            </w:r>
          </w:p>
        </w:tc>
        <w:tc>
          <w:tcPr>
            <w:tcW w:w="6120" w:type="dxa"/>
            <w:shd w:val="clear" w:color="auto" w:fill="FFFFFF"/>
            <w:vAlign w:val="center"/>
          </w:tcPr>
          <w:p w14:paraId="72F375C3">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本项目中高清控制终端、桌面控制屏须无缝接入学校现有智慧教学一体化管理平台，支持标准开放接口与统一协议适配，实现设备全生命周期集中管控。需完成统一设备管理、统一远程控制、统一数据汇聚与存储、统一身份认证登录，支持账号权限同步、单点登录、角色与组织架构联动；对接过程须提供完整接口文档、适配方案与联调报告，确保数据实时同步、指令毫秒级响应、运行稳定可靠。</w:t>
            </w:r>
            <w:r>
              <w:rPr>
                <w:rFonts w:hint="eastAsia" w:ascii="宋体" w:hAnsi="宋体" w:eastAsia="宋体" w:cs="宋体"/>
                <w:color w:val="FF0000"/>
                <w:kern w:val="0"/>
                <w:sz w:val="24"/>
                <w:szCs w:val="24"/>
                <w:lang w:bidi="ar"/>
              </w:rPr>
              <w:br w:type="textWrapping"/>
            </w:r>
            <w:r>
              <w:rPr>
                <w:rFonts w:hint="eastAsia" w:ascii="宋体" w:hAnsi="宋体" w:eastAsia="宋体" w:cs="宋体"/>
                <w:color w:val="000000" w:themeColor="text1"/>
                <w:kern w:val="0"/>
                <w:sz w:val="24"/>
                <w:szCs w:val="24"/>
                <w:lang w:bidi="ar"/>
                <w14:textFill>
                  <w14:solidFill>
                    <w14:schemeClr w14:val="tx1"/>
                  </w14:solidFill>
                </w14:textFill>
              </w:rPr>
              <w:t>2、本项目中21.5 英寸空间管理终端及配套终端客户端软件须接入学校现有智慧空间管理平台，遵循平台既定数据规范与通信协议，实现信息统一发布、人员统一考勤、场景模式统一更新、终端固件与应用统一远程升级。支持批量部署、状态监控、日志回传与异常告警，确保终端与平台数据一致性、指令可达性与业务连续性；投标方须完成全功能适配与压力测试，保障高并发场景下稳定运行。</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3、本项目所有硬件设备、软件系统须与学校现有教务管理系统、一卡通系统等完成深度数据对接，实现基础数据、业务数据、权限数据双向互通与共享。对接范围含用户信息、课程安排、考勤数据、身份核验、设备状态等，支持增量同步与全量同步，保障数据准确、安全、可追溯。所有接入开发、接口调用、平台适配、第三方服务费等全部费用由投标人自行承担，均纳入本次项目报价，校方不支付任何额外费用。</w:t>
            </w:r>
          </w:p>
        </w:tc>
        <w:tc>
          <w:tcPr>
            <w:tcW w:w="702" w:type="dxa"/>
            <w:vAlign w:val="center"/>
          </w:tcPr>
          <w:p w14:paraId="00F9B15B">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w:t>
            </w:r>
          </w:p>
        </w:tc>
        <w:tc>
          <w:tcPr>
            <w:tcW w:w="612" w:type="dxa"/>
            <w:shd w:val="clear" w:color="auto" w:fill="FFFFFF"/>
            <w:vAlign w:val="center"/>
          </w:tcPr>
          <w:p w14:paraId="061598C0">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项</w:t>
            </w:r>
          </w:p>
        </w:tc>
      </w:tr>
      <w:tr w14:paraId="5E71C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9278" w:type="dxa"/>
            <w:gridSpan w:val="5"/>
            <w:vAlign w:val="center"/>
          </w:tcPr>
          <w:p w14:paraId="30B19BF6">
            <w:pPr>
              <w:keepNext w:val="0"/>
              <w:keepLines w:val="0"/>
              <w:pageBreakBefore w:val="0"/>
              <w:kinsoku/>
              <w:wordWrap/>
              <w:overflowPunct/>
              <w:topLinePunct w:val="0"/>
              <w:autoSpaceDE/>
              <w:autoSpaceDN/>
              <w:bidi w:val="0"/>
              <w:adjustRightInd/>
              <w:snapToGrid w:val="0"/>
              <w:spacing w:line="400" w:lineRule="exact"/>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二、</w:t>
            </w:r>
            <w:r>
              <w:rPr>
                <w:rFonts w:hint="eastAsia" w:ascii="宋体" w:hAnsi="宋体" w:eastAsia="宋体" w:cs="宋体"/>
                <w:b/>
                <w:bCs/>
                <w:color w:val="000000" w:themeColor="text1"/>
                <w:sz w:val="24"/>
                <w:szCs w:val="24"/>
                <w14:textFill>
                  <w14:solidFill>
                    <w14:schemeClr w14:val="tx1"/>
                  </w14:solidFill>
                </w14:textFill>
              </w:rPr>
              <w:t>报告厅多媒体会议系统</w:t>
            </w:r>
          </w:p>
        </w:tc>
      </w:tr>
      <w:tr w14:paraId="70F01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595" w:type="dxa"/>
            <w:vAlign w:val="center"/>
          </w:tcPr>
          <w:p w14:paraId="5B35FB36">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14</w:t>
            </w:r>
          </w:p>
        </w:tc>
        <w:tc>
          <w:tcPr>
            <w:tcW w:w="1249" w:type="dxa"/>
            <w:shd w:val="clear" w:color="auto" w:fill="FFFFFF"/>
            <w:vAlign w:val="center"/>
          </w:tcPr>
          <w:p w14:paraId="40F32720">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LED显示屏</w:t>
            </w:r>
          </w:p>
        </w:tc>
        <w:tc>
          <w:tcPr>
            <w:tcW w:w="6120" w:type="dxa"/>
            <w:shd w:val="clear" w:color="auto" w:fill="FFFFFF"/>
            <w:vAlign w:val="center"/>
          </w:tcPr>
          <w:p w14:paraId="19613A6A">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（1）LED显示屏灯珠采用表贴三合一铜线封装；LED封装形式：SMD1515黑灯；</w:t>
            </w:r>
          </w:p>
          <w:p w14:paraId="420AB386">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（2）LED显示屏采用≤1.86mm点间距；</w:t>
            </w:r>
          </w:p>
          <w:p w14:paraId="2F95EC4E">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（3）LED显示屏采用CNC一体成型压铸铝箱体；</w:t>
            </w:r>
          </w:p>
          <w:p w14:paraId="259730E6">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（4）LED显示屏单元箱体宽度为640mm，高度为480mm，含显示模组厚度≤31.5mm；</w:t>
            </w:r>
          </w:p>
          <w:p w14:paraId="343BA2C0">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5）LED显示屏模组采用无塑料底壳套件设计，压铸铝箱体与PCB线路板直接接触，PCB线路板边缘直接接触压铸箱四边接触面可提高导热性能，相比带塑胶套件底壳能够更好地解决色彩漂移问题，并保证因导热而影响屏体加速老化、减少使用寿命等现象，产品在正常播放视频状态下点亮5分钟后的产品表面温度升幅≤5℃，点亮10分钟后其温度升幅≤10℃；</w:t>
            </w:r>
          </w:p>
          <w:p w14:paraId="6EDF6641">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（6）LED显示屏采用非接触式磁悬浮前维护设计，可正面拆卸模组、接收卡、电源等低压器件，具备热插拔能力；</w:t>
            </w:r>
          </w:p>
          <w:p w14:paraId="0B62C8E6">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（7）LED显示屏符合等同或优于IP5X防护等级；</w:t>
            </w:r>
          </w:p>
          <w:p w14:paraId="67C1C7A4">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（8）LED显示屏箱体底部采用定位柱凸台设计，可有效的避免在安装及搬运过程中避免模组与地面接触导致磕碰掉灯现象；</w:t>
            </w:r>
          </w:p>
          <w:p w14:paraId="1014BF3D">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（9）LED显示屏亮度可达到200-800CD/m²，可通过配套软件0-100%调节，设置亮度定时调节；</w:t>
            </w:r>
          </w:p>
          <w:p w14:paraId="06F946C7">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（10）★LED显示屏对比度≥10000：1；LED显示屏杂点率≤1/100000且无连续失控点；LED显示屏亮度均匀性≥99%；LED显示色度均匀性±0.001</w:t>
            </w:r>
            <w:r>
              <w:rPr>
                <w:rFonts w:hint="eastAsia" w:ascii="宋体" w:hAnsi="宋体" w:cs="宋体"/>
                <w:color w:val="000000" w:themeColor="text1"/>
                <w:kern w:val="0"/>
                <w:sz w:val="24"/>
                <w:szCs w:val="24"/>
                <w:lang w:eastAsia="zh-CN" w:bidi="ar"/>
                <w14:textFill>
                  <w14:solidFill>
                    <w14:schemeClr w14:val="tx1"/>
                  </w14:solidFill>
                </w14:textFill>
              </w:rPr>
              <w:t>（</w:t>
            </w:r>
            <w:r>
              <w:rPr>
                <w:rFonts w:hint="eastAsia" w:ascii="宋体" w:hAnsi="宋体" w:eastAsia="宋体" w:cs="宋体"/>
                <w:color w:val="000000" w:themeColor="text1"/>
                <w:kern w:val="0"/>
                <w:sz w:val="24"/>
                <w:szCs w:val="24"/>
                <w:lang w:bidi="ar"/>
                <w14:textFill>
                  <w14:solidFill>
                    <w14:schemeClr w14:val="tx1"/>
                  </w14:solidFill>
                </w14:textFill>
              </w:rPr>
              <w:t>Cx</w:t>
            </w:r>
            <w:r>
              <w:rPr>
                <w:rFonts w:hint="eastAsia" w:ascii="宋体" w:hAnsi="宋体" w:cs="宋体"/>
                <w:color w:val="000000" w:themeColor="text1"/>
                <w:kern w:val="0"/>
                <w:sz w:val="24"/>
                <w:szCs w:val="24"/>
                <w:lang w:eastAsia="zh-CN" w:bidi="ar"/>
                <w14:textFill>
                  <w14:solidFill>
                    <w14:schemeClr w14:val="tx1"/>
                  </w14:solidFill>
                </w14:textFill>
              </w:rPr>
              <w:t>、</w:t>
            </w:r>
            <w:r>
              <w:rPr>
                <w:rFonts w:hint="eastAsia" w:ascii="宋体" w:hAnsi="宋体" w:eastAsia="宋体" w:cs="宋体"/>
                <w:color w:val="000000" w:themeColor="text1"/>
                <w:kern w:val="0"/>
                <w:sz w:val="24"/>
                <w:szCs w:val="24"/>
                <w:lang w:bidi="ar"/>
                <w14:textFill>
                  <w14:solidFill>
                    <w14:schemeClr w14:val="tx1"/>
                  </w14:solidFill>
                </w14:textFill>
              </w:rPr>
              <w:t>Cy</w:t>
            </w:r>
            <w:r>
              <w:rPr>
                <w:rFonts w:hint="eastAsia" w:ascii="宋体" w:hAnsi="宋体" w:cs="宋体"/>
                <w:color w:val="000000" w:themeColor="text1"/>
                <w:kern w:val="0"/>
                <w:sz w:val="24"/>
                <w:szCs w:val="24"/>
                <w:lang w:eastAsia="zh-CN" w:bidi="ar"/>
                <w14:textFill>
                  <w14:solidFill>
                    <w14:schemeClr w14:val="tx1"/>
                  </w14:solidFill>
                </w14:textFill>
              </w:rPr>
              <w:t>）</w:t>
            </w:r>
            <w:r>
              <w:rPr>
                <w:rFonts w:hint="eastAsia" w:ascii="宋体" w:hAnsi="宋体" w:eastAsia="宋体" w:cs="宋体"/>
                <w:color w:val="000000" w:themeColor="text1"/>
                <w:kern w:val="0"/>
                <w:sz w:val="24"/>
                <w:szCs w:val="24"/>
                <w:lang w:bidi="ar"/>
                <w14:textFill>
                  <w14:solidFill>
                    <w14:schemeClr w14:val="tx1"/>
                  </w14:solidFill>
                </w14:textFill>
              </w:rPr>
              <w:t>之内；LED显示屏像素中心距相对偏差≤1%；LED显示屏观看水平/垂直视角≥175°；LED显示屏平均故障恢复时间（MTTR）≤2分钟；</w:t>
            </w:r>
          </w:p>
          <w:p w14:paraId="241CFBF0">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（11）LED显示屏刷新频率≥4200Hz，可通过配套控制软件调节刷新率设置选项；</w:t>
            </w:r>
          </w:p>
          <w:p w14:paraId="06F9F025">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（12）LED显示屏色温100K-20000K连续可调，可设冷色、暖色、标准等多档白场调节,色温为8500K时，100%、75%、50%、25%四档电平白场调节色温误差≤100K；</w:t>
            </w:r>
          </w:p>
          <w:p w14:paraId="3D7E79A2">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（13）LED显示屏峰值功耗为≤500W/㎡；LED显示屏平均功耗为≤125W/㎡；</w:t>
            </w:r>
          </w:p>
          <w:p w14:paraId="4B30CEAA">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eastAsia="zh-CN"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14）LED显示屏为防止金属离子迁移、线路短路现象，PCB采用FR-4四层板同等级或更高材料，PCB导线更宽、导线间距和过孔间距更大，能更好的杜绝模块黑屏、显示异常、灯珠缺色、毛毛虫等现象，表面沉金处理，板厚≥1.6mm，铜厚≥1盎司，TG≥150℃，PCB板表面具备防潮/防尘/防静电/抗氧化，防霉等级≤1级</w:t>
            </w:r>
            <w:r>
              <w:rPr>
                <w:rFonts w:hint="eastAsia" w:ascii="宋体" w:hAnsi="宋体" w:eastAsia="宋体" w:cs="宋体"/>
                <w:color w:val="000000" w:themeColor="text1"/>
                <w:kern w:val="0"/>
                <w:sz w:val="24"/>
                <w:szCs w:val="24"/>
                <w:lang w:eastAsia="zh-CN" w:bidi="ar"/>
                <w14:textFill>
                  <w14:solidFill>
                    <w14:schemeClr w14:val="tx1"/>
                  </w14:solidFill>
                </w14:textFill>
              </w:rPr>
              <w:t>。</w:t>
            </w:r>
          </w:p>
        </w:tc>
        <w:tc>
          <w:tcPr>
            <w:tcW w:w="702" w:type="dxa"/>
            <w:vAlign w:val="center"/>
          </w:tcPr>
          <w:p w14:paraId="2A753A02">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10.75</w:t>
            </w:r>
          </w:p>
        </w:tc>
        <w:tc>
          <w:tcPr>
            <w:tcW w:w="612" w:type="dxa"/>
            <w:shd w:val="clear" w:color="auto" w:fill="FFFFFF"/>
            <w:vAlign w:val="center"/>
          </w:tcPr>
          <w:p w14:paraId="6E3F27EE">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平方米</w:t>
            </w:r>
          </w:p>
        </w:tc>
      </w:tr>
      <w:tr w14:paraId="7AAAA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595" w:type="dxa"/>
            <w:vAlign w:val="center"/>
          </w:tcPr>
          <w:p w14:paraId="06E156CB">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15</w:t>
            </w:r>
          </w:p>
        </w:tc>
        <w:tc>
          <w:tcPr>
            <w:tcW w:w="1249" w:type="dxa"/>
            <w:shd w:val="clear" w:color="auto" w:fill="FFFFFF"/>
            <w:vAlign w:val="center"/>
          </w:tcPr>
          <w:p w14:paraId="0DCB5F66">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视频处理器</w:t>
            </w:r>
          </w:p>
        </w:tc>
        <w:tc>
          <w:tcPr>
            <w:tcW w:w="6120" w:type="dxa"/>
            <w:shd w:val="clear" w:color="auto" w:fill="FFFFFF"/>
            <w:vAlign w:val="center"/>
          </w:tcPr>
          <w:p w14:paraId="4D611F44">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（1）具备带载面积≥720万像素，最宽≥8192点，或最高≥4096点；</w:t>
            </w:r>
          </w:p>
          <w:p w14:paraId="21F9477A">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（2）具备输入分辨率≥1920×1200@60Hz，具备自定义分辨率设置功能；</w:t>
            </w:r>
          </w:p>
          <w:p w14:paraId="7337C9A4">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（3）具备≥12路千兆网口输出；</w:t>
            </w:r>
          </w:p>
          <w:p w14:paraId="3E3F8CDE">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（4）具备对视频信号任意切换，裁剪，拼接，缩放；</w:t>
            </w:r>
          </w:p>
          <w:p w14:paraId="270BF6E5">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（5）具备≥3画面显示，位置、大小可自由调节；</w:t>
            </w:r>
          </w:p>
          <w:p w14:paraId="110B654B">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（6）具备HDCP1.4协议的高带宽数字内容保护技术；</w:t>
            </w:r>
          </w:p>
          <w:p w14:paraId="7D39A743">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（7）具备双USB2.0高速通讯接口，用于电脑调试和主控间任意级联；</w:t>
            </w:r>
          </w:p>
          <w:p w14:paraId="27D2BE50">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（8）具备RS232串口协议控制；</w:t>
            </w:r>
          </w:p>
          <w:p w14:paraId="4E1781A1">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eastAsia="zh-CN"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（9）具备亮度、色温调节，具备对比度、色调、饱和度调节</w:t>
            </w:r>
            <w:r>
              <w:rPr>
                <w:rFonts w:hint="eastAsia" w:ascii="宋体" w:hAnsi="宋体" w:eastAsia="宋体" w:cs="宋体"/>
                <w:color w:val="000000" w:themeColor="text1"/>
                <w:kern w:val="0"/>
                <w:sz w:val="24"/>
                <w:szCs w:val="24"/>
                <w:lang w:eastAsia="zh-CN" w:bidi="ar"/>
                <w14:textFill>
                  <w14:solidFill>
                    <w14:schemeClr w14:val="tx1"/>
                  </w14:solidFill>
                </w14:textFill>
              </w:rPr>
              <w:t>。</w:t>
            </w:r>
          </w:p>
        </w:tc>
        <w:tc>
          <w:tcPr>
            <w:tcW w:w="702" w:type="dxa"/>
            <w:vAlign w:val="center"/>
          </w:tcPr>
          <w:p w14:paraId="76D4D274">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w:t>
            </w:r>
          </w:p>
        </w:tc>
        <w:tc>
          <w:tcPr>
            <w:tcW w:w="612" w:type="dxa"/>
            <w:shd w:val="clear" w:color="auto" w:fill="FFFFFF"/>
            <w:vAlign w:val="center"/>
          </w:tcPr>
          <w:p w14:paraId="5D9AAB98">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台</w:t>
            </w:r>
          </w:p>
        </w:tc>
      </w:tr>
      <w:tr w14:paraId="3D616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595" w:type="dxa"/>
            <w:vAlign w:val="center"/>
          </w:tcPr>
          <w:p w14:paraId="0AC54574">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16</w:t>
            </w:r>
          </w:p>
        </w:tc>
        <w:tc>
          <w:tcPr>
            <w:tcW w:w="1249" w:type="dxa"/>
            <w:shd w:val="clear" w:color="auto" w:fill="FFFFFF"/>
            <w:vAlign w:val="center"/>
          </w:tcPr>
          <w:p w14:paraId="4D0616CE">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中央控制系统主机</w:t>
            </w:r>
          </w:p>
        </w:tc>
        <w:tc>
          <w:tcPr>
            <w:tcW w:w="6120" w:type="dxa"/>
            <w:shd w:val="clear" w:color="auto" w:fill="FFFFFF"/>
            <w:vAlign w:val="center"/>
          </w:tcPr>
          <w:p w14:paraId="567C223B">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（1）配置不低于ARM11CPU，512M内存，8GFlash闪存；</w:t>
            </w:r>
          </w:p>
          <w:p w14:paraId="733A1D07">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（2）具备≥四种通信方式：CAN、RF、Ethernet、WIFI；</w:t>
            </w:r>
          </w:p>
          <w:p w14:paraId="17788F74">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（3）具备≥2路带供电CAN总线信号管理；</w:t>
            </w:r>
          </w:p>
          <w:p w14:paraId="07241D00">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（4）具备≥8路可自定义协议的串口，根据需要可配置成RS232、RS485、DMX512协议，第一路和第五路具备24V供电输出；</w:t>
            </w:r>
          </w:p>
          <w:p w14:paraId="0F7943E6">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（5）具备≥8路可自定义的红外发射接口，具备控制多台相同或不同的红外设备，具备红外学习指令功能或下载最新红外代码库数据；</w:t>
            </w:r>
          </w:p>
          <w:p w14:paraId="3A2E7931">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（6）带有RJ45接口，具有TCP/UDP连接功能，并可扩展一路连接PC/PAD等；</w:t>
            </w:r>
          </w:p>
          <w:p w14:paraId="23EC0DD7">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（7）带有状态指示灯，方便测试维护；</w:t>
            </w:r>
          </w:p>
          <w:p w14:paraId="31DBBE0F">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（8）系统可通过无线或有线扩充，可通过增加外置扩展终端进行扩容，单系统具备65535台总线设备扩展；</w:t>
            </w:r>
          </w:p>
          <w:p w14:paraId="56170DD4">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（9）★具备系统自动云诊断、云备份、云恢复，具备主机自备份功能，双机热备份功能，具备远程控制、远程调试、远程维护，具备语音控制功能；</w:t>
            </w:r>
          </w:p>
          <w:p w14:paraId="7DA5C85B">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（10）自动时钟同步功能，可精准执行用户自定义的时间预约功能，可精确到年月日时分秒。</w:t>
            </w:r>
          </w:p>
        </w:tc>
        <w:tc>
          <w:tcPr>
            <w:tcW w:w="702" w:type="dxa"/>
            <w:vAlign w:val="center"/>
          </w:tcPr>
          <w:p w14:paraId="5C043DFF">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w:t>
            </w:r>
          </w:p>
        </w:tc>
        <w:tc>
          <w:tcPr>
            <w:tcW w:w="612" w:type="dxa"/>
            <w:shd w:val="clear" w:color="auto" w:fill="FFFFFF"/>
            <w:vAlign w:val="center"/>
          </w:tcPr>
          <w:p w14:paraId="29CB520E">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台</w:t>
            </w:r>
          </w:p>
        </w:tc>
      </w:tr>
      <w:tr w14:paraId="5B0AD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595" w:type="dxa"/>
            <w:vAlign w:val="center"/>
          </w:tcPr>
          <w:p w14:paraId="6103B3F1">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17</w:t>
            </w:r>
          </w:p>
        </w:tc>
        <w:tc>
          <w:tcPr>
            <w:tcW w:w="1249" w:type="dxa"/>
            <w:shd w:val="clear" w:color="auto" w:fill="FFFFFF"/>
            <w:vAlign w:val="center"/>
          </w:tcPr>
          <w:p w14:paraId="661B1BE9">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智能控制中台</w:t>
            </w:r>
          </w:p>
        </w:tc>
        <w:tc>
          <w:tcPr>
            <w:tcW w:w="6120" w:type="dxa"/>
            <w:shd w:val="clear" w:color="auto" w:fill="FFFFFF"/>
            <w:vAlign w:val="center"/>
          </w:tcPr>
          <w:p w14:paraId="538FBB3B">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1、硬件参数</w:t>
            </w:r>
          </w:p>
          <w:p w14:paraId="4C0EB2B4">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（1）RAM≥ 8GB，ROM≥ 128GB且可扩展至1TB及以上，CPU采用X86架构，CPU主频≥ 1.8GHZ。</w:t>
            </w:r>
          </w:p>
          <w:p w14:paraId="6AEA8F49">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（2）内置无线AP，其中内置无线AP采用内置天线，无外置裸露天线，WiFi：IEEE 802.11 a/b/g/n/ac，工作频段：2.4GHz和5GHz，最大无线速率：≥1.3Gbps。</w:t>
            </w:r>
          </w:p>
          <w:p w14:paraId="4387D2F0">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（3）★具有无线路由器、无线交换和网络终端三种网络模式；具有远距离稳定流畅的无线投屏，投屏的最大传输距离不小于100m；</w:t>
            </w:r>
          </w:p>
          <w:p w14:paraId="4CB41EEC">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4）电源键≥1，录制键≥1；内置具备至少3个10/100/1000Mbps以太网RJ45数据接口，具有WAN口外接网线接入互联网，或LAN口外接网线输出网络数据；具备至少3个USB接口，具有U盘、鼠标、键盘、摄像头的接入功能；具备至少1个HDMI输入接口，具有电脑、摄像头、实物展台等外部设备的有线接入功能；具备至少1个HDMI输出接口，具有输出到一体机、电视机等大屏端，HDMI输出适配功能：具有多种显示分辨率，主机可自动适配HDMI外接的大屏端分辨率，最高具有3840*2160分辨率；具备至少一路音频输入接口和一路音频输出接口。</w:t>
            </w:r>
          </w:p>
          <w:p w14:paraId="3513267E">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（5）主机采用低功耗安全电压设计，DC*1输入，12V-3A，具有上电自动开机功能，LED工作状态指示灯。</w:t>
            </w:r>
          </w:p>
          <w:p w14:paraId="3AB872AF">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2、软件参数</w:t>
            </w:r>
          </w:p>
          <w:p w14:paraId="51148548">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（1）系统具有简体中文和英文两种语言模式，可快速进行中英文的切换，满足双语操作的要求。</w:t>
            </w:r>
          </w:p>
          <w:p w14:paraId="1B49EF9A">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（2）具有自主下载移动控制app作为控制端的功能，无需硬件设备即可实现远程移动控制，具有Windows、Android、iOS系统的设备安装控制端软件。</w:t>
            </w:r>
          </w:p>
          <w:p w14:paraId="7E79B59E">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（3）终端同时接入不少于16路设备，不少于8路画面同时显示，并可对任一画面进行拖动、全屏、移除、旋转等操作。投标时提供产品功能截图。</w:t>
            </w:r>
          </w:p>
          <w:p w14:paraId="1E3963F7">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（4）具有多种画面布局模式，包括但不限于2路、4路、6路、8路模式，且具有Auto模式自适应多种画面布局。</w:t>
            </w:r>
          </w:p>
          <w:p w14:paraId="1ABCAE0F">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（5）具有录制功能，包括但不限于硬件按键启动录制和软件界面启动录制两种方式，具有≥720P格式，录制的视频可保存在外接U盘、云盘或内置硬盘中，具有存储空间不足时的文字提醒功能。</w:t>
            </w:r>
          </w:p>
          <w:p w14:paraId="536E392F">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（6）系统提供画笔、激光笔、板擦、撤销、重做、聚焦、随写板、添加白板等工具。</w:t>
            </w:r>
          </w:p>
          <w:p w14:paraId="4694A1B5">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（7）具有添加第三方Web端网页链接功能，可在屏幕端展示1、2、3、4、6、8个网页界面。</w:t>
            </w:r>
          </w:p>
          <w:p w14:paraId="4F0C6A3B">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（8）系统内置不少于14种模板，可选择系统模板、自定义模板和文字模板，具有插入文本、分割线和导入外接U盘的音乐、图片功能，可针对自定义内容保存为模板，自由导入、导出主题。</w:t>
            </w:r>
          </w:p>
          <w:p w14:paraId="2A542C3B">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（9）具有第三方应用程序嵌入式安装在互动终端功能。</w:t>
            </w:r>
          </w:p>
          <w:p w14:paraId="7A31A241">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（10）具有将截屏的图片和录制的视频通过扫描二维码或下载链接保存到客户端的功能，用户可选择公网模式或局域网模式，在接入互联网或断开互联网时均可生成二维码。</w:t>
            </w:r>
          </w:p>
          <w:p w14:paraId="5D2A9B1C">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（11）具有查看内存、CPU、硬盘、网络等使用情况的功能，还可详细查看视频质量和声音质量。</w:t>
            </w:r>
          </w:p>
          <w:p w14:paraId="468D78FB">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（12）具有对屏幕端音视频的一键静音和解除静音功能，关闭麦克风和打开麦克风，并可手动调节音量大小和选择声音输入输出设备，还可播放测试音和启用侦听。</w:t>
            </w:r>
          </w:p>
          <w:p w14:paraId="3C672008">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（13）具有在触控显示屏上对HDMI有线接入的Windows电脑进行反向控制操作功能，具有无线投屏的部分Android、Windows设备进行反向控制操作功能，同时还具有在遥控器APP端或通过外接的鼠标进行反向控制功能。</w:t>
            </w:r>
          </w:p>
          <w:p w14:paraId="5B44AD7E">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（14）具有设置随机PIN码和固定PIN码，移动端设备无线投屏或使用遥控器APP时均需输入对应的PIN码；还具有设置管理员密码和密码提示信息功能，每次进入“设置”界面均需要输入管理员密码。</w:t>
            </w:r>
          </w:p>
          <w:p w14:paraId="390AA10C">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（15）以上参数需用单个产品实现，不接受多个产品组合。</w:t>
            </w:r>
          </w:p>
        </w:tc>
        <w:tc>
          <w:tcPr>
            <w:tcW w:w="702" w:type="dxa"/>
            <w:vAlign w:val="center"/>
          </w:tcPr>
          <w:p w14:paraId="67D1164F">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w:t>
            </w:r>
          </w:p>
        </w:tc>
        <w:tc>
          <w:tcPr>
            <w:tcW w:w="612" w:type="dxa"/>
            <w:shd w:val="clear" w:color="auto" w:fill="FFFFFF"/>
            <w:vAlign w:val="center"/>
          </w:tcPr>
          <w:p w14:paraId="5B51C371">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台</w:t>
            </w:r>
          </w:p>
        </w:tc>
      </w:tr>
      <w:tr w14:paraId="24414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595" w:type="dxa"/>
            <w:vAlign w:val="center"/>
          </w:tcPr>
          <w:p w14:paraId="0677D2EB">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18</w:t>
            </w:r>
          </w:p>
        </w:tc>
        <w:tc>
          <w:tcPr>
            <w:tcW w:w="1249" w:type="dxa"/>
            <w:shd w:val="clear" w:color="auto" w:fill="FFFFFF"/>
            <w:vAlign w:val="center"/>
          </w:tcPr>
          <w:p w14:paraId="3DE33AEB">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16路数字调音台</w:t>
            </w:r>
          </w:p>
        </w:tc>
        <w:tc>
          <w:tcPr>
            <w:tcW w:w="6120" w:type="dxa"/>
            <w:shd w:val="clear" w:color="auto" w:fill="FFFFFF"/>
            <w:vAlign w:val="center"/>
          </w:tcPr>
          <w:p w14:paraId="143E1C41">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（1）具有≥16个输入通道的现场演出和录音室录音模拟调音台；</w:t>
            </w:r>
          </w:p>
          <w:p w14:paraId="2DCEB897">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（2）≥12个单声道输入通道，配有麦克风前置放大器；</w:t>
            </w:r>
          </w:p>
          <w:p w14:paraId="6E8C3D90">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（3）≥2个电子平衡立体声线路输入通道，采用1/4"TRS连接器；</w:t>
            </w:r>
          </w:p>
          <w:p w14:paraId="1522ACCF">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（4）单声道通道带3段均衡器，具有中频扫频功能；</w:t>
            </w:r>
          </w:p>
          <w:p w14:paraId="51581007">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eastAsia="zh-CN"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（5）≥2个带有推子前/后切换的辅助发送</w:t>
            </w:r>
            <w:r>
              <w:rPr>
                <w:rFonts w:hint="eastAsia" w:ascii="宋体" w:hAnsi="宋体" w:eastAsia="宋体" w:cs="宋体"/>
                <w:color w:val="000000" w:themeColor="text1"/>
                <w:kern w:val="0"/>
                <w:sz w:val="24"/>
                <w:szCs w:val="24"/>
                <w:lang w:eastAsia="zh-CN" w:bidi="ar"/>
                <w14:textFill>
                  <w14:solidFill>
                    <w14:schemeClr w14:val="tx1"/>
                  </w14:solidFill>
                </w14:textFill>
              </w:rPr>
              <w:t>。</w:t>
            </w:r>
          </w:p>
        </w:tc>
        <w:tc>
          <w:tcPr>
            <w:tcW w:w="702" w:type="dxa"/>
            <w:vAlign w:val="center"/>
          </w:tcPr>
          <w:p w14:paraId="3A6BC166">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w:t>
            </w:r>
          </w:p>
        </w:tc>
        <w:tc>
          <w:tcPr>
            <w:tcW w:w="612" w:type="dxa"/>
            <w:shd w:val="clear" w:color="auto" w:fill="FFFFFF"/>
            <w:vAlign w:val="center"/>
          </w:tcPr>
          <w:p w14:paraId="52E72C43">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台</w:t>
            </w:r>
          </w:p>
        </w:tc>
      </w:tr>
      <w:tr w14:paraId="25752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595" w:type="dxa"/>
            <w:vAlign w:val="center"/>
          </w:tcPr>
          <w:p w14:paraId="2A7A0267">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19</w:t>
            </w:r>
          </w:p>
        </w:tc>
        <w:tc>
          <w:tcPr>
            <w:tcW w:w="1249" w:type="dxa"/>
            <w:shd w:val="clear" w:color="auto" w:fill="FFFFFF"/>
            <w:vAlign w:val="center"/>
          </w:tcPr>
          <w:p w14:paraId="25BAFD31">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8路数字音频处理器</w:t>
            </w:r>
          </w:p>
        </w:tc>
        <w:tc>
          <w:tcPr>
            <w:tcW w:w="6120" w:type="dxa"/>
            <w:shd w:val="clear" w:color="auto" w:fill="FFFFFF"/>
            <w:vAlign w:val="center"/>
          </w:tcPr>
          <w:p w14:paraId="13A5FABF">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（1）≥8路平衡式话筒/线路输入，采用凤凰插接口；</w:t>
            </w:r>
          </w:p>
          <w:p w14:paraId="6191260F">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（2）≥8路平衡时输出，采用凤凰插接口；</w:t>
            </w:r>
          </w:p>
          <w:p w14:paraId="186E01E4">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（3）面板上具有多种音频格式的播放功能，可扩展USB多媒体存储录制功能；</w:t>
            </w:r>
          </w:p>
          <w:p w14:paraId="4F4B45A5">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（4）具有PC、中控平台、按键面板、触摸面板等功能进行多重控制；</w:t>
            </w:r>
          </w:p>
          <w:p w14:paraId="15BB9F2A">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（5）内置信号发生器、自动混音（AM）、自动增益控制（AGC）、反馈消除（AFC）、回声消除（AEC）、噪声消除（ANC）等主要算法；</w:t>
            </w:r>
          </w:p>
          <w:p w14:paraId="59D5C807">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（6）输入每通道：前级放大、信号发生器、扩展器、压缩器、5段参量均衡；</w:t>
            </w:r>
          </w:p>
          <w:p w14:paraId="7967901A">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（7）输出每通道：≥8段参量均衡、延时器、分频器、限幅器；</w:t>
            </w:r>
          </w:p>
          <w:p w14:paraId="118FF721">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eastAsia="zh-CN"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（8）内置图形可视化反馈抑制功能界面，让反馈抑制体现得更加清晰明了</w:t>
            </w:r>
            <w:r>
              <w:rPr>
                <w:rFonts w:hint="eastAsia" w:ascii="宋体" w:hAnsi="宋体" w:eastAsia="宋体" w:cs="宋体"/>
                <w:color w:val="000000" w:themeColor="text1"/>
                <w:kern w:val="0"/>
                <w:sz w:val="24"/>
                <w:szCs w:val="24"/>
                <w:lang w:eastAsia="zh-CN" w:bidi="ar"/>
                <w14:textFill>
                  <w14:solidFill>
                    <w14:schemeClr w14:val="tx1"/>
                  </w14:solidFill>
                </w14:textFill>
              </w:rPr>
              <w:t>。</w:t>
            </w:r>
          </w:p>
        </w:tc>
        <w:tc>
          <w:tcPr>
            <w:tcW w:w="702" w:type="dxa"/>
            <w:vAlign w:val="center"/>
          </w:tcPr>
          <w:p w14:paraId="5B08548D">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w:t>
            </w:r>
          </w:p>
        </w:tc>
        <w:tc>
          <w:tcPr>
            <w:tcW w:w="612" w:type="dxa"/>
            <w:shd w:val="clear" w:color="auto" w:fill="FFFFFF"/>
            <w:vAlign w:val="center"/>
          </w:tcPr>
          <w:p w14:paraId="69A07B77">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台</w:t>
            </w:r>
          </w:p>
        </w:tc>
      </w:tr>
      <w:tr w14:paraId="53204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595" w:type="dxa"/>
            <w:vAlign w:val="center"/>
          </w:tcPr>
          <w:p w14:paraId="74BF216E">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20</w:t>
            </w:r>
          </w:p>
        </w:tc>
        <w:tc>
          <w:tcPr>
            <w:tcW w:w="1249" w:type="dxa"/>
            <w:shd w:val="clear" w:color="auto" w:fill="FFFFFF"/>
            <w:vAlign w:val="center"/>
          </w:tcPr>
          <w:p w14:paraId="6372800E">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专业柱形音箱</w:t>
            </w:r>
          </w:p>
        </w:tc>
        <w:tc>
          <w:tcPr>
            <w:tcW w:w="6120" w:type="dxa"/>
            <w:shd w:val="clear" w:color="auto" w:fill="FFFFFF"/>
            <w:vAlign w:val="center"/>
          </w:tcPr>
          <w:p w14:paraId="43495607">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（1）系统组成：3″×8全频单元；</w:t>
            </w:r>
          </w:p>
          <w:p w14:paraId="6F761372">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（2）长期最大功率：200W，短期最大功率：800W；</w:t>
            </w:r>
          </w:p>
          <w:p w14:paraId="1FD4F281">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（3）指定频带内的特性灵敏度级：95dB；</w:t>
            </w:r>
          </w:p>
          <w:p w14:paraId="4767FC87">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（4）指定频带内的声压级：125dB；</w:t>
            </w:r>
          </w:p>
          <w:p w14:paraId="7B4FB3B0">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（5）有效频率范围：115Hz-20kHz；</w:t>
            </w:r>
          </w:p>
          <w:p w14:paraId="3BAD4F50">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（6）推荐分频点：130Hz；</w:t>
            </w:r>
          </w:p>
          <w:p w14:paraId="02C88AF4">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（7）额定阻抗：8Ω；</w:t>
            </w:r>
          </w:p>
          <w:p w14:paraId="3AA7861B">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（8）覆盖角（含多个）：水平方向70°，垂直方向51°</w:t>
            </w:r>
          </w:p>
        </w:tc>
        <w:tc>
          <w:tcPr>
            <w:tcW w:w="702" w:type="dxa"/>
            <w:vAlign w:val="center"/>
          </w:tcPr>
          <w:p w14:paraId="47D09EA9">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w:t>
            </w:r>
          </w:p>
        </w:tc>
        <w:tc>
          <w:tcPr>
            <w:tcW w:w="612" w:type="dxa"/>
            <w:shd w:val="clear" w:color="auto" w:fill="FFFFFF"/>
            <w:vAlign w:val="center"/>
          </w:tcPr>
          <w:p w14:paraId="2963A5F8">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只</w:t>
            </w:r>
          </w:p>
        </w:tc>
      </w:tr>
      <w:tr w14:paraId="543CA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595" w:type="dxa"/>
            <w:vAlign w:val="center"/>
          </w:tcPr>
          <w:p w14:paraId="682A2E3D">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21</w:t>
            </w:r>
          </w:p>
        </w:tc>
        <w:tc>
          <w:tcPr>
            <w:tcW w:w="1249" w:type="dxa"/>
            <w:shd w:val="clear" w:color="auto" w:fill="FFFFFF"/>
            <w:vAlign w:val="center"/>
          </w:tcPr>
          <w:p w14:paraId="353CBC8B">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吸顶音箱</w:t>
            </w:r>
          </w:p>
        </w:tc>
        <w:tc>
          <w:tcPr>
            <w:tcW w:w="6120" w:type="dxa"/>
            <w:shd w:val="clear" w:color="auto" w:fill="FFFFFF"/>
            <w:vAlign w:val="center"/>
          </w:tcPr>
          <w:p w14:paraId="6C7A319A">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1）系统规格：LF6.5"×1，HF1"×1，同轴全频；</w:t>
            </w:r>
          </w:p>
          <w:p w14:paraId="26CDD1B7">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（2）驱动单元：6.5″橡胶边音盆低音、1″半球型丝膜高音；</w:t>
            </w:r>
          </w:p>
          <w:p w14:paraId="40F31B31">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（3）频响：130Hz～20kHz（-3dB）；</w:t>
            </w:r>
          </w:p>
          <w:p w14:paraId="49670C1B">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（4）功率：40WAEC，160WPEAK；</w:t>
            </w:r>
          </w:p>
          <w:p w14:paraId="11483177">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（5）灵敏度（1W/1M）：89dB；</w:t>
            </w:r>
          </w:p>
          <w:p w14:paraId="7619F550">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eastAsia="zh-CN"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（6）峰值最大声压（SPL）：99dB</w:t>
            </w:r>
            <w:r>
              <w:rPr>
                <w:rFonts w:hint="eastAsia" w:ascii="宋体" w:hAnsi="宋体" w:eastAsia="宋体" w:cs="宋体"/>
                <w:color w:val="000000" w:themeColor="text1"/>
                <w:kern w:val="0"/>
                <w:sz w:val="24"/>
                <w:szCs w:val="24"/>
                <w:lang w:eastAsia="zh-CN" w:bidi="ar"/>
                <w14:textFill>
                  <w14:solidFill>
                    <w14:schemeClr w14:val="tx1"/>
                  </w14:solidFill>
                </w14:textFill>
              </w:rPr>
              <w:t>。</w:t>
            </w:r>
          </w:p>
        </w:tc>
        <w:tc>
          <w:tcPr>
            <w:tcW w:w="702" w:type="dxa"/>
            <w:vAlign w:val="center"/>
          </w:tcPr>
          <w:p w14:paraId="5CE4EF94">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8</w:t>
            </w:r>
          </w:p>
        </w:tc>
        <w:tc>
          <w:tcPr>
            <w:tcW w:w="612" w:type="dxa"/>
            <w:shd w:val="clear" w:color="auto" w:fill="FFFFFF"/>
            <w:vAlign w:val="center"/>
          </w:tcPr>
          <w:p w14:paraId="55C7E1CC">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只</w:t>
            </w:r>
          </w:p>
        </w:tc>
      </w:tr>
      <w:tr w14:paraId="3123A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595" w:type="dxa"/>
            <w:vAlign w:val="center"/>
          </w:tcPr>
          <w:p w14:paraId="6A26A102">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22</w:t>
            </w:r>
          </w:p>
        </w:tc>
        <w:tc>
          <w:tcPr>
            <w:tcW w:w="1249" w:type="dxa"/>
            <w:shd w:val="clear" w:color="auto" w:fill="FFFFFF"/>
            <w:vAlign w:val="center"/>
          </w:tcPr>
          <w:p w14:paraId="66FBAB6E">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功率放大器</w:t>
            </w:r>
          </w:p>
        </w:tc>
        <w:tc>
          <w:tcPr>
            <w:tcW w:w="6120" w:type="dxa"/>
            <w:shd w:val="clear" w:color="auto" w:fill="FFFFFF"/>
            <w:vAlign w:val="center"/>
          </w:tcPr>
          <w:p w14:paraId="47D10779">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（1）立体声功率：≥2×300W（8Ω）、≥2×450W（4Ω）；</w:t>
            </w:r>
          </w:p>
          <w:p w14:paraId="39188034">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（2）桥接功率：≥600W（16Ω）、≥900W（8Ω）；</w:t>
            </w:r>
          </w:p>
          <w:p w14:paraId="7BFB1D29">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（3）RMS输出电压（THD=1%，1kHz）：49.0V；</w:t>
            </w:r>
          </w:p>
          <w:p w14:paraId="6B9A98AA">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（4）输入灵敏度（额定输出功率，1kHz）：1Vrms，0.7Vrms可选择；</w:t>
            </w:r>
          </w:p>
          <w:p w14:paraId="24DFABD1">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（5）THD+N（10%额定输出功率，典型值）：0.05%；</w:t>
            </w:r>
          </w:p>
          <w:p w14:paraId="33CF46B8">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（6）IMD-SMPTE（10%额定输出功率，典型值）：0.05%；</w:t>
            </w:r>
          </w:p>
          <w:p w14:paraId="31D8D9DC">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（7）DIM30（10%额定输出功率，典型值）：0.05%；</w:t>
            </w:r>
          </w:p>
          <w:p w14:paraId="672A9EAB">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（8）串扰抑制（低于额定功率，20Hz~1kHz）：≥70dB；</w:t>
            </w:r>
          </w:p>
          <w:p w14:paraId="6915E67A">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（9）频率响应（10%额定输出功率，8Ω，20Hz~20kHz）：±0.5dB；</w:t>
            </w:r>
          </w:p>
          <w:p w14:paraId="0837C6CB">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（10）输入阻抗：20kΩ（平衡），10kΩ（非平衡）；</w:t>
            </w:r>
          </w:p>
          <w:p w14:paraId="5ED1FF82">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（11）阻尼系数（8Ω，20Hz~200Hz）：≥200；</w:t>
            </w:r>
          </w:p>
          <w:p w14:paraId="5FEC95C4">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eastAsia="zh-CN"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（12）信噪比（A记权，20Hz~20kHz）：≥100dB</w:t>
            </w:r>
            <w:r>
              <w:rPr>
                <w:rFonts w:hint="eastAsia" w:ascii="宋体" w:hAnsi="宋体" w:eastAsia="宋体" w:cs="宋体"/>
                <w:color w:val="000000" w:themeColor="text1"/>
                <w:kern w:val="0"/>
                <w:sz w:val="24"/>
                <w:szCs w:val="24"/>
                <w:lang w:eastAsia="zh-CN" w:bidi="ar"/>
                <w14:textFill>
                  <w14:solidFill>
                    <w14:schemeClr w14:val="tx1"/>
                  </w14:solidFill>
                </w14:textFill>
              </w:rPr>
              <w:t>。</w:t>
            </w:r>
          </w:p>
        </w:tc>
        <w:tc>
          <w:tcPr>
            <w:tcW w:w="702" w:type="dxa"/>
            <w:vAlign w:val="center"/>
          </w:tcPr>
          <w:p w14:paraId="123A753F">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3</w:t>
            </w:r>
          </w:p>
        </w:tc>
        <w:tc>
          <w:tcPr>
            <w:tcW w:w="612" w:type="dxa"/>
            <w:shd w:val="clear" w:color="auto" w:fill="FFFFFF"/>
            <w:vAlign w:val="center"/>
          </w:tcPr>
          <w:p w14:paraId="67B09AB8">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台</w:t>
            </w:r>
          </w:p>
        </w:tc>
      </w:tr>
      <w:tr w14:paraId="38DE0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595" w:type="dxa"/>
            <w:vAlign w:val="center"/>
          </w:tcPr>
          <w:p w14:paraId="034BE074">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23</w:t>
            </w:r>
          </w:p>
        </w:tc>
        <w:tc>
          <w:tcPr>
            <w:tcW w:w="1249" w:type="dxa"/>
            <w:shd w:val="clear" w:color="auto" w:fill="FFFFFF"/>
            <w:vAlign w:val="center"/>
          </w:tcPr>
          <w:p w14:paraId="10EE6356">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无线手持话筒</w:t>
            </w:r>
          </w:p>
        </w:tc>
        <w:tc>
          <w:tcPr>
            <w:tcW w:w="6120" w:type="dxa"/>
            <w:shd w:val="clear" w:color="auto" w:fill="FFFFFF"/>
            <w:vAlign w:val="center"/>
          </w:tcPr>
          <w:p w14:paraId="529C3D5E">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（1）频率范围UHF500～960MHz；</w:t>
            </w:r>
          </w:p>
          <w:p w14:paraId="4EEB3216">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（2）多通道接收的PLL频率同步合成技术设计；</w:t>
            </w:r>
          </w:p>
          <w:p w14:paraId="2FED6842">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（3）由CPU控制左右信道接收的真分集技术接收器；</w:t>
            </w:r>
          </w:p>
          <w:p w14:paraId="41C585E4">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（4）超强的抗干扰能力；</w:t>
            </w:r>
          </w:p>
          <w:p w14:paraId="51AE5478">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（5）灵敏度：12uV（80dBS/N）；</w:t>
            </w:r>
          </w:p>
          <w:p w14:paraId="27EB54DD">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（6）【手持话筒】动圈，超心型；灵敏度：1.9mV/Pa；最大声压：155dBSPL；频率响应：58～18000Hz；</w:t>
            </w:r>
          </w:p>
          <w:p w14:paraId="24659FA1">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（7）主要配套设备：1台接收机UP400，2只手持发射机及话筒UP65。</w:t>
            </w:r>
          </w:p>
        </w:tc>
        <w:tc>
          <w:tcPr>
            <w:tcW w:w="702" w:type="dxa"/>
            <w:vAlign w:val="center"/>
          </w:tcPr>
          <w:p w14:paraId="69A9B59C">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w:t>
            </w:r>
          </w:p>
        </w:tc>
        <w:tc>
          <w:tcPr>
            <w:tcW w:w="612" w:type="dxa"/>
            <w:shd w:val="clear" w:color="auto" w:fill="FFFFFF"/>
            <w:vAlign w:val="center"/>
          </w:tcPr>
          <w:p w14:paraId="2EA8FE82">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套</w:t>
            </w:r>
          </w:p>
        </w:tc>
      </w:tr>
      <w:tr w14:paraId="41AFC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595" w:type="dxa"/>
            <w:vAlign w:val="center"/>
          </w:tcPr>
          <w:p w14:paraId="6B2027FF">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24</w:t>
            </w:r>
          </w:p>
        </w:tc>
        <w:tc>
          <w:tcPr>
            <w:tcW w:w="1249" w:type="dxa"/>
            <w:shd w:val="clear" w:color="auto" w:fill="FFFFFF"/>
            <w:vAlign w:val="center"/>
          </w:tcPr>
          <w:p w14:paraId="4BAB59BF">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数字会议系统主机</w:t>
            </w:r>
          </w:p>
        </w:tc>
        <w:tc>
          <w:tcPr>
            <w:tcW w:w="6120" w:type="dxa"/>
            <w:shd w:val="clear" w:color="auto" w:fill="FFFFFF"/>
            <w:vAlign w:val="center"/>
          </w:tcPr>
          <w:p w14:paraId="28DC86D3">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（1）基于数字控制架构开发，采用全数字音频技术，提供CD级音质，48kHz音频采样频率，音频频响可达20Hz~20kHz；</w:t>
            </w:r>
          </w:p>
          <w:p w14:paraId="2F2D1C9A">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（2）面板采用黑色钢化玻璃面板设计，简洁高档，功能分区清晰明了，操作简便，采用导航式旋钮，方便操作管理；</w:t>
            </w:r>
          </w:p>
          <w:p w14:paraId="70AF1283">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（3）采用AF-AM衰减因子的音频数据混音技术，可确保多通道混音过程时信号叠加稳定可靠，保证混音输出干净、真实、低延时；</w:t>
            </w:r>
          </w:p>
          <w:p w14:paraId="0766323D">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（4）提供≥4路会议单元连接接口，具有线路的“热插拔”功能。采用集中式供电管理，单台主控机标准可挂载60~70个话筒单元。通过连接多台扩容主机，可组成4096席的大型系统；</w:t>
            </w:r>
          </w:p>
          <w:p w14:paraId="76A2115E">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（5）具有录播功能。前面板提供≥1路USB-A接口，插入U盘后可自动/手动录制系统音频，并实时显示当前录音状态。配合软件使用时，搭配采集卡可实现电脑录音录像功能；</w:t>
            </w:r>
          </w:p>
          <w:p w14:paraId="079ED4D3">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eastAsia="zh-CN"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（6）提供消防接口，可接入消防报警系统。具有外部音频信号输入功能，可连接报警音频、广播音频或第三方音频系统，主控机与单元可同步输出音频信号</w:t>
            </w:r>
            <w:r>
              <w:rPr>
                <w:rFonts w:hint="eastAsia" w:ascii="宋体" w:hAnsi="宋体" w:eastAsia="宋体" w:cs="宋体"/>
                <w:color w:val="000000" w:themeColor="text1"/>
                <w:kern w:val="0"/>
                <w:sz w:val="24"/>
                <w:szCs w:val="24"/>
                <w:lang w:eastAsia="zh-CN" w:bidi="ar"/>
                <w14:textFill>
                  <w14:solidFill>
                    <w14:schemeClr w14:val="tx1"/>
                  </w14:solidFill>
                </w14:textFill>
              </w:rPr>
              <w:t>。</w:t>
            </w:r>
          </w:p>
        </w:tc>
        <w:tc>
          <w:tcPr>
            <w:tcW w:w="702" w:type="dxa"/>
            <w:vAlign w:val="center"/>
          </w:tcPr>
          <w:p w14:paraId="73574D5C">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w:t>
            </w:r>
          </w:p>
        </w:tc>
        <w:tc>
          <w:tcPr>
            <w:tcW w:w="612" w:type="dxa"/>
            <w:shd w:val="clear" w:color="auto" w:fill="FFFFFF"/>
            <w:vAlign w:val="center"/>
          </w:tcPr>
          <w:p w14:paraId="773FB0CA">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台</w:t>
            </w:r>
          </w:p>
        </w:tc>
      </w:tr>
      <w:tr w14:paraId="2FB07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595" w:type="dxa"/>
            <w:vAlign w:val="center"/>
          </w:tcPr>
          <w:p w14:paraId="488E6C0B">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25</w:t>
            </w:r>
          </w:p>
        </w:tc>
        <w:tc>
          <w:tcPr>
            <w:tcW w:w="1249" w:type="dxa"/>
            <w:shd w:val="clear" w:color="auto" w:fill="FFFFFF"/>
            <w:vAlign w:val="center"/>
          </w:tcPr>
          <w:p w14:paraId="1AD3B099">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代表单元</w:t>
            </w:r>
          </w:p>
        </w:tc>
        <w:tc>
          <w:tcPr>
            <w:tcW w:w="6120" w:type="dxa"/>
            <w:shd w:val="clear" w:color="auto" w:fill="FFFFFF"/>
            <w:vAlign w:val="center"/>
          </w:tcPr>
          <w:p w14:paraId="31257EB0">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（1）内置DSP和AI智能算法，可滤除声音中无效的低频成分，避免低频冲击声，提升声音的清晰度；</w:t>
            </w:r>
          </w:p>
          <w:p w14:paraId="0679F032">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（2）采用可插拔式双软管鹅颈咪杆，可提供多种长度的咪杆，带状态指示灯、麦克风采用Φ9.7心型指向性驻极体咪芯，拾音距离≥80cm；</w:t>
            </w:r>
          </w:p>
          <w:p w14:paraId="0F0061DE">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（3）采用实体按键，具有良好的按键反馈，按键灵敏准确，寿命长，无机械按键声；</w:t>
            </w:r>
          </w:p>
          <w:p w14:paraId="1CB741DD">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（4）具有多种发言模式：先进先出、限制发言、申请等待、声控发言、申请发言；</w:t>
            </w:r>
          </w:p>
          <w:p w14:paraId="3D668850">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（5）具有多种控制方式，通过中控系统、无线平板、电脑软件等方式控制话筒开启与关闭；</w:t>
            </w:r>
          </w:p>
          <w:p w14:paraId="2188346A">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（6）可将任意代表单元设置成副主席，主席和副主席单元无数量限制；</w:t>
            </w:r>
          </w:p>
          <w:p w14:paraId="462AA5D0">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（7）音频频响：不低于20Hz~20kHz；灵敏度：≥-46±4dBV/Pa；等效噪声级：≥20dBA（SPL）；最大声压级：≥125dB（THD≤3%）；总谐波失真：≤0.05%；信噪比：≥96dB；输入阻抗：2kΩ；耳机负载：≥16Ω；耳机音量：10mW。</w:t>
            </w:r>
          </w:p>
        </w:tc>
        <w:tc>
          <w:tcPr>
            <w:tcW w:w="702" w:type="dxa"/>
            <w:vAlign w:val="center"/>
          </w:tcPr>
          <w:p w14:paraId="6D27FA4C">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7</w:t>
            </w:r>
          </w:p>
        </w:tc>
        <w:tc>
          <w:tcPr>
            <w:tcW w:w="612" w:type="dxa"/>
            <w:shd w:val="clear" w:color="auto" w:fill="FFFFFF"/>
            <w:vAlign w:val="center"/>
          </w:tcPr>
          <w:p w14:paraId="31BA185E">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只</w:t>
            </w:r>
          </w:p>
        </w:tc>
      </w:tr>
      <w:tr w14:paraId="484C5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595" w:type="dxa"/>
            <w:vAlign w:val="center"/>
          </w:tcPr>
          <w:p w14:paraId="4FE589AA">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26</w:t>
            </w:r>
          </w:p>
        </w:tc>
        <w:tc>
          <w:tcPr>
            <w:tcW w:w="1249" w:type="dxa"/>
            <w:shd w:val="clear" w:color="auto" w:fill="FFFFFF"/>
            <w:vAlign w:val="center"/>
          </w:tcPr>
          <w:p w14:paraId="33DF220A">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主席单元</w:t>
            </w:r>
          </w:p>
        </w:tc>
        <w:tc>
          <w:tcPr>
            <w:tcW w:w="6120" w:type="dxa"/>
            <w:shd w:val="clear" w:color="auto" w:fill="FFFFFF"/>
            <w:vAlign w:val="center"/>
          </w:tcPr>
          <w:p w14:paraId="1269054C">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1、内置DSP和AI智能算法，可滤除声音中无效的低频成分，避免低频冲击声，提升声音的清晰度；</w:t>
            </w:r>
          </w:p>
          <w:p w14:paraId="61FCF8B8">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2、采用可插拔式双软管鹅颈咪杆，可提供多种长度的咪杆，带状态指示灯、麦克风采用Φ9.7心型指向性驻极体咪芯，拾音距离≥80cm；</w:t>
            </w:r>
          </w:p>
          <w:p w14:paraId="40DE88F4">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3、采用实体按键，具有良好的按键反馈，按键灵敏准确，寿命长，无机械按键声；</w:t>
            </w:r>
          </w:p>
          <w:p w14:paraId="3438D7E0">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4、带监听功能，内置扬声器，音量可调，合理的音腔设计，声音清晰、洪亮，话筒开咪时，本机扬声器自动关闭，防止声音回传而产生啸叫；</w:t>
            </w:r>
          </w:p>
          <w:p w14:paraId="03BE810C">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5、具有多种发言模式：先进先出、限制发言、申请等待、声控发言、申请发言；</w:t>
            </w:r>
          </w:p>
          <w:p w14:paraId="3E696694">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6、具有多种控制方式，具有通过中控系统、无线平板、电脑软件等方式控制话筒开启与关闭的功能；</w:t>
            </w:r>
          </w:p>
          <w:p w14:paraId="6C90FE99">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7、主席具有话筒自由开启功能，不受开启数量限制和软件控制限制，具有主席优先键，可以关闭正在发言的代表话筒；</w:t>
            </w:r>
          </w:p>
          <w:p w14:paraId="1229A6F6">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音频频响：不低于20Hz~20kHz；灵敏度：≥-46±4dBV/Pa；等效噪声级：≥20dBA（SPL）；最大声压级：≥125dB（THD≤3%）；总谐波失真：≤0.05%；信噪比：≥96dB；输入阻抗：2kΩ；耳机负载：≥16Ω；耳机音量：10mW。</w:t>
            </w:r>
          </w:p>
        </w:tc>
        <w:tc>
          <w:tcPr>
            <w:tcW w:w="702" w:type="dxa"/>
            <w:vAlign w:val="center"/>
          </w:tcPr>
          <w:p w14:paraId="62F6F039">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w:t>
            </w:r>
          </w:p>
        </w:tc>
        <w:tc>
          <w:tcPr>
            <w:tcW w:w="612" w:type="dxa"/>
            <w:shd w:val="clear" w:color="auto" w:fill="FFFFFF"/>
            <w:vAlign w:val="center"/>
          </w:tcPr>
          <w:p w14:paraId="366AB823">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台</w:t>
            </w:r>
          </w:p>
        </w:tc>
      </w:tr>
      <w:tr w14:paraId="5B914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595" w:type="dxa"/>
            <w:vAlign w:val="center"/>
          </w:tcPr>
          <w:p w14:paraId="5E8D2AEA">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27</w:t>
            </w:r>
          </w:p>
        </w:tc>
        <w:tc>
          <w:tcPr>
            <w:tcW w:w="1249" w:type="dxa"/>
            <w:shd w:val="clear" w:color="auto" w:fill="FFFFFF"/>
            <w:vAlign w:val="center"/>
          </w:tcPr>
          <w:p w14:paraId="68B4334A">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会议专用延长线</w:t>
            </w:r>
          </w:p>
        </w:tc>
        <w:tc>
          <w:tcPr>
            <w:tcW w:w="6120" w:type="dxa"/>
            <w:shd w:val="clear" w:color="auto" w:fill="FFFFFF"/>
            <w:vAlign w:val="center"/>
          </w:tcPr>
          <w:p w14:paraId="64208761">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会议话筒专用线缆，用于主机到第一个话筒单元的连接线，20米。</w:t>
            </w:r>
          </w:p>
        </w:tc>
        <w:tc>
          <w:tcPr>
            <w:tcW w:w="702" w:type="dxa"/>
            <w:vAlign w:val="center"/>
          </w:tcPr>
          <w:p w14:paraId="4EF68AD9">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w:t>
            </w:r>
          </w:p>
        </w:tc>
        <w:tc>
          <w:tcPr>
            <w:tcW w:w="612" w:type="dxa"/>
            <w:shd w:val="clear" w:color="auto" w:fill="FFFFFF"/>
            <w:vAlign w:val="center"/>
          </w:tcPr>
          <w:p w14:paraId="63399546">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根</w:t>
            </w:r>
          </w:p>
        </w:tc>
      </w:tr>
      <w:tr w14:paraId="61B69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595" w:type="dxa"/>
            <w:vAlign w:val="center"/>
          </w:tcPr>
          <w:p w14:paraId="48243E36">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28</w:t>
            </w:r>
          </w:p>
        </w:tc>
        <w:tc>
          <w:tcPr>
            <w:tcW w:w="1249" w:type="dxa"/>
            <w:shd w:val="clear" w:color="auto" w:fill="FFFFFF"/>
            <w:vAlign w:val="center"/>
          </w:tcPr>
          <w:p w14:paraId="31737476">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会议地插</w:t>
            </w:r>
          </w:p>
        </w:tc>
        <w:tc>
          <w:tcPr>
            <w:tcW w:w="6120" w:type="dxa"/>
            <w:shd w:val="clear" w:color="auto" w:fill="FFFFFF"/>
            <w:vAlign w:val="center"/>
          </w:tcPr>
          <w:p w14:paraId="1D874678">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1、面板参考尺寸：≥120×120mm；</w:t>
            </w:r>
          </w:p>
          <w:p w14:paraId="69A735F2">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2、底盒参考尺寸：≥109×109×65mm；</w:t>
            </w:r>
          </w:p>
          <w:p w14:paraId="35479A5A">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3、接口类型：8芯母座。</w:t>
            </w:r>
          </w:p>
        </w:tc>
        <w:tc>
          <w:tcPr>
            <w:tcW w:w="702" w:type="dxa"/>
            <w:vAlign w:val="center"/>
          </w:tcPr>
          <w:p w14:paraId="16F92D1D">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w:t>
            </w:r>
          </w:p>
        </w:tc>
        <w:tc>
          <w:tcPr>
            <w:tcW w:w="612" w:type="dxa"/>
            <w:shd w:val="clear" w:color="auto" w:fill="FFFFFF"/>
            <w:vAlign w:val="center"/>
          </w:tcPr>
          <w:p w14:paraId="704470C6">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套</w:t>
            </w:r>
          </w:p>
        </w:tc>
      </w:tr>
      <w:tr w14:paraId="7CD95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595" w:type="dxa"/>
            <w:vAlign w:val="center"/>
          </w:tcPr>
          <w:p w14:paraId="05E493FE">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29</w:t>
            </w:r>
          </w:p>
        </w:tc>
        <w:tc>
          <w:tcPr>
            <w:tcW w:w="1249" w:type="dxa"/>
            <w:shd w:val="clear" w:color="auto" w:fill="FFFFFF"/>
            <w:vAlign w:val="center"/>
          </w:tcPr>
          <w:p w14:paraId="2D0E3B89">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显示屏控制设备嵌入式软件</w:t>
            </w:r>
          </w:p>
        </w:tc>
        <w:tc>
          <w:tcPr>
            <w:tcW w:w="6120" w:type="dxa"/>
            <w:shd w:val="clear" w:color="auto" w:fill="FFFFFF"/>
            <w:vAlign w:val="center"/>
          </w:tcPr>
          <w:p w14:paraId="5DCA9CDA">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1、具有视频、音频、图像、文字、Flash、Gif等形式的媒体文件播放功能；</w:t>
            </w:r>
          </w:p>
          <w:p w14:paraId="40F04C02">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2、具有Microsoft Office的Word、Excel、PPT显示；具有多页面多分区节目编辑功能；</w:t>
            </w:r>
          </w:p>
          <w:p w14:paraId="5DA0C962">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3、具有时钟、计时、网页、表格、数据库、天气预</w:t>
            </w:r>
            <w:bookmarkStart w:id="2" w:name="_GoBack"/>
            <w:bookmarkEnd w:id="2"/>
            <w:r>
              <w:rPr>
                <w:rFonts w:hint="eastAsia" w:ascii="宋体" w:hAnsi="宋体" w:eastAsia="宋体" w:cs="宋体"/>
                <w:color w:val="000000" w:themeColor="text1"/>
                <w:kern w:val="0"/>
                <w:sz w:val="24"/>
                <w:szCs w:val="24"/>
                <w:lang w:bidi="ar"/>
                <w14:textFill>
                  <w14:solidFill>
                    <w14:schemeClr w14:val="tx1"/>
                  </w14:solidFill>
                </w14:textFill>
              </w:rPr>
              <w:t>报显示；4、具有外部视频、环境信息、体育比分、桌面拷贝播放功能；</w:t>
            </w:r>
          </w:p>
          <w:p w14:paraId="160EBC75">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5、具有对LED大屏幕的手工校正，同时兼容其它专业校正设备采集的校正数据功能。</w:t>
            </w:r>
          </w:p>
        </w:tc>
        <w:tc>
          <w:tcPr>
            <w:tcW w:w="702" w:type="dxa"/>
            <w:vAlign w:val="center"/>
          </w:tcPr>
          <w:p w14:paraId="4E608522">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w:t>
            </w:r>
          </w:p>
        </w:tc>
        <w:tc>
          <w:tcPr>
            <w:tcW w:w="612" w:type="dxa"/>
            <w:shd w:val="clear" w:color="auto" w:fill="FFFFFF"/>
            <w:vAlign w:val="center"/>
          </w:tcPr>
          <w:p w14:paraId="67E03EC5">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套</w:t>
            </w:r>
          </w:p>
        </w:tc>
      </w:tr>
      <w:tr w14:paraId="06A3F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595" w:type="dxa"/>
            <w:vAlign w:val="center"/>
          </w:tcPr>
          <w:p w14:paraId="6B111E1F">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30</w:t>
            </w:r>
          </w:p>
        </w:tc>
        <w:tc>
          <w:tcPr>
            <w:tcW w:w="1249" w:type="dxa"/>
            <w:shd w:val="clear" w:color="auto" w:fill="FFFFFF"/>
            <w:vAlign w:val="center"/>
          </w:tcPr>
          <w:p w14:paraId="0ABD7DC1">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智能配电柜（10KW）</w:t>
            </w:r>
          </w:p>
        </w:tc>
        <w:tc>
          <w:tcPr>
            <w:tcW w:w="6120" w:type="dxa"/>
            <w:shd w:val="clear" w:color="auto" w:fill="FFFFFF"/>
            <w:vAlign w:val="center"/>
          </w:tcPr>
          <w:p w14:paraId="22A85F43">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1、额定功率：≥10kW，输出路数：≥3路</w:t>
            </w:r>
          </w:p>
          <w:p w14:paraId="305B3F9E">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2、输入电压：三相五线制AC380V±10%，频率50Hz±5%，3、具有高温断电、浪涌、短路、过流、过载保护功能；</w:t>
            </w:r>
          </w:p>
          <w:p w14:paraId="37A465AB">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4、输出电压：单相三线制AC220V±10%；</w:t>
            </w:r>
          </w:p>
          <w:p w14:paraId="38DD1FB9">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5、内置避雷器，具有避雷防雷功能；</w:t>
            </w:r>
          </w:p>
          <w:p w14:paraId="1616C471">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6、配电柜含多功能卡控制，具有远程控制功能、RS232串口或千兆网口通信；</w:t>
            </w:r>
          </w:p>
          <w:p w14:paraId="228E1D92">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eastAsia="zh-CN"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7、通过LED显示屏智慧控制系统软件搭配多功能卡实现电源监视、温度监控操作</w:t>
            </w:r>
            <w:r>
              <w:rPr>
                <w:rFonts w:hint="eastAsia" w:ascii="宋体" w:hAnsi="宋体" w:eastAsia="宋体" w:cs="宋体"/>
                <w:color w:val="000000" w:themeColor="text1"/>
                <w:kern w:val="0"/>
                <w:sz w:val="24"/>
                <w:szCs w:val="24"/>
                <w:lang w:eastAsia="zh-CN" w:bidi="ar"/>
                <w14:textFill>
                  <w14:solidFill>
                    <w14:schemeClr w14:val="tx1"/>
                  </w14:solidFill>
                </w14:textFill>
              </w:rPr>
              <w:t>。</w:t>
            </w:r>
          </w:p>
        </w:tc>
        <w:tc>
          <w:tcPr>
            <w:tcW w:w="702" w:type="dxa"/>
            <w:vAlign w:val="center"/>
          </w:tcPr>
          <w:p w14:paraId="41113651">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w:t>
            </w:r>
          </w:p>
        </w:tc>
        <w:tc>
          <w:tcPr>
            <w:tcW w:w="612" w:type="dxa"/>
            <w:shd w:val="clear" w:color="auto" w:fill="FFFFFF"/>
            <w:vAlign w:val="center"/>
          </w:tcPr>
          <w:p w14:paraId="4C5D97D1">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台</w:t>
            </w:r>
          </w:p>
        </w:tc>
      </w:tr>
      <w:tr w14:paraId="4CB4A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595" w:type="dxa"/>
            <w:vAlign w:val="center"/>
          </w:tcPr>
          <w:p w14:paraId="06265D3A">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31</w:t>
            </w:r>
          </w:p>
        </w:tc>
        <w:tc>
          <w:tcPr>
            <w:tcW w:w="1249" w:type="dxa"/>
            <w:shd w:val="clear" w:color="auto" w:fill="FFFFFF"/>
            <w:vAlign w:val="center"/>
          </w:tcPr>
          <w:p w14:paraId="08D32203">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阻燃铜芯电缆</w:t>
            </w:r>
          </w:p>
        </w:tc>
        <w:tc>
          <w:tcPr>
            <w:tcW w:w="6120" w:type="dxa"/>
            <w:shd w:val="clear" w:color="auto" w:fill="FFFFFF"/>
            <w:vAlign w:val="center"/>
          </w:tcPr>
          <w:p w14:paraId="26CC7973">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WDZA-YJY5*6mm²</w:t>
            </w:r>
          </w:p>
        </w:tc>
        <w:tc>
          <w:tcPr>
            <w:tcW w:w="702" w:type="dxa"/>
            <w:vAlign w:val="center"/>
          </w:tcPr>
          <w:p w14:paraId="0D5BF8A3">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10</w:t>
            </w:r>
          </w:p>
        </w:tc>
        <w:tc>
          <w:tcPr>
            <w:tcW w:w="612" w:type="dxa"/>
            <w:shd w:val="clear" w:color="auto" w:fill="FFFFFF"/>
            <w:vAlign w:val="center"/>
          </w:tcPr>
          <w:p w14:paraId="1C5E401C">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米</w:t>
            </w:r>
          </w:p>
        </w:tc>
      </w:tr>
      <w:tr w14:paraId="21747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595" w:type="dxa"/>
            <w:vAlign w:val="center"/>
          </w:tcPr>
          <w:p w14:paraId="38045417">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32</w:t>
            </w:r>
          </w:p>
        </w:tc>
        <w:tc>
          <w:tcPr>
            <w:tcW w:w="1249" w:type="dxa"/>
            <w:shd w:val="clear" w:color="auto" w:fill="FFFFFF"/>
            <w:vAlign w:val="center"/>
          </w:tcPr>
          <w:p w14:paraId="191AB9A5">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钢结构/包边</w:t>
            </w:r>
          </w:p>
        </w:tc>
        <w:tc>
          <w:tcPr>
            <w:tcW w:w="6120" w:type="dxa"/>
            <w:shd w:val="clear" w:color="auto" w:fill="FFFFFF"/>
            <w:vAlign w:val="center"/>
          </w:tcPr>
          <w:p w14:paraId="2BE115AE">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1、安装结构需保证LED高清显示屏的整体均匀平滑，结构便于安装和调试；</w:t>
            </w:r>
          </w:p>
          <w:p w14:paraId="7509788B">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2、符合装修风格，定制超薄包边，钛黑拉丝不锈钢或根据现场环境由业主指定，</w:t>
            </w:r>
          </w:p>
          <w:p w14:paraId="3150A6C4">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3、LED显示屏选用环保型铝型材框架安装，其框架材料经过严格环保、无毒测试，符合国家《GB/T26572-2011》标准限量要求。</w:t>
            </w:r>
          </w:p>
        </w:tc>
        <w:tc>
          <w:tcPr>
            <w:tcW w:w="702" w:type="dxa"/>
            <w:vAlign w:val="center"/>
          </w:tcPr>
          <w:p w14:paraId="7E1A6D0A">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9.98</w:t>
            </w:r>
          </w:p>
        </w:tc>
        <w:tc>
          <w:tcPr>
            <w:tcW w:w="612" w:type="dxa"/>
            <w:shd w:val="clear" w:color="auto" w:fill="FFFFFF"/>
            <w:vAlign w:val="center"/>
          </w:tcPr>
          <w:p w14:paraId="56D60F8B">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平方米</w:t>
            </w:r>
          </w:p>
        </w:tc>
      </w:tr>
      <w:tr w14:paraId="0972E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595" w:type="dxa"/>
            <w:vAlign w:val="center"/>
          </w:tcPr>
          <w:p w14:paraId="7E98896A">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33</w:t>
            </w:r>
          </w:p>
        </w:tc>
        <w:tc>
          <w:tcPr>
            <w:tcW w:w="1249" w:type="dxa"/>
            <w:shd w:val="clear" w:color="auto" w:fill="FFFFFF"/>
            <w:vAlign w:val="center"/>
          </w:tcPr>
          <w:p w14:paraId="3CDCB2A6">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室内大屏专用线缆</w:t>
            </w:r>
          </w:p>
        </w:tc>
        <w:tc>
          <w:tcPr>
            <w:tcW w:w="6120" w:type="dxa"/>
            <w:shd w:val="clear" w:color="auto" w:fill="FFFFFF"/>
            <w:vAlign w:val="center"/>
          </w:tcPr>
          <w:p w14:paraId="03F742B6">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1、配电柜到屏体的电源线；</w:t>
            </w:r>
          </w:p>
          <w:p w14:paraId="79BE6FFB">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2、屏体内的信号排线、电源线、控制线、网线等。</w:t>
            </w:r>
          </w:p>
        </w:tc>
        <w:tc>
          <w:tcPr>
            <w:tcW w:w="702" w:type="dxa"/>
            <w:vAlign w:val="center"/>
          </w:tcPr>
          <w:p w14:paraId="19DADCAF">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95</w:t>
            </w:r>
          </w:p>
        </w:tc>
        <w:tc>
          <w:tcPr>
            <w:tcW w:w="612" w:type="dxa"/>
            <w:shd w:val="clear" w:color="auto" w:fill="FFFFFF"/>
            <w:vAlign w:val="center"/>
          </w:tcPr>
          <w:p w14:paraId="7C50D9A5">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米</w:t>
            </w:r>
          </w:p>
        </w:tc>
      </w:tr>
      <w:tr w14:paraId="33C01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595" w:type="dxa"/>
            <w:vAlign w:val="center"/>
          </w:tcPr>
          <w:p w14:paraId="2A18F1EA">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34</w:t>
            </w:r>
          </w:p>
        </w:tc>
        <w:tc>
          <w:tcPr>
            <w:tcW w:w="1249" w:type="dxa"/>
            <w:shd w:val="clear" w:color="auto" w:fill="FFFFFF"/>
            <w:vAlign w:val="center"/>
          </w:tcPr>
          <w:p w14:paraId="1A0560FF">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管理电脑</w:t>
            </w:r>
          </w:p>
        </w:tc>
        <w:tc>
          <w:tcPr>
            <w:tcW w:w="6120" w:type="dxa"/>
            <w:shd w:val="clear" w:color="auto" w:fill="FFFFFF"/>
            <w:vAlign w:val="center"/>
          </w:tcPr>
          <w:p w14:paraId="6877B1ED">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1、不低于I5处理器，主频≥2.6GHz，内存≥16GB，固态硬盘≥1TB；</w:t>
            </w:r>
          </w:p>
          <w:p w14:paraId="52F1BEDE">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2、独立显卡≥4GB，1台不低于27英寸超薄IPS窄边框显示屏，具有高清接口，与主机配套使用；</w:t>
            </w:r>
          </w:p>
          <w:p w14:paraId="5B66D8F2">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含操作系统、键盘、鼠标。</w:t>
            </w:r>
          </w:p>
        </w:tc>
        <w:tc>
          <w:tcPr>
            <w:tcW w:w="702" w:type="dxa"/>
            <w:vAlign w:val="center"/>
          </w:tcPr>
          <w:p w14:paraId="139DB29A">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w:t>
            </w:r>
          </w:p>
        </w:tc>
        <w:tc>
          <w:tcPr>
            <w:tcW w:w="612" w:type="dxa"/>
            <w:shd w:val="clear" w:color="auto" w:fill="FFFFFF"/>
            <w:vAlign w:val="center"/>
          </w:tcPr>
          <w:p w14:paraId="23D98CFF">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台</w:t>
            </w:r>
          </w:p>
        </w:tc>
      </w:tr>
      <w:tr w14:paraId="6CEE0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595" w:type="dxa"/>
            <w:vAlign w:val="center"/>
          </w:tcPr>
          <w:p w14:paraId="289E3E7F">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35</w:t>
            </w:r>
          </w:p>
        </w:tc>
        <w:tc>
          <w:tcPr>
            <w:tcW w:w="1249" w:type="dxa"/>
            <w:shd w:val="clear" w:color="auto" w:fill="FFFFFF"/>
            <w:vAlign w:val="center"/>
          </w:tcPr>
          <w:p w14:paraId="59D04535">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中控编程软件</w:t>
            </w:r>
          </w:p>
        </w:tc>
        <w:tc>
          <w:tcPr>
            <w:tcW w:w="6120" w:type="dxa"/>
            <w:shd w:val="clear" w:color="auto" w:fill="FFFFFF"/>
            <w:vAlign w:val="center"/>
          </w:tcPr>
          <w:p w14:paraId="25FBEF80">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根据现场实际应用进行自定义的编程。</w:t>
            </w:r>
          </w:p>
        </w:tc>
        <w:tc>
          <w:tcPr>
            <w:tcW w:w="702" w:type="dxa"/>
            <w:vAlign w:val="center"/>
          </w:tcPr>
          <w:p w14:paraId="4D1FD4E5">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w:t>
            </w:r>
          </w:p>
        </w:tc>
        <w:tc>
          <w:tcPr>
            <w:tcW w:w="612" w:type="dxa"/>
            <w:shd w:val="clear" w:color="auto" w:fill="FFFFFF"/>
            <w:vAlign w:val="center"/>
          </w:tcPr>
          <w:p w14:paraId="59373566">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套</w:t>
            </w:r>
          </w:p>
        </w:tc>
      </w:tr>
      <w:tr w14:paraId="182E1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595" w:type="dxa"/>
            <w:vAlign w:val="center"/>
          </w:tcPr>
          <w:p w14:paraId="383F8FA8">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36</w:t>
            </w:r>
          </w:p>
        </w:tc>
        <w:tc>
          <w:tcPr>
            <w:tcW w:w="1249" w:type="dxa"/>
            <w:shd w:val="clear" w:color="auto" w:fill="FFFFFF"/>
            <w:vAlign w:val="center"/>
          </w:tcPr>
          <w:p w14:paraId="7976F812">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电源控制器</w:t>
            </w:r>
          </w:p>
        </w:tc>
        <w:tc>
          <w:tcPr>
            <w:tcW w:w="6120" w:type="dxa"/>
            <w:shd w:val="clear" w:color="auto" w:fill="FFFFFF"/>
            <w:vAlign w:val="center"/>
          </w:tcPr>
          <w:p w14:paraId="561C01EB">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1、19寸标准机架式安装，配合中央控制系统使用，设备ID可设；</w:t>
            </w:r>
          </w:p>
          <w:p w14:paraId="0B826AD8">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2、单路功率≤2200W，总功率≤16000W；</w:t>
            </w:r>
          </w:p>
          <w:p w14:paraId="2549851C">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3、主机面板自带信号反馈信息系统，可直观指示设备工作状态；</w:t>
            </w:r>
          </w:p>
          <w:p w14:paraId="10845632">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4、主机双开功能，具备手动强制开关，可脱离主机手动控制；</w:t>
            </w:r>
          </w:p>
          <w:p w14:paraId="3FEB7988">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5、每个单路继电器均带一对常开常闭触点；</w:t>
            </w:r>
          </w:p>
          <w:p w14:paraId="6417B4C9">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6、具有CAN总线、RS-232通讯方式。</w:t>
            </w:r>
          </w:p>
        </w:tc>
        <w:tc>
          <w:tcPr>
            <w:tcW w:w="702" w:type="dxa"/>
            <w:vAlign w:val="center"/>
          </w:tcPr>
          <w:p w14:paraId="7C7F72BC">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w:t>
            </w:r>
          </w:p>
        </w:tc>
        <w:tc>
          <w:tcPr>
            <w:tcW w:w="612" w:type="dxa"/>
            <w:shd w:val="clear" w:color="auto" w:fill="FFFFFF"/>
            <w:vAlign w:val="center"/>
          </w:tcPr>
          <w:p w14:paraId="40618FD5">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台</w:t>
            </w:r>
          </w:p>
        </w:tc>
      </w:tr>
      <w:tr w14:paraId="2ACB7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595" w:type="dxa"/>
            <w:vAlign w:val="center"/>
          </w:tcPr>
          <w:p w14:paraId="2ACA6ACC">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37</w:t>
            </w:r>
          </w:p>
        </w:tc>
        <w:tc>
          <w:tcPr>
            <w:tcW w:w="1249" w:type="dxa"/>
            <w:shd w:val="clear" w:color="auto" w:fill="FFFFFF"/>
            <w:vAlign w:val="center"/>
          </w:tcPr>
          <w:p w14:paraId="326FEC87">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无线触摸屏</w:t>
            </w:r>
          </w:p>
        </w:tc>
        <w:tc>
          <w:tcPr>
            <w:tcW w:w="6120" w:type="dxa"/>
            <w:shd w:val="clear" w:color="auto" w:fill="FFFFFF"/>
            <w:vAlign w:val="center"/>
          </w:tcPr>
          <w:p w14:paraId="4CC08FB4">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1、屏幕参考尺寸：≥10.4英寸；</w:t>
            </w:r>
          </w:p>
          <w:p w14:paraId="1255CCC0">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2、分辨率：≥2000*1200dpi；</w:t>
            </w:r>
          </w:p>
          <w:p w14:paraId="009CABDC">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3、系统：Android；</w:t>
            </w:r>
          </w:p>
          <w:p w14:paraId="1579BCB0">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4、运行内存：4GB；</w:t>
            </w:r>
          </w:p>
          <w:p w14:paraId="7A487464">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5、内存容量：64GB；</w:t>
            </w:r>
          </w:p>
          <w:p w14:paraId="48A61E78">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6、CPU核心数：八核；</w:t>
            </w:r>
          </w:p>
          <w:p w14:paraId="0AD1B769">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7、颜色：灰色。</w:t>
            </w:r>
          </w:p>
        </w:tc>
        <w:tc>
          <w:tcPr>
            <w:tcW w:w="702" w:type="dxa"/>
            <w:vAlign w:val="center"/>
          </w:tcPr>
          <w:p w14:paraId="2A75EBBF">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w:t>
            </w:r>
          </w:p>
        </w:tc>
        <w:tc>
          <w:tcPr>
            <w:tcW w:w="612" w:type="dxa"/>
            <w:shd w:val="clear" w:color="auto" w:fill="FFFFFF"/>
            <w:vAlign w:val="center"/>
          </w:tcPr>
          <w:p w14:paraId="08E1C57F">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台</w:t>
            </w:r>
          </w:p>
        </w:tc>
      </w:tr>
      <w:tr w14:paraId="21801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595" w:type="dxa"/>
            <w:vAlign w:val="center"/>
          </w:tcPr>
          <w:p w14:paraId="69AFA978">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38</w:t>
            </w:r>
          </w:p>
        </w:tc>
        <w:tc>
          <w:tcPr>
            <w:tcW w:w="1249" w:type="dxa"/>
            <w:shd w:val="clear" w:color="auto" w:fill="FFFFFF"/>
            <w:vAlign w:val="center"/>
          </w:tcPr>
          <w:p w14:paraId="13054FB7">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42U网络机柜</w:t>
            </w:r>
          </w:p>
        </w:tc>
        <w:tc>
          <w:tcPr>
            <w:tcW w:w="6120" w:type="dxa"/>
            <w:shd w:val="clear" w:color="auto" w:fill="FFFFFF"/>
            <w:vAlign w:val="center"/>
          </w:tcPr>
          <w:p w14:paraId="19876498">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1、容量：≥42U，参考尺寸≥600*800mm；</w:t>
            </w:r>
          </w:p>
          <w:p w14:paraId="7A2AD104">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2、材料：SPCC优质冷轧钢板制作，方孔条厚度不小于2.0mm，安装梁厚度不小于1.5mm，其他厚度不小于1.2mm；</w:t>
            </w:r>
          </w:p>
          <w:p w14:paraId="57A17053">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外观：颜色为国际黑色，表面脱脂、酸洗、磷化、静电喷塑处理，防护等级≥IP20；</w:t>
            </w:r>
          </w:p>
          <w:p w14:paraId="675F1351">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3、门体：单开钢化玻璃前门，单开钣金后门，侧门为脱卸式结构，无网孔，顶部有网孔且主动排风；</w:t>
            </w:r>
          </w:p>
          <w:p w14:paraId="4574EB3C">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4、承载：静载最大承重可达800KG；</w:t>
            </w:r>
          </w:p>
          <w:p w14:paraId="4DCFE144">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5、配件：含8位10APDU插排≥2个、固定板部件≥3个、散热风扇≥2套等。</w:t>
            </w:r>
          </w:p>
        </w:tc>
        <w:tc>
          <w:tcPr>
            <w:tcW w:w="702" w:type="dxa"/>
            <w:vAlign w:val="center"/>
          </w:tcPr>
          <w:p w14:paraId="3B01D9FA">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w:t>
            </w:r>
          </w:p>
        </w:tc>
        <w:tc>
          <w:tcPr>
            <w:tcW w:w="612" w:type="dxa"/>
            <w:shd w:val="clear" w:color="auto" w:fill="FFFFFF"/>
            <w:vAlign w:val="center"/>
          </w:tcPr>
          <w:p w14:paraId="5114115A">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台</w:t>
            </w:r>
          </w:p>
        </w:tc>
      </w:tr>
      <w:tr w14:paraId="505D7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595" w:type="dxa"/>
            <w:vAlign w:val="center"/>
          </w:tcPr>
          <w:p w14:paraId="657ACC2A">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39</w:t>
            </w:r>
          </w:p>
        </w:tc>
        <w:tc>
          <w:tcPr>
            <w:tcW w:w="1249" w:type="dxa"/>
            <w:shd w:val="clear" w:color="auto" w:fill="FFFFFF"/>
            <w:vAlign w:val="center"/>
          </w:tcPr>
          <w:p w14:paraId="32F74C6A">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音箱壁挂支架</w:t>
            </w:r>
          </w:p>
        </w:tc>
        <w:tc>
          <w:tcPr>
            <w:tcW w:w="6120" w:type="dxa"/>
            <w:shd w:val="clear" w:color="auto" w:fill="FFFFFF"/>
            <w:vAlign w:val="center"/>
          </w:tcPr>
          <w:p w14:paraId="543B3A3A">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音箱壁挂支架</w:t>
            </w:r>
          </w:p>
        </w:tc>
        <w:tc>
          <w:tcPr>
            <w:tcW w:w="702" w:type="dxa"/>
            <w:vAlign w:val="center"/>
          </w:tcPr>
          <w:p w14:paraId="7F3593FD">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w:t>
            </w:r>
          </w:p>
        </w:tc>
        <w:tc>
          <w:tcPr>
            <w:tcW w:w="612" w:type="dxa"/>
            <w:shd w:val="clear" w:color="auto" w:fill="FFFFFF"/>
            <w:vAlign w:val="center"/>
          </w:tcPr>
          <w:p w14:paraId="457B57B5">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套</w:t>
            </w:r>
          </w:p>
        </w:tc>
      </w:tr>
      <w:tr w14:paraId="6B7CE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595" w:type="dxa"/>
            <w:vAlign w:val="center"/>
          </w:tcPr>
          <w:p w14:paraId="0B9312FC">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40</w:t>
            </w:r>
          </w:p>
        </w:tc>
        <w:tc>
          <w:tcPr>
            <w:tcW w:w="1249" w:type="dxa"/>
            <w:shd w:val="clear" w:color="auto" w:fill="FFFFFF"/>
            <w:vAlign w:val="center"/>
          </w:tcPr>
          <w:p w14:paraId="244C1016">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音箱、音频、视频、电源线缆</w:t>
            </w:r>
          </w:p>
        </w:tc>
        <w:tc>
          <w:tcPr>
            <w:tcW w:w="6120" w:type="dxa"/>
            <w:shd w:val="clear" w:color="auto" w:fill="FFFFFF"/>
            <w:vAlign w:val="center"/>
          </w:tcPr>
          <w:p w14:paraId="7FB878F6">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1、1.2x1.5mm²弹性护套柔软音箱线缆；</w:t>
            </w:r>
          </w:p>
          <w:p w14:paraId="630561F0">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2、采用优质高纯度（OFC）单根直径0.16MM铜丝无氧铜丝绞合，多股复绞；</w:t>
            </w:r>
          </w:p>
          <w:p w14:paraId="608B15AB">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3、内导体聚氯乙烯绝缘护套，外护套采用进口PVC弹性体材料，超柔、表面细滑圆整</w:t>
            </w:r>
          </w:p>
          <w:p w14:paraId="52CB2706">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4、1.2芯编织屏蔽话筒线，采用镀锡丝，聚氯乙烯绝缘，弹性PVC外护套，外径≥6.0mm；</w:t>
            </w:r>
          </w:p>
          <w:p w14:paraId="56A4EC37">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5、2x0.3mm²双绞话筒线，采用无氧铜丝，聚氯乙烯绝缘，弹性PVC外护套，屏蔽层采用无氧铜编织。</w:t>
            </w:r>
          </w:p>
          <w:p w14:paraId="1511DADC">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6、HDMI光纤线，30米，光纤传输无需外部供电即插即用，接头内置芯片，4K高清超远传输，信号稳定不受电磁干扰，具有方向性。</w:t>
            </w:r>
          </w:p>
        </w:tc>
        <w:tc>
          <w:tcPr>
            <w:tcW w:w="702" w:type="dxa"/>
            <w:vAlign w:val="center"/>
          </w:tcPr>
          <w:p w14:paraId="6905EC9B">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600</w:t>
            </w:r>
          </w:p>
        </w:tc>
        <w:tc>
          <w:tcPr>
            <w:tcW w:w="612" w:type="dxa"/>
            <w:shd w:val="clear" w:color="auto" w:fill="FFFFFF"/>
            <w:vAlign w:val="center"/>
          </w:tcPr>
          <w:p w14:paraId="2352E97A">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米</w:t>
            </w:r>
          </w:p>
        </w:tc>
      </w:tr>
      <w:tr w14:paraId="28F08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595" w:type="dxa"/>
            <w:vAlign w:val="center"/>
          </w:tcPr>
          <w:p w14:paraId="6746F284">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41</w:t>
            </w:r>
          </w:p>
        </w:tc>
        <w:tc>
          <w:tcPr>
            <w:tcW w:w="1249" w:type="dxa"/>
            <w:shd w:val="clear" w:color="auto" w:fill="FFFFFF"/>
            <w:vAlign w:val="center"/>
          </w:tcPr>
          <w:p w14:paraId="27D29EC0">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多媒体信息插座</w:t>
            </w:r>
          </w:p>
        </w:tc>
        <w:tc>
          <w:tcPr>
            <w:tcW w:w="6120" w:type="dxa"/>
            <w:shd w:val="clear" w:color="auto" w:fill="FFFFFF"/>
            <w:vAlign w:val="center"/>
          </w:tcPr>
          <w:p w14:paraId="5620FBB3">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接口类型：根据使用需求定制接口VGA/HDMI、音频、电源、USB、网络。</w:t>
            </w:r>
          </w:p>
        </w:tc>
        <w:tc>
          <w:tcPr>
            <w:tcW w:w="702" w:type="dxa"/>
            <w:vAlign w:val="center"/>
          </w:tcPr>
          <w:p w14:paraId="4A64D499">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w:t>
            </w:r>
          </w:p>
        </w:tc>
        <w:tc>
          <w:tcPr>
            <w:tcW w:w="612" w:type="dxa"/>
            <w:shd w:val="clear" w:color="auto" w:fill="FFFFFF"/>
            <w:vAlign w:val="center"/>
          </w:tcPr>
          <w:p w14:paraId="193CD1DE">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套</w:t>
            </w:r>
          </w:p>
        </w:tc>
      </w:tr>
      <w:tr w14:paraId="456E0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595" w:type="dxa"/>
            <w:vAlign w:val="center"/>
          </w:tcPr>
          <w:p w14:paraId="321931C8">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42</w:t>
            </w:r>
          </w:p>
        </w:tc>
        <w:tc>
          <w:tcPr>
            <w:tcW w:w="1249" w:type="dxa"/>
            <w:shd w:val="clear" w:color="auto" w:fill="FFFFFF"/>
            <w:vAlign w:val="center"/>
          </w:tcPr>
          <w:p w14:paraId="0B97A1E6">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六类4对非屏蔽低烟无卤电缆</w:t>
            </w:r>
          </w:p>
        </w:tc>
        <w:tc>
          <w:tcPr>
            <w:tcW w:w="6120" w:type="dxa"/>
            <w:shd w:val="clear" w:color="auto" w:fill="FFFFFF"/>
            <w:vAlign w:val="center"/>
          </w:tcPr>
          <w:p w14:paraId="25622905">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1、标准：GB/T18015.5；</w:t>
            </w:r>
          </w:p>
          <w:p w14:paraId="41CC652E">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2、符合的标准：GB/T18015.5，GB/T18380.12（IEC60332-1-2），GB/T17651.2（IEC61034-2），GB/T17650.2（IEC60754-2）（护套）；</w:t>
            </w:r>
          </w:p>
          <w:p w14:paraId="595270AC">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3、通过标准最高传输频率250MHz测试；</w:t>
            </w:r>
          </w:p>
          <w:p w14:paraId="4AB963F4">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4、单根导体直流电阻：7.4Ω/100m；</w:t>
            </w:r>
          </w:p>
          <w:p w14:paraId="453C6FF1">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5、导体规格：4×2×23AWG，导体名称：软圆铜线，绝缘：HDPE，绝缘颜色：白/蓝色、蓝色，白/橙色、橙色，白/绿色、绿色，白/棕色、棕色；</w:t>
            </w:r>
          </w:p>
          <w:p w14:paraId="3A9F4465">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6、屏蔽方式：U/UTP，线对采用“十”字骨架隔离；</w:t>
            </w:r>
          </w:p>
          <w:p w14:paraId="0B0FBA59">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护套材料：LSZH，护套外径：6.1±0.2mm，护套颜色：紫色（RAL4005）；</w:t>
            </w:r>
          </w:p>
          <w:p w14:paraId="532AAFAC">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7、护套LSZH材料，通过第三方权威机构出具的符合GB/T18380.12-2022火焰垂直蔓延试验第12部分、GB/T17651.2-2021燃烧的烟密度测定第2部分和GB/T17650.2-2021燃烧时释出气体的试验第2部分的检验。</w:t>
            </w:r>
          </w:p>
        </w:tc>
        <w:tc>
          <w:tcPr>
            <w:tcW w:w="702" w:type="dxa"/>
            <w:vAlign w:val="center"/>
          </w:tcPr>
          <w:p w14:paraId="27A23F63">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305</w:t>
            </w:r>
          </w:p>
        </w:tc>
        <w:tc>
          <w:tcPr>
            <w:tcW w:w="612" w:type="dxa"/>
            <w:shd w:val="clear" w:color="auto" w:fill="FFFFFF"/>
            <w:vAlign w:val="center"/>
          </w:tcPr>
          <w:p w14:paraId="16669401">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米</w:t>
            </w:r>
          </w:p>
        </w:tc>
      </w:tr>
      <w:tr w14:paraId="1B570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595" w:type="dxa"/>
            <w:vAlign w:val="center"/>
          </w:tcPr>
          <w:p w14:paraId="6EDC51CA">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43</w:t>
            </w:r>
          </w:p>
        </w:tc>
        <w:tc>
          <w:tcPr>
            <w:tcW w:w="1249" w:type="dxa"/>
            <w:shd w:val="clear" w:color="auto" w:fill="FFFFFF"/>
            <w:vAlign w:val="center"/>
          </w:tcPr>
          <w:p w14:paraId="153AAC72">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线缆线材及集成费</w:t>
            </w:r>
          </w:p>
        </w:tc>
        <w:tc>
          <w:tcPr>
            <w:tcW w:w="6120" w:type="dxa"/>
            <w:shd w:val="clear" w:color="auto" w:fill="FFFFFF"/>
            <w:vAlign w:val="center"/>
          </w:tcPr>
          <w:p w14:paraId="06F640D9">
            <w:pPr>
              <w:keepNext w:val="0"/>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包括报告厅多媒体会议系统建设的所有强弱电线缆线材及设备安装调试等，所有线材管材应符合国家标准，设备安装调试需按照行业规范要求。</w:t>
            </w:r>
          </w:p>
        </w:tc>
        <w:tc>
          <w:tcPr>
            <w:tcW w:w="702" w:type="dxa"/>
            <w:vAlign w:val="center"/>
          </w:tcPr>
          <w:p w14:paraId="3022777C">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w:t>
            </w:r>
          </w:p>
        </w:tc>
        <w:tc>
          <w:tcPr>
            <w:tcW w:w="612" w:type="dxa"/>
            <w:shd w:val="clear" w:color="auto" w:fill="FFFFFF"/>
            <w:vAlign w:val="center"/>
          </w:tcPr>
          <w:p w14:paraId="354EA1CB">
            <w:pPr>
              <w:keepNext w:val="0"/>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套</w:t>
            </w:r>
          </w:p>
        </w:tc>
      </w:tr>
    </w:tbl>
    <w:p w14:paraId="274A61F7">
      <w:pPr>
        <w:spacing w:line="360" w:lineRule="auto"/>
        <w:rPr>
          <w:rFonts w:ascii="Arial" w:hAnsi="Calibri" w:eastAsia="宋体" w:cs="Times New Roman"/>
          <w:szCs w:val="24"/>
        </w:rPr>
      </w:pPr>
    </w:p>
    <w:p w14:paraId="7B4A9AF5">
      <w:pP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br w:type="page"/>
      </w:r>
    </w:p>
    <w:p w14:paraId="675EE469">
      <w:pPr>
        <w:pStyle w:val="2"/>
        <w:adjustRightInd w:val="0"/>
        <w:spacing w:before="120" w:beforeLines="50" w:after="120" w:afterLines="50" w:line="360" w:lineRule="auto"/>
        <w:jc w:val="both"/>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附：评标方法和标准</w:t>
      </w:r>
      <w:r>
        <w:rPr>
          <w:rFonts w:hint="eastAsia" w:ascii="宋体" w:hAnsi="宋体" w:cs="宋体"/>
          <w:b w:val="0"/>
          <w:bCs w:val="0"/>
          <w:color w:val="auto"/>
          <w:sz w:val="28"/>
          <w:szCs w:val="28"/>
          <w:highlight w:val="none"/>
          <w:lang w:val="en-US" w:eastAsia="zh-CN"/>
        </w:rPr>
        <w:t>（</w:t>
      </w:r>
      <w:r>
        <w:rPr>
          <w:rFonts w:hint="eastAsia" w:ascii="宋体" w:hAnsi="宋体" w:cs="宋体"/>
          <w:b/>
          <w:bCs/>
          <w:color w:val="auto"/>
          <w:sz w:val="28"/>
          <w:szCs w:val="28"/>
          <w:highlight w:val="none"/>
          <w:lang w:val="en-US" w:eastAsia="zh-CN"/>
        </w:rPr>
        <w:t>综合评分法</w:t>
      </w:r>
      <w:r>
        <w:rPr>
          <w:rFonts w:hint="eastAsia" w:ascii="宋体" w:hAnsi="宋体" w:cs="宋体"/>
          <w:b w:val="0"/>
          <w:bCs w:val="0"/>
          <w:color w:val="auto"/>
          <w:sz w:val="28"/>
          <w:szCs w:val="28"/>
          <w:highlight w:val="none"/>
          <w:lang w:val="en-US" w:eastAsia="zh-CN"/>
        </w:rPr>
        <w:t>）</w:t>
      </w:r>
    </w:p>
    <w:tbl>
      <w:tblPr>
        <w:tblStyle w:val="25"/>
        <w:tblW w:w="971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28" w:type="dxa"/>
          <w:bottom w:w="0" w:type="dxa"/>
          <w:right w:w="28" w:type="dxa"/>
        </w:tblCellMar>
      </w:tblPr>
      <w:tblGrid>
        <w:gridCol w:w="1282"/>
        <w:gridCol w:w="1244"/>
        <w:gridCol w:w="6410"/>
        <w:gridCol w:w="777"/>
      </w:tblGrid>
      <w:tr w14:paraId="0C8951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614" w:hRule="atLeast"/>
          <w:jc w:val="center"/>
        </w:trPr>
        <w:tc>
          <w:tcPr>
            <w:tcW w:w="1282" w:type="dxa"/>
            <w:vAlign w:val="center"/>
          </w:tcPr>
          <w:p w14:paraId="5F459F8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类别</w:t>
            </w:r>
          </w:p>
        </w:tc>
        <w:tc>
          <w:tcPr>
            <w:tcW w:w="1244" w:type="dxa"/>
            <w:vAlign w:val="center"/>
          </w:tcPr>
          <w:p w14:paraId="3FBBC94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评分内容</w:t>
            </w:r>
          </w:p>
        </w:tc>
        <w:tc>
          <w:tcPr>
            <w:tcW w:w="6410" w:type="dxa"/>
            <w:vAlign w:val="center"/>
          </w:tcPr>
          <w:p w14:paraId="4914157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评分标准</w:t>
            </w:r>
          </w:p>
        </w:tc>
        <w:tc>
          <w:tcPr>
            <w:tcW w:w="777" w:type="dxa"/>
            <w:vAlign w:val="center"/>
          </w:tcPr>
          <w:p w14:paraId="4BA5EA8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分值范围</w:t>
            </w:r>
          </w:p>
        </w:tc>
      </w:tr>
      <w:tr w14:paraId="35B683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90" w:hRule="atLeast"/>
          <w:jc w:val="center"/>
        </w:trPr>
        <w:tc>
          <w:tcPr>
            <w:tcW w:w="1282" w:type="dxa"/>
            <w:vMerge w:val="restart"/>
            <w:vAlign w:val="center"/>
          </w:tcPr>
          <w:p w14:paraId="328C037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技术资信分（70分）</w:t>
            </w:r>
          </w:p>
        </w:tc>
        <w:tc>
          <w:tcPr>
            <w:tcW w:w="1244" w:type="dxa"/>
            <w:vAlign w:val="center"/>
          </w:tcPr>
          <w:p w14:paraId="70C9E55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技术参数</w:t>
            </w:r>
          </w:p>
        </w:tc>
        <w:tc>
          <w:tcPr>
            <w:tcW w:w="6410" w:type="dxa"/>
            <w:vAlign w:val="center"/>
          </w:tcPr>
          <w:p w14:paraId="3179173D">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采购需求中标“★”项为重要技术参数指标，每满足一项得2分（共 15 项），满分30分。</w:t>
            </w:r>
            <w:r>
              <w:rPr>
                <w:rFonts w:hint="eastAsia" w:ascii="宋体" w:hAnsi="宋体" w:eastAsia="宋体" w:cs="宋体"/>
                <w:sz w:val="24"/>
                <w:szCs w:val="24"/>
              </w:rPr>
              <w:br w:type="textWrapping"/>
            </w:r>
            <w:r>
              <w:rPr>
                <w:rFonts w:hint="eastAsia" w:ascii="宋体" w:hAnsi="宋体" w:eastAsia="宋体" w:cs="宋体"/>
                <w:sz w:val="24"/>
                <w:szCs w:val="24"/>
              </w:rPr>
              <w:t>注：以投标文件响应情况表和采购需求中要求提供的证明材料作为评审依据。</w:t>
            </w:r>
          </w:p>
        </w:tc>
        <w:tc>
          <w:tcPr>
            <w:tcW w:w="777" w:type="dxa"/>
            <w:vAlign w:val="center"/>
          </w:tcPr>
          <w:p w14:paraId="2E103EA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rPr>
              <w:t>0-</w:t>
            </w:r>
            <w:r>
              <w:rPr>
                <w:rFonts w:hint="eastAsia" w:ascii="宋体" w:hAnsi="宋体" w:eastAsia="宋体" w:cs="宋体"/>
                <w:sz w:val="24"/>
                <w:szCs w:val="24"/>
                <w:lang w:val="en-US" w:eastAsia="zh-CN"/>
              </w:rPr>
              <w:t>30</w:t>
            </w:r>
          </w:p>
        </w:tc>
      </w:tr>
      <w:tr w14:paraId="130BED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686" w:hRule="atLeast"/>
          <w:jc w:val="center"/>
        </w:trPr>
        <w:tc>
          <w:tcPr>
            <w:tcW w:w="1282" w:type="dxa"/>
            <w:vMerge w:val="continue"/>
            <w:vAlign w:val="center"/>
          </w:tcPr>
          <w:p w14:paraId="4818CF0B">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eastAsia="宋体" w:cs="宋体"/>
                <w:sz w:val="24"/>
                <w:szCs w:val="24"/>
              </w:rPr>
            </w:pPr>
          </w:p>
        </w:tc>
        <w:tc>
          <w:tcPr>
            <w:tcW w:w="1244" w:type="dxa"/>
            <w:shd w:val="clear" w:color="auto" w:fill="auto"/>
            <w:vAlign w:val="center"/>
          </w:tcPr>
          <w:p w14:paraId="7C469C79">
            <w:pPr>
              <w:keepNext/>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实施方案</w:t>
            </w:r>
          </w:p>
        </w:tc>
        <w:tc>
          <w:tcPr>
            <w:tcW w:w="6410" w:type="dxa"/>
            <w:shd w:val="clear" w:color="auto" w:fill="auto"/>
            <w:vAlign w:val="center"/>
          </w:tcPr>
          <w:p w14:paraId="2D8C977A">
            <w:pPr>
              <w:keepNext/>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评标委员会根据招标文件要求及投标人提供的实施方案情况，进行综合评分，至少包含下列内容：项目组织管理，项目集成措施，项目进度计划，项目质量控制等。</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(1)对本项目特点和难点理解准确，方案优于本项目采购需求，完整详细，可行性、实用性、针对性强，得 5 分；</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(2)对本项目特点和难点理解基本准确，方案适合本项目采购需求，完整详细，具有可行性、实用性和针对性，得 3 分；</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(3)对本项目特点和难点理解有待提升，方案基本适合本项目采购需求，可行性、实用性、针对性有待改善，得 1 分；</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(4)方案不可行或者未提供得 0 分。</w:t>
            </w:r>
          </w:p>
        </w:tc>
        <w:tc>
          <w:tcPr>
            <w:tcW w:w="777" w:type="dxa"/>
            <w:shd w:val="clear" w:color="auto" w:fill="auto"/>
            <w:vAlign w:val="center"/>
          </w:tcPr>
          <w:p w14:paraId="7D5E3442">
            <w:pPr>
              <w:keepNext/>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0-5</w:t>
            </w:r>
          </w:p>
        </w:tc>
      </w:tr>
      <w:tr w14:paraId="56233C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31" w:hRule="atLeast"/>
          <w:jc w:val="center"/>
        </w:trPr>
        <w:tc>
          <w:tcPr>
            <w:tcW w:w="1282" w:type="dxa"/>
            <w:vMerge w:val="continue"/>
            <w:vAlign w:val="center"/>
          </w:tcPr>
          <w:p w14:paraId="00D5C948">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eastAsia="宋体" w:cs="宋体"/>
                <w:sz w:val="24"/>
                <w:szCs w:val="24"/>
              </w:rPr>
            </w:pPr>
          </w:p>
        </w:tc>
        <w:tc>
          <w:tcPr>
            <w:tcW w:w="1244" w:type="dxa"/>
            <w:shd w:val="clear" w:color="auto" w:fill="auto"/>
            <w:vAlign w:val="center"/>
          </w:tcPr>
          <w:p w14:paraId="229AE5A9">
            <w:pPr>
              <w:keepNext/>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sz w:val="24"/>
                <w:szCs w:val="24"/>
              </w:rPr>
              <w:t>现场服务保障方案</w:t>
            </w:r>
          </w:p>
        </w:tc>
        <w:tc>
          <w:tcPr>
            <w:tcW w:w="6410" w:type="dxa"/>
            <w:shd w:val="clear" w:color="auto" w:fill="auto"/>
            <w:vAlign w:val="center"/>
          </w:tcPr>
          <w:p w14:paraId="5393C6C5">
            <w:pPr>
              <w:pStyle w:val="7"/>
              <w:keepLines w:val="0"/>
              <w:pageBreakBefore w:val="0"/>
              <w:kinsoku/>
              <w:wordWrap/>
              <w:overflowPunct/>
              <w:topLinePunct w:val="0"/>
              <w:autoSpaceDE/>
              <w:autoSpaceDN/>
              <w:bidi w:val="0"/>
              <w:adjustRightInd/>
              <w:spacing w:line="400" w:lineRule="exact"/>
              <w:ind w:firstLine="0" w:firstLineChars="0"/>
              <w:jc w:val="both"/>
              <w:rPr>
                <w:rFonts w:hint="eastAsia" w:ascii="宋体" w:hAnsi="宋体" w:eastAsia="宋体" w:cs="宋体"/>
                <w:sz w:val="24"/>
                <w:szCs w:val="24"/>
              </w:rPr>
            </w:pPr>
            <w:r>
              <w:rPr>
                <w:rFonts w:hint="eastAsia" w:ascii="宋体" w:hAnsi="宋体" w:eastAsia="宋体" w:cs="宋体"/>
                <w:sz w:val="24"/>
                <w:szCs w:val="24"/>
                <w:lang w:eastAsia="zh-CN"/>
              </w:rPr>
              <w:t>评标委员会根据招标文件要求及投标人提供的售后服务方案情况，进行综合评分，</w:t>
            </w:r>
            <w:r>
              <w:rPr>
                <w:rFonts w:hint="eastAsia" w:ascii="宋体" w:hAnsi="宋体" w:eastAsia="宋体" w:cs="宋体"/>
                <w:color w:val="000000" w:themeColor="text1"/>
                <w:kern w:val="0"/>
                <w:sz w:val="24"/>
                <w:szCs w:val="24"/>
                <w:lang w:bidi="ar"/>
                <w14:textFill>
                  <w14:solidFill>
                    <w14:schemeClr w14:val="tx1"/>
                  </w14:solidFill>
                </w14:textFill>
              </w:rPr>
              <w:t>至少包含下列内容：服务组织架构与人员配置</w:t>
            </w:r>
            <w:r>
              <w:rPr>
                <w:rFonts w:hint="eastAsia" w:ascii="宋体" w:hAnsi="宋体" w:eastAsia="宋体" w:cs="宋体"/>
                <w:color w:val="000000" w:themeColor="text1"/>
                <w:kern w:val="0"/>
                <w:sz w:val="24"/>
                <w:szCs w:val="24"/>
                <w:lang w:eastAsia="zh-CN" w:bidi="ar"/>
                <w14:textFill>
                  <w14:solidFill>
                    <w14:schemeClr w14:val="tx1"/>
                  </w14:solidFill>
                </w14:textFill>
              </w:rPr>
              <w:t>、现场服务内容与流程、备品备件与后勤保障</w:t>
            </w:r>
            <w:r>
              <w:rPr>
                <w:rFonts w:hint="eastAsia" w:ascii="宋体" w:hAnsi="宋体" w:eastAsia="宋体" w:cs="宋体"/>
                <w:color w:val="000000" w:themeColor="text1"/>
                <w:kern w:val="0"/>
                <w:sz w:val="24"/>
                <w:szCs w:val="24"/>
                <w:lang w:bidi="ar"/>
                <w14:textFill>
                  <w14:solidFill>
                    <w14:schemeClr w14:val="tx1"/>
                  </w14:solidFill>
                </w14:textFill>
              </w:rPr>
              <w:t>等。</w:t>
            </w:r>
          </w:p>
          <w:p w14:paraId="3515C637">
            <w:pPr>
              <w:keepNext/>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(1)对本项目特点和难点理解准确，方案优于本项目采购需求，完整详细，可行性、实用性、针对性强，得 5 分；</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(2)对本项目特点和难点理解基本准确，方案适合本项目采购需求，完整详细，具有可行性、实用性和针对性，得 3 分；</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(3)对本项目特点和难点理解有待提升，方案基本适合本项目采购需求，可行性、实用性、针对性有待改善，得 1 分；</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(4)方案不可行或者未提供得 0 分。</w:t>
            </w:r>
          </w:p>
        </w:tc>
        <w:tc>
          <w:tcPr>
            <w:tcW w:w="777" w:type="dxa"/>
            <w:shd w:val="clear" w:color="auto" w:fill="auto"/>
            <w:vAlign w:val="center"/>
          </w:tcPr>
          <w:p w14:paraId="51E264D4">
            <w:pPr>
              <w:keepNext/>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0"/>
                <w:sz w:val="24"/>
                <w:szCs w:val="24"/>
                <w:lang w:val="en-US" w:eastAsia="en-US" w:bidi="ar"/>
                <w14:textFill>
                  <w14:solidFill>
                    <w14:schemeClr w14:val="tx1"/>
                  </w14:solidFill>
                </w14:textFill>
              </w:rPr>
            </w:pPr>
            <w:r>
              <w:rPr>
                <w:rFonts w:hint="eastAsia" w:ascii="宋体" w:hAnsi="宋体" w:eastAsia="宋体" w:cs="宋体"/>
                <w:sz w:val="24"/>
                <w:szCs w:val="24"/>
              </w:rPr>
              <w:t>0-5</w:t>
            </w:r>
          </w:p>
        </w:tc>
      </w:tr>
      <w:tr w14:paraId="49A41B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954" w:hRule="atLeast"/>
          <w:jc w:val="center"/>
        </w:trPr>
        <w:tc>
          <w:tcPr>
            <w:tcW w:w="1282" w:type="dxa"/>
            <w:vMerge w:val="continue"/>
            <w:vAlign w:val="center"/>
          </w:tcPr>
          <w:p w14:paraId="26F8770F">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eastAsia="宋体" w:cs="宋体"/>
                <w:sz w:val="24"/>
                <w:szCs w:val="24"/>
              </w:rPr>
            </w:pPr>
          </w:p>
        </w:tc>
        <w:tc>
          <w:tcPr>
            <w:tcW w:w="1244" w:type="dxa"/>
            <w:shd w:val="clear" w:color="auto" w:fill="auto"/>
            <w:vAlign w:val="center"/>
          </w:tcPr>
          <w:p w14:paraId="7E6263D8">
            <w:pPr>
              <w:keepNext/>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售后服务</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方案</w:t>
            </w:r>
          </w:p>
        </w:tc>
        <w:tc>
          <w:tcPr>
            <w:tcW w:w="6410" w:type="dxa"/>
            <w:shd w:val="clear" w:color="auto" w:fill="auto"/>
            <w:vAlign w:val="center"/>
          </w:tcPr>
          <w:p w14:paraId="088486E5">
            <w:pPr>
              <w:keepNext/>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评标委员会根据招标文件要求及投标人提供的售后服务方案情况，进行综合评分，至少包含下列内容：售后服务机构及服务人员、设备维护服务流程、售后服务受理渠道、维护服务措施及响应时间等。</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(1)对本项目特点和难点理解准确，方案优于本项目采购需求，完整详细，可行性、实用性、针对性强，得 5 分；</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(2)对本项目特点和难点理解基本准确，方案适合本项目采购需求，完整详细，具有可行性、实用性和针对性，得 3 分；</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(3)对本项目特点和难点理解有待提升，方案基本适合本项目采购需求，可行性、实用性、针对性有待改善，得 1 分；</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(4)方案不可行或者未提供得 0 分。</w:t>
            </w:r>
          </w:p>
        </w:tc>
        <w:tc>
          <w:tcPr>
            <w:tcW w:w="777" w:type="dxa"/>
            <w:shd w:val="clear" w:color="auto" w:fill="auto"/>
            <w:vAlign w:val="center"/>
          </w:tcPr>
          <w:p w14:paraId="63449662">
            <w:pPr>
              <w:keepNext/>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2"/>
                <w:sz w:val="24"/>
                <w:szCs w:val="24"/>
                <w:lang w:val="en-US" w:eastAsia="en-US"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0-5</w:t>
            </w:r>
          </w:p>
        </w:tc>
      </w:tr>
      <w:tr w14:paraId="1140EC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2390" w:hRule="atLeast"/>
          <w:jc w:val="center"/>
        </w:trPr>
        <w:tc>
          <w:tcPr>
            <w:tcW w:w="1282" w:type="dxa"/>
            <w:vMerge w:val="continue"/>
            <w:vAlign w:val="center"/>
          </w:tcPr>
          <w:p w14:paraId="4755FF3B">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eastAsia="宋体" w:cs="宋体"/>
                <w:sz w:val="24"/>
                <w:szCs w:val="24"/>
              </w:rPr>
            </w:pPr>
          </w:p>
        </w:tc>
        <w:tc>
          <w:tcPr>
            <w:tcW w:w="1244" w:type="dxa"/>
            <w:shd w:val="clear" w:color="auto" w:fill="auto"/>
            <w:vAlign w:val="center"/>
          </w:tcPr>
          <w:p w14:paraId="22FE9E9D">
            <w:pPr>
              <w:keepNext/>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培训方案</w:t>
            </w:r>
          </w:p>
        </w:tc>
        <w:tc>
          <w:tcPr>
            <w:tcW w:w="6410" w:type="dxa"/>
            <w:shd w:val="clear" w:color="auto" w:fill="auto"/>
            <w:vAlign w:val="center"/>
          </w:tcPr>
          <w:p w14:paraId="23392622">
            <w:pPr>
              <w:keepNext/>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评标委员会根据招标文件要求及投标人提供的培训方案情况，进行综合评分，至少包含下列内容：培训计划（包含培训对象、培训内容、培训方式等）、培训师资人员配备等。</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(1)对本项目特点和难点理解准确，方案优于本项目采购需求，完整详细，可行性、实用性、针对性强，得 5 分；</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(2)对本项目特点和难点理解基本准确，方案适合本项目采购需求，完整详细，具有可行性、实用性和针对性，得 3 分；</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(3)对本项目特点和难点理解有待提升，方案基本适合本项目采购需求，可行性、实用性、针对性有待改善，得 1 分；</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(4)方案不可行或者未提供得 0 分。</w:t>
            </w:r>
          </w:p>
        </w:tc>
        <w:tc>
          <w:tcPr>
            <w:tcW w:w="777" w:type="dxa"/>
            <w:shd w:val="clear" w:color="auto" w:fill="auto"/>
            <w:vAlign w:val="center"/>
          </w:tcPr>
          <w:p w14:paraId="318ED4C6">
            <w:pPr>
              <w:keepNext/>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0-5</w:t>
            </w:r>
          </w:p>
        </w:tc>
      </w:tr>
      <w:tr w14:paraId="2E75AA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90" w:hRule="atLeast"/>
          <w:jc w:val="center"/>
        </w:trPr>
        <w:tc>
          <w:tcPr>
            <w:tcW w:w="1282" w:type="dxa"/>
            <w:vMerge w:val="continue"/>
            <w:vAlign w:val="center"/>
          </w:tcPr>
          <w:p w14:paraId="33356A70">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eastAsia="宋体" w:cs="宋体"/>
                <w:sz w:val="24"/>
                <w:szCs w:val="24"/>
              </w:rPr>
            </w:pPr>
          </w:p>
        </w:tc>
        <w:tc>
          <w:tcPr>
            <w:tcW w:w="1244" w:type="dxa"/>
            <w:tcBorders>
              <w:bottom w:val="single" w:color="auto" w:sz="4" w:space="0"/>
            </w:tcBorders>
            <w:shd w:val="clear" w:color="auto" w:fill="auto"/>
            <w:vAlign w:val="center"/>
          </w:tcPr>
          <w:p w14:paraId="412E8A71">
            <w:pPr>
              <w:keepNext/>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2"/>
                <w:sz w:val="24"/>
                <w:szCs w:val="24"/>
                <w:lang w:val="en-US" w:eastAsia="en-US"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应急方案</w:t>
            </w:r>
          </w:p>
        </w:tc>
        <w:tc>
          <w:tcPr>
            <w:tcW w:w="6410" w:type="dxa"/>
            <w:tcBorders>
              <w:bottom w:val="single" w:color="auto" w:sz="4" w:space="0"/>
            </w:tcBorders>
            <w:shd w:val="clear" w:color="auto" w:fill="auto"/>
            <w:vAlign w:val="center"/>
          </w:tcPr>
          <w:p w14:paraId="0B4B4776">
            <w:pPr>
              <w:keepNext/>
              <w:keepLines w:val="0"/>
              <w:pageBreakBefore w:val="0"/>
              <w:widowControl/>
              <w:kinsoku/>
              <w:wordWrap/>
              <w:overflowPunct/>
              <w:topLinePunct w:val="0"/>
              <w:autoSpaceDE/>
              <w:autoSpaceDN/>
              <w:bidi w:val="0"/>
              <w:adjustRightInd/>
              <w:snapToGrid w:val="0"/>
              <w:spacing w:line="400" w:lineRule="exact"/>
              <w:jc w:val="both"/>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评标委员会根据招标文件要求及投标人提供的应急方案情况，进行综合评分，至少包含下列内容：分级响应措施、应急响应保障、响应时限等。</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(1)对本项目特点和难点理解准确，方案优于本项目采购需求，完整详细，可行性、实用性、针对性强，得 5 分；</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(2)对本项目特点和难点理解基本准确，方案适合本项目采购需求，完整详细，具有可行性、实用性和针对性，得 3 分；</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(3)对本项目特点和难点理解有待提升，方案基本适合本项目采购需求，可行性、实用性、针对性有待改善，得 1 分；</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(4)方案不可行或者未提供得 0 分。</w:t>
            </w:r>
          </w:p>
        </w:tc>
        <w:tc>
          <w:tcPr>
            <w:tcW w:w="777" w:type="dxa"/>
            <w:tcBorders>
              <w:bottom w:val="single" w:color="auto" w:sz="4" w:space="0"/>
            </w:tcBorders>
            <w:shd w:val="clear" w:color="auto" w:fill="auto"/>
            <w:vAlign w:val="center"/>
          </w:tcPr>
          <w:p w14:paraId="5B9CB546">
            <w:pPr>
              <w:keepNext/>
              <w:keepLines w:val="0"/>
              <w:pageBreakBefore w:val="0"/>
              <w:widowControl/>
              <w:kinsoku/>
              <w:wordWrap/>
              <w:overflowPunct/>
              <w:topLinePunct w:val="0"/>
              <w:autoSpaceDE/>
              <w:autoSpaceDN/>
              <w:bidi w:val="0"/>
              <w:adjustRightInd/>
              <w:snapToGrid w:val="0"/>
              <w:spacing w:line="400" w:lineRule="exact"/>
              <w:jc w:val="center"/>
              <w:textAlignment w:val="center"/>
              <w:rPr>
                <w:rFonts w:hint="eastAsia" w:ascii="宋体" w:hAnsi="宋体" w:eastAsia="宋体" w:cs="宋体"/>
                <w:color w:val="000000" w:themeColor="text1"/>
                <w:kern w:val="2"/>
                <w:sz w:val="24"/>
                <w:szCs w:val="24"/>
                <w:lang w:val="en-US" w:eastAsia="en-US"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0-5</w:t>
            </w:r>
          </w:p>
        </w:tc>
      </w:tr>
      <w:tr w14:paraId="4009DB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90" w:hRule="atLeast"/>
          <w:jc w:val="center"/>
        </w:trPr>
        <w:tc>
          <w:tcPr>
            <w:tcW w:w="1282" w:type="dxa"/>
            <w:vMerge w:val="continue"/>
            <w:tcBorders>
              <w:bottom w:val="single" w:color="auto" w:sz="4" w:space="0"/>
            </w:tcBorders>
            <w:vAlign w:val="center"/>
          </w:tcPr>
          <w:p w14:paraId="484E8DF3">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eastAsia="宋体" w:cs="宋体"/>
                <w:sz w:val="24"/>
                <w:szCs w:val="24"/>
              </w:rPr>
            </w:pPr>
          </w:p>
        </w:tc>
        <w:tc>
          <w:tcPr>
            <w:tcW w:w="1244" w:type="dxa"/>
            <w:tcBorders>
              <w:bottom w:val="single" w:color="auto" w:sz="4" w:space="0"/>
            </w:tcBorders>
            <w:shd w:val="clear" w:color="auto" w:fill="auto"/>
            <w:vAlign w:val="center"/>
          </w:tcPr>
          <w:p w14:paraId="6EE072D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2"/>
                <w:sz w:val="24"/>
                <w:szCs w:val="24"/>
                <w:lang w:val="en-US" w:eastAsia="en-US" w:bidi="ar-SA"/>
              </w:rPr>
            </w:pPr>
            <w:r>
              <w:rPr>
                <w:rFonts w:hint="eastAsia" w:ascii="宋体" w:hAnsi="宋体" w:eastAsia="宋体" w:cs="宋体"/>
                <w:sz w:val="24"/>
                <w:szCs w:val="24"/>
              </w:rPr>
              <w:t>业绩</w:t>
            </w:r>
          </w:p>
        </w:tc>
        <w:tc>
          <w:tcPr>
            <w:tcW w:w="6410" w:type="dxa"/>
            <w:tcBorders>
              <w:bottom w:val="single" w:color="auto" w:sz="4" w:space="0"/>
            </w:tcBorders>
            <w:shd w:val="clear" w:color="auto" w:fill="auto"/>
            <w:vAlign w:val="center"/>
          </w:tcPr>
          <w:p w14:paraId="6B6297AB">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rPr>
              <w:t>投标人具有类似业绩的，每提供一个</w:t>
            </w:r>
            <w:r>
              <w:rPr>
                <w:rFonts w:hint="eastAsia" w:ascii="宋体" w:hAnsi="宋体" w:eastAsia="宋体" w:cs="宋体"/>
                <w:sz w:val="24"/>
                <w:szCs w:val="24"/>
                <w:highlight w:val="none"/>
              </w:rPr>
              <w:t>得</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分，满分</w:t>
            </w:r>
            <w:r>
              <w:rPr>
                <w:rFonts w:hint="eastAsia" w:ascii="宋体" w:hAnsi="宋体" w:eastAsia="宋体" w:cs="宋体"/>
                <w:sz w:val="24"/>
                <w:szCs w:val="24"/>
                <w:highlight w:val="none"/>
                <w:lang w:val="en-US" w:eastAsia="zh-CN"/>
              </w:rPr>
              <w:t>15</w:t>
            </w:r>
            <w:r>
              <w:rPr>
                <w:rFonts w:hint="eastAsia" w:ascii="宋体" w:hAnsi="宋体" w:eastAsia="宋体" w:cs="宋体"/>
                <w:sz w:val="24"/>
                <w:szCs w:val="24"/>
                <w:highlight w:val="none"/>
              </w:rPr>
              <w:t>分。</w:t>
            </w:r>
            <w:r>
              <w:rPr>
                <w:rFonts w:hint="eastAsia" w:ascii="宋体" w:hAnsi="宋体" w:eastAsia="宋体" w:cs="宋体"/>
                <w:sz w:val="24"/>
                <w:szCs w:val="24"/>
              </w:rPr>
              <w:br w:type="textWrapping"/>
            </w:r>
            <w:r>
              <w:rPr>
                <w:rFonts w:hint="eastAsia" w:ascii="宋体" w:hAnsi="宋体" w:eastAsia="宋体" w:cs="宋体"/>
                <w:b/>
                <w:bCs/>
                <w:sz w:val="24"/>
                <w:szCs w:val="24"/>
              </w:rPr>
              <w:t>注：</w:t>
            </w:r>
            <w:r>
              <w:rPr>
                <w:rFonts w:hint="eastAsia" w:ascii="宋体" w:hAnsi="宋体" w:eastAsia="宋体" w:cs="宋体"/>
                <w:b w:val="0"/>
                <w:bCs w:val="0"/>
                <w:sz w:val="24"/>
                <w:szCs w:val="24"/>
              </w:rPr>
              <w:t>投标文件中提供业绩合同及验收</w:t>
            </w:r>
            <w:r>
              <w:rPr>
                <w:rFonts w:hint="eastAsia" w:ascii="宋体" w:hAnsi="宋体" w:cs="宋体"/>
                <w:b w:val="0"/>
                <w:bCs w:val="0"/>
                <w:sz w:val="24"/>
                <w:szCs w:val="24"/>
                <w:lang w:val="en-US" w:eastAsia="zh-CN"/>
              </w:rPr>
              <w:t>合格</w:t>
            </w:r>
            <w:r>
              <w:rPr>
                <w:rFonts w:hint="eastAsia" w:ascii="宋体" w:hAnsi="宋体" w:eastAsia="宋体" w:cs="宋体"/>
                <w:b w:val="0"/>
                <w:bCs w:val="0"/>
                <w:sz w:val="24"/>
                <w:szCs w:val="24"/>
              </w:rPr>
              <w:t>证明材料扫描件。如合同或验收</w:t>
            </w:r>
            <w:r>
              <w:rPr>
                <w:rFonts w:hint="eastAsia" w:ascii="宋体" w:hAnsi="宋体" w:cs="宋体"/>
                <w:b w:val="0"/>
                <w:bCs w:val="0"/>
                <w:sz w:val="24"/>
                <w:szCs w:val="24"/>
                <w:lang w:val="en-US" w:eastAsia="zh-CN"/>
              </w:rPr>
              <w:t>合格</w:t>
            </w:r>
            <w:r>
              <w:rPr>
                <w:rFonts w:hint="eastAsia" w:ascii="宋体" w:hAnsi="宋体" w:eastAsia="宋体" w:cs="宋体"/>
                <w:b w:val="0"/>
                <w:bCs w:val="0"/>
                <w:sz w:val="24"/>
                <w:szCs w:val="24"/>
              </w:rPr>
              <w:t>证明材料中无法体现</w:t>
            </w:r>
            <w:r>
              <w:rPr>
                <w:rFonts w:hint="eastAsia" w:ascii="宋体" w:hAnsi="宋体" w:cs="宋体"/>
                <w:b w:val="0"/>
                <w:bCs w:val="0"/>
                <w:sz w:val="24"/>
                <w:szCs w:val="24"/>
                <w:lang w:val="en-US" w:eastAsia="zh-CN"/>
              </w:rPr>
              <w:t>供货</w:t>
            </w:r>
            <w:r>
              <w:rPr>
                <w:rFonts w:hint="eastAsia" w:ascii="宋体" w:hAnsi="宋体" w:eastAsia="宋体" w:cs="宋体"/>
                <w:b w:val="0"/>
                <w:bCs w:val="0"/>
                <w:sz w:val="24"/>
                <w:szCs w:val="24"/>
              </w:rPr>
              <w:t>内容等评审要素的，须</w:t>
            </w:r>
            <w:r>
              <w:rPr>
                <w:rFonts w:hint="eastAsia" w:ascii="宋体" w:hAnsi="宋体" w:cs="宋体"/>
                <w:b w:val="0"/>
                <w:bCs w:val="0"/>
                <w:sz w:val="24"/>
                <w:szCs w:val="24"/>
                <w:lang w:val="en-US" w:eastAsia="zh-CN"/>
              </w:rPr>
              <w:t>另附</w:t>
            </w:r>
            <w:r>
              <w:rPr>
                <w:rFonts w:hint="eastAsia" w:ascii="宋体" w:hAnsi="宋体" w:eastAsia="宋体" w:cs="宋体"/>
                <w:b w:val="0"/>
                <w:bCs w:val="0"/>
                <w:sz w:val="24"/>
                <w:szCs w:val="24"/>
              </w:rPr>
              <w:t>合同甲方加盖公章的证明材料，否则不得分。</w:t>
            </w:r>
          </w:p>
        </w:tc>
        <w:tc>
          <w:tcPr>
            <w:tcW w:w="777" w:type="dxa"/>
            <w:tcBorders>
              <w:bottom w:val="single" w:color="auto" w:sz="4" w:space="0"/>
            </w:tcBorders>
            <w:shd w:val="clear" w:color="auto" w:fill="auto"/>
            <w:vAlign w:val="center"/>
          </w:tcPr>
          <w:p w14:paraId="70BD283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宋体" w:hAnsi="宋体" w:eastAsia="宋体" w:cs="宋体"/>
                <w:kern w:val="2"/>
                <w:sz w:val="24"/>
                <w:szCs w:val="24"/>
                <w:lang w:val="en-US" w:eastAsia="en-US" w:bidi="ar-SA"/>
              </w:rPr>
            </w:pPr>
            <w:r>
              <w:rPr>
                <w:rFonts w:hint="eastAsia" w:ascii="宋体" w:hAnsi="宋体" w:eastAsia="宋体" w:cs="宋体"/>
                <w:sz w:val="24"/>
                <w:szCs w:val="24"/>
              </w:rPr>
              <w:t>0-</w:t>
            </w:r>
            <w:r>
              <w:rPr>
                <w:rFonts w:hint="eastAsia" w:ascii="宋体" w:hAnsi="宋体" w:eastAsia="宋体" w:cs="宋体"/>
                <w:sz w:val="24"/>
                <w:szCs w:val="24"/>
                <w:lang w:val="en-US" w:eastAsia="zh-CN"/>
              </w:rPr>
              <w:t>15</w:t>
            </w:r>
          </w:p>
        </w:tc>
      </w:tr>
      <w:tr w14:paraId="4EA933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664" w:hRule="atLeast"/>
          <w:jc w:val="center"/>
        </w:trPr>
        <w:tc>
          <w:tcPr>
            <w:tcW w:w="1282" w:type="dxa"/>
            <w:tcBorders>
              <w:top w:val="single" w:color="auto" w:sz="4" w:space="0"/>
            </w:tcBorders>
            <w:vAlign w:val="center"/>
          </w:tcPr>
          <w:p w14:paraId="49B2678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价格分</w:t>
            </w:r>
          </w:p>
          <w:p w14:paraId="500043F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（30分）</w:t>
            </w:r>
          </w:p>
        </w:tc>
        <w:tc>
          <w:tcPr>
            <w:tcW w:w="8431" w:type="dxa"/>
            <w:gridSpan w:val="3"/>
            <w:tcBorders>
              <w:top w:val="single" w:color="auto" w:sz="4" w:space="0"/>
            </w:tcBorders>
            <w:vAlign w:val="center"/>
          </w:tcPr>
          <w:p w14:paraId="5EC0A499">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价格分统一采用低价优先法，即满足招标文件要求且投标价格最低的投标报价为评标基准价，其价格分为满分30分。其他投标人的价格分统一按照下列公式计算：投标报价得分＝（评标基准价/投标报价）×30%×100</w:t>
            </w:r>
          </w:p>
        </w:tc>
      </w:tr>
    </w:tbl>
    <w:p w14:paraId="207D9AA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i w:val="0"/>
          <w:iCs w:val="0"/>
          <w:color w:val="auto"/>
          <w:kern w:val="0"/>
          <w:sz w:val="24"/>
          <w:szCs w:val="24"/>
          <w:u w:val="none"/>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3F21A6E-538A-496F-B1C6-7A7259B9CA05}"/>
  </w:font>
  <w:font w:name="黑体">
    <w:panose1 w:val="02010609060101010101"/>
    <w:charset w:val="86"/>
    <w:family w:val="auto"/>
    <w:pitch w:val="default"/>
    <w:sig w:usb0="800002BF" w:usb1="38CF7CFA" w:usb2="00000016" w:usb3="00000000" w:csb0="00040001" w:csb1="00000000"/>
    <w:embedRegular r:id="rId2" w:fontKey="{3D73B4B1-DB99-4076-AE11-9E3479B2FE0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503D8221-93F0-4BF9-9F0F-9FA2C3662AEF}"/>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4" w:fontKey="{6E9A595A-4D93-46D0-88F4-F25EC5F4E9FE}"/>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zOTY4N2M3MjM1MGZjN2U0OGFmZTViMDE2YWY5ZWIifQ=="/>
  </w:docVars>
  <w:rsids>
    <w:rsidRoot w:val="581D01BC"/>
    <w:rsid w:val="058A40EC"/>
    <w:rsid w:val="05B31F3F"/>
    <w:rsid w:val="063B3B44"/>
    <w:rsid w:val="07600A42"/>
    <w:rsid w:val="0946009F"/>
    <w:rsid w:val="0BD6383C"/>
    <w:rsid w:val="0E830A70"/>
    <w:rsid w:val="127A7D9F"/>
    <w:rsid w:val="14836939"/>
    <w:rsid w:val="159641E1"/>
    <w:rsid w:val="159D1E8E"/>
    <w:rsid w:val="16C65E99"/>
    <w:rsid w:val="17E12A82"/>
    <w:rsid w:val="19F7AF85"/>
    <w:rsid w:val="1A2126C1"/>
    <w:rsid w:val="1A89658D"/>
    <w:rsid w:val="1B3B212D"/>
    <w:rsid w:val="1B674782"/>
    <w:rsid w:val="1DAB33EB"/>
    <w:rsid w:val="1DE31F74"/>
    <w:rsid w:val="1F8E02FF"/>
    <w:rsid w:val="20CF0BA0"/>
    <w:rsid w:val="21F02D5A"/>
    <w:rsid w:val="21F37A85"/>
    <w:rsid w:val="226513C9"/>
    <w:rsid w:val="22E71749"/>
    <w:rsid w:val="24464D5F"/>
    <w:rsid w:val="26F508F8"/>
    <w:rsid w:val="27B8333E"/>
    <w:rsid w:val="28DD2114"/>
    <w:rsid w:val="292F2BC0"/>
    <w:rsid w:val="29FC682E"/>
    <w:rsid w:val="2A2E3974"/>
    <w:rsid w:val="2EB06528"/>
    <w:rsid w:val="2F0362CE"/>
    <w:rsid w:val="2F9037FD"/>
    <w:rsid w:val="309816C2"/>
    <w:rsid w:val="319C46DB"/>
    <w:rsid w:val="33E56641"/>
    <w:rsid w:val="33F23FC7"/>
    <w:rsid w:val="35124AD5"/>
    <w:rsid w:val="360F52F8"/>
    <w:rsid w:val="36FE5292"/>
    <w:rsid w:val="37A521E5"/>
    <w:rsid w:val="37A86F97"/>
    <w:rsid w:val="389761C3"/>
    <w:rsid w:val="38A21551"/>
    <w:rsid w:val="39D652BB"/>
    <w:rsid w:val="3A210E0A"/>
    <w:rsid w:val="3A3C7179"/>
    <w:rsid w:val="3ADE3208"/>
    <w:rsid w:val="3BCB56FF"/>
    <w:rsid w:val="3BCC56A6"/>
    <w:rsid w:val="3C6D73A0"/>
    <w:rsid w:val="3E637DF5"/>
    <w:rsid w:val="414A3706"/>
    <w:rsid w:val="416C052E"/>
    <w:rsid w:val="4215604D"/>
    <w:rsid w:val="424D615A"/>
    <w:rsid w:val="427434C5"/>
    <w:rsid w:val="42F30AB7"/>
    <w:rsid w:val="435F4D72"/>
    <w:rsid w:val="43D56DE9"/>
    <w:rsid w:val="46970DB7"/>
    <w:rsid w:val="46EE7309"/>
    <w:rsid w:val="47803B0E"/>
    <w:rsid w:val="48B56357"/>
    <w:rsid w:val="48DE2D2F"/>
    <w:rsid w:val="4AC37684"/>
    <w:rsid w:val="4AF13347"/>
    <w:rsid w:val="4E027054"/>
    <w:rsid w:val="4FD06DCA"/>
    <w:rsid w:val="50083416"/>
    <w:rsid w:val="506444A8"/>
    <w:rsid w:val="516E79EA"/>
    <w:rsid w:val="516F7A95"/>
    <w:rsid w:val="5182435E"/>
    <w:rsid w:val="529A70FA"/>
    <w:rsid w:val="53C8460C"/>
    <w:rsid w:val="542E417C"/>
    <w:rsid w:val="55BD79E7"/>
    <w:rsid w:val="55F8349A"/>
    <w:rsid w:val="56ED6B21"/>
    <w:rsid w:val="581D01BC"/>
    <w:rsid w:val="581E52AB"/>
    <w:rsid w:val="58706740"/>
    <w:rsid w:val="58B503E1"/>
    <w:rsid w:val="58F00CE5"/>
    <w:rsid w:val="5A587092"/>
    <w:rsid w:val="5B4B6741"/>
    <w:rsid w:val="5CA64137"/>
    <w:rsid w:val="5D1B15AB"/>
    <w:rsid w:val="5FA76B8F"/>
    <w:rsid w:val="60996106"/>
    <w:rsid w:val="60F65FF0"/>
    <w:rsid w:val="65BD16DA"/>
    <w:rsid w:val="67B304D6"/>
    <w:rsid w:val="67B33F51"/>
    <w:rsid w:val="6D1159A2"/>
    <w:rsid w:val="6FEA4A8E"/>
    <w:rsid w:val="704A05AE"/>
    <w:rsid w:val="71195EFA"/>
    <w:rsid w:val="71663DA9"/>
    <w:rsid w:val="7224332D"/>
    <w:rsid w:val="726E2E32"/>
    <w:rsid w:val="72BA33E8"/>
    <w:rsid w:val="72DF171F"/>
    <w:rsid w:val="72EB2968"/>
    <w:rsid w:val="75322610"/>
    <w:rsid w:val="7689553A"/>
    <w:rsid w:val="7877339B"/>
    <w:rsid w:val="78C37D6C"/>
    <w:rsid w:val="78F86E62"/>
    <w:rsid w:val="7A676F98"/>
    <w:rsid w:val="7A7A6823"/>
    <w:rsid w:val="7B742BE9"/>
    <w:rsid w:val="7C2E6C8F"/>
    <w:rsid w:val="7D585AEA"/>
    <w:rsid w:val="7DB37B8D"/>
    <w:rsid w:val="7F165A81"/>
    <w:rsid w:val="7F66397B"/>
    <w:rsid w:val="7F744BD0"/>
    <w:rsid w:val="7F7E4E0F"/>
    <w:rsid w:val="EEF38892"/>
    <w:rsid w:val="FBFB75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nhideWhenUsed="0" w:uiPriority="18"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30"/>
      <w:szCs w:val="44"/>
    </w:rPr>
  </w:style>
  <w:style w:type="paragraph" w:styleId="3">
    <w:name w:val="heading 3"/>
    <w:basedOn w:val="1"/>
    <w:next w:val="1"/>
    <w:unhideWhenUsed/>
    <w:qFormat/>
    <w:uiPriority w:val="0"/>
    <w:pPr>
      <w:keepNext/>
      <w:keepLines/>
      <w:spacing w:before="260" w:after="260" w:line="413" w:lineRule="auto"/>
      <w:outlineLvl w:val="2"/>
    </w:pPr>
    <w:rPr>
      <w:b/>
      <w:sz w:val="32"/>
    </w:rPr>
  </w:style>
  <w:style w:type="paragraph" w:styleId="4">
    <w:name w:val="heading 4"/>
    <w:basedOn w:val="1"/>
    <w:next w:val="1"/>
    <w:qFormat/>
    <w:uiPriority w:val="18"/>
    <w:pPr>
      <w:keepNext/>
      <w:keepLines/>
      <w:spacing w:before="200"/>
      <w:outlineLvl w:val="3"/>
    </w:pPr>
    <w:rPr>
      <w:rFonts w:ascii="Calibri" w:hAnsi="Calibri" w:eastAsia="宋体" w:cs="Arial"/>
      <w:b/>
      <w:bCs/>
      <w:i/>
      <w:iCs/>
      <w:color w:val="7E97AD"/>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Normal Indent"/>
    <w:basedOn w:val="1"/>
    <w:unhideWhenUsed/>
    <w:qFormat/>
    <w:uiPriority w:val="99"/>
    <w:pPr>
      <w:widowControl/>
      <w:ind w:firstLine="420"/>
      <w:jc w:val="left"/>
    </w:pPr>
    <w:rPr>
      <w:kern w:val="0"/>
      <w:sz w:val="20"/>
      <w:szCs w:val="20"/>
    </w:rPr>
  </w:style>
  <w:style w:type="paragraph" w:styleId="6">
    <w:name w:val="annotation text"/>
    <w:basedOn w:val="1"/>
    <w:semiHidden/>
    <w:qFormat/>
    <w:uiPriority w:val="0"/>
    <w:pPr>
      <w:jc w:val="left"/>
    </w:pPr>
  </w:style>
  <w:style w:type="paragraph" w:styleId="7">
    <w:name w:val="Body Text"/>
    <w:basedOn w:val="1"/>
    <w:qFormat/>
    <w:uiPriority w:val="0"/>
    <w:rPr>
      <w:rFonts w:ascii="宋体" w:hAnsi="宋体" w:eastAsia="宋体" w:cs="宋体"/>
      <w:sz w:val="27"/>
      <w:szCs w:val="27"/>
      <w:lang w:eastAsia="en-US"/>
    </w:rPr>
  </w:style>
  <w:style w:type="paragraph" w:styleId="8">
    <w:name w:val="Body Text Indent"/>
    <w:basedOn w:val="1"/>
    <w:next w:val="9"/>
    <w:qFormat/>
    <w:uiPriority w:val="0"/>
    <w:pPr>
      <w:ind w:firstLine="645"/>
    </w:pPr>
    <w:rPr>
      <w:rFonts w:ascii="楷体_GB2312" w:eastAsia="楷体_GB2312"/>
      <w:sz w:val="32"/>
    </w:rPr>
  </w:style>
  <w:style w:type="paragraph" w:styleId="9">
    <w:name w:val="envelope return"/>
    <w:basedOn w:val="1"/>
    <w:qFormat/>
    <w:uiPriority w:val="0"/>
    <w:pPr>
      <w:snapToGrid w:val="0"/>
    </w:pPr>
    <w:rPr>
      <w:rFonts w:ascii="Arial" w:hAnsi="Arial"/>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0"/>
    <w:pPr>
      <w:spacing w:before="100" w:beforeAutospacing="1" w:after="100" w:afterAutospacing="1"/>
      <w:jc w:val="left"/>
    </w:pPr>
    <w:rPr>
      <w:rFonts w:cs="Times New Roman"/>
      <w:kern w:val="0"/>
      <w:sz w:val="24"/>
    </w:rPr>
  </w:style>
  <w:style w:type="paragraph" w:styleId="13">
    <w:name w:val="Body Text First Indent"/>
    <w:basedOn w:val="7"/>
    <w:qFormat/>
    <w:uiPriority w:val="0"/>
    <w:pPr>
      <w:autoSpaceDE w:val="0"/>
      <w:autoSpaceDN w:val="0"/>
      <w:adjustRightInd w:val="0"/>
      <w:spacing w:line="360" w:lineRule="auto"/>
      <w:ind w:right="-24" w:rightChars="-10" w:firstLine="425" w:firstLineChars="225"/>
    </w:pPr>
    <w:rPr>
      <w:rFonts w:ascii="Arial" w:hAnsi="Arial" w:eastAsia="仿宋_GB2312" w:cs="Arial"/>
      <w:kern w:val="0"/>
      <w:sz w:val="24"/>
      <w:szCs w:val="32"/>
    </w:rPr>
  </w:style>
  <w:style w:type="paragraph" w:styleId="14">
    <w:name w:val="Body Text First Indent 2"/>
    <w:basedOn w:val="8"/>
    <w:next w:val="5"/>
    <w:qFormat/>
    <w:uiPriority w:val="0"/>
    <w:pPr>
      <w:ind w:firstLine="420" w:firstLineChars="200"/>
    </w:pPr>
  </w:style>
  <w:style w:type="table" w:styleId="16">
    <w:name w:val="Table Grid"/>
    <w:basedOn w:val="15"/>
    <w:qFormat/>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paragraph" w:customStyle="1" w:styleId="19">
    <w:name w:val="目录 71"/>
    <w:basedOn w:val="1"/>
    <w:next w:val="1"/>
    <w:qFormat/>
    <w:uiPriority w:val="0"/>
    <w:pPr>
      <w:ind w:left="2520"/>
    </w:pPr>
    <w:rPr>
      <w:rFonts w:ascii="Calibri"/>
    </w:rPr>
  </w:style>
  <w:style w:type="paragraph" w:customStyle="1" w:styleId="20">
    <w:name w:val="Table Paragraph"/>
    <w:basedOn w:val="1"/>
    <w:qFormat/>
    <w:uiPriority w:val="1"/>
    <w:rPr>
      <w:rFonts w:ascii="宋体" w:hAnsi="宋体" w:eastAsia="宋体" w:cs="宋体"/>
      <w:lang w:val="zh-CN" w:eastAsia="zh-CN" w:bidi="zh-CN"/>
    </w:rPr>
  </w:style>
  <w:style w:type="character" w:customStyle="1" w:styleId="21">
    <w:name w:val="font21"/>
    <w:basedOn w:val="17"/>
    <w:qFormat/>
    <w:uiPriority w:val="0"/>
    <w:rPr>
      <w:rFonts w:ascii="宋体" w:hAnsi="宋体" w:eastAsia="宋体" w:cs="宋体"/>
      <w:color w:val="000000"/>
      <w:sz w:val="12"/>
      <w:szCs w:val="12"/>
      <w:u w:val="none"/>
    </w:rPr>
  </w:style>
  <w:style w:type="character" w:customStyle="1" w:styleId="22">
    <w:name w:val="font11"/>
    <w:basedOn w:val="17"/>
    <w:qFormat/>
    <w:uiPriority w:val="0"/>
    <w:rPr>
      <w:rFonts w:hint="default" w:ascii="Arial" w:hAnsi="Arial" w:cs="Arial"/>
      <w:color w:val="000000"/>
      <w:sz w:val="12"/>
      <w:szCs w:val="12"/>
      <w:u w:val="none"/>
    </w:rPr>
  </w:style>
  <w:style w:type="paragraph" w:customStyle="1" w:styleId="23">
    <w:name w:val="Table Text"/>
    <w:basedOn w:val="1"/>
    <w:semiHidden/>
    <w:qFormat/>
    <w:uiPriority w:val="0"/>
    <w:rPr>
      <w:rFonts w:ascii="仿宋" w:hAnsi="仿宋" w:eastAsia="仿宋" w:cs="仿宋"/>
      <w:sz w:val="22"/>
      <w:szCs w:val="22"/>
      <w:lang w:val="en-US" w:eastAsia="en-US" w:bidi="ar-SA"/>
    </w:rPr>
  </w:style>
  <w:style w:type="table" w:customStyle="1" w:styleId="24">
    <w:name w:val="网格型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
    <w:name w:val="Table Normal"/>
    <w:semiHidden/>
    <w:unhideWhenUsed/>
    <w:qFormat/>
    <w:uiPriority w:val="0"/>
    <w:tblPr>
      <w:tblCellMar>
        <w:top w:w="0" w:type="dxa"/>
        <w:left w:w="0" w:type="dxa"/>
        <w:bottom w:w="0" w:type="dxa"/>
        <w:right w:w="0" w:type="dxa"/>
      </w:tblCellMar>
    </w:tblPr>
  </w:style>
  <w:style w:type="paragraph" w:customStyle="1" w:styleId="26">
    <w:name w:val="xl31"/>
    <w:basedOn w:val="1"/>
    <w:qFormat/>
    <w:uiPriority w:val="0"/>
    <w:pPr>
      <w:widowControl/>
      <w:spacing w:before="100" w:beforeAutospacing="1" w:after="100" w:afterAutospacing="1"/>
      <w:jc w:val="center"/>
    </w:pPr>
    <w:rPr>
      <w:rFonts w:ascii="宋体" w:hAnsi="宋体"/>
      <w:b/>
      <w:bCs/>
      <w:kern w:val="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1192</Words>
  <Characters>1234</Characters>
  <Lines>0</Lines>
  <Paragraphs>0</Paragraphs>
  <TotalTime>49</TotalTime>
  <ScaleCrop>false</ScaleCrop>
  <LinksUpToDate>false</LinksUpToDate>
  <CharactersWithSpaces>1245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2025-08-05T12:34:00Z</dcterms:created>
  <dc:creator>FL</dc:creator>
  <cp:lastModifiedBy>user</cp:lastModifiedBy>
  <dcterms:modified xsi:type="dcterms:W3CDTF">2026-08-05T08:53:33Z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9CEA7CF68C274627BB869EC214E39977_13</vt:lpwstr>
  </property>
  <property fmtid="{D5CDD505-2E9C-101B-9397-08002B2CF9AE}" pid="4" name="KSOTemplateDocerSaveRecord">
    <vt:lpwstr>eyJoZGlkIjoiNTlmNWFhNzNhN2UzNjFmMGZjMmE3ZDE5ODM4MGRkYWMiLCJ1c2VySWQiOiIzNDE5MDExMjMifQ==</vt:lpwstr>
  </property>
</Properties>
</file>