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F729E">
      <w:pPr>
        <w:spacing w:line="360" w:lineRule="auto"/>
        <w:jc w:val="center"/>
        <w:outlineLvl w:val="0"/>
        <w:rPr>
          <w:rFonts w:hint="eastAsia" w:asciiTheme="minorEastAsia" w:hAnsiTheme="minorEastAsia" w:eastAsiaTheme="minorEastAsia"/>
          <w:b/>
          <w:color w:val="auto"/>
          <w:sz w:val="28"/>
          <w:highlight w:val="none"/>
          <w:lang w:eastAsia="zh-CN"/>
        </w:rPr>
      </w:pPr>
      <w:bookmarkStart w:id="0" w:name="_Toc20017"/>
      <w:r>
        <w:rPr>
          <w:rFonts w:hint="eastAsia" w:asciiTheme="minorEastAsia" w:hAnsiTheme="minorEastAsia" w:eastAsiaTheme="minorEastAsia"/>
          <w:b/>
          <w:color w:val="auto"/>
          <w:sz w:val="28"/>
          <w:highlight w:val="none"/>
        </w:rPr>
        <w:t>采购需求</w:t>
      </w:r>
      <w:bookmarkEnd w:id="0"/>
    </w:p>
    <w:p w14:paraId="1045BCB5">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5E1674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w:t>
      </w:r>
      <w:r>
        <w:rPr>
          <w:rFonts w:hint="eastAsia" w:ascii="宋体" w:hAnsi="宋体" w:eastAsia="宋体"/>
          <w:b w:val="0"/>
          <w:bCs w:val="0"/>
          <w:color w:val="auto"/>
          <w:sz w:val="24"/>
          <w:szCs w:val="18"/>
          <w:highlight w:val="none"/>
        </w:rPr>
        <w:t>未标注进口产品的货物均</w:t>
      </w:r>
      <w:r>
        <w:rPr>
          <w:rFonts w:ascii="宋体" w:hAnsi="宋体" w:eastAsia="宋体"/>
          <w:b w:val="0"/>
          <w:bCs w:val="0"/>
          <w:color w:val="auto"/>
          <w:sz w:val="24"/>
          <w:szCs w:val="18"/>
          <w:highlight w:val="none"/>
        </w:rPr>
        <w:t>为拒绝采购进口产品</w:t>
      </w:r>
      <w:r>
        <w:rPr>
          <w:rFonts w:hint="eastAsia" w:ascii="宋体" w:hAnsi="宋体" w:eastAsia="宋体"/>
          <w:b w:val="0"/>
          <w:bCs w:val="0"/>
          <w:color w:val="auto"/>
          <w:sz w:val="24"/>
          <w:szCs w:val="18"/>
          <w:highlight w:val="none"/>
        </w:rPr>
        <w:t>。</w:t>
      </w:r>
    </w:p>
    <w:p w14:paraId="42A19E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bookmarkStart w:id="17" w:name="_GoBack"/>
      <w:bookmarkEnd w:id="17"/>
    </w:p>
    <w:p w14:paraId="57ED51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518D1B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E5709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062217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i/>
          <w:iCs/>
          <w:color w:val="auto"/>
          <w:sz w:val="24"/>
          <w:szCs w:val="18"/>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Theme="minorEastAsia" w:hAnsiTheme="minorEastAsia" w:eastAsiaTheme="minorEastAsia"/>
          <w:color w:val="auto"/>
          <w:sz w:val="24"/>
          <w:szCs w:val="18"/>
          <w:highlight w:val="none"/>
          <w:lang w:val="en-US" w:eastAsia="zh-CN"/>
        </w:rPr>
        <w:t>标★条款为评分参数，投标文件中需按要求提供相关证明材料；非★条款</w:t>
      </w:r>
      <w:r>
        <w:rPr>
          <w:rFonts w:hint="eastAsia" w:asciiTheme="minorEastAsia" w:hAnsiTheme="minorEastAsia" w:eastAsiaTheme="minorEastAsia"/>
          <w:color w:val="auto"/>
          <w:sz w:val="24"/>
          <w:szCs w:val="18"/>
          <w:highlight w:val="none"/>
          <w:u w:val="single"/>
          <w:lang w:val="en-US" w:eastAsia="zh-CN"/>
        </w:rPr>
        <w:t xml:space="preserve">3 </w:t>
      </w:r>
      <w:r>
        <w:rPr>
          <w:rFonts w:hint="eastAsia" w:asciiTheme="minorEastAsia" w:hAnsiTheme="minorEastAsia" w:eastAsiaTheme="minorEastAsia"/>
          <w:color w:val="auto"/>
          <w:sz w:val="24"/>
          <w:szCs w:val="18"/>
          <w:highlight w:val="none"/>
          <w:lang w:val="en-US" w:eastAsia="zh-CN"/>
        </w:rPr>
        <w:t>条及以上未满足的，</w:t>
      </w:r>
      <w:r>
        <w:rPr>
          <w:rFonts w:hint="eastAsia" w:asciiTheme="minorEastAsia" w:hAnsiTheme="minorEastAsia" w:eastAsiaTheme="minorEastAsia"/>
          <w:b/>
          <w:bCs/>
          <w:color w:val="auto"/>
          <w:sz w:val="24"/>
          <w:szCs w:val="18"/>
          <w:highlight w:val="none"/>
          <w:lang w:val="en-US" w:eastAsia="zh-CN"/>
        </w:rPr>
        <w:t>投标无效</w:t>
      </w:r>
      <w:r>
        <w:rPr>
          <w:rFonts w:hint="eastAsia" w:asciiTheme="minorEastAsia" w:hAnsiTheme="minorEastAsia" w:eastAsiaTheme="minorEastAsia"/>
          <w:b w:val="0"/>
          <w:bCs w:val="0"/>
          <w:color w:val="auto"/>
          <w:sz w:val="24"/>
          <w:szCs w:val="18"/>
          <w:highlight w:val="none"/>
          <w:lang w:val="en-US" w:eastAsia="zh-CN"/>
        </w:rPr>
        <w:t>。</w:t>
      </w:r>
    </w:p>
    <w:p w14:paraId="65389090">
      <w:pPr>
        <w:spacing w:line="360" w:lineRule="auto"/>
        <w:ind w:firstLine="437"/>
        <w:outlineLvl w:val="1"/>
        <w:rPr>
          <w:rFonts w:ascii="宋体" w:hAnsi="宋体" w:eastAsia="宋体"/>
          <w:b/>
          <w:color w:val="auto"/>
          <w:sz w:val="24"/>
          <w:szCs w:val="18"/>
          <w:highlight w:val="none"/>
        </w:rPr>
      </w:pPr>
      <w:bookmarkStart w:id="1" w:name="_Toc7752"/>
      <w:bookmarkStart w:id="2" w:name="_Toc32021"/>
      <w:bookmarkStart w:id="3" w:name="_Toc32151"/>
      <w:bookmarkStart w:id="4" w:name="_Toc2554"/>
      <w:r>
        <w:rPr>
          <w:rFonts w:hint="eastAsia" w:ascii="宋体" w:hAnsi="宋体" w:eastAsia="宋体"/>
          <w:b/>
          <w:color w:val="auto"/>
          <w:sz w:val="24"/>
          <w:szCs w:val="18"/>
          <w:highlight w:val="none"/>
        </w:rPr>
        <w:t>一、采购需求前附表</w:t>
      </w:r>
      <w:bookmarkEnd w:id="1"/>
      <w:bookmarkEnd w:id="2"/>
      <w:bookmarkEnd w:id="3"/>
      <w:bookmarkEnd w:id="4"/>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125"/>
        <w:gridCol w:w="6691"/>
      </w:tblGrid>
      <w:tr w14:paraId="4BD8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1BD88888">
            <w:pPr>
              <w:pStyle w:val="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660" w:type="pct"/>
            <w:vAlign w:val="center"/>
          </w:tcPr>
          <w:p w14:paraId="4FB862C8">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925" w:type="pct"/>
            <w:vAlign w:val="center"/>
          </w:tcPr>
          <w:p w14:paraId="38D9EABA">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078E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3C5199D6">
            <w:pPr>
              <w:pStyle w:val="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660" w:type="pct"/>
            <w:vAlign w:val="center"/>
          </w:tcPr>
          <w:p w14:paraId="020CBB4E">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925" w:type="pct"/>
            <w:vAlign w:val="center"/>
          </w:tcPr>
          <w:p w14:paraId="01DF08C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⑴对</w:t>
            </w:r>
            <w:r>
              <w:rPr>
                <w:rFonts w:hint="eastAsia" w:asciiTheme="minorEastAsia" w:hAnsiTheme="minorEastAsia" w:eastAsiaTheme="minorEastAsia"/>
                <w:color w:val="auto"/>
                <w:sz w:val="24"/>
                <w:highlight w:val="none"/>
                <w:lang w:eastAsia="zh-CN"/>
              </w:rPr>
              <w:t>投标人</w:t>
            </w:r>
            <w:r>
              <w:rPr>
                <w:rFonts w:hint="eastAsia" w:asciiTheme="minorEastAsia" w:hAnsiTheme="minorEastAsia" w:eastAsiaTheme="minorEastAsia"/>
                <w:color w:val="auto"/>
                <w:sz w:val="24"/>
                <w:highlight w:val="none"/>
              </w:rPr>
              <w:t>为大型企业的项目或者以人工投入为主且实行按月定期结算支付款项的项目，采购人确定预付款为合同金额的</w:t>
            </w:r>
            <w:r>
              <w:rPr>
                <w:rFonts w:hint="eastAsia" w:asciiTheme="minorEastAsia" w:hAnsiTheme="minorEastAsia" w:eastAsiaTheme="minorEastAsia"/>
                <w:color w:val="auto"/>
                <w:sz w:val="24"/>
                <w:highlight w:val="none"/>
                <w:u w:val="single"/>
                <w:lang w:val="en-US" w:eastAsia="zh-CN"/>
              </w:rPr>
              <w:t>/</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 </w:t>
            </w:r>
            <w:r>
              <w:rPr>
                <w:rFonts w:asciiTheme="minorEastAsia" w:hAnsiTheme="minorEastAsia" w:eastAsiaTheme="minorEastAsia"/>
                <w:color w:val="auto"/>
                <w:sz w:val="24"/>
                <w:highlight w:val="none"/>
              </w:rPr>
              <w:t>（0-70%）；</w:t>
            </w:r>
          </w:p>
          <w:p w14:paraId="040BC35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⑵中小企业</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zh-CN" w:eastAsia="zh-CN"/>
              </w:rPr>
              <w:t>提供的货物全部由中小企业制造</w:t>
            </w:r>
            <w:r>
              <w:rPr>
                <w:rFonts w:hint="eastAsia" w:ascii="宋体" w:hAnsi="宋体" w:eastAsia="宋体"/>
                <w:b w:val="0"/>
                <w:color w:val="auto"/>
                <w:sz w:val="24"/>
                <w:highlight w:val="none"/>
                <w:u w:val="none"/>
                <w:lang w:eastAsia="zh-CN"/>
              </w:rPr>
              <w:t>）</w:t>
            </w:r>
            <w:r>
              <w:rPr>
                <w:rFonts w:hint="eastAsia" w:asciiTheme="minorEastAsia" w:hAnsiTheme="minorEastAsia" w:eastAsiaTheme="minorEastAsia"/>
                <w:color w:val="auto"/>
                <w:sz w:val="24"/>
                <w:highlight w:val="none"/>
              </w:rPr>
              <w:t>合同，采购人确定预付款为合同金额的</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40%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（40%-70%）；</w:t>
            </w:r>
          </w:p>
          <w:p w14:paraId="7B2C8AD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⑶分年度安排预算的项目，采购人确定每年预付款为当年合同金额的</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（40%-70%）。</w:t>
            </w:r>
          </w:p>
          <w:p w14:paraId="77A222D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lang w:eastAsia="zh-CN"/>
              </w:rPr>
              <w:t>注</w:t>
            </w:r>
            <w:r>
              <w:rPr>
                <w:rFonts w:hint="eastAsia" w:asciiTheme="minorEastAsia" w:hAnsiTheme="minorEastAsia" w:eastAsiaTheme="minorEastAsia"/>
                <w:b/>
                <w:bCs/>
                <w:color w:val="auto"/>
                <w:sz w:val="24"/>
                <w:highlight w:val="none"/>
              </w:rPr>
              <w:t>：</w:t>
            </w:r>
            <w:r>
              <w:rPr>
                <w:rFonts w:hint="eastAsia" w:asciiTheme="minorEastAsia" w:hAnsiTheme="minorEastAsia" w:eastAsiaTheme="minorEastAsia"/>
                <w:color w:val="auto"/>
                <w:sz w:val="24"/>
                <w:highlight w:val="none"/>
              </w:rPr>
              <w:t>采购人可根据项目特点、供应商诚信等因素，要求供应商提交银行、保险公司、担保公司等金融机构出具的预付款保函或其他担保措施。政府采购预付款在合同、担保措施生效以及具备实施条件后5个工作日内支付。</w:t>
            </w:r>
          </w:p>
          <w:p w14:paraId="65DBB3F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剩余款支付方式</w:t>
            </w:r>
            <w:r>
              <w:rPr>
                <w:rFonts w:hint="eastAsia" w:asciiTheme="minorEastAsia" w:hAnsiTheme="minorEastAsia" w:eastAsiaTheme="minorEastAsia"/>
                <w:color w:val="auto"/>
                <w:sz w:val="24"/>
                <w:highlight w:val="none"/>
              </w:rPr>
              <w:t>：待项目验收合格后一次性付清。</w:t>
            </w:r>
          </w:p>
          <w:p w14:paraId="38C98939">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b w:val="0"/>
                <w:color w:val="auto"/>
                <w:sz w:val="24"/>
                <w:highlight w:val="none"/>
                <w:u w:val="single"/>
              </w:rPr>
            </w:pPr>
            <w:r>
              <w:rPr>
                <w:rFonts w:hint="eastAsia" w:asciiTheme="minorEastAsia" w:hAnsiTheme="minorEastAsia" w:eastAsiaTheme="minorEastAsia"/>
                <w:b w:val="0"/>
                <w:bCs w:val="0"/>
                <w:color w:val="auto"/>
                <w:sz w:val="24"/>
                <w:highlight w:val="none"/>
              </w:rPr>
              <w:t>（</w:t>
            </w:r>
            <w:r>
              <w:rPr>
                <w:rFonts w:hint="eastAsia" w:asciiTheme="minorEastAsia" w:hAnsiTheme="minorEastAsia" w:eastAsiaTheme="minorEastAsia"/>
                <w:b w:val="0"/>
                <w:bCs w:val="0"/>
                <w:color w:val="auto"/>
                <w:sz w:val="24"/>
                <w:highlight w:val="none"/>
                <w:lang w:eastAsia="zh-CN"/>
              </w:rPr>
              <w:t>投标人</w:t>
            </w:r>
            <w:r>
              <w:rPr>
                <w:rFonts w:hint="eastAsia" w:asciiTheme="minorEastAsia" w:hAnsiTheme="minorEastAsia" w:eastAsiaTheme="minorEastAsia"/>
                <w:b w:val="0"/>
                <w:bCs w:val="0"/>
                <w:color w:val="auto"/>
                <w:sz w:val="24"/>
                <w:highlight w:val="none"/>
              </w:rPr>
              <w:t>提交的</w:t>
            </w:r>
            <w:r>
              <w:rPr>
                <w:rFonts w:hint="eastAsia" w:asciiTheme="minorEastAsia" w:hAnsiTheme="minorEastAsia" w:eastAsiaTheme="minorEastAsia"/>
                <w:b w:val="0"/>
                <w:bCs w:val="0"/>
                <w:color w:val="auto"/>
                <w:sz w:val="24"/>
                <w:highlight w:val="none"/>
                <w:lang w:eastAsia="zh-CN"/>
              </w:rPr>
              <w:t>投标</w:t>
            </w:r>
            <w:r>
              <w:rPr>
                <w:rFonts w:hint="eastAsia" w:asciiTheme="minorEastAsia" w:hAnsiTheme="minorEastAsia" w:eastAsiaTheme="minorEastAsia"/>
                <w:b w:val="0"/>
                <w:bCs w:val="0"/>
                <w:color w:val="auto"/>
                <w:sz w:val="24"/>
                <w:highlight w:val="none"/>
              </w:rPr>
              <w:t>文件中如有关于付款条件的表述与</w:t>
            </w:r>
            <w:r>
              <w:rPr>
                <w:rFonts w:hint="eastAsia" w:asciiTheme="minorEastAsia" w:hAnsiTheme="minorEastAsia" w:eastAsiaTheme="minorEastAsia"/>
                <w:b w:val="0"/>
                <w:bCs w:val="0"/>
                <w:color w:val="auto"/>
                <w:sz w:val="24"/>
                <w:highlight w:val="none"/>
                <w:lang w:eastAsia="zh-CN"/>
              </w:rPr>
              <w:t>招标文件</w:t>
            </w:r>
            <w:r>
              <w:rPr>
                <w:rFonts w:hint="eastAsia" w:asciiTheme="minorEastAsia" w:hAnsiTheme="minorEastAsia" w:eastAsiaTheme="minorEastAsia"/>
                <w:b w:val="0"/>
                <w:bCs w:val="0"/>
                <w:color w:val="auto"/>
                <w:sz w:val="24"/>
                <w:highlight w:val="none"/>
              </w:rPr>
              <w:t>规定不符，将被视为实质性不响应，将导致</w:t>
            </w:r>
            <w:r>
              <w:rPr>
                <w:rFonts w:hint="eastAsia" w:asciiTheme="minorEastAsia" w:hAnsiTheme="minorEastAsia" w:eastAsiaTheme="minorEastAsia"/>
                <w:b/>
                <w:bCs/>
                <w:color w:val="auto"/>
                <w:sz w:val="24"/>
                <w:highlight w:val="none"/>
              </w:rPr>
              <w:t>响应无效</w:t>
            </w:r>
            <w:r>
              <w:rPr>
                <w:rFonts w:hint="eastAsia" w:asciiTheme="minorEastAsia" w:hAnsiTheme="minorEastAsia" w:eastAsiaTheme="minorEastAsia"/>
                <w:b w:val="0"/>
                <w:bCs w:val="0"/>
                <w:color w:val="auto"/>
                <w:sz w:val="24"/>
                <w:highlight w:val="none"/>
              </w:rPr>
              <w:t>）</w:t>
            </w:r>
          </w:p>
        </w:tc>
      </w:tr>
      <w:tr w14:paraId="1FD2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1F53FF8A">
            <w:pPr>
              <w:pStyle w:val="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660" w:type="pct"/>
            <w:vAlign w:val="center"/>
          </w:tcPr>
          <w:p w14:paraId="35273DC7">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925" w:type="pct"/>
            <w:vAlign w:val="center"/>
          </w:tcPr>
          <w:p w14:paraId="15EEDFA0">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采购人指定地点</w:t>
            </w:r>
          </w:p>
        </w:tc>
      </w:tr>
      <w:tr w14:paraId="51F9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357A9D70">
            <w:pPr>
              <w:pStyle w:val="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660" w:type="pct"/>
            <w:vAlign w:val="center"/>
          </w:tcPr>
          <w:p w14:paraId="263128C0">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925" w:type="pct"/>
            <w:vAlign w:val="center"/>
          </w:tcPr>
          <w:p w14:paraId="39439B3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合同签订之日起</w:t>
            </w:r>
            <w:r>
              <w:rPr>
                <w:rFonts w:hint="eastAsia" w:ascii="宋体" w:hAnsi="宋体" w:eastAsia="宋体"/>
                <w:b w:val="0"/>
                <w:color w:val="auto"/>
                <w:sz w:val="24"/>
                <w:highlight w:val="none"/>
                <w:lang w:val="en-US" w:eastAsia="zh-CN"/>
              </w:rPr>
              <w:t>30</w:t>
            </w:r>
            <w:r>
              <w:rPr>
                <w:rFonts w:hint="eastAsia" w:ascii="宋体" w:hAnsi="宋体" w:eastAsia="宋体"/>
                <w:b w:val="0"/>
                <w:color w:val="auto"/>
                <w:sz w:val="24"/>
                <w:highlight w:val="none"/>
              </w:rPr>
              <w:t>日历天。</w:t>
            </w:r>
          </w:p>
        </w:tc>
      </w:tr>
      <w:tr w14:paraId="3B68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4CD457F7">
            <w:pPr>
              <w:pStyle w:val="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660" w:type="pct"/>
            <w:vAlign w:val="center"/>
          </w:tcPr>
          <w:p w14:paraId="3A8FEC5E">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925" w:type="pct"/>
            <w:vAlign w:val="center"/>
          </w:tcPr>
          <w:p w14:paraId="6DCC4E52">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1年</w:t>
            </w:r>
          </w:p>
        </w:tc>
      </w:tr>
    </w:tbl>
    <w:p w14:paraId="42B3ACDE">
      <w:pPr>
        <w:spacing w:line="360" w:lineRule="auto"/>
        <w:ind w:firstLine="437"/>
        <w:outlineLvl w:val="1"/>
        <w:rPr>
          <w:rFonts w:hint="eastAsia" w:ascii="宋体" w:hAnsi="宋体" w:eastAsia="宋体"/>
          <w:b/>
          <w:bCs/>
          <w:color w:val="auto"/>
          <w:sz w:val="24"/>
          <w:szCs w:val="18"/>
          <w:highlight w:val="none"/>
        </w:rPr>
      </w:pPr>
      <w:bookmarkStart w:id="5" w:name="_Toc5944"/>
      <w:bookmarkStart w:id="6" w:name="_Toc7671"/>
      <w:bookmarkStart w:id="7" w:name="_Toc27372"/>
    </w:p>
    <w:p w14:paraId="28150478">
      <w:pPr>
        <w:spacing w:line="360" w:lineRule="auto"/>
        <w:ind w:firstLine="437"/>
        <w:outlineLvl w:val="1"/>
        <w:rPr>
          <w:rFonts w:ascii="宋体" w:hAnsi="宋体" w:eastAsia="宋体"/>
          <w:b/>
          <w:bCs/>
          <w:color w:val="auto"/>
          <w:sz w:val="24"/>
          <w:szCs w:val="18"/>
          <w:highlight w:val="none"/>
        </w:rPr>
      </w:pPr>
      <w:bookmarkStart w:id="8" w:name="_Toc2445"/>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5"/>
      <w:bookmarkEnd w:id="6"/>
      <w:bookmarkEnd w:id="7"/>
      <w:bookmarkEnd w:id="8"/>
    </w:p>
    <w:p w14:paraId="1556ABE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default" w:ascii="宋体" w:hAnsi="宋体" w:eastAsia="宋体"/>
          <w:b w:val="0"/>
          <w:bCs w:val="0"/>
          <w:color w:val="auto"/>
          <w:sz w:val="24"/>
          <w:szCs w:val="18"/>
          <w:highlight w:val="none"/>
          <w:lang w:val="en-US" w:eastAsia="zh-CN"/>
        </w:rPr>
      </w:pPr>
      <w:bookmarkStart w:id="9" w:name="_Toc4843"/>
      <w:bookmarkStart w:id="10" w:name="_Toc7421"/>
      <w:bookmarkStart w:id="11" w:name="_Toc13759"/>
      <w:r>
        <w:rPr>
          <w:rFonts w:hint="eastAsia" w:ascii="宋体" w:hAnsi="宋体" w:eastAsia="宋体"/>
          <w:b w:val="0"/>
          <w:bCs w:val="0"/>
          <w:color w:val="auto"/>
          <w:sz w:val="24"/>
          <w:szCs w:val="18"/>
          <w:highlight w:val="none"/>
          <w:lang w:val="en-US" w:eastAsia="zh-CN"/>
        </w:rPr>
        <w:t>前注：本项目《中小企业声明函》仅需填写下列“主要标的物”清单中相关货物。针对“与主要标的物配套的辅材、辅料、辅助设备等”清单中所列货物，投标文件中可不填写所属行业，不作为《中小企业声明函》的标的物，也不对其生产厂商作出要求。</w:t>
      </w:r>
    </w:p>
    <w:p w14:paraId="6002374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1"/>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主要标的物</w:t>
      </w:r>
    </w:p>
    <w:tbl>
      <w:tblPr>
        <w:tblStyle w:val="5"/>
        <w:tblW w:w="57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1125"/>
        <w:gridCol w:w="1097"/>
        <w:gridCol w:w="4191"/>
        <w:gridCol w:w="862"/>
        <w:gridCol w:w="860"/>
        <w:gridCol w:w="971"/>
        <w:gridCol w:w="619"/>
      </w:tblGrid>
      <w:tr w14:paraId="5B02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578" w:type="pct"/>
            <w:vAlign w:val="center"/>
          </w:tcPr>
          <w:p w14:paraId="42F071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564" w:type="pct"/>
            <w:vAlign w:val="center"/>
          </w:tcPr>
          <w:p w14:paraId="471502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2154" w:type="pct"/>
            <w:vAlign w:val="center"/>
          </w:tcPr>
          <w:p w14:paraId="1183FC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443" w:type="pct"/>
            <w:vAlign w:val="center"/>
          </w:tcPr>
          <w:p w14:paraId="6D027C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数量</w:t>
            </w:r>
          </w:p>
          <w:p w14:paraId="007968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（单位）</w:t>
            </w:r>
          </w:p>
        </w:tc>
        <w:tc>
          <w:tcPr>
            <w:tcW w:w="442" w:type="pct"/>
            <w:vAlign w:val="center"/>
          </w:tcPr>
          <w:p w14:paraId="513290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所属</w:t>
            </w:r>
          </w:p>
          <w:p w14:paraId="048AFE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行业</w:t>
            </w:r>
          </w:p>
        </w:tc>
        <w:tc>
          <w:tcPr>
            <w:tcW w:w="499" w:type="pct"/>
            <w:vAlign w:val="center"/>
          </w:tcPr>
          <w:p w14:paraId="5C34A4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是否为核心产品</w:t>
            </w:r>
          </w:p>
        </w:tc>
        <w:tc>
          <w:tcPr>
            <w:tcW w:w="318" w:type="pct"/>
            <w:vAlign w:val="center"/>
          </w:tcPr>
          <w:p w14:paraId="19E613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备注</w:t>
            </w:r>
          </w:p>
        </w:tc>
      </w:tr>
      <w:tr w14:paraId="71D8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83" w:hRule="atLeast"/>
          <w:jc w:val="center"/>
        </w:trPr>
        <w:tc>
          <w:tcPr>
            <w:tcW w:w="578" w:type="pct"/>
            <w:vAlign w:val="center"/>
          </w:tcPr>
          <w:p w14:paraId="7D12DA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64" w:type="pct"/>
            <w:vAlign w:val="center"/>
          </w:tcPr>
          <w:p w14:paraId="018921EF">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12吨纯电动洗扫车</w:t>
            </w:r>
          </w:p>
        </w:tc>
        <w:tc>
          <w:tcPr>
            <w:tcW w:w="2154" w:type="pct"/>
            <w:vAlign w:val="center"/>
          </w:tcPr>
          <w:p w14:paraId="1C4C69B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车辆参数：</w:t>
            </w:r>
          </w:p>
          <w:p w14:paraId="2B2ACC0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底盘类别：二类载货汽车底盘</w:t>
            </w:r>
          </w:p>
          <w:p w14:paraId="37FCEAC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底盘驱动电机峰值功率：≥160KW</w:t>
            </w:r>
          </w:p>
          <w:p w14:paraId="054657C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电池电量：≥160KW.h</w:t>
            </w:r>
          </w:p>
          <w:p w14:paraId="478A603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heme="minorEastAsia" w:hAnsiTheme="minorEastAsia" w:eastAsiaTheme="minorEastAsia"/>
                <w:color w:val="auto"/>
                <w:sz w:val="24"/>
                <w:szCs w:val="18"/>
                <w:highlight w:val="none"/>
                <w:lang w:val="en-US" w:eastAsia="zh-CN"/>
              </w:rPr>
              <w:t>★</w:t>
            </w:r>
            <w:r>
              <w:rPr>
                <w:rFonts w:hint="eastAsia" w:ascii="Times New Roman" w:hAnsi="Times New Roman" w:eastAsia="宋体" w:cs="Times New Roman"/>
                <w:sz w:val="24"/>
                <w:highlight w:val="none"/>
                <w:lang w:val="en-US" w:eastAsia="zh-CN"/>
              </w:rPr>
              <w:t>续航里程：≥280km</w:t>
            </w:r>
          </w:p>
          <w:p w14:paraId="107B357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电源电池种类：磷酸铁锂电池</w:t>
            </w:r>
          </w:p>
          <w:p w14:paraId="5ADC098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上装驱动电机峰值功率：≥50KW</w:t>
            </w:r>
          </w:p>
          <w:p w14:paraId="0097BB1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heme="minorEastAsia" w:hAnsiTheme="minorEastAsia" w:eastAsiaTheme="minorEastAsia"/>
                <w:color w:val="auto"/>
                <w:sz w:val="24"/>
                <w:szCs w:val="18"/>
                <w:highlight w:val="none"/>
                <w:lang w:val="en-US" w:eastAsia="zh-CN"/>
              </w:rPr>
              <w:t>★</w:t>
            </w:r>
            <w:r>
              <w:rPr>
                <w:rFonts w:hint="eastAsia" w:ascii="Times New Roman" w:hAnsi="Times New Roman" w:eastAsia="宋体" w:cs="Times New Roman"/>
                <w:sz w:val="24"/>
                <w:highlight w:val="none"/>
                <w:lang w:val="en-US" w:eastAsia="zh-CN"/>
              </w:rPr>
              <w:t>外形尺寸（长×宽×高）：≥7000×2200×3000 mm</w:t>
            </w:r>
          </w:p>
          <w:p w14:paraId="3631302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heme="minorEastAsia" w:hAnsiTheme="minorEastAsia" w:eastAsiaTheme="minorEastAsia"/>
                <w:color w:val="auto"/>
                <w:sz w:val="24"/>
                <w:szCs w:val="18"/>
                <w:highlight w:val="none"/>
                <w:lang w:val="en-US" w:eastAsia="zh-CN"/>
              </w:rPr>
              <w:t>★</w:t>
            </w:r>
            <w:r>
              <w:rPr>
                <w:rFonts w:hint="eastAsia" w:ascii="Times New Roman" w:hAnsi="Times New Roman" w:eastAsia="宋体" w:cs="Times New Roman"/>
                <w:sz w:val="24"/>
                <w:highlight w:val="none"/>
                <w:lang w:val="en-US" w:eastAsia="zh-CN"/>
              </w:rPr>
              <w:t>总质量：≤12500 KG</w:t>
            </w:r>
          </w:p>
          <w:p w14:paraId="5F854A0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heme="minorEastAsia" w:hAnsiTheme="minorEastAsia" w:eastAsiaTheme="minorEastAsia"/>
                <w:color w:val="auto"/>
                <w:sz w:val="24"/>
                <w:szCs w:val="18"/>
                <w:highlight w:val="none"/>
                <w:lang w:val="en-US" w:eastAsia="zh-CN"/>
              </w:rPr>
              <w:t>★</w:t>
            </w:r>
            <w:r>
              <w:rPr>
                <w:rFonts w:hint="eastAsia" w:ascii="Times New Roman" w:hAnsi="Times New Roman" w:eastAsia="宋体" w:cs="Times New Roman"/>
                <w:sz w:val="24"/>
                <w:highlight w:val="none"/>
                <w:lang w:val="en-US" w:eastAsia="zh-CN"/>
              </w:rPr>
              <w:t>整备质量：≥9000 KG</w:t>
            </w:r>
          </w:p>
          <w:p w14:paraId="1C55D83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heme="minorEastAsia" w:hAnsiTheme="minorEastAsia" w:eastAsiaTheme="minorEastAsia"/>
                <w:color w:val="auto"/>
                <w:sz w:val="24"/>
                <w:szCs w:val="18"/>
                <w:highlight w:val="none"/>
                <w:lang w:val="en-US" w:eastAsia="zh-CN"/>
              </w:rPr>
              <w:t>★</w:t>
            </w:r>
            <w:r>
              <w:rPr>
                <w:rFonts w:hint="eastAsia" w:ascii="Times New Roman" w:hAnsi="Times New Roman" w:eastAsia="宋体" w:cs="Times New Roman"/>
                <w:sz w:val="24"/>
                <w:highlight w:val="none"/>
                <w:lang w:val="en-US" w:eastAsia="zh-CN"/>
              </w:rPr>
              <w:t>额定载质量：≥3000 KG</w:t>
            </w:r>
          </w:p>
          <w:p w14:paraId="785EBE6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轴距：≥3800 mm</w:t>
            </w:r>
          </w:p>
          <w:p w14:paraId="5845C3E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heme="minorEastAsia" w:hAnsiTheme="minorEastAsia" w:eastAsiaTheme="minorEastAsia"/>
                <w:color w:val="auto"/>
                <w:sz w:val="24"/>
                <w:szCs w:val="18"/>
                <w:highlight w:val="none"/>
                <w:lang w:val="en-US" w:eastAsia="zh-CN"/>
              </w:rPr>
              <w:t>★</w:t>
            </w:r>
            <w:r>
              <w:rPr>
                <w:rFonts w:hint="eastAsia" w:ascii="Times New Roman" w:hAnsi="Times New Roman" w:eastAsia="宋体" w:cs="Times New Roman"/>
                <w:sz w:val="24"/>
                <w:highlight w:val="none"/>
                <w:lang w:val="en-US" w:eastAsia="zh-CN"/>
              </w:rPr>
              <w:t>接近角/离去角：接近角≥12°，离去角≥8°</w:t>
            </w:r>
          </w:p>
          <w:p w14:paraId="630EC27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最高车速：≥80 Km/h</w:t>
            </w:r>
          </w:p>
          <w:p w14:paraId="6092D8A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清扫作业宽度：≥3m</w:t>
            </w:r>
          </w:p>
          <w:p w14:paraId="6946AFD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清扫效率：≥96%</w:t>
            </w:r>
          </w:p>
          <w:p w14:paraId="32E1188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eastAsia="zh-CN"/>
              </w:rPr>
            </w:pPr>
            <w:r>
              <w:rPr>
                <w:rFonts w:hint="eastAsia" w:ascii="Times New Roman" w:hAnsi="Times New Roman" w:eastAsia="宋体" w:cs="Times New Roman"/>
                <w:sz w:val="24"/>
                <w:highlight w:val="none"/>
                <w:lang w:val="en-US" w:eastAsia="zh-CN"/>
              </w:rPr>
              <w:t>最大清扫能力：≥5000m²/</w:t>
            </w:r>
            <w:r>
              <w:rPr>
                <w:rFonts w:ascii="Times New Roman" w:hAnsi="Times New Roman" w:eastAsia="宋体" w:cs="Times New Roman"/>
                <w:sz w:val="24"/>
                <w:highlight w:val="none"/>
              </w:rPr>
              <w:t>h</w:t>
            </w:r>
          </w:p>
          <w:p w14:paraId="5AE5A87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b/>
                <w:bCs/>
                <w:sz w:val="24"/>
                <w:highlight w:val="none"/>
                <w:lang w:eastAsia="zh-CN"/>
              </w:rPr>
            </w:pPr>
            <w:r>
              <w:rPr>
                <w:rFonts w:hint="eastAsia" w:ascii="Times New Roman" w:hAnsi="Times New Roman" w:eastAsia="宋体" w:cs="Times New Roman"/>
                <w:b/>
                <w:bCs/>
                <w:sz w:val="24"/>
                <w:highlight w:val="none"/>
              </w:rPr>
              <w:t>车辆性能要求</w:t>
            </w:r>
            <w:r>
              <w:rPr>
                <w:rFonts w:hint="eastAsia" w:ascii="Times New Roman" w:hAnsi="Times New Roman" w:eastAsia="宋体" w:cs="Times New Roman"/>
                <w:b/>
                <w:bCs/>
                <w:sz w:val="24"/>
                <w:highlight w:val="none"/>
                <w:lang w:eastAsia="zh-CN"/>
              </w:rPr>
              <w:t>：</w:t>
            </w:r>
          </w:p>
          <w:p w14:paraId="649BF12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1</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动力传动结构：上装电动机启动后，通过皮带传动带动风机和液压油泵工作，经离合器、皮带轮、皮带带动高压水泵工作，水泵电磁离合器控制启停。</w:t>
            </w:r>
          </w:p>
          <w:p w14:paraId="447C576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（2）</w:t>
            </w:r>
            <w:r>
              <w:rPr>
                <w:rFonts w:ascii="Times New Roman" w:hAnsi="Times New Roman" w:eastAsia="宋体" w:cs="Times New Roman"/>
                <w:sz w:val="24"/>
                <w:highlight w:val="none"/>
              </w:rPr>
              <w:t>动力与通讯：上装动力来源于底盘电瓶输出的电能，上装动力系统通过CAN总线通讯。</w:t>
            </w:r>
          </w:p>
          <w:p w14:paraId="2907AD1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3</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垃圾箱设计：垃圾箱设置多个大流量高压喷嘴，可快速冲洗垃圾箱，集成部分清水箱功能，实现清水箱与垃圾箱一体设计。</w:t>
            </w:r>
          </w:p>
          <w:p w14:paraId="2EB475C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4</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清扫机构配置：采用中置两盘扫，中置宽吸嘴配置液压浮动装置，具备扫树叶功能，采用电控气缸控制喂料口开度，便于清扫轻飘物，吸嘴内置高压喷杆，支持快速拆装。</w:t>
            </w:r>
          </w:p>
          <w:p w14:paraId="6F74984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5</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扫刷调节系统：采用液压缓冲式扫刷地距自动调节装置，保持扫刷与地面接触力稳定，扫刷磨损后可自动补偿，配备辅助链条弹簧机械调节装置，扫盘转速可根据工况选择高、中、低三档调节。</w:t>
            </w:r>
          </w:p>
          <w:p w14:paraId="5BEE3C1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6</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喷水架设计：左右喷水架为组合式V型结构，具备自动避障保护及复位功能，可实现前后双向避障，作业时喷杆离地高度固定，不随整车载荷变化。</w:t>
            </w:r>
          </w:p>
          <w:p w14:paraId="18BF708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7</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控制模式：采用"显示屏+控制器+外置操作面板"控制模式，作业启停、驱动电机转速调节、吸嘴升降、扫盘收放、喷杆收放等操作均可一键控制。</w:t>
            </w:r>
          </w:p>
          <w:p w14:paraId="0A078F9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8</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转速调节逻辑：上装驱动电机转速通过驾驶室内电机调速旋钮调节，上装电机启动后到作业开始前以怠速运转，作业启动后转速自动升高，不使用"保洁""强力"档时，任意作业模式启动后可根据需求调节油门旋钮。</w:t>
            </w:r>
          </w:p>
          <w:p w14:paraId="518BB3C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9</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监控系统：车辆后部及右侧安装摄像头，驾驶室内配置彩色显示屏，作业时可在驾驶室监视清洁效果，倒车时可实现导航辅助，防止追尾。</w:t>
            </w:r>
          </w:p>
          <w:p w14:paraId="6FD6DBD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10</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辅助配置：配备手持喷枪、自动卷盘，可用于整车清洗、垃圾桶清洗、人行道冲洗等作业。</w:t>
            </w:r>
          </w:p>
        </w:tc>
        <w:tc>
          <w:tcPr>
            <w:tcW w:w="443" w:type="pct"/>
            <w:vAlign w:val="center"/>
          </w:tcPr>
          <w:p w14:paraId="178821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3辆</w:t>
            </w:r>
          </w:p>
        </w:tc>
        <w:tc>
          <w:tcPr>
            <w:tcW w:w="442" w:type="pct"/>
            <w:vAlign w:val="center"/>
          </w:tcPr>
          <w:p w14:paraId="266D79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c>
          <w:tcPr>
            <w:tcW w:w="499" w:type="pct"/>
            <w:vAlign w:val="center"/>
          </w:tcPr>
          <w:p w14:paraId="5BFD58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否</w:t>
            </w:r>
          </w:p>
        </w:tc>
        <w:tc>
          <w:tcPr>
            <w:tcW w:w="318" w:type="pct"/>
            <w:vAlign w:val="center"/>
          </w:tcPr>
          <w:p w14:paraId="713C5E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rPr>
            </w:pPr>
          </w:p>
        </w:tc>
      </w:tr>
      <w:tr w14:paraId="743B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3" w:hRule="atLeast"/>
          <w:jc w:val="center"/>
        </w:trPr>
        <w:tc>
          <w:tcPr>
            <w:tcW w:w="578" w:type="pct"/>
            <w:vAlign w:val="center"/>
          </w:tcPr>
          <w:p w14:paraId="417D99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564" w:type="pct"/>
            <w:vAlign w:val="center"/>
          </w:tcPr>
          <w:p w14:paraId="682621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18吨</w:t>
            </w:r>
            <w:r>
              <w:rPr>
                <w:rFonts w:hint="eastAsia" w:ascii="宋体" w:hAnsi="宋体" w:eastAsia="宋体" w:cs="宋体"/>
                <w:b w:val="0"/>
                <w:bCs w:val="0"/>
                <w:color w:val="auto"/>
                <w:sz w:val="24"/>
                <w:szCs w:val="24"/>
                <w:highlight w:val="none"/>
                <w:lang w:val="en-US" w:eastAsia="zh-CN"/>
              </w:rPr>
              <w:t>纯电动</w:t>
            </w:r>
            <w:r>
              <w:rPr>
                <w:rFonts w:hint="eastAsia" w:ascii="宋体" w:hAnsi="宋体" w:eastAsia="宋体" w:cs="宋体"/>
                <w:bCs/>
                <w:color w:val="auto"/>
                <w:sz w:val="24"/>
                <w:szCs w:val="24"/>
                <w:highlight w:val="none"/>
              </w:rPr>
              <w:t>清洗车</w:t>
            </w:r>
          </w:p>
        </w:tc>
        <w:tc>
          <w:tcPr>
            <w:tcW w:w="2154" w:type="pct"/>
            <w:vAlign w:val="center"/>
          </w:tcPr>
          <w:p w14:paraId="05E8560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车辆参数：</w:t>
            </w:r>
          </w:p>
          <w:p w14:paraId="430263A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底盘类别</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二类载货汽车底盘</w:t>
            </w:r>
          </w:p>
          <w:p w14:paraId="6043EEB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底盘驱动电机峰值功率</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≥200KW</w:t>
            </w:r>
          </w:p>
          <w:p w14:paraId="286D109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电池电量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≥162KW.h</w:t>
            </w:r>
          </w:p>
          <w:p w14:paraId="193E408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续航里程</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≥200km</w:t>
            </w:r>
          </w:p>
          <w:p w14:paraId="7D64C47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电源电池种类</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磷酸铁锂电池</w:t>
            </w:r>
          </w:p>
          <w:p w14:paraId="2DC68FE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上装驱动电机峰值功率</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≥55KW</w:t>
            </w:r>
          </w:p>
          <w:p w14:paraId="14FBF21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外形尺寸（长×宽×高）</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77</w:t>
            </w:r>
            <w:r>
              <w:rPr>
                <w:rFonts w:ascii="Times New Roman" w:hAnsi="Times New Roman" w:eastAsia="宋体" w:cs="Times New Roman"/>
                <w:sz w:val="24"/>
                <w:highlight w:val="none"/>
              </w:rPr>
              <w:t>00×2550×3000 mm</w:t>
            </w:r>
          </w:p>
          <w:p w14:paraId="3AE5FB9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总质量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≤18000KG</w:t>
            </w:r>
          </w:p>
          <w:p w14:paraId="47B204E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整备质量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≥83</w:t>
            </w:r>
            <w:r>
              <w:rPr>
                <w:rFonts w:hint="eastAsia" w:ascii="Times New Roman" w:hAnsi="Times New Roman" w:eastAsia="宋体" w:cs="Times New Roman"/>
                <w:sz w:val="24"/>
                <w:highlight w:val="none"/>
                <w:lang w:val="en-US" w:eastAsia="zh-CN"/>
              </w:rPr>
              <w:t>0</w:t>
            </w:r>
            <w:r>
              <w:rPr>
                <w:rFonts w:ascii="Times New Roman" w:hAnsi="Times New Roman" w:eastAsia="宋体" w:cs="Times New Roman"/>
                <w:sz w:val="24"/>
                <w:highlight w:val="none"/>
              </w:rPr>
              <w:t>0 KG</w:t>
            </w:r>
          </w:p>
          <w:p w14:paraId="5A86010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额定载质量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≥95</w:t>
            </w:r>
            <w:r>
              <w:rPr>
                <w:rFonts w:hint="eastAsia" w:ascii="Times New Roman" w:hAnsi="Times New Roman" w:eastAsia="宋体" w:cs="Times New Roman"/>
                <w:sz w:val="24"/>
                <w:highlight w:val="none"/>
                <w:lang w:val="en-US" w:eastAsia="zh-CN"/>
              </w:rPr>
              <w:t>0</w:t>
            </w:r>
            <w:r>
              <w:rPr>
                <w:rFonts w:ascii="Times New Roman" w:hAnsi="Times New Roman" w:eastAsia="宋体" w:cs="Times New Roman"/>
                <w:sz w:val="24"/>
                <w:highlight w:val="none"/>
              </w:rPr>
              <w:t>0 KG</w:t>
            </w:r>
          </w:p>
          <w:p w14:paraId="2515A81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轴距</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≥4500 mm</w:t>
            </w:r>
          </w:p>
          <w:p w14:paraId="3047C2B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接近角/离去角</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接近角≥14°，离去角≥12°</w:t>
            </w:r>
          </w:p>
          <w:p w14:paraId="1D11698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前悬/后悬</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前悬≥1400 mm，后悬≥1800 mm</w:t>
            </w:r>
          </w:p>
          <w:p w14:paraId="79B265F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heme="minorEastAsia" w:hAnsiTheme="minorEastAsia" w:eastAsiaTheme="minorEastAsia"/>
                <w:color w:val="auto"/>
                <w:sz w:val="24"/>
                <w:szCs w:val="18"/>
                <w:highlight w:val="none"/>
                <w:lang w:val="en-US" w:eastAsia="zh-CN"/>
              </w:rPr>
              <w:t>★</w:t>
            </w:r>
            <w:r>
              <w:rPr>
                <w:rFonts w:hint="eastAsia" w:ascii="Times New Roman" w:hAnsi="Times New Roman" w:eastAsia="宋体" w:cs="Times New Roman"/>
                <w:sz w:val="24"/>
                <w:highlight w:val="none"/>
                <w:lang w:val="en-US" w:eastAsia="zh-CN"/>
              </w:rPr>
              <w:t>罐体公告容积：</w:t>
            </w:r>
            <w:r>
              <w:rPr>
                <w:rFonts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10</w:t>
            </w:r>
            <w:r>
              <w:rPr>
                <w:rFonts w:ascii="Times New Roman" w:hAnsi="Times New Roman" w:eastAsia="宋体" w:cs="Times New Roman"/>
                <w:sz w:val="24"/>
                <w:highlight w:val="none"/>
              </w:rPr>
              <w:t>.m³</w:t>
            </w:r>
          </w:p>
          <w:p w14:paraId="373B469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高压水泵额定压力</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≥10MPa</w:t>
            </w:r>
          </w:p>
          <w:p w14:paraId="29FE8D3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高压水泵额定流量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≥140L/min</w:t>
            </w:r>
          </w:p>
          <w:p w14:paraId="0F9FD25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前喷架清洗宽度</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≥3m</w:t>
            </w:r>
          </w:p>
          <w:p w14:paraId="3333996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扬程</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≥110m</w:t>
            </w:r>
          </w:p>
          <w:p w14:paraId="2C63E88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流量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≥50m³/h</w:t>
            </w:r>
          </w:p>
          <w:p w14:paraId="0BA3556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前冲宽度</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≥10m</w:t>
            </w:r>
          </w:p>
          <w:p w14:paraId="7B4416A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中对冲宽度</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≥24m</w:t>
            </w:r>
          </w:p>
          <w:p w14:paraId="2934200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后洒水宽度</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≥14m</w:t>
            </w:r>
          </w:p>
          <w:p w14:paraId="68B3F42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洒水速度</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5~20km/h</w:t>
            </w:r>
          </w:p>
          <w:p w14:paraId="11EAB1D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ascii="Times New Roman" w:hAnsi="Times New Roman" w:eastAsia="宋体" w:cs="Times New Roman"/>
                <w:sz w:val="24"/>
                <w:highlight w:val="none"/>
              </w:rPr>
              <w:t>水炮射程</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≥40m</w:t>
            </w:r>
          </w:p>
          <w:p w14:paraId="0658B99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b/>
                <w:bCs/>
                <w:sz w:val="24"/>
                <w:highlight w:val="none"/>
                <w:lang w:eastAsia="zh-CN"/>
              </w:rPr>
            </w:pPr>
            <w:r>
              <w:rPr>
                <w:rFonts w:hint="eastAsia" w:ascii="Times New Roman" w:hAnsi="Times New Roman" w:eastAsia="宋体" w:cs="Times New Roman"/>
                <w:b/>
                <w:bCs/>
                <w:sz w:val="24"/>
                <w:highlight w:val="none"/>
              </w:rPr>
              <w:t>车辆性能要求</w:t>
            </w:r>
            <w:r>
              <w:rPr>
                <w:rFonts w:hint="eastAsia" w:ascii="Times New Roman" w:hAnsi="Times New Roman" w:eastAsia="宋体" w:cs="Times New Roman"/>
                <w:b/>
                <w:bCs/>
                <w:sz w:val="24"/>
                <w:highlight w:val="none"/>
                <w:lang w:eastAsia="zh-CN"/>
              </w:rPr>
              <w:t>：</w:t>
            </w:r>
          </w:p>
          <w:p w14:paraId="5186402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1</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控制系统：专用工作装置系统采用CAN总线控制系统，可实时显示工作状态，通过旋钮实现调速控制。</w:t>
            </w:r>
          </w:p>
          <w:p w14:paraId="6A07B75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（2）</w:t>
            </w:r>
            <w:r>
              <w:rPr>
                <w:rFonts w:ascii="Times New Roman" w:hAnsi="Times New Roman" w:eastAsia="宋体" w:cs="Times New Roman"/>
                <w:sz w:val="24"/>
                <w:highlight w:val="none"/>
              </w:rPr>
              <w:t>水泵保护功能：设置低水位语音报警装置和缺水自动停机功能，防止水泵缺水干转，延长水泵使用寿命。</w:t>
            </w:r>
          </w:p>
          <w:p w14:paraId="520EA85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（3）</w:t>
            </w:r>
            <w:r>
              <w:rPr>
                <w:rFonts w:ascii="Times New Roman" w:hAnsi="Times New Roman" w:eastAsia="宋体" w:cs="Times New Roman"/>
                <w:sz w:val="24"/>
                <w:highlight w:val="none"/>
              </w:rPr>
              <w:t>冬季排水功能：标配冬季一键排水功能，冬季作业结束后，在驾驶室内操作一键排水按键，自动实现所有水路阀门顺序开关，排出水路残余水量。</w:t>
            </w:r>
          </w:p>
          <w:p w14:paraId="370F8EB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4</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操控模式：采用翘板开关+中控屏操控方式，操作简单便捷，配有节能、标准、强力三种工作模式，可根据实际作业需求调整。</w:t>
            </w:r>
          </w:p>
          <w:p w14:paraId="768231E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5</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语音提示系统：配置语音播报器，可播放音乐，具备多种语音提示和音乐报警功能，准确播报安全提示和故障位置。</w:t>
            </w:r>
          </w:p>
          <w:p w14:paraId="1F635F1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6</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360°环视系统：通过车头、两侧、车后四个摄像头实现全方位可视监控，方便驾驶人员行车泊车，消除盲区，同时具备行车记录仪功能。</w:t>
            </w:r>
          </w:p>
          <w:p w14:paraId="09D3A08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7</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多重安全保护：配置低水位报警开关和液位高度传感器，具备低水位语音报警和缺水自动停机功能；设置阀门未开保护功能，喷头阀门未开启时电机不启动，防止管路憋压损坏设备；具备高转速保护功能，高转速下切换作业功能时电机自动降速，保护阀门不受高压损坏；支持电机调速，作业遇到行人或等待红绿灯时可调低转速，保障安全。</w:t>
            </w:r>
          </w:p>
          <w:p w14:paraId="18A5497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（8）</w:t>
            </w:r>
            <w:r>
              <w:rPr>
                <w:rFonts w:ascii="Times New Roman" w:hAnsi="Times New Roman" w:eastAsia="宋体" w:cs="Times New Roman"/>
                <w:sz w:val="24"/>
                <w:highlight w:val="none"/>
              </w:rPr>
              <w:t>红绿灯智能模式：标配红绿灯模式，上装控制系统自动识别车辆行车状态，路口等红绿灯时自动关闭上装作业，车辆启动后自动恢复作业，简化驾驶员操作。</w:t>
            </w:r>
          </w:p>
        </w:tc>
        <w:tc>
          <w:tcPr>
            <w:tcW w:w="443" w:type="pct"/>
            <w:vAlign w:val="center"/>
          </w:tcPr>
          <w:p w14:paraId="1EA2F9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13辆</w:t>
            </w:r>
          </w:p>
        </w:tc>
        <w:tc>
          <w:tcPr>
            <w:tcW w:w="442" w:type="pct"/>
            <w:vAlign w:val="center"/>
          </w:tcPr>
          <w:p w14:paraId="4290E0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c>
          <w:tcPr>
            <w:tcW w:w="499" w:type="pct"/>
            <w:vAlign w:val="center"/>
          </w:tcPr>
          <w:p w14:paraId="5C2BB5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否</w:t>
            </w:r>
          </w:p>
        </w:tc>
        <w:tc>
          <w:tcPr>
            <w:tcW w:w="318" w:type="pct"/>
            <w:vAlign w:val="center"/>
          </w:tcPr>
          <w:p w14:paraId="684C1A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rPr>
            </w:pPr>
          </w:p>
        </w:tc>
      </w:tr>
      <w:tr w14:paraId="1634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578" w:type="pct"/>
            <w:vAlign w:val="center"/>
          </w:tcPr>
          <w:p w14:paraId="40FD74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564" w:type="pct"/>
            <w:vAlign w:val="center"/>
          </w:tcPr>
          <w:p w14:paraId="07803F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sz w:val="24"/>
                <w:szCs w:val="24"/>
                <w:highlight w:val="none"/>
                <w:lang w:val="en-US" w:eastAsia="zh-CN"/>
              </w:rPr>
              <w:t>25吨</w:t>
            </w:r>
            <w:r>
              <w:rPr>
                <w:rFonts w:hint="eastAsia" w:ascii="宋体" w:hAnsi="宋体" w:eastAsia="宋体" w:cs="宋体"/>
                <w:b w:val="0"/>
                <w:bCs w:val="0"/>
                <w:color w:val="auto"/>
                <w:sz w:val="24"/>
                <w:szCs w:val="24"/>
                <w:highlight w:val="none"/>
                <w:lang w:val="en-US" w:eastAsia="zh-CN"/>
              </w:rPr>
              <w:t>纯电动</w:t>
            </w:r>
            <w:r>
              <w:rPr>
                <w:rFonts w:hint="eastAsia" w:ascii="宋体" w:hAnsi="宋体" w:eastAsia="宋体" w:cs="宋体"/>
                <w:sz w:val="24"/>
                <w:szCs w:val="24"/>
                <w:highlight w:val="none"/>
                <w:lang w:val="en-US" w:eastAsia="zh-CN"/>
              </w:rPr>
              <w:t>多功能抑尘车</w:t>
            </w:r>
          </w:p>
        </w:tc>
        <w:tc>
          <w:tcPr>
            <w:tcW w:w="2154" w:type="pct"/>
            <w:vAlign w:val="center"/>
          </w:tcPr>
          <w:p w14:paraId="10AD255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车辆参数：</w:t>
            </w:r>
          </w:p>
          <w:p w14:paraId="6F5B459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底盘类别：二类载货汽车底盘</w:t>
            </w:r>
          </w:p>
          <w:p w14:paraId="60BBACB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底盘驱动电机峰值功率：≥160kw</w:t>
            </w:r>
          </w:p>
          <w:p w14:paraId="6D2BD1E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动力电池系统能量密度：≥160W·h/kg</w:t>
            </w:r>
          </w:p>
          <w:p w14:paraId="42AAD7C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储能装置总储电量：≥218kWh</w:t>
            </w:r>
          </w:p>
          <w:p w14:paraId="61B410B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续航里程：≥150km</w:t>
            </w:r>
          </w:p>
          <w:p w14:paraId="7C69954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电源电池种类:磷酸铁锂电池</w:t>
            </w:r>
          </w:p>
          <w:p w14:paraId="07FF4FA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最大总质量：25000（±500）kg</w:t>
            </w:r>
          </w:p>
          <w:p w14:paraId="4C5442A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整备质量：≥12550kg</w:t>
            </w:r>
          </w:p>
          <w:p w14:paraId="43666D8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额定质量：≥11500kg</w:t>
            </w:r>
          </w:p>
          <w:p w14:paraId="086BA53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外形尺寸(长×宽×高)：≥10200×2540×3200mm</w:t>
            </w:r>
          </w:p>
          <w:p w14:paraId="6EF942E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前悬/后悬：≤1250/2925mm</w:t>
            </w:r>
          </w:p>
          <w:p w14:paraId="57FA772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接近角/离去角：≥19/10°</w:t>
            </w:r>
          </w:p>
          <w:p w14:paraId="63A1998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最高车速：≥85km/h</w:t>
            </w:r>
          </w:p>
          <w:p w14:paraId="5C475C3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轴距：≤5000+1350mm</w:t>
            </w:r>
          </w:p>
          <w:p w14:paraId="51DFF6C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szCs w:val="18"/>
                <w:highlight w:val="none"/>
                <w:lang w:val="en-US" w:eastAsia="zh-CN"/>
              </w:rPr>
              <w:t>★</w:t>
            </w:r>
            <w:r>
              <w:rPr>
                <w:rFonts w:hint="eastAsia" w:asciiTheme="minorEastAsia" w:hAnsiTheme="minorEastAsia" w:eastAsiaTheme="minorEastAsia"/>
                <w:color w:val="auto"/>
                <w:sz w:val="24"/>
                <w:highlight w:val="none"/>
                <w:lang w:val="en-US" w:eastAsia="zh-CN"/>
              </w:rPr>
              <w:t>喷雾最大射程：≥100m</w:t>
            </w:r>
          </w:p>
          <w:p w14:paraId="38FC9CF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喷雾最大射高：≥36m</w:t>
            </w:r>
          </w:p>
          <w:p w14:paraId="2F94654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喷雾量：0～160L/min</w:t>
            </w:r>
          </w:p>
          <w:p w14:paraId="6226444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喷雾水压力：≥1.2Mpa</w:t>
            </w:r>
          </w:p>
          <w:p w14:paraId="20CD184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噪声：≤82dB</w:t>
            </w:r>
          </w:p>
          <w:p w14:paraId="11F03D7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喷筒俯仰角度：-10～60°</w:t>
            </w:r>
          </w:p>
          <w:p w14:paraId="4BDAEAD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水平左右旋转角度：-90～90°</w:t>
            </w:r>
          </w:p>
          <w:p w14:paraId="73B21BF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遥控距离：≥75m</w:t>
            </w:r>
          </w:p>
          <w:p w14:paraId="0926E57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洒水泵流量：≥833L/min</w:t>
            </w:r>
          </w:p>
          <w:p w14:paraId="1A83E07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洒水宽度：≥16m</w:t>
            </w:r>
          </w:p>
          <w:p w14:paraId="4B03CAA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冲洗宽度：≥24m</w:t>
            </w:r>
          </w:p>
          <w:p w14:paraId="610265C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仿宋_GB2312"/>
                <w:sz w:val="24"/>
                <w:szCs w:val="24"/>
                <w:highlight w:val="none"/>
                <w:lang w:val="en-US" w:eastAsia="zh-CN"/>
              </w:rPr>
            </w:pPr>
            <w:r>
              <w:rPr>
                <w:rFonts w:hint="eastAsia" w:asciiTheme="minorEastAsia" w:hAnsiTheme="minorEastAsia" w:eastAsiaTheme="minorEastAsia"/>
                <w:color w:val="auto"/>
                <w:sz w:val="24"/>
                <w:highlight w:val="none"/>
                <w:lang w:val="en-US" w:eastAsia="zh-CN"/>
              </w:rPr>
              <w:t>罐体有效容积：≥14060L</w:t>
            </w:r>
          </w:p>
          <w:p w14:paraId="4113CA1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b/>
                <w:bCs/>
                <w:sz w:val="24"/>
                <w:highlight w:val="none"/>
                <w:lang w:eastAsia="zh-CN"/>
              </w:rPr>
            </w:pPr>
            <w:r>
              <w:rPr>
                <w:rFonts w:hint="eastAsia" w:ascii="Times New Roman" w:hAnsi="Times New Roman" w:eastAsia="宋体" w:cs="Times New Roman"/>
                <w:b/>
                <w:bCs/>
                <w:sz w:val="24"/>
                <w:highlight w:val="none"/>
              </w:rPr>
              <w:t>车辆性能要求</w:t>
            </w:r>
            <w:r>
              <w:rPr>
                <w:rFonts w:hint="eastAsia" w:ascii="Times New Roman" w:hAnsi="Times New Roman" w:eastAsia="宋体" w:cs="Times New Roman"/>
                <w:b/>
                <w:bCs/>
                <w:sz w:val="24"/>
                <w:highlight w:val="none"/>
                <w:lang w:eastAsia="zh-CN"/>
              </w:rPr>
              <w:t>：</w:t>
            </w:r>
          </w:p>
          <w:p w14:paraId="43FC681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1</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功能定位：基于风送原理实现抑尘降尘，集成路面保洁、高空喷雾降尘等多项功能，喷雾产生的细微雾粒可与飘浮尘埃结合形成潮湿雾状体，快速降尘，改善环境质量。</w:t>
            </w:r>
          </w:p>
          <w:p w14:paraId="5A0C89F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（2）</w:t>
            </w:r>
            <w:r>
              <w:rPr>
                <w:rFonts w:ascii="Times New Roman" w:hAnsi="Times New Roman" w:eastAsia="宋体" w:cs="Times New Roman"/>
                <w:sz w:val="24"/>
                <w:highlight w:val="none"/>
              </w:rPr>
              <w:t>罐体设计：水罐容积大于14m³，单次作业时间长，采用有限元分析优化设计，通过严格可靠性试验，罐体内部采用环氧煤沥青漆专业防腐涂层，防腐效果优异。</w:t>
            </w:r>
          </w:p>
          <w:p w14:paraId="0C73C90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3</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低压水泵配置：低压水泵采用自吸式双级离心泵，效率高、可靠性好，额定流量50 m³/h，扬程110m。</w:t>
            </w:r>
          </w:p>
          <w:p w14:paraId="6A3F0B1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4</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前冲洗装置：前鸭嘴冲洗装置适用于路面及路沿冲洗，可在左右360°、上下360°范围内任意调节冲洗方位。</w:t>
            </w:r>
          </w:p>
          <w:p w14:paraId="1A3FF5F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5</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后部冲洗装置：后部柱状冲洗装置配置左右各一个圆锥喷嘴，双向冲洗，喷嘴可左右360°、上下360°任意调整，一次冲洗宽度不小于24米。</w:t>
            </w:r>
          </w:p>
          <w:p w14:paraId="158FA6C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6</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后洒水装置：同时开启两个后洒喷嘴时，洒水宽度不小于16米。</w:t>
            </w:r>
          </w:p>
        </w:tc>
        <w:tc>
          <w:tcPr>
            <w:tcW w:w="443" w:type="pct"/>
            <w:vAlign w:val="center"/>
          </w:tcPr>
          <w:p w14:paraId="025E4E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2辆</w:t>
            </w:r>
          </w:p>
        </w:tc>
        <w:tc>
          <w:tcPr>
            <w:tcW w:w="442" w:type="pct"/>
            <w:vAlign w:val="center"/>
          </w:tcPr>
          <w:p w14:paraId="4FB7C0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c>
          <w:tcPr>
            <w:tcW w:w="499" w:type="pct"/>
            <w:vAlign w:val="center"/>
          </w:tcPr>
          <w:p w14:paraId="663FC3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否</w:t>
            </w:r>
          </w:p>
        </w:tc>
        <w:tc>
          <w:tcPr>
            <w:tcW w:w="318" w:type="pct"/>
            <w:vAlign w:val="center"/>
          </w:tcPr>
          <w:p w14:paraId="4F4F54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rPr>
            </w:pPr>
          </w:p>
        </w:tc>
      </w:tr>
      <w:tr w14:paraId="20A5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578" w:type="pct"/>
            <w:vAlign w:val="center"/>
          </w:tcPr>
          <w:p w14:paraId="693D15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564" w:type="pct"/>
            <w:vAlign w:val="center"/>
          </w:tcPr>
          <w:p w14:paraId="228488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 w:val="0"/>
                <w:bCs w:val="0"/>
                <w:color w:val="auto"/>
                <w:sz w:val="24"/>
                <w:szCs w:val="24"/>
                <w:highlight w:val="none"/>
                <w:lang w:val="en-US" w:eastAsia="zh-CN"/>
              </w:rPr>
              <w:t>25吨环卫专用除雪车</w:t>
            </w:r>
          </w:p>
        </w:tc>
        <w:tc>
          <w:tcPr>
            <w:tcW w:w="2154" w:type="pct"/>
            <w:vAlign w:val="center"/>
          </w:tcPr>
          <w:p w14:paraId="02B191B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车辆参数：</w:t>
            </w:r>
          </w:p>
          <w:p w14:paraId="144AC43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外形尺寸(长)</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≥8700mm</w:t>
            </w:r>
          </w:p>
          <w:p w14:paraId="62D170D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外形尺寸(宽)</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≥2500mm</w:t>
            </w:r>
          </w:p>
          <w:p w14:paraId="17D0686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外形尺寸(高)</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≥3250mm</w:t>
            </w:r>
          </w:p>
          <w:p w14:paraId="6206997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最大总质量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≥25000kg</w:t>
            </w:r>
          </w:p>
          <w:p w14:paraId="1DE0488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整车整备质量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≥14500kg</w:t>
            </w:r>
          </w:p>
          <w:p w14:paraId="6D5A611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额定载质量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≥7750kg</w:t>
            </w:r>
          </w:p>
          <w:p w14:paraId="2BB1B88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发动机功率</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≥250kw</w:t>
            </w:r>
          </w:p>
          <w:p w14:paraId="6EC8C0B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驱动形式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6×4</w:t>
            </w:r>
          </w:p>
          <w:p w14:paraId="0610550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燃料种类</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柴油</w:t>
            </w:r>
          </w:p>
          <w:p w14:paraId="3866E62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最高车速</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≥80km/h</w:t>
            </w:r>
          </w:p>
          <w:p w14:paraId="3FF7092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排放标准</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国六</w:t>
            </w:r>
          </w:p>
          <w:p w14:paraId="6CB7C5E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轴距</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4600+1350</w:t>
            </w:r>
          </w:p>
          <w:p w14:paraId="4377180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驾驶室准乘人数</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≥2人</w:t>
            </w:r>
          </w:p>
          <w:p w14:paraId="599E3BD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撒布机容积</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≥10m³</w:t>
            </w:r>
          </w:p>
          <w:p w14:paraId="273A5A7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撒布机取力方式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底盘取力</w:t>
            </w:r>
          </w:p>
          <w:p w14:paraId="391806B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输料形式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刮板链条</w:t>
            </w:r>
          </w:p>
          <w:p w14:paraId="093FED0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撒布机甩盘材质</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不锈钢</w:t>
            </w:r>
          </w:p>
          <w:p w14:paraId="2C420A3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撒布盘直径</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550mm</w:t>
            </w:r>
          </w:p>
          <w:p w14:paraId="3217215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撒布机材质</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碳钢厚度≥4mm</w:t>
            </w:r>
          </w:p>
          <w:p w14:paraId="4E22DDE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撒布机液压工作压力</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≥16MPa</w:t>
            </w:r>
          </w:p>
          <w:p w14:paraId="3CD2C6F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撒布宽度</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2-15m（可调）</w:t>
            </w:r>
          </w:p>
          <w:p w14:paraId="3FA179B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撒盐量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20-300g/m²(可调)</w:t>
            </w:r>
          </w:p>
          <w:p w14:paraId="5726CC2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撒布机作业速度</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5-45km/h</w:t>
            </w:r>
          </w:p>
          <w:p w14:paraId="42D7441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撒布机控制方式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有线遥控</w:t>
            </w:r>
          </w:p>
          <w:p w14:paraId="6CB9C4A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撒布机货箱长度</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≥5500mm，带自卸功能</w:t>
            </w:r>
          </w:p>
          <w:p w14:paraId="38AE9A9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除雪滚刷宽度</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≥3000mm</w:t>
            </w:r>
          </w:p>
          <w:p w14:paraId="42C45A2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刷片直径</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≥800mm</w:t>
            </w:r>
          </w:p>
          <w:p w14:paraId="32A546F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可避障高度</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≥250mm</w:t>
            </w:r>
          </w:p>
          <w:p w14:paraId="5B9E5F6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滚刷控制方式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遥控</w:t>
            </w:r>
          </w:p>
          <w:p w14:paraId="2BEF276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刷片材质</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聚丙烯与弹性钢丝混合</w:t>
            </w:r>
          </w:p>
          <w:p w14:paraId="36A5C9E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滚刷左右调节角度</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±30度</w:t>
            </w:r>
          </w:p>
          <w:p w14:paraId="0B2E7DD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滚刷作业速度</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5-45km／h</w:t>
            </w:r>
          </w:p>
          <w:p w14:paraId="528B4FC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滚刷上下偏转角度</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6.5°</w:t>
            </w:r>
          </w:p>
          <w:p w14:paraId="02B3277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滚刷驱动方式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独立液压单元</w:t>
            </w:r>
          </w:p>
          <w:p w14:paraId="51D969A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ascii="Times New Roman" w:hAnsi="Times New Roman" w:eastAsia="宋体" w:cs="Times New Roman"/>
                <w:sz w:val="24"/>
                <w:highlight w:val="none"/>
              </w:rPr>
              <w:t>承载耐磨支撑轮</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两只，万向轮设计</w:t>
            </w:r>
          </w:p>
          <w:p w14:paraId="0F6216B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b/>
                <w:bCs/>
                <w:sz w:val="24"/>
                <w:highlight w:val="none"/>
                <w:lang w:eastAsia="zh-CN"/>
              </w:rPr>
            </w:pPr>
            <w:r>
              <w:rPr>
                <w:rFonts w:hint="eastAsia" w:ascii="Times New Roman" w:hAnsi="Times New Roman" w:eastAsia="宋体" w:cs="Times New Roman"/>
                <w:b/>
                <w:bCs/>
                <w:sz w:val="24"/>
                <w:highlight w:val="none"/>
              </w:rPr>
              <w:t>车辆性能要求</w:t>
            </w:r>
            <w:r>
              <w:rPr>
                <w:rFonts w:hint="eastAsia" w:ascii="Times New Roman" w:hAnsi="Times New Roman" w:eastAsia="宋体" w:cs="Times New Roman"/>
                <w:b/>
                <w:bCs/>
                <w:sz w:val="24"/>
                <w:highlight w:val="none"/>
                <w:lang w:eastAsia="zh-CN"/>
              </w:rPr>
              <w:t>：</w:t>
            </w:r>
          </w:p>
          <w:p w14:paraId="01B52AC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1</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撒布机基础配置：标配箭头灯、篷布、过滤网及后爬梯，料仓采用V型结构，确保融雪剂自动落料、出料完全无残留；装料端设置过滤网，有效拦截大颗粒及杂物，保护设备运行安全；配备可拆卸专用升降支撑系统，便于非作业状态快捷装卸与存放。</w:t>
            </w:r>
          </w:p>
          <w:p w14:paraId="1D79D61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（2）</w:t>
            </w:r>
            <w:r>
              <w:rPr>
                <w:rFonts w:ascii="Times New Roman" w:hAnsi="Times New Roman" w:eastAsia="宋体" w:cs="Times New Roman"/>
                <w:sz w:val="24"/>
                <w:highlight w:val="none"/>
              </w:rPr>
              <w:t>除雪滚刷防护：雪滚两端设置支撑杆，防止刷片受压损坏，配备警示灯便于驾驶员控制刷头位置。</w:t>
            </w:r>
          </w:p>
          <w:p w14:paraId="1A4272A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3</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杂质拦截功能：撒布机安装过滤网，减少大颗粒或杂物进入设备，保障设备、行人和车辆安全。</w:t>
            </w:r>
          </w:p>
          <w:p w14:paraId="4DD5DB9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4</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存储便利性：撒布机采用可拆卸专用升降支撑系统，便于非作业状态存放。</w:t>
            </w:r>
          </w:p>
          <w:p w14:paraId="181A69A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5</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料仓结构优势：采用V型料仓，结构简单可靠，融雪剂自动落料，出料完全无残留。</w:t>
            </w:r>
          </w:p>
          <w:p w14:paraId="116E31E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6</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撒布适配性：具备撒布粗盐、细盐、除冰剂、干沙、特种融雪剂等多种物料的功能。</w:t>
            </w:r>
          </w:p>
          <w:p w14:paraId="115017B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7</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撒布调节性能：撒布量、撒布宽度均可调节，撒布均匀。</w:t>
            </w:r>
          </w:p>
          <w:p w14:paraId="632A469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8</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防腐性能：采用高强碳结钢板，做特种防腐处理，防腐性能优异。</w:t>
            </w:r>
          </w:p>
          <w:p w14:paraId="01932F1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9</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维护便利性：抛盘机构支持拆卸、调整，便于安装和清洁。</w:t>
            </w:r>
          </w:p>
          <w:p w14:paraId="15DCC44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10</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出料均匀性：撒布机安装过滤网，减少大颗粒或杂物进入设备，保障出料均匀与运行安全。</w:t>
            </w:r>
          </w:p>
        </w:tc>
        <w:tc>
          <w:tcPr>
            <w:tcW w:w="443" w:type="pct"/>
            <w:vAlign w:val="center"/>
          </w:tcPr>
          <w:p w14:paraId="5E8126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4辆</w:t>
            </w:r>
          </w:p>
        </w:tc>
        <w:tc>
          <w:tcPr>
            <w:tcW w:w="442" w:type="pct"/>
            <w:vAlign w:val="center"/>
          </w:tcPr>
          <w:p w14:paraId="16772A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c>
          <w:tcPr>
            <w:tcW w:w="499" w:type="pct"/>
            <w:vAlign w:val="center"/>
          </w:tcPr>
          <w:p w14:paraId="45F7BB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否</w:t>
            </w:r>
          </w:p>
        </w:tc>
        <w:tc>
          <w:tcPr>
            <w:tcW w:w="318" w:type="pct"/>
            <w:vAlign w:val="center"/>
          </w:tcPr>
          <w:p w14:paraId="731C3D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rPr>
            </w:pPr>
          </w:p>
        </w:tc>
      </w:tr>
      <w:tr w14:paraId="5517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578" w:type="pct"/>
            <w:vAlign w:val="center"/>
          </w:tcPr>
          <w:p w14:paraId="6F6E65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564" w:type="pct"/>
            <w:vAlign w:val="center"/>
          </w:tcPr>
          <w:p w14:paraId="3DD055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4"/>
                <w:szCs w:val="24"/>
                <w:highlight w:val="none"/>
                <w:u w:color="auto"/>
              </w:rPr>
            </w:pPr>
            <w:r>
              <w:rPr>
                <w:rFonts w:hint="eastAsia" w:ascii="宋体" w:hAnsi="宋体" w:eastAsia="宋体" w:cs="宋体"/>
                <w:sz w:val="24"/>
                <w:szCs w:val="24"/>
                <w:highlight w:val="none"/>
                <w:lang w:val="en-US" w:eastAsia="zh-CN"/>
              </w:rPr>
              <w:t>18吨纯电动吸污车</w:t>
            </w:r>
          </w:p>
        </w:tc>
        <w:tc>
          <w:tcPr>
            <w:tcW w:w="2154" w:type="pct"/>
            <w:vAlign w:val="center"/>
          </w:tcPr>
          <w:p w14:paraId="1C8AC8E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sz w:val="24"/>
                <w:szCs w:val="24"/>
                <w:highlight w:val="none"/>
              </w:rPr>
            </w:pPr>
            <w:r>
              <w:rPr>
                <w:rFonts w:hint="eastAsia" w:asciiTheme="minorEastAsia" w:hAnsiTheme="minorEastAsia" w:eastAsiaTheme="minorEastAsia"/>
                <w:b/>
                <w:bCs/>
                <w:color w:val="auto"/>
                <w:sz w:val="24"/>
                <w:highlight w:val="none"/>
                <w:lang w:val="en-US" w:eastAsia="zh-CN"/>
              </w:rPr>
              <w:t>车辆参数：</w:t>
            </w:r>
          </w:p>
          <w:p w14:paraId="4979DB0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底盘类别：二类载货汽车底盘</w:t>
            </w:r>
          </w:p>
          <w:p w14:paraId="36EE2CE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底盘驱动电机峰值功率：≥200KW</w:t>
            </w:r>
          </w:p>
          <w:p w14:paraId="3F252FF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电池电量：≥190KW.h</w:t>
            </w:r>
          </w:p>
          <w:p w14:paraId="7A047A4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续航里程：≥280km</w:t>
            </w:r>
          </w:p>
          <w:p w14:paraId="06015CD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电源电池种类：磷酸铁锂电池</w:t>
            </w:r>
          </w:p>
          <w:p w14:paraId="43C65CC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上装驱动电机峰值功率：≥60KW</w:t>
            </w:r>
          </w:p>
          <w:p w14:paraId="10157A4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外形尺寸（长×宽×高）：≥7000×2500×3000 mm</w:t>
            </w:r>
          </w:p>
          <w:p w14:paraId="7866950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总质量：≤18000KG</w:t>
            </w:r>
          </w:p>
          <w:p w14:paraId="4255FA1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szCs w:val="18"/>
                <w:highlight w:val="none"/>
                <w:lang w:val="en-US" w:eastAsia="zh-CN"/>
              </w:rPr>
              <w:t>★</w:t>
            </w:r>
            <w:r>
              <w:rPr>
                <w:rFonts w:hint="eastAsia" w:asciiTheme="minorEastAsia" w:hAnsiTheme="minorEastAsia" w:eastAsiaTheme="minorEastAsia"/>
                <w:color w:val="auto"/>
                <w:sz w:val="24"/>
                <w:highlight w:val="none"/>
                <w:lang w:val="en-US" w:eastAsia="zh-CN"/>
              </w:rPr>
              <w:t>整备质量：≥9500KG</w:t>
            </w:r>
          </w:p>
          <w:p w14:paraId="44B0997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szCs w:val="18"/>
                <w:highlight w:val="none"/>
                <w:lang w:val="en-US" w:eastAsia="zh-CN"/>
              </w:rPr>
              <w:t>★</w:t>
            </w:r>
            <w:r>
              <w:rPr>
                <w:rFonts w:hint="eastAsia" w:asciiTheme="minorEastAsia" w:hAnsiTheme="minorEastAsia" w:eastAsiaTheme="minorEastAsia"/>
                <w:color w:val="auto"/>
                <w:sz w:val="24"/>
                <w:highlight w:val="none"/>
                <w:lang w:val="en-US" w:eastAsia="zh-CN"/>
              </w:rPr>
              <w:t>额定载质量：≥8000KG</w:t>
            </w:r>
          </w:p>
          <w:p w14:paraId="7C4C344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前悬/后悬：前悬≥1200 mm，后悬≥1600 mm</w:t>
            </w:r>
          </w:p>
          <w:p w14:paraId="337FE35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轴距：≥4000mm</w:t>
            </w:r>
          </w:p>
          <w:p w14:paraId="24F4798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接近角/离去角：接近角≥12°，离去角≥8°</w:t>
            </w:r>
          </w:p>
          <w:p w14:paraId="66CB950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最高车速：≥80 Km/h</w:t>
            </w:r>
          </w:p>
          <w:p w14:paraId="4DA7672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抽吸深度：≥7m</w:t>
            </w:r>
          </w:p>
          <w:p w14:paraId="64922A3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罐体容积：≥10m³</w:t>
            </w:r>
          </w:p>
          <w:p w14:paraId="1F17A7B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真空泵最大流量：≥500m³/h</w:t>
            </w:r>
          </w:p>
          <w:p w14:paraId="331EA55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b/>
                <w:bCs/>
                <w:sz w:val="24"/>
                <w:highlight w:val="none"/>
                <w:lang w:eastAsia="zh-CN"/>
              </w:rPr>
            </w:pPr>
            <w:r>
              <w:rPr>
                <w:rFonts w:hint="eastAsia" w:ascii="Times New Roman" w:hAnsi="Times New Roman" w:eastAsia="宋体" w:cs="Times New Roman"/>
                <w:b/>
                <w:bCs/>
                <w:sz w:val="24"/>
                <w:highlight w:val="none"/>
              </w:rPr>
              <w:t>车辆性能要求</w:t>
            </w:r>
            <w:r>
              <w:rPr>
                <w:rFonts w:hint="eastAsia" w:ascii="Times New Roman" w:hAnsi="Times New Roman" w:eastAsia="宋体" w:cs="Times New Roman"/>
                <w:b/>
                <w:bCs/>
                <w:sz w:val="24"/>
                <w:highlight w:val="none"/>
                <w:lang w:eastAsia="zh-CN"/>
              </w:rPr>
              <w:t>：</w:t>
            </w:r>
          </w:p>
          <w:p w14:paraId="290624D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1</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罐体结构与基础作业功能：采用圆柱形罐体结构，罐体顶部设置吸污口与抽气口，罐体后盖设置排放口。</w:t>
            </w:r>
          </w:p>
          <w:p w14:paraId="4D0C599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2</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排污阀控制要求：排污阀采用气动控制结构，通过转动气控手转阀操作手柄实现开关，</w:t>
            </w:r>
            <w:r>
              <w:rPr>
                <w:rFonts w:ascii="Times New Roman" w:hAnsi="Times New Roman" w:eastAsia="宋体" w:cs="Times New Roman"/>
                <w:b/>
                <w:bCs/>
                <w:sz w:val="24"/>
                <w:highlight w:val="none"/>
              </w:rPr>
              <w:t>投标时需提供对应结构实物照片证明</w:t>
            </w:r>
            <w:r>
              <w:rPr>
                <w:rFonts w:ascii="Times New Roman" w:hAnsi="Times New Roman" w:eastAsia="宋体" w:cs="Times New Roman"/>
                <w:sz w:val="24"/>
                <w:highlight w:val="none"/>
              </w:rPr>
              <w:t>。</w:t>
            </w:r>
          </w:p>
          <w:p w14:paraId="15FE12E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3</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防波机构：罐体内设置防波机构，减轻车辆运行中液态污物对罐体封头的冲击，增强罐体刚性。</w:t>
            </w:r>
          </w:p>
          <w:p w14:paraId="2704E22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4</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后门密封与控制：后门与罐体通过铰点连接，开启及关闭采用油缸自动锁紧，后门装有加强型硅胶条密封，密封性能好，杜绝二次污染。</w:t>
            </w:r>
          </w:p>
          <w:p w14:paraId="00EE41E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5</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液位防护系统：罐体后面设有液位观察窗，实时反映罐内液体位置；罐体后部顶端设有液压报警灯，液位满时闪烁提醒；罐体顶部设有防溢阀，前端设有二级防溢装置，防止污水倒流进真空泵，保护真空系统。</w:t>
            </w:r>
          </w:p>
          <w:p w14:paraId="5658644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6</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真空系统配置：真空系统采用优质（或进口）真空泵，动力强劲作业效率高，动力输出采用液压驱动，罐体配置防溢阻断、液位报警灯、一级二级防溢等多功能部件，保障系统可靠运行。</w:t>
            </w:r>
          </w:p>
          <w:p w14:paraId="636B2096">
            <w:pPr>
              <w:pStyle w:val="2"/>
              <w:ind w:left="0" w:leftChars="0" w:firstLine="0" w:firstLineChars="0"/>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7</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维修安全防护要求：污水罐下部装有安全保险撑杆，维修作业时锁定罐体位置保障安全，</w:t>
            </w:r>
            <w:r>
              <w:rPr>
                <w:rFonts w:ascii="Times New Roman" w:hAnsi="Times New Roman" w:eastAsia="宋体" w:cs="Times New Roman"/>
                <w:b/>
                <w:bCs/>
                <w:sz w:val="24"/>
                <w:highlight w:val="none"/>
              </w:rPr>
              <w:t>投标时需提供对应结构实物照片证明</w:t>
            </w:r>
            <w:r>
              <w:rPr>
                <w:rFonts w:ascii="Times New Roman" w:hAnsi="Times New Roman" w:eastAsia="宋体" w:cs="Times New Roman"/>
                <w:sz w:val="24"/>
                <w:highlight w:val="none"/>
              </w:rPr>
              <w:t>。</w:t>
            </w:r>
          </w:p>
        </w:tc>
        <w:tc>
          <w:tcPr>
            <w:tcW w:w="443" w:type="pct"/>
            <w:vAlign w:val="center"/>
          </w:tcPr>
          <w:p w14:paraId="1A84FA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1辆</w:t>
            </w:r>
          </w:p>
        </w:tc>
        <w:tc>
          <w:tcPr>
            <w:tcW w:w="442" w:type="pct"/>
            <w:vAlign w:val="center"/>
          </w:tcPr>
          <w:p w14:paraId="4FDE4C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c>
          <w:tcPr>
            <w:tcW w:w="499" w:type="pct"/>
            <w:vAlign w:val="center"/>
          </w:tcPr>
          <w:p w14:paraId="5B3494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否</w:t>
            </w:r>
          </w:p>
        </w:tc>
        <w:tc>
          <w:tcPr>
            <w:tcW w:w="318" w:type="pct"/>
            <w:vAlign w:val="center"/>
          </w:tcPr>
          <w:p w14:paraId="5705CF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rPr>
            </w:pPr>
          </w:p>
        </w:tc>
      </w:tr>
      <w:tr w14:paraId="6B2B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578" w:type="pct"/>
            <w:vAlign w:val="center"/>
          </w:tcPr>
          <w:p w14:paraId="184E77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564" w:type="pct"/>
            <w:vAlign w:val="center"/>
          </w:tcPr>
          <w:p w14:paraId="638F3A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4"/>
                <w:szCs w:val="24"/>
                <w:highlight w:val="none"/>
                <w:u w:color="auto"/>
                <w:lang w:val="en-US" w:eastAsia="zh-CN"/>
              </w:rPr>
            </w:pPr>
            <w:r>
              <w:rPr>
                <w:rFonts w:hint="eastAsia" w:ascii="宋体" w:hAnsi="宋体" w:eastAsia="宋体" w:cs="宋体"/>
                <w:b w:val="0"/>
                <w:bCs/>
                <w:sz w:val="24"/>
                <w:szCs w:val="24"/>
                <w:highlight w:val="none"/>
                <w:u w:color="auto"/>
              </w:rPr>
              <w:t>12吨纯电动吸污车</w:t>
            </w:r>
          </w:p>
        </w:tc>
        <w:tc>
          <w:tcPr>
            <w:tcW w:w="2154" w:type="pct"/>
            <w:vAlign w:val="center"/>
          </w:tcPr>
          <w:p w14:paraId="77184FB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车辆参数：</w:t>
            </w:r>
          </w:p>
          <w:p w14:paraId="5E71F8A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底盘类别：二类载货汽车底盘</w:t>
            </w:r>
          </w:p>
          <w:p w14:paraId="3ED7316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底盘驱动电机峰值功率：≥160KW</w:t>
            </w:r>
          </w:p>
          <w:p w14:paraId="677E768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电池电量：≥140KW.h</w:t>
            </w:r>
          </w:p>
          <w:p w14:paraId="315D33C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续航里程：≥300km</w:t>
            </w:r>
            <w:r>
              <w:rPr>
                <w:rFonts w:hint="eastAsia" w:asciiTheme="minorEastAsia" w:hAnsiTheme="minorEastAsia" w:eastAsiaTheme="minorEastAsia"/>
                <w:color w:val="auto"/>
                <w:sz w:val="24"/>
                <w:highlight w:val="none"/>
                <w:lang w:val="en-US" w:eastAsia="zh-CN"/>
              </w:rPr>
              <w:br w:type="textWrapping"/>
            </w:r>
            <w:r>
              <w:rPr>
                <w:rFonts w:hint="eastAsia" w:asciiTheme="minorEastAsia" w:hAnsiTheme="minorEastAsia" w:eastAsiaTheme="minorEastAsia"/>
                <w:color w:val="auto"/>
                <w:sz w:val="24"/>
                <w:highlight w:val="none"/>
                <w:lang w:val="en-US" w:eastAsia="zh-CN"/>
              </w:rPr>
              <w:t>电源电池种类：磷酸铁锂电池</w:t>
            </w:r>
            <w:r>
              <w:rPr>
                <w:rFonts w:hint="eastAsia" w:asciiTheme="minorEastAsia" w:hAnsiTheme="minorEastAsia" w:eastAsiaTheme="minorEastAsia"/>
                <w:color w:val="auto"/>
                <w:sz w:val="24"/>
                <w:highlight w:val="none"/>
                <w:lang w:val="en-US" w:eastAsia="zh-CN"/>
              </w:rPr>
              <w:br w:type="textWrapping"/>
            </w:r>
            <w:r>
              <w:rPr>
                <w:rFonts w:hint="eastAsia" w:asciiTheme="minorEastAsia" w:hAnsiTheme="minorEastAsia" w:eastAsiaTheme="minorEastAsia"/>
                <w:color w:val="auto"/>
                <w:sz w:val="24"/>
                <w:highlight w:val="none"/>
                <w:lang w:val="en-US" w:eastAsia="zh-CN"/>
              </w:rPr>
              <w:t>上装驱动电机峰值功率：≥60KW</w:t>
            </w:r>
          </w:p>
          <w:p w14:paraId="4C588CD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外形尺寸（长×宽×高）：≤7950×2550×3550 mm</w:t>
            </w:r>
          </w:p>
          <w:p w14:paraId="3677D19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总质量：≥12000KG</w:t>
            </w:r>
          </w:p>
          <w:p w14:paraId="6133B8E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整备质量：≤6500KG</w:t>
            </w:r>
          </w:p>
          <w:p w14:paraId="600BF1C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额定载质量：≥5700KG</w:t>
            </w:r>
          </w:p>
          <w:p w14:paraId="70DCD05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前悬/后悬：前悬≤1150 mm，后悬≤1690 mm</w:t>
            </w:r>
          </w:p>
          <w:p w14:paraId="38EF9F4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轴距：≤3800mm</w:t>
            </w:r>
          </w:p>
          <w:p w14:paraId="2DC1D4F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接近角/离去角：接近角≥20°，离去角≥11°</w:t>
            </w:r>
          </w:p>
          <w:p w14:paraId="17500B9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最高车速：≥89 Km/h</w:t>
            </w:r>
          </w:p>
          <w:p w14:paraId="3E6C046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抽吸深度：≥7m</w:t>
            </w:r>
          </w:p>
          <w:p w14:paraId="10091C8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szCs w:val="18"/>
                <w:highlight w:val="none"/>
                <w:lang w:val="en-US" w:eastAsia="zh-CN"/>
              </w:rPr>
              <w:t>★</w:t>
            </w:r>
            <w:r>
              <w:rPr>
                <w:rFonts w:hint="eastAsia" w:asciiTheme="minorEastAsia" w:hAnsiTheme="minorEastAsia" w:eastAsiaTheme="minorEastAsia"/>
                <w:color w:val="auto"/>
                <w:sz w:val="24"/>
                <w:highlight w:val="none"/>
                <w:lang w:val="en-US" w:eastAsia="zh-CN"/>
              </w:rPr>
              <w:t>罐体公告容积：≥7.0m³</w:t>
            </w:r>
          </w:p>
          <w:p w14:paraId="5341000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最大真空度：≥500m³/h</w:t>
            </w:r>
          </w:p>
          <w:p w14:paraId="613B7FC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b/>
                <w:bCs/>
                <w:sz w:val="24"/>
                <w:highlight w:val="none"/>
                <w:lang w:eastAsia="zh-CN"/>
              </w:rPr>
            </w:pPr>
            <w:r>
              <w:rPr>
                <w:rFonts w:hint="eastAsia" w:ascii="Times New Roman" w:hAnsi="Times New Roman" w:eastAsia="宋体" w:cs="Times New Roman"/>
                <w:b/>
                <w:bCs/>
                <w:sz w:val="24"/>
                <w:highlight w:val="none"/>
              </w:rPr>
              <w:t>车辆性能要求</w:t>
            </w:r>
            <w:r>
              <w:rPr>
                <w:rFonts w:hint="eastAsia" w:ascii="Times New Roman" w:hAnsi="Times New Roman" w:eastAsia="宋体" w:cs="Times New Roman"/>
                <w:b/>
                <w:bCs/>
                <w:sz w:val="24"/>
                <w:highlight w:val="none"/>
                <w:lang w:eastAsia="zh-CN"/>
              </w:rPr>
              <w:t>：</w:t>
            </w:r>
          </w:p>
          <w:p w14:paraId="00EA8C3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（1）</w:t>
            </w:r>
            <w:r>
              <w:rPr>
                <w:rFonts w:ascii="Times New Roman" w:hAnsi="Times New Roman" w:eastAsia="宋体" w:cs="Times New Roman"/>
                <w:sz w:val="24"/>
                <w:highlight w:val="none"/>
              </w:rPr>
              <w:t>罐体结构与基础作业功能：采用圆柱形罐体结构，罐体顶部设置吸污口与抽气口，罐体后盖设置排放口；整车同时具备吸污、压排、清洗三项核心作业功能。</w:t>
            </w:r>
          </w:p>
          <w:p w14:paraId="086A047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（2）</w:t>
            </w:r>
            <w:r>
              <w:rPr>
                <w:rFonts w:ascii="Times New Roman" w:hAnsi="Times New Roman" w:eastAsia="宋体" w:cs="Times New Roman"/>
                <w:sz w:val="24"/>
                <w:highlight w:val="none"/>
              </w:rPr>
              <w:t>排污阀控制要求：排污阀采用气动控制结构，通过转动气控手转阀操作手柄即可实现排污阀的打开与关闭，</w:t>
            </w:r>
            <w:r>
              <w:rPr>
                <w:rFonts w:ascii="Times New Roman" w:hAnsi="Times New Roman" w:eastAsia="宋体" w:cs="Times New Roman"/>
                <w:b/>
                <w:bCs/>
                <w:sz w:val="24"/>
                <w:highlight w:val="none"/>
              </w:rPr>
              <w:t>投标时需提供对应结构实物照片证明</w:t>
            </w:r>
            <w:r>
              <w:rPr>
                <w:rFonts w:ascii="Times New Roman" w:hAnsi="Times New Roman" w:eastAsia="宋体" w:cs="Times New Roman"/>
                <w:sz w:val="24"/>
                <w:highlight w:val="none"/>
              </w:rPr>
              <w:t>。</w:t>
            </w:r>
          </w:p>
          <w:p w14:paraId="6B0900F8">
            <w:pPr>
              <w:pStyle w:val="2"/>
              <w:ind w:left="0" w:leftChars="0" w:firstLine="0" w:firstLineChars="0"/>
              <w:rPr>
                <w:rFonts w:ascii="Times New Roman" w:hAnsi="Times New Roman" w:eastAsia="宋体" w:cs="Times New Roman"/>
                <w:sz w:val="24"/>
                <w:highlight w:val="none"/>
              </w:rPr>
            </w:pPr>
            <w:r>
              <w:rPr>
                <w:rFonts w:hint="eastAsia" w:cs="Times New Roman"/>
                <w:sz w:val="24"/>
                <w:highlight w:val="none"/>
                <w:lang w:val="en-US" w:eastAsia="zh-CN"/>
              </w:rPr>
              <w:t>（3）</w:t>
            </w:r>
            <w:r>
              <w:rPr>
                <w:rFonts w:ascii="Times New Roman" w:hAnsi="Times New Roman" w:eastAsia="宋体" w:cs="Times New Roman"/>
                <w:sz w:val="24"/>
                <w:highlight w:val="none"/>
              </w:rPr>
              <w:t>整车清洗系统要求：标配独立清洗系统，配备高压水枪及长距离输水水管，覆盖整车全范围清洗作业需求。</w:t>
            </w:r>
          </w:p>
          <w:p w14:paraId="1212D39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（4）</w:t>
            </w:r>
            <w:r>
              <w:rPr>
                <w:rFonts w:ascii="Times New Roman" w:hAnsi="Times New Roman" w:eastAsia="宋体" w:cs="Times New Roman"/>
                <w:sz w:val="24"/>
                <w:highlight w:val="none"/>
              </w:rPr>
              <w:t>真空系统降噪环保要求：真空系统末端配置专用消声器，降低作业噪音，凝结和收集真空泵排出的油气，避免二次污染。</w:t>
            </w:r>
          </w:p>
          <w:p w14:paraId="35B0463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（5）</w:t>
            </w:r>
            <w:r>
              <w:rPr>
                <w:rFonts w:ascii="Times New Roman" w:hAnsi="Times New Roman" w:eastAsia="宋体" w:cs="Times New Roman"/>
                <w:sz w:val="24"/>
                <w:highlight w:val="none"/>
              </w:rPr>
              <w:t>压力安全保护要求：真空系统配备泄压安全阀，防止压排作业罐体内压力过大导致泄漏，</w:t>
            </w:r>
            <w:r>
              <w:rPr>
                <w:rFonts w:ascii="Times New Roman" w:hAnsi="Times New Roman" w:eastAsia="宋体" w:cs="Times New Roman"/>
                <w:b/>
                <w:bCs/>
                <w:sz w:val="24"/>
                <w:highlight w:val="none"/>
              </w:rPr>
              <w:t>投标时需提供对应部件实物照片证明</w:t>
            </w:r>
            <w:r>
              <w:rPr>
                <w:rFonts w:ascii="Times New Roman" w:hAnsi="Times New Roman" w:eastAsia="宋体" w:cs="Times New Roman"/>
                <w:sz w:val="24"/>
                <w:highlight w:val="none"/>
              </w:rPr>
              <w:t>。</w:t>
            </w:r>
          </w:p>
          <w:p w14:paraId="5966FC1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lang w:val="en-US" w:eastAsia="zh-CN"/>
              </w:rPr>
            </w:pPr>
            <w:r>
              <w:rPr>
                <w:rFonts w:hint="eastAsia" w:ascii="Times New Roman" w:hAnsi="Times New Roman" w:eastAsia="宋体" w:cs="Times New Roman"/>
                <w:sz w:val="24"/>
                <w:highlight w:val="none"/>
                <w:lang w:val="en-US" w:eastAsia="zh-CN"/>
              </w:rPr>
              <w:t>（6）</w:t>
            </w:r>
            <w:r>
              <w:rPr>
                <w:rFonts w:ascii="Times New Roman" w:hAnsi="Times New Roman" w:eastAsia="宋体" w:cs="Times New Roman"/>
                <w:sz w:val="24"/>
                <w:highlight w:val="none"/>
              </w:rPr>
              <w:t>维修安全防护要求：污水罐下部装有安全保险撑杆，维修时锁定罐体位置保障安全，</w:t>
            </w:r>
            <w:r>
              <w:rPr>
                <w:rFonts w:ascii="Times New Roman" w:hAnsi="Times New Roman" w:eastAsia="宋体" w:cs="Times New Roman"/>
                <w:b/>
                <w:bCs/>
                <w:sz w:val="24"/>
                <w:highlight w:val="none"/>
              </w:rPr>
              <w:t>投标时需提供对应结构实物照片证明</w:t>
            </w:r>
            <w:r>
              <w:rPr>
                <w:rFonts w:ascii="Times New Roman" w:hAnsi="Times New Roman" w:eastAsia="宋体" w:cs="Times New Roman"/>
                <w:sz w:val="24"/>
                <w:highlight w:val="none"/>
              </w:rPr>
              <w:t>。</w:t>
            </w:r>
          </w:p>
        </w:tc>
        <w:tc>
          <w:tcPr>
            <w:tcW w:w="443" w:type="pct"/>
            <w:vAlign w:val="center"/>
          </w:tcPr>
          <w:p w14:paraId="522BF6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1辆</w:t>
            </w:r>
          </w:p>
        </w:tc>
        <w:tc>
          <w:tcPr>
            <w:tcW w:w="442" w:type="pct"/>
            <w:vAlign w:val="center"/>
          </w:tcPr>
          <w:p w14:paraId="6703C1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c>
          <w:tcPr>
            <w:tcW w:w="499" w:type="pct"/>
            <w:vAlign w:val="center"/>
          </w:tcPr>
          <w:p w14:paraId="519EC2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否</w:t>
            </w:r>
          </w:p>
        </w:tc>
        <w:tc>
          <w:tcPr>
            <w:tcW w:w="318" w:type="pct"/>
            <w:vAlign w:val="center"/>
          </w:tcPr>
          <w:p w14:paraId="771313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rPr>
            </w:pPr>
          </w:p>
        </w:tc>
      </w:tr>
      <w:tr w14:paraId="714B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578" w:type="pct"/>
            <w:vAlign w:val="center"/>
          </w:tcPr>
          <w:p w14:paraId="02F642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564" w:type="pct"/>
            <w:vAlign w:val="center"/>
          </w:tcPr>
          <w:p w14:paraId="40FF6A6B">
            <w:pPr>
              <w:rPr>
                <w:rFonts w:hint="eastAsia" w:ascii="宋体" w:hAnsi="宋体" w:eastAsia="宋体" w:cs="宋体"/>
                <w:b/>
                <w:sz w:val="24"/>
                <w:szCs w:val="24"/>
                <w:highlight w:val="none"/>
                <w:u w:color="auto"/>
              </w:rPr>
            </w:pPr>
            <w:r>
              <w:rPr>
                <w:rFonts w:hint="eastAsia" w:ascii="宋体" w:hAnsi="宋体" w:eastAsia="宋体" w:cs="宋体"/>
                <w:b w:val="0"/>
                <w:bCs/>
                <w:sz w:val="24"/>
                <w:szCs w:val="24"/>
                <w:highlight w:val="none"/>
                <w:u w:color="auto"/>
              </w:rPr>
              <w:t>18吨纯电动洗扫车</w:t>
            </w:r>
          </w:p>
        </w:tc>
        <w:tc>
          <w:tcPr>
            <w:tcW w:w="2154" w:type="pct"/>
            <w:vAlign w:val="center"/>
          </w:tcPr>
          <w:p w14:paraId="2DCCDAC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车辆参数：</w:t>
            </w:r>
          </w:p>
          <w:p w14:paraId="6F2C8D8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底盘类别</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二类载货汽车底盘</w:t>
            </w:r>
          </w:p>
          <w:p w14:paraId="7B0A6FB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底盘驱动电机峰值功率</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≥160KW</w:t>
            </w:r>
          </w:p>
          <w:p w14:paraId="21F6724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电池电量</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≥280KW.h</w:t>
            </w:r>
          </w:p>
          <w:p w14:paraId="774D41B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续航里程</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≥200km</w:t>
            </w:r>
          </w:p>
          <w:p w14:paraId="7CF3656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电源电池种类</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磷酸铁锂电池</w:t>
            </w:r>
          </w:p>
          <w:p w14:paraId="68E8BF9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上装驱动电机峰值功率</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≥60KW</w:t>
            </w:r>
          </w:p>
          <w:p w14:paraId="12802D0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heme="minorEastAsia" w:hAnsiTheme="minorEastAsia" w:eastAsiaTheme="minorEastAsia"/>
                <w:color w:val="auto"/>
                <w:sz w:val="24"/>
                <w:szCs w:val="18"/>
                <w:highlight w:val="none"/>
                <w:lang w:val="en-US" w:eastAsia="zh-CN"/>
              </w:rPr>
              <w:t>★</w:t>
            </w:r>
            <w:r>
              <w:rPr>
                <w:rFonts w:ascii="Times New Roman" w:hAnsi="Times New Roman" w:eastAsia="宋体" w:cs="Times New Roman"/>
                <w:sz w:val="24"/>
                <w:highlight w:val="none"/>
              </w:rPr>
              <w:t>外形尺寸（长×宽×高）</w:t>
            </w:r>
            <w:r>
              <w:rPr>
                <w:rFonts w:hint="eastAsia" w:ascii="Times New Roman" w:hAnsi="Times New Roman" w:eastAsia="宋体" w:cs="Times New Roman"/>
                <w:sz w:val="24"/>
                <w:highlight w:val="none"/>
                <w:lang w:val="en-US" w:eastAsia="zh-CN"/>
              </w:rPr>
              <w:t>：</w:t>
            </w:r>
            <w:r>
              <w:rPr>
                <w:rFonts w:ascii="Times New Roman" w:hAnsi="Times New Roman" w:eastAsia="宋体" w:cs="Times New Roman"/>
                <w:sz w:val="24"/>
                <w:highlight w:val="none"/>
              </w:rPr>
              <w:t>≥9000×2550×3240 mm</w:t>
            </w:r>
          </w:p>
          <w:p w14:paraId="7C94FBD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heme="minorEastAsia" w:hAnsiTheme="minorEastAsia" w:eastAsiaTheme="minorEastAsia"/>
                <w:color w:val="auto"/>
                <w:sz w:val="24"/>
                <w:szCs w:val="18"/>
                <w:highlight w:val="none"/>
                <w:lang w:val="en-US" w:eastAsia="zh-CN"/>
              </w:rPr>
              <w:t>★</w:t>
            </w:r>
            <w:r>
              <w:rPr>
                <w:rFonts w:ascii="Times New Roman" w:hAnsi="Times New Roman" w:eastAsia="宋体" w:cs="Times New Roman"/>
                <w:sz w:val="24"/>
                <w:highlight w:val="none"/>
              </w:rPr>
              <w:t>总质量</w:t>
            </w:r>
            <w:r>
              <w:rPr>
                <w:rFonts w:hint="eastAsia" w:ascii="Times New Roman" w:hAnsi="Times New Roman" w:eastAsia="宋体" w:cs="Times New Roman"/>
                <w:sz w:val="24"/>
                <w:highlight w:val="none"/>
                <w:lang w:val="en-US" w:eastAsia="zh-CN"/>
              </w:rPr>
              <w:t>：</w:t>
            </w:r>
            <w:r>
              <w:rPr>
                <w:rFonts w:ascii="Times New Roman" w:hAnsi="Times New Roman" w:eastAsia="宋体" w:cs="Times New Roman"/>
                <w:sz w:val="24"/>
                <w:highlight w:val="none"/>
              </w:rPr>
              <w:t>≤18000KG</w:t>
            </w:r>
          </w:p>
          <w:p w14:paraId="39F2884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heme="minorEastAsia" w:hAnsiTheme="minorEastAsia" w:eastAsiaTheme="minorEastAsia"/>
                <w:color w:val="auto"/>
                <w:sz w:val="24"/>
                <w:szCs w:val="18"/>
                <w:highlight w:val="none"/>
                <w:lang w:val="en-US" w:eastAsia="zh-CN"/>
              </w:rPr>
              <w:t>★</w:t>
            </w:r>
            <w:r>
              <w:rPr>
                <w:rFonts w:ascii="Times New Roman" w:hAnsi="Times New Roman" w:eastAsia="宋体" w:cs="Times New Roman"/>
                <w:sz w:val="24"/>
                <w:highlight w:val="none"/>
              </w:rPr>
              <w:t>整备质量</w:t>
            </w:r>
            <w:r>
              <w:rPr>
                <w:rFonts w:hint="eastAsia" w:ascii="Times New Roman" w:hAnsi="Times New Roman" w:eastAsia="宋体" w:cs="Times New Roman"/>
                <w:sz w:val="24"/>
                <w:highlight w:val="none"/>
                <w:lang w:val="en-US" w:eastAsia="zh-CN"/>
              </w:rPr>
              <w:t>：</w:t>
            </w:r>
            <w:r>
              <w:rPr>
                <w:rFonts w:ascii="Times New Roman" w:hAnsi="Times New Roman" w:eastAsia="宋体" w:cs="Times New Roman"/>
                <w:sz w:val="24"/>
                <w:highlight w:val="none"/>
              </w:rPr>
              <w:t>≥12700 KG</w:t>
            </w:r>
          </w:p>
          <w:p w14:paraId="35BD304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heme="minorEastAsia" w:hAnsiTheme="minorEastAsia" w:eastAsiaTheme="minorEastAsia"/>
                <w:color w:val="auto"/>
                <w:sz w:val="24"/>
                <w:szCs w:val="18"/>
                <w:highlight w:val="none"/>
                <w:lang w:val="en-US" w:eastAsia="zh-CN"/>
              </w:rPr>
              <w:t>★</w:t>
            </w:r>
            <w:r>
              <w:rPr>
                <w:rFonts w:ascii="Times New Roman" w:hAnsi="Times New Roman" w:eastAsia="宋体" w:cs="Times New Roman"/>
                <w:sz w:val="24"/>
                <w:highlight w:val="none"/>
              </w:rPr>
              <w:t>额定载质量</w:t>
            </w:r>
            <w:r>
              <w:rPr>
                <w:rFonts w:hint="eastAsia" w:ascii="Times New Roman" w:hAnsi="Times New Roman" w:eastAsia="宋体" w:cs="Times New Roman"/>
                <w:sz w:val="24"/>
                <w:highlight w:val="none"/>
                <w:lang w:val="en-US" w:eastAsia="zh-CN"/>
              </w:rPr>
              <w:t>：</w:t>
            </w:r>
            <w:r>
              <w:rPr>
                <w:rFonts w:ascii="Times New Roman" w:hAnsi="Times New Roman" w:eastAsia="宋体" w:cs="Times New Roman"/>
                <w:sz w:val="24"/>
                <w:highlight w:val="none"/>
              </w:rPr>
              <w:t>≥5000 KG</w:t>
            </w:r>
          </w:p>
          <w:p w14:paraId="0B18A3B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轴距</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≥5000 mm</w:t>
            </w:r>
          </w:p>
          <w:p w14:paraId="354FC90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接近角/离去角</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接近角≥14°，离去角≥9°</w:t>
            </w:r>
          </w:p>
          <w:p w14:paraId="65C2A47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最高车速</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≥80 Km/h</w:t>
            </w:r>
          </w:p>
          <w:p w14:paraId="7A5E175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清扫作业宽度</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≥3.3m</w:t>
            </w:r>
          </w:p>
          <w:p w14:paraId="3D2F734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ascii="Times New Roman" w:hAnsi="Times New Roman" w:eastAsia="宋体" w:cs="Times New Roman"/>
                <w:sz w:val="24"/>
                <w:highlight w:val="none"/>
              </w:rPr>
              <w:t>清扫效率</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≥96%</w:t>
            </w:r>
          </w:p>
          <w:p w14:paraId="100FEA3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ascii="Times New Roman" w:hAnsi="Times New Roman" w:eastAsia="宋体" w:cs="Times New Roman"/>
                <w:sz w:val="24"/>
                <w:highlight w:val="none"/>
              </w:rPr>
              <w:t>最大清扫能力</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≥5000m²/h</w:t>
            </w:r>
          </w:p>
          <w:p w14:paraId="45A81AC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b/>
                <w:bCs/>
                <w:sz w:val="24"/>
                <w:highlight w:val="none"/>
                <w:lang w:eastAsia="zh-CN"/>
              </w:rPr>
            </w:pPr>
            <w:r>
              <w:rPr>
                <w:rFonts w:hint="eastAsia" w:ascii="Times New Roman" w:hAnsi="Times New Roman" w:eastAsia="宋体" w:cs="Times New Roman"/>
                <w:b/>
                <w:bCs/>
                <w:sz w:val="24"/>
                <w:highlight w:val="none"/>
              </w:rPr>
              <w:t>车辆性能要求</w:t>
            </w:r>
            <w:r>
              <w:rPr>
                <w:rFonts w:hint="eastAsia" w:ascii="Times New Roman" w:hAnsi="Times New Roman" w:eastAsia="宋体" w:cs="Times New Roman"/>
                <w:b/>
                <w:bCs/>
                <w:sz w:val="24"/>
                <w:highlight w:val="none"/>
                <w:lang w:eastAsia="zh-CN"/>
              </w:rPr>
              <w:t>：</w:t>
            </w:r>
          </w:p>
          <w:p w14:paraId="0D7372D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1</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动力传动结构：上装电动机启动后，通过皮带传动带动风机和液压油泵工作，经离合器、皮带轮、皮带带动高压水泵工作，水泵电磁离合器控制启停。</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2</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动力与通讯：上装动力来源于底盘电瓶输出的电能，上装动力系统通过CAN总线通讯。</w:t>
            </w:r>
          </w:p>
          <w:p w14:paraId="4585E58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（3）</w:t>
            </w:r>
            <w:r>
              <w:rPr>
                <w:rFonts w:ascii="Times New Roman" w:hAnsi="Times New Roman" w:eastAsia="宋体" w:cs="Times New Roman"/>
                <w:sz w:val="24"/>
                <w:highlight w:val="none"/>
              </w:rPr>
              <w:t>垃圾箱设计：垃圾箱设置多个大流量高压喷嘴，可快速冲洗垃圾箱，集成部分清水箱功能，实现清水箱与垃圾箱一体设计。</w:t>
            </w:r>
          </w:p>
          <w:p w14:paraId="026787A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4</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清扫机构配置：采用中置两盘扫，中置宽吸嘴配置液压浮动装置，具备扫树叶功能，采用电控气缸控制喂料口开度，便于清扫轻飘物，吸嘴内置高压喷杆，支持快速拆装。</w:t>
            </w:r>
          </w:p>
          <w:p w14:paraId="727B57D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5</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扫刷调节系统：采用液压缓冲式扫刷地距自动调节装置，保持扫刷与地面接触力稳定，扫刷磨损后可自动补偿，配备辅助链条弹簧机械调节装置，扫盘转速可根据工况选择高、中、低三档调节。</w:t>
            </w:r>
          </w:p>
          <w:p w14:paraId="588039B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6</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喷水架设计：左右喷水架为组合式V型结构，具备自动避障保护及复位功能，可实现前后双向避障，作业时喷杆离地高度固定，不随整车载荷变化。</w:t>
            </w:r>
          </w:p>
          <w:p w14:paraId="3371A1F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7</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控制模式：采用"显示屏+控制器+外置操作面板"控制模式，作业启停、驱动电机转速调节、吸嘴升降、扫盘收放、喷杆收放等操作均可一键控制。</w:t>
            </w:r>
          </w:p>
          <w:p w14:paraId="0EA977B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8</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转速调节逻辑：上装驱动电机转速通过驾驶室内电机调速旋钮调节，上装电机启动后到作业开始前以怠速运转，作业启动后转速自动升高，不使用"保洁""强力"档时，任意作业模式启动后可根据需求调节油门旋钮。</w:t>
            </w:r>
          </w:p>
          <w:p w14:paraId="5EC9FBE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9</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监控系统：车辆后部及右侧安装摄像头，驾驶室内配置彩色显示屏，作业时可在驾驶室监视清洁效果，倒车时可实现导航辅助，防止追尾。</w:t>
            </w:r>
          </w:p>
          <w:p w14:paraId="1CD114B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10</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辅助配置：配备手持喷枪、自动卷盘，可用于整车清洗、垃圾桶清洗、人行道冲洗等作业。</w:t>
            </w:r>
          </w:p>
          <w:p w14:paraId="1146CCC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11</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应急配置：配备手动应急泵，故障导致液压系统无法使用时，可通过手动泵应急操作液压系统。</w:t>
            </w:r>
          </w:p>
        </w:tc>
        <w:tc>
          <w:tcPr>
            <w:tcW w:w="443" w:type="pct"/>
            <w:vAlign w:val="center"/>
          </w:tcPr>
          <w:p w14:paraId="0C694F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2辆</w:t>
            </w:r>
          </w:p>
        </w:tc>
        <w:tc>
          <w:tcPr>
            <w:tcW w:w="442" w:type="pct"/>
            <w:vAlign w:val="center"/>
          </w:tcPr>
          <w:p w14:paraId="06434A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c>
          <w:tcPr>
            <w:tcW w:w="499" w:type="pct"/>
            <w:vAlign w:val="center"/>
          </w:tcPr>
          <w:p w14:paraId="49618F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是</w:t>
            </w:r>
          </w:p>
        </w:tc>
        <w:tc>
          <w:tcPr>
            <w:tcW w:w="318" w:type="pct"/>
            <w:vAlign w:val="center"/>
          </w:tcPr>
          <w:p w14:paraId="53B76D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highlight w:val="none"/>
              </w:rPr>
            </w:pPr>
          </w:p>
        </w:tc>
      </w:tr>
    </w:tbl>
    <w:p w14:paraId="1ADF90CA">
      <w:pPr>
        <w:spacing w:line="360" w:lineRule="auto"/>
        <w:ind w:firstLine="437"/>
        <w:outlineLvl w:val="1"/>
        <w:rPr>
          <w:rFonts w:ascii="宋体" w:hAnsi="宋体" w:eastAsia="宋体"/>
          <w:b/>
          <w:bCs/>
          <w:color w:val="auto"/>
          <w:sz w:val="24"/>
          <w:szCs w:val="18"/>
          <w:highlight w:val="none"/>
        </w:rPr>
      </w:pPr>
      <w:bookmarkStart w:id="12" w:name="_Toc24469"/>
      <w:r>
        <w:rPr>
          <w:rFonts w:hint="eastAsia" w:ascii="宋体" w:hAnsi="宋体" w:eastAsia="宋体"/>
          <w:b/>
          <w:bCs/>
          <w:color w:val="auto"/>
          <w:sz w:val="24"/>
          <w:szCs w:val="18"/>
          <w:highlight w:val="none"/>
        </w:rPr>
        <w:t>三、报价要求</w:t>
      </w:r>
      <w:bookmarkEnd w:id="9"/>
      <w:bookmarkEnd w:id="10"/>
      <w:bookmarkEnd w:id="11"/>
      <w:bookmarkEnd w:id="12"/>
    </w:p>
    <w:p w14:paraId="206A6343">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供应商投标报价不得高于本项目最高限价。供应商的投标报价为完成本项目所需的一切费用，包括所投货物、包装、运输、安装调试、维保、培训、售后服务、税费</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车辆保险</w:t>
      </w:r>
      <w:r>
        <w:rPr>
          <w:rFonts w:hint="eastAsia" w:ascii="宋体" w:hAnsi="宋体" w:eastAsia="宋体"/>
          <w:bCs/>
          <w:color w:val="auto"/>
          <w:sz w:val="24"/>
          <w:szCs w:val="18"/>
          <w:highlight w:val="none"/>
        </w:rPr>
        <w:t>等全部费用。中标后采购人不接受中标人任何理由的追加费用，请投标人谨慎报价。</w:t>
      </w:r>
    </w:p>
    <w:p w14:paraId="5705263E">
      <w:pPr>
        <w:spacing w:line="360" w:lineRule="auto"/>
        <w:ind w:firstLine="437"/>
        <w:outlineLvl w:val="1"/>
        <w:rPr>
          <w:rFonts w:ascii="宋体" w:hAnsi="宋体" w:eastAsia="宋体"/>
          <w:b/>
          <w:bCs/>
          <w:color w:val="auto"/>
          <w:sz w:val="24"/>
          <w:szCs w:val="18"/>
          <w:highlight w:val="none"/>
        </w:rPr>
      </w:pPr>
      <w:bookmarkStart w:id="13" w:name="_Toc15293"/>
      <w:bookmarkStart w:id="14" w:name="_Toc14698"/>
      <w:bookmarkStart w:id="15" w:name="_Toc2674"/>
      <w:bookmarkStart w:id="16" w:name="_Toc22179"/>
      <w:r>
        <w:rPr>
          <w:rFonts w:hint="eastAsia" w:ascii="宋体" w:hAnsi="宋体" w:eastAsia="宋体"/>
          <w:b/>
          <w:bCs/>
          <w:color w:val="auto"/>
          <w:sz w:val="24"/>
          <w:szCs w:val="18"/>
          <w:highlight w:val="none"/>
        </w:rPr>
        <w:t>四、其他要求</w:t>
      </w:r>
      <w:bookmarkEnd w:id="13"/>
      <w:bookmarkEnd w:id="14"/>
      <w:bookmarkEnd w:id="15"/>
      <w:bookmarkEnd w:id="16"/>
    </w:p>
    <w:p w14:paraId="155FC339">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1.投标供应商需承诺非标星项除不满足三项外，其余非标星项中标后需提供证明材料备查。</w:t>
      </w:r>
    </w:p>
    <w:p w14:paraId="22D387A6">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2.投标供应商需提供所投产品售后服务承诺函。</w:t>
      </w:r>
    </w:p>
    <w:p w14:paraId="0697D067">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3.合同签订后中标人须严格按照合同约定时间完成供货、安装、调试及培训，否则视为无法履行合同，采购人有权无条件解除合同，如已支付预付款，须无条件退回，因此产生的一切损失由中标人承担。</w:t>
      </w:r>
    </w:p>
    <w:p w14:paraId="038CC689">
      <w:pPr>
        <w:spacing w:line="360" w:lineRule="auto"/>
        <w:ind w:firstLine="437"/>
        <w:rPr>
          <w:rFonts w:hint="default" w:ascii="宋体" w:hAnsi="宋体" w:eastAsia="宋体"/>
          <w:bCs/>
          <w:color w:val="auto"/>
          <w:sz w:val="24"/>
          <w:szCs w:val="1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197F34"/>
    <w:rsid w:val="0EA55AF2"/>
    <w:rsid w:val="0EB25989"/>
    <w:rsid w:val="128F1E1A"/>
    <w:rsid w:val="13C92283"/>
    <w:rsid w:val="267442D0"/>
    <w:rsid w:val="2A336250"/>
    <w:rsid w:val="2A4E2486"/>
    <w:rsid w:val="370A0339"/>
    <w:rsid w:val="3C681D8A"/>
    <w:rsid w:val="3E0863EA"/>
    <w:rsid w:val="53835D4D"/>
    <w:rsid w:val="69D95042"/>
    <w:rsid w:val="6DB91B96"/>
    <w:rsid w:val="707353A8"/>
    <w:rsid w:val="7366631C"/>
    <w:rsid w:val="7A1657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qFormat/>
    <w:uiPriority w:val="0"/>
    <w:pPr>
      <w:widowControl w:val="0"/>
      <w:spacing w:after="120" w:afterAutospacing="0" w:line="360" w:lineRule="auto"/>
      <w:ind w:firstLine="420" w:firstLineChars="200"/>
    </w:pPr>
    <w:rPr>
      <w:rFonts w:ascii="Times New Roman" w:hAnsi="Times New Roman" w:eastAsia="宋体" w:cs="Times New Roman"/>
      <w:sz w:val="24"/>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9">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1903</Words>
  <Characters>2000</Characters>
  <Lines>0</Lines>
  <Paragraphs>0</Paragraphs>
  <TotalTime>7</TotalTime>
  <ScaleCrop>false</ScaleCrop>
  <LinksUpToDate>false</LinksUpToDate>
  <CharactersWithSpaces>2013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2026-07-06T01:46:00Z</dcterms:created>
  <dc:creator>Administrator</dc:creator>
  <cp:lastModifiedBy>℡可乐雪碧</cp:lastModifiedBy>
  <cp:lastPrinted>2026-07-15T01:11:54Z</cp:lastPrinted>
  <dcterms:modified xsi:type="dcterms:W3CDTF">2026-07-15T01:16:32Z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eyJoZGlkIjoiMjE5NzJlMTc0ZjkwN2UwZjI4YjU1MzZlMDkxODE0YWQiLCJ1c2VySWQiOiI1NjU5NzEwMzQifQ==</vt:lpwstr>
  </property>
  <property fmtid="{D5CDD505-2E9C-101B-9397-08002B2CF9AE}" pid="4" name="ICV">
    <vt:lpwstr>4FF369E41C314706AB0F8820241EA3C9_12</vt:lpwstr>
  </property>
</Properties>
</file>