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E1874">
      <w:pPr>
        <w:spacing w:line="360" w:lineRule="auto"/>
        <w:jc w:val="center"/>
        <w:outlineLvl w:val="0"/>
        <w:rPr>
          <w:rFonts w:asciiTheme="minorEastAsia" w:hAnsiTheme="minorEastAsia" w:eastAsiaTheme="minorEastAsia"/>
          <w:b/>
          <w:color w:val="auto"/>
          <w:sz w:val="28"/>
          <w:highlight w:val="none"/>
        </w:rPr>
      </w:pPr>
      <w:bookmarkStart w:id="0" w:name="_Toc6637"/>
      <w:r>
        <w:rPr>
          <w:rFonts w:hint="eastAsia" w:asciiTheme="minorEastAsia" w:hAnsiTheme="minorEastAsia" w:eastAsiaTheme="minorEastAsia"/>
          <w:b/>
          <w:color w:val="auto"/>
          <w:sz w:val="28"/>
          <w:highlight w:val="none"/>
        </w:rPr>
        <w:t>评标方法</w:t>
      </w:r>
      <w:bookmarkEnd w:id="0"/>
    </w:p>
    <w:p w14:paraId="3309A8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3"/>
        <w:tblW w:w="50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1293"/>
        <w:gridCol w:w="1315"/>
        <w:gridCol w:w="4831"/>
        <w:gridCol w:w="1068"/>
      </w:tblGrid>
      <w:tr w14:paraId="51DD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2" w:hRule="atLeast"/>
          <w:jc w:val="center"/>
        </w:trPr>
        <w:tc>
          <w:tcPr>
            <w:tcW w:w="760" w:type="pct"/>
            <w:tcBorders>
              <w:top w:val="single" w:color="auto" w:sz="4" w:space="0"/>
              <w:left w:val="single" w:color="auto" w:sz="4" w:space="0"/>
              <w:bottom w:val="single" w:color="auto" w:sz="4" w:space="0"/>
              <w:right w:val="single" w:color="auto" w:sz="4" w:space="0"/>
            </w:tcBorders>
            <w:vAlign w:val="center"/>
          </w:tcPr>
          <w:p w14:paraId="3202C1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773" w:type="pct"/>
            <w:tcBorders>
              <w:top w:val="single" w:color="auto" w:sz="4" w:space="0"/>
              <w:left w:val="single" w:color="auto" w:sz="4" w:space="0"/>
              <w:bottom w:val="single" w:color="auto" w:sz="4" w:space="0"/>
              <w:right w:val="single" w:color="auto" w:sz="4" w:space="0"/>
            </w:tcBorders>
            <w:vAlign w:val="center"/>
          </w:tcPr>
          <w:p w14:paraId="257066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839" w:type="pct"/>
            <w:tcBorders>
              <w:top w:val="single" w:color="auto" w:sz="4" w:space="0"/>
              <w:left w:val="single" w:color="auto" w:sz="4" w:space="0"/>
              <w:bottom w:val="single" w:color="auto" w:sz="4" w:space="0"/>
              <w:right w:val="single" w:color="auto" w:sz="4" w:space="0"/>
            </w:tcBorders>
            <w:vAlign w:val="center"/>
          </w:tcPr>
          <w:p w14:paraId="2D5880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626" w:type="pct"/>
            <w:tcBorders>
              <w:top w:val="single" w:color="auto" w:sz="4" w:space="0"/>
              <w:left w:val="single" w:color="auto" w:sz="4" w:space="0"/>
              <w:bottom w:val="single" w:color="auto" w:sz="4" w:space="0"/>
              <w:right w:val="single" w:color="auto" w:sz="4" w:space="0"/>
            </w:tcBorders>
            <w:vAlign w:val="center"/>
          </w:tcPr>
          <w:p w14:paraId="50FDCE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3919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3" w:hRule="atLeast"/>
          <w:jc w:val="center"/>
        </w:trPr>
        <w:tc>
          <w:tcPr>
            <w:tcW w:w="760" w:type="pct"/>
            <w:vMerge w:val="restart"/>
            <w:tcBorders>
              <w:top w:val="single" w:color="auto" w:sz="4" w:space="0"/>
              <w:left w:val="single" w:color="auto" w:sz="4" w:space="0"/>
              <w:right w:val="single" w:color="auto" w:sz="4" w:space="0"/>
            </w:tcBorders>
            <w:vAlign w:val="center"/>
          </w:tcPr>
          <w:p w14:paraId="070834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082C4D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773" w:type="pct"/>
            <w:tcBorders>
              <w:top w:val="single" w:color="auto" w:sz="4" w:space="0"/>
              <w:left w:val="single" w:color="auto" w:sz="4" w:space="0"/>
              <w:bottom w:val="single" w:color="auto" w:sz="4" w:space="0"/>
              <w:right w:val="single" w:color="auto" w:sz="4" w:space="0"/>
            </w:tcBorders>
            <w:vAlign w:val="center"/>
          </w:tcPr>
          <w:p w14:paraId="6916FF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技术参数响</w:t>
            </w:r>
          </w:p>
          <w:p w14:paraId="20CB06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应程度</w:t>
            </w:r>
          </w:p>
        </w:tc>
        <w:tc>
          <w:tcPr>
            <w:tcW w:w="2839" w:type="pct"/>
            <w:tcBorders>
              <w:top w:val="single" w:color="auto" w:sz="4" w:space="0"/>
              <w:left w:val="single" w:color="auto" w:sz="4" w:space="0"/>
              <w:bottom w:val="single" w:color="auto" w:sz="4" w:space="0"/>
              <w:right w:val="single" w:color="auto" w:sz="4" w:space="0"/>
            </w:tcBorders>
            <w:vAlign w:val="center"/>
          </w:tcPr>
          <w:p w14:paraId="52C30B3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根据技术参数的响应情况进行综合打分。采购需求中</w:t>
            </w:r>
            <w:r>
              <w:rPr>
                <w:rFonts w:hint="eastAsia" w:asciiTheme="minorEastAsia" w:hAnsiTheme="minorEastAsia" w:eastAsiaTheme="minorEastAsia"/>
                <w:bCs/>
                <w:color w:val="auto"/>
                <w:sz w:val="24"/>
                <w:highlight w:val="none"/>
                <w:lang w:eastAsia="zh-CN"/>
              </w:rPr>
              <w:t>1</w:t>
            </w:r>
            <w:r>
              <w:rPr>
                <w:rFonts w:hint="eastAsia" w:asciiTheme="minorEastAsia" w:hAnsiTheme="minorEastAsia" w:eastAsiaTheme="minorEastAsia"/>
                <w:bCs/>
                <w:color w:val="auto"/>
                <w:sz w:val="24"/>
                <w:highlight w:val="none"/>
                <w:lang w:val="en-US" w:eastAsia="zh-CN"/>
              </w:rPr>
              <w:t>5</w:t>
            </w:r>
            <w:r>
              <w:rPr>
                <w:rFonts w:hint="eastAsia" w:asciiTheme="minorEastAsia" w:hAnsiTheme="minorEastAsia" w:eastAsiaTheme="minorEastAsia"/>
                <w:bCs/>
                <w:color w:val="auto"/>
                <w:sz w:val="24"/>
                <w:highlight w:val="none"/>
              </w:rPr>
              <w:t>个标注“★”代表重要性指标参数，参数每满足或优于一项指标得</w:t>
            </w:r>
            <w:r>
              <w:rPr>
                <w:rFonts w:hint="eastAsia" w:asciiTheme="minorEastAsia" w:hAnsiTheme="minorEastAsia" w:eastAsiaTheme="minorEastAsia"/>
                <w:bCs/>
                <w:color w:val="auto"/>
                <w:sz w:val="24"/>
                <w:highlight w:val="none"/>
                <w:lang w:eastAsia="zh-CN"/>
              </w:rPr>
              <w:t>2</w:t>
            </w:r>
            <w:r>
              <w:rPr>
                <w:rFonts w:hint="eastAsia" w:asciiTheme="minorEastAsia" w:hAnsiTheme="minorEastAsia" w:eastAsiaTheme="minorEastAsia"/>
                <w:bCs/>
                <w:color w:val="auto"/>
                <w:sz w:val="24"/>
                <w:highlight w:val="none"/>
              </w:rPr>
              <w:t>分，共30分。</w:t>
            </w:r>
          </w:p>
          <w:p w14:paraId="6BBE768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注：带“★”参数投标文件中应附所投产品的产品彩页或官网截图或技术白皮书或国家认可的第三方检测机构出具的检测报告等证明材料进行佐证，否则视为该条参数不响应文件要求，按评分标准不予得分。</w:t>
            </w:r>
          </w:p>
        </w:tc>
        <w:tc>
          <w:tcPr>
            <w:tcW w:w="626" w:type="pct"/>
            <w:tcBorders>
              <w:top w:val="single" w:color="auto" w:sz="4" w:space="0"/>
              <w:left w:val="single" w:color="auto" w:sz="4" w:space="0"/>
              <w:bottom w:val="single" w:color="auto" w:sz="4" w:space="0"/>
              <w:right w:val="single" w:color="auto" w:sz="4" w:space="0"/>
            </w:tcBorders>
            <w:vAlign w:val="center"/>
          </w:tcPr>
          <w:p w14:paraId="6C63CC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val="0"/>
                <w:bCs w:val="0"/>
                <w:color w:val="auto"/>
                <w:sz w:val="24"/>
                <w:highlight w:val="none"/>
                <w:lang w:val="en-US" w:eastAsia="zh-CN"/>
              </w:rPr>
              <w:t>0-30</w:t>
            </w:r>
          </w:p>
        </w:tc>
      </w:tr>
      <w:tr w14:paraId="398C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0" w:type="pct"/>
            <w:vMerge w:val="continue"/>
            <w:tcBorders>
              <w:left w:val="single" w:color="auto" w:sz="4" w:space="0"/>
              <w:right w:val="single" w:color="auto" w:sz="4" w:space="0"/>
            </w:tcBorders>
            <w:vAlign w:val="center"/>
          </w:tcPr>
          <w:p w14:paraId="7EF6C936">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rPr>
                <w:rFonts w:asciiTheme="minorEastAsia" w:hAnsiTheme="minorEastAsia" w:eastAsiaTheme="minorEastAsia"/>
                <w:b/>
                <w:bCs/>
                <w:color w:val="auto"/>
                <w:sz w:val="24"/>
                <w:highlight w:val="none"/>
              </w:rPr>
            </w:pPr>
          </w:p>
        </w:tc>
        <w:tc>
          <w:tcPr>
            <w:tcW w:w="773" w:type="pct"/>
            <w:tcBorders>
              <w:top w:val="single" w:color="auto" w:sz="4" w:space="0"/>
              <w:left w:val="single" w:color="auto" w:sz="4" w:space="0"/>
              <w:bottom w:val="single" w:color="auto" w:sz="4" w:space="0"/>
              <w:right w:val="single" w:color="auto" w:sz="4" w:space="0"/>
            </w:tcBorders>
            <w:vAlign w:val="center"/>
          </w:tcPr>
          <w:p w14:paraId="187FDF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体系认证证</w:t>
            </w:r>
          </w:p>
          <w:p w14:paraId="3A24F4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书</w:t>
            </w:r>
          </w:p>
        </w:tc>
        <w:tc>
          <w:tcPr>
            <w:tcW w:w="2839" w:type="pct"/>
            <w:tcBorders>
              <w:top w:val="single" w:color="auto" w:sz="4" w:space="0"/>
              <w:left w:val="single" w:color="auto" w:sz="4" w:space="0"/>
              <w:bottom w:val="single" w:color="auto" w:sz="4" w:space="0"/>
              <w:right w:val="single" w:color="auto" w:sz="4" w:space="0"/>
            </w:tcBorders>
            <w:vAlign w:val="center"/>
          </w:tcPr>
          <w:p w14:paraId="687410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供应商或供应商所投产品制造商具有有效的下列证书：</w:t>
            </w:r>
          </w:p>
          <w:p w14:paraId="5DEAFE8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1、质量管理体系认证证书；</w:t>
            </w:r>
          </w:p>
          <w:p w14:paraId="7D96B33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2、环境管理体系认证证书；</w:t>
            </w:r>
          </w:p>
          <w:p w14:paraId="09D5964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3、职业健康安全管理体系认证证书。</w:t>
            </w:r>
          </w:p>
          <w:p w14:paraId="1512110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每提供1项证书得2分，此项满分6分。</w:t>
            </w:r>
          </w:p>
          <w:p w14:paraId="2D2811B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注：须提供上述证书清晰扫描件或影印件及全国认证认可信息公共服务平台网站证书查询截图。</w:t>
            </w:r>
          </w:p>
        </w:tc>
        <w:tc>
          <w:tcPr>
            <w:tcW w:w="626" w:type="pct"/>
            <w:tcBorders>
              <w:top w:val="single" w:color="auto" w:sz="4" w:space="0"/>
              <w:left w:val="single" w:color="auto" w:sz="4" w:space="0"/>
              <w:bottom w:val="single" w:color="auto" w:sz="4" w:space="0"/>
              <w:right w:val="single" w:color="auto" w:sz="4" w:space="0"/>
            </w:tcBorders>
            <w:vAlign w:val="center"/>
          </w:tcPr>
          <w:p w14:paraId="5A935A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val="0"/>
                <w:bCs w:val="0"/>
                <w:color w:val="auto"/>
                <w:sz w:val="24"/>
                <w:highlight w:val="none"/>
                <w:lang w:val="en-US" w:eastAsia="zh-CN"/>
              </w:rPr>
            </w:pPr>
            <w:r>
              <w:rPr>
                <w:rFonts w:hint="eastAsia" w:asciiTheme="minorEastAsia" w:hAnsiTheme="minorEastAsia" w:eastAsiaTheme="minorEastAsia"/>
                <w:b w:val="0"/>
                <w:bCs w:val="0"/>
                <w:color w:val="auto"/>
                <w:sz w:val="24"/>
                <w:highlight w:val="none"/>
                <w:lang w:val="en-US" w:eastAsia="zh-CN"/>
              </w:rPr>
              <w:t>0-6</w:t>
            </w:r>
          </w:p>
        </w:tc>
      </w:tr>
      <w:tr w14:paraId="7EFF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0" w:type="pct"/>
            <w:vMerge w:val="continue"/>
            <w:tcBorders>
              <w:left w:val="single" w:color="auto" w:sz="4" w:space="0"/>
              <w:right w:val="single" w:color="auto" w:sz="4" w:space="0"/>
            </w:tcBorders>
            <w:vAlign w:val="center"/>
          </w:tcPr>
          <w:p w14:paraId="0D334195">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rPr>
                <w:rFonts w:asciiTheme="minorEastAsia" w:hAnsiTheme="minorEastAsia" w:eastAsiaTheme="minorEastAsia"/>
                <w:b/>
                <w:bCs/>
                <w:color w:val="auto"/>
                <w:sz w:val="24"/>
                <w:highlight w:val="none"/>
              </w:rPr>
            </w:pPr>
          </w:p>
        </w:tc>
        <w:tc>
          <w:tcPr>
            <w:tcW w:w="773" w:type="pct"/>
            <w:tcBorders>
              <w:top w:val="single" w:color="auto" w:sz="4" w:space="0"/>
              <w:left w:val="single" w:color="auto" w:sz="4" w:space="0"/>
              <w:bottom w:val="single" w:color="auto" w:sz="4" w:space="0"/>
              <w:right w:val="single" w:color="auto" w:sz="4" w:space="0"/>
            </w:tcBorders>
            <w:vAlign w:val="center"/>
          </w:tcPr>
          <w:p w14:paraId="233A73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类似业绩</w:t>
            </w:r>
          </w:p>
        </w:tc>
        <w:tc>
          <w:tcPr>
            <w:tcW w:w="2839" w:type="pct"/>
            <w:tcBorders>
              <w:top w:val="single" w:color="auto" w:sz="4" w:space="0"/>
              <w:left w:val="single" w:color="auto" w:sz="4" w:space="0"/>
              <w:bottom w:val="single" w:color="auto" w:sz="4" w:space="0"/>
              <w:right w:val="single" w:color="auto" w:sz="4" w:space="0"/>
            </w:tcBorders>
            <w:vAlign w:val="center"/>
          </w:tcPr>
          <w:p w14:paraId="06D447E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供应商或供应商所投产品制造商具有类似项目业绩的，每提供一个得3分，本项满分9分。</w:t>
            </w:r>
          </w:p>
          <w:p w14:paraId="7537602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注：类似业绩指的是车辆供货业绩，响应文件中须提供合同原件扫描件及验收合格证明材料。</w:t>
            </w:r>
          </w:p>
        </w:tc>
        <w:tc>
          <w:tcPr>
            <w:tcW w:w="626" w:type="pct"/>
            <w:tcBorders>
              <w:top w:val="single" w:color="auto" w:sz="4" w:space="0"/>
              <w:left w:val="single" w:color="auto" w:sz="4" w:space="0"/>
              <w:bottom w:val="single" w:color="auto" w:sz="4" w:space="0"/>
              <w:right w:val="single" w:color="auto" w:sz="4" w:space="0"/>
            </w:tcBorders>
            <w:vAlign w:val="center"/>
          </w:tcPr>
          <w:p w14:paraId="5EB955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val="0"/>
                <w:bCs w:val="0"/>
                <w:color w:val="auto"/>
                <w:sz w:val="24"/>
                <w:highlight w:val="none"/>
                <w:lang w:val="en-US" w:eastAsia="zh-CN"/>
              </w:rPr>
            </w:pPr>
            <w:r>
              <w:rPr>
                <w:rFonts w:hint="eastAsia" w:asciiTheme="minorEastAsia" w:hAnsiTheme="minorEastAsia" w:eastAsiaTheme="minorEastAsia"/>
                <w:b w:val="0"/>
                <w:bCs w:val="0"/>
                <w:color w:val="auto"/>
                <w:sz w:val="24"/>
                <w:highlight w:val="none"/>
                <w:lang w:val="en-US" w:eastAsia="zh-CN"/>
              </w:rPr>
              <w:t>0-9</w:t>
            </w:r>
          </w:p>
        </w:tc>
      </w:tr>
      <w:tr w14:paraId="6EA7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0" w:type="pct"/>
            <w:vMerge w:val="continue"/>
            <w:tcBorders>
              <w:left w:val="single" w:color="auto" w:sz="4" w:space="0"/>
              <w:right w:val="single" w:color="auto" w:sz="4" w:space="0"/>
            </w:tcBorders>
            <w:vAlign w:val="center"/>
          </w:tcPr>
          <w:p w14:paraId="6739AA24">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rPr>
                <w:rFonts w:asciiTheme="minorEastAsia" w:hAnsiTheme="minorEastAsia" w:eastAsiaTheme="minorEastAsia"/>
                <w:b/>
                <w:bCs/>
                <w:color w:val="auto"/>
                <w:sz w:val="24"/>
                <w:highlight w:val="none"/>
              </w:rPr>
            </w:pPr>
          </w:p>
        </w:tc>
        <w:tc>
          <w:tcPr>
            <w:tcW w:w="773" w:type="pct"/>
            <w:tcBorders>
              <w:top w:val="single" w:color="auto" w:sz="4" w:space="0"/>
              <w:left w:val="single" w:color="auto" w:sz="4" w:space="0"/>
              <w:bottom w:val="single" w:color="auto" w:sz="4" w:space="0"/>
              <w:right w:val="single" w:color="auto" w:sz="4" w:space="0"/>
            </w:tcBorders>
            <w:vAlign w:val="center"/>
          </w:tcPr>
          <w:p w14:paraId="6F0534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售后服务方案</w:t>
            </w:r>
          </w:p>
        </w:tc>
        <w:tc>
          <w:tcPr>
            <w:tcW w:w="2839" w:type="pct"/>
            <w:tcBorders>
              <w:top w:val="single" w:color="auto" w:sz="4" w:space="0"/>
              <w:left w:val="single" w:color="auto" w:sz="4" w:space="0"/>
              <w:bottom w:val="single" w:color="auto" w:sz="4" w:space="0"/>
              <w:right w:val="single" w:color="auto" w:sz="4" w:space="0"/>
            </w:tcBorders>
            <w:vAlign w:val="center"/>
          </w:tcPr>
          <w:p w14:paraId="643675F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评标委员会根据采购文件要求及投标供应商提供的售后服务方案情况，进行综合评分，至少包含以下内容：</w:t>
            </w:r>
          </w:p>
          <w:p w14:paraId="2C2A9FE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①不符合验收要求产品的售后退换货方案；②售后人员配备方案；③专业技术保障方案；④售后服务保障方案；⑤快速响应保障方案。</w:t>
            </w:r>
          </w:p>
          <w:p w14:paraId="3F5E79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（1）对本项目特点和难点理解准确，售后服务方案优于本项目采购需求，完整详细，可行性、实用性、针对性强，得5分；</w:t>
            </w:r>
          </w:p>
          <w:p w14:paraId="3CFD879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（2）对本项目特点和难点理解基本准确，售后服务方案适合本项目采购需求，完整详细、具有可行性、实用性和针对性，得3分；</w:t>
            </w:r>
          </w:p>
          <w:p w14:paraId="3BDACFE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（3）对本项目特点和难点理解有待提升，售后服务方案基本适合本项目采购需求，可行性、实用性、针对性有待改</w:t>
            </w:r>
            <w:r>
              <w:rPr>
                <w:rFonts w:hint="eastAsia" w:asciiTheme="minorEastAsia" w:hAnsiTheme="minorEastAsia" w:eastAsiaTheme="minorEastAsia"/>
                <w:color w:val="auto"/>
                <w:sz w:val="24"/>
                <w:highlight w:val="none"/>
              </w:rPr>
              <w:t>善，得1分；</w:t>
            </w:r>
          </w:p>
          <w:p w14:paraId="4CBE023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（4）方案不可行或者未提供得0分。</w:t>
            </w:r>
          </w:p>
        </w:tc>
        <w:tc>
          <w:tcPr>
            <w:tcW w:w="626" w:type="pct"/>
            <w:tcBorders>
              <w:top w:val="single" w:color="auto" w:sz="4" w:space="0"/>
              <w:left w:val="single" w:color="auto" w:sz="4" w:space="0"/>
              <w:bottom w:val="single" w:color="auto" w:sz="4" w:space="0"/>
              <w:right w:val="single" w:color="auto" w:sz="4" w:space="0"/>
            </w:tcBorders>
            <w:vAlign w:val="center"/>
          </w:tcPr>
          <w:p w14:paraId="09A7DF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val="0"/>
                <w:bCs w:val="0"/>
                <w:color w:val="auto"/>
                <w:sz w:val="24"/>
                <w:highlight w:val="none"/>
                <w:lang w:val="en-US" w:eastAsia="zh-CN"/>
              </w:rPr>
            </w:pPr>
            <w:r>
              <w:rPr>
                <w:rFonts w:hint="eastAsia" w:asciiTheme="minorEastAsia" w:hAnsiTheme="minorEastAsia" w:eastAsiaTheme="minorEastAsia"/>
                <w:b w:val="0"/>
                <w:bCs w:val="0"/>
                <w:color w:val="auto"/>
                <w:sz w:val="24"/>
                <w:highlight w:val="none"/>
                <w:lang w:val="en-US" w:eastAsia="zh-CN"/>
              </w:rPr>
              <w:t>0-5</w:t>
            </w:r>
          </w:p>
        </w:tc>
      </w:tr>
      <w:tr w14:paraId="0C76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0" w:type="pct"/>
            <w:vMerge w:val="continue"/>
            <w:tcBorders>
              <w:left w:val="single" w:color="auto" w:sz="4" w:space="0"/>
              <w:right w:val="single" w:color="auto" w:sz="4" w:space="0"/>
            </w:tcBorders>
            <w:vAlign w:val="center"/>
          </w:tcPr>
          <w:p w14:paraId="6584C850">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rPr>
                <w:rFonts w:asciiTheme="minorEastAsia" w:hAnsiTheme="minorEastAsia" w:eastAsiaTheme="minorEastAsia"/>
                <w:b/>
                <w:bCs/>
                <w:color w:val="auto"/>
                <w:sz w:val="24"/>
                <w:highlight w:val="none"/>
              </w:rPr>
            </w:pPr>
          </w:p>
        </w:tc>
        <w:tc>
          <w:tcPr>
            <w:tcW w:w="773" w:type="pct"/>
            <w:tcBorders>
              <w:top w:val="single" w:color="auto" w:sz="4" w:space="0"/>
              <w:left w:val="single" w:color="auto" w:sz="4" w:space="0"/>
              <w:bottom w:val="single" w:color="auto" w:sz="4" w:space="0"/>
              <w:right w:val="single" w:color="auto" w:sz="4" w:space="0"/>
            </w:tcBorders>
            <w:vAlign w:val="center"/>
          </w:tcPr>
          <w:p w14:paraId="436C6A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质量保障措施方案</w:t>
            </w:r>
          </w:p>
        </w:tc>
        <w:tc>
          <w:tcPr>
            <w:tcW w:w="2839" w:type="pct"/>
            <w:tcBorders>
              <w:top w:val="single" w:color="auto" w:sz="4" w:space="0"/>
              <w:left w:val="single" w:color="auto" w:sz="4" w:space="0"/>
              <w:bottom w:val="single" w:color="auto" w:sz="4" w:space="0"/>
              <w:right w:val="single" w:color="auto" w:sz="4" w:space="0"/>
            </w:tcBorders>
            <w:vAlign w:val="center"/>
          </w:tcPr>
          <w:p w14:paraId="55493D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评标委员会根据采购文件要求及投标供应商提供的质量保障措施方案情况，进行综合评分，至少包含以下内容：</w:t>
            </w:r>
          </w:p>
          <w:p w14:paraId="061711A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①保修期内的整车质量保障；②易损件的专项保护与更换措施；③维修响应时效保障；④车辆定期巡检与保养计划；⑤质量问题追责与补偿机制。</w:t>
            </w:r>
          </w:p>
          <w:p w14:paraId="5DBABE9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（1）对本项目特点和难点理解准确，质量保障措施方案优于本项目采购需求，完整详细，可行性、实用性、针对性强，得5分；</w:t>
            </w:r>
          </w:p>
          <w:p w14:paraId="3ECFB3A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（2）对本项目特点和难点理解基本准确，质量保障措施方案适合本项目采购需求，完整详细、具有可行性、实用性和针对性，得3分；</w:t>
            </w:r>
          </w:p>
          <w:p w14:paraId="5897A66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（3）对本项目特点和难点理解有待提升，质量保障措施方案基本适合本项目采购需求，可行性、实用性、针对性有待改善，得1分；</w:t>
            </w:r>
          </w:p>
          <w:p w14:paraId="0391FDF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 xml:space="preserve">（4）方案不可行或者未提供得0分。 </w:t>
            </w:r>
          </w:p>
        </w:tc>
        <w:tc>
          <w:tcPr>
            <w:tcW w:w="626" w:type="pct"/>
            <w:tcBorders>
              <w:top w:val="single" w:color="auto" w:sz="4" w:space="0"/>
              <w:left w:val="single" w:color="auto" w:sz="4" w:space="0"/>
              <w:bottom w:val="single" w:color="auto" w:sz="4" w:space="0"/>
              <w:right w:val="single" w:color="auto" w:sz="4" w:space="0"/>
            </w:tcBorders>
            <w:vAlign w:val="center"/>
          </w:tcPr>
          <w:p w14:paraId="6FB315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val="0"/>
                <w:bCs w:val="0"/>
                <w:color w:val="auto"/>
                <w:sz w:val="24"/>
                <w:highlight w:val="none"/>
                <w:lang w:val="en-US" w:eastAsia="zh-CN"/>
              </w:rPr>
            </w:pPr>
            <w:r>
              <w:rPr>
                <w:rFonts w:hint="eastAsia" w:asciiTheme="minorEastAsia" w:hAnsiTheme="minorEastAsia" w:eastAsiaTheme="minorEastAsia"/>
                <w:b w:val="0"/>
                <w:bCs w:val="0"/>
                <w:color w:val="auto"/>
                <w:sz w:val="24"/>
                <w:highlight w:val="none"/>
                <w:lang w:val="en-US" w:eastAsia="zh-CN"/>
              </w:rPr>
              <w:t>0-5</w:t>
            </w:r>
          </w:p>
        </w:tc>
      </w:tr>
      <w:tr w14:paraId="5357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0" w:type="pct"/>
            <w:vMerge w:val="continue"/>
            <w:tcBorders>
              <w:left w:val="single" w:color="auto" w:sz="4" w:space="0"/>
              <w:right w:val="single" w:color="auto" w:sz="4" w:space="0"/>
            </w:tcBorders>
            <w:vAlign w:val="center"/>
          </w:tcPr>
          <w:p w14:paraId="79323A36">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rPr>
                <w:rFonts w:asciiTheme="minorEastAsia" w:hAnsiTheme="minorEastAsia" w:eastAsiaTheme="minorEastAsia"/>
                <w:b/>
                <w:bCs/>
                <w:color w:val="auto"/>
                <w:sz w:val="24"/>
                <w:highlight w:val="none"/>
              </w:rPr>
            </w:pPr>
          </w:p>
        </w:tc>
        <w:tc>
          <w:tcPr>
            <w:tcW w:w="773" w:type="pct"/>
            <w:tcBorders>
              <w:top w:val="single" w:color="auto" w:sz="4" w:space="0"/>
              <w:left w:val="single" w:color="auto" w:sz="4" w:space="0"/>
              <w:bottom w:val="single" w:color="auto" w:sz="4" w:space="0"/>
              <w:right w:val="single" w:color="auto" w:sz="4" w:space="0"/>
            </w:tcBorders>
            <w:vAlign w:val="center"/>
          </w:tcPr>
          <w:p w14:paraId="20DDF4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培训方案</w:t>
            </w:r>
          </w:p>
        </w:tc>
        <w:tc>
          <w:tcPr>
            <w:tcW w:w="2839" w:type="pct"/>
            <w:tcBorders>
              <w:top w:val="single" w:color="auto" w:sz="4" w:space="0"/>
              <w:left w:val="single" w:color="auto" w:sz="4" w:space="0"/>
              <w:bottom w:val="single" w:color="auto" w:sz="4" w:space="0"/>
              <w:right w:val="single" w:color="auto" w:sz="4" w:space="0"/>
            </w:tcBorders>
            <w:vAlign w:val="center"/>
          </w:tcPr>
          <w:p w14:paraId="20D836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评标委员会根据采购文件要求及投标供应商提供的培训方案情况，进行综合评分，至少包含以下内容：</w:t>
            </w:r>
          </w:p>
          <w:p w14:paraId="0E4E3DA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①结合项目实际需求的培训目标；</w:t>
            </w:r>
          </w:p>
          <w:p w14:paraId="5C018AE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②培训内容安排；</w:t>
            </w:r>
          </w:p>
          <w:p w14:paraId="72943B6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③培训时间及次数方案；</w:t>
            </w:r>
          </w:p>
          <w:p w14:paraId="180C26C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④培训人员的安排及专业程度；</w:t>
            </w:r>
          </w:p>
          <w:p w14:paraId="113598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⑤未完成培训人员的处理及相关方案。</w:t>
            </w:r>
          </w:p>
          <w:p w14:paraId="7306B5E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（1）对本项目特点和难点理解准确，培训方案优于本项目采购需求，完整详细，可行性、实用性、针对性强，得5分；</w:t>
            </w:r>
          </w:p>
          <w:p w14:paraId="5608448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（2）对本项目特点和难点理解基本准确，培训方案适合本项目采购需求，完整详细、具有可行性、实用性和针对性，得3分；</w:t>
            </w:r>
          </w:p>
          <w:p w14:paraId="3B62BE5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（3）对本项目特点和难点理解有待提升，培训方案基本适合本项目采购需求，可行性、实用性、针对性有待改善，得1分；</w:t>
            </w:r>
          </w:p>
          <w:p w14:paraId="473905C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（4）方案不可行或者未提供得0分。</w:t>
            </w:r>
          </w:p>
        </w:tc>
        <w:tc>
          <w:tcPr>
            <w:tcW w:w="626" w:type="pct"/>
            <w:tcBorders>
              <w:top w:val="single" w:color="auto" w:sz="4" w:space="0"/>
              <w:left w:val="single" w:color="auto" w:sz="4" w:space="0"/>
              <w:bottom w:val="single" w:color="auto" w:sz="4" w:space="0"/>
              <w:right w:val="single" w:color="auto" w:sz="4" w:space="0"/>
            </w:tcBorders>
            <w:vAlign w:val="center"/>
          </w:tcPr>
          <w:p w14:paraId="657FEE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val="0"/>
                <w:bCs w:val="0"/>
                <w:color w:val="auto"/>
                <w:sz w:val="24"/>
                <w:highlight w:val="none"/>
                <w:lang w:val="en-US" w:eastAsia="zh-CN"/>
              </w:rPr>
            </w:pPr>
            <w:r>
              <w:rPr>
                <w:rFonts w:hint="eastAsia" w:asciiTheme="minorEastAsia" w:hAnsiTheme="minorEastAsia" w:eastAsiaTheme="minorEastAsia"/>
                <w:b w:val="0"/>
                <w:bCs w:val="0"/>
                <w:color w:val="auto"/>
                <w:sz w:val="24"/>
                <w:highlight w:val="none"/>
                <w:lang w:val="en-US" w:eastAsia="zh-CN"/>
              </w:rPr>
              <w:t>0-5</w:t>
            </w:r>
          </w:p>
        </w:tc>
      </w:tr>
      <w:tr w14:paraId="4FB2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0" w:type="pct"/>
            <w:vMerge w:val="continue"/>
            <w:tcBorders>
              <w:left w:val="single" w:color="auto" w:sz="4" w:space="0"/>
              <w:right w:val="single" w:color="auto" w:sz="4" w:space="0"/>
            </w:tcBorders>
            <w:vAlign w:val="center"/>
          </w:tcPr>
          <w:p w14:paraId="2CC1BF88">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rPr>
                <w:rFonts w:asciiTheme="minorEastAsia" w:hAnsiTheme="minorEastAsia" w:eastAsiaTheme="minorEastAsia"/>
                <w:b/>
                <w:bCs/>
                <w:color w:val="auto"/>
                <w:sz w:val="24"/>
                <w:highlight w:val="none"/>
              </w:rPr>
            </w:pPr>
          </w:p>
        </w:tc>
        <w:tc>
          <w:tcPr>
            <w:tcW w:w="773" w:type="pct"/>
            <w:tcBorders>
              <w:top w:val="single" w:color="auto" w:sz="4" w:space="0"/>
              <w:left w:val="single" w:color="auto" w:sz="4" w:space="0"/>
              <w:bottom w:val="single" w:color="auto" w:sz="4" w:space="0"/>
              <w:right w:val="single" w:color="auto" w:sz="4" w:space="0"/>
            </w:tcBorders>
            <w:vAlign w:val="center"/>
          </w:tcPr>
          <w:p w14:paraId="56D7A6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安装、调试方案</w:t>
            </w:r>
          </w:p>
        </w:tc>
        <w:tc>
          <w:tcPr>
            <w:tcW w:w="2839" w:type="pct"/>
            <w:tcBorders>
              <w:top w:val="single" w:color="auto" w:sz="4" w:space="0"/>
              <w:left w:val="single" w:color="auto" w:sz="4" w:space="0"/>
              <w:bottom w:val="single" w:color="auto" w:sz="4" w:space="0"/>
              <w:right w:val="single" w:color="auto" w:sz="4" w:space="0"/>
            </w:tcBorders>
            <w:vAlign w:val="center"/>
          </w:tcPr>
          <w:p w14:paraId="40C45B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评标委员会根据采购文件要求及投标供应商提供的安装、调试方案情况，进行综合评分，至少包含以下内容：</w:t>
            </w:r>
          </w:p>
          <w:p w14:paraId="13A1516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①安装和调试过程中产品保护方案；</w:t>
            </w:r>
          </w:p>
          <w:p w14:paraId="4E5A8F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②安装和调试周期计划方案；</w:t>
            </w:r>
          </w:p>
          <w:p w14:paraId="6B11D50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③现场安装方案；</w:t>
            </w:r>
          </w:p>
          <w:p w14:paraId="392A7C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④调试管理实施方案；</w:t>
            </w:r>
          </w:p>
          <w:p w14:paraId="3A9BC06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⑤产品供货至指定地点后，针对不同使用地点的安装调试方案。</w:t>
            </w:r>
          </w:p>
          <w:p w14:paraId="0056394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（1）对本项目特点和难点理解准确，安装、调试方案优于本项目采购需求，完整详细，可行性、实用性、针对性强，得5分；</w:t>
            </w:r>
          </w:p>
          <w:p w14:paraId="0E5976B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（2）对本项目特点和难点理解基本准确，安装、调试方案适合本项目采购需求，完整详细、具有可行性、实用性和针对性，得3分；</w:t>
            </w:r>
          </w:p>
          <w:p w14:paraId="61AD7E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（3）对本项目特点和难点理解有待提升，安装、调试方案基本适合本项目采购需求，可行性、实用性、针对性有待改善，得1分；</w:t>
            </w:r>
          </w:p>
          <w:p w14:paraId="5E379DE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（4）方案不可行或者未提供得0分。</w:t>
            </w:r>
          </w:p>
        </w:tc>
        <w:tc>
          <w:tcPr>
            <w:tcW w:w="626" w:type="pct"/>
            <w:tcBorders>
              <w:top w:val="single" w:color="auto" w:sz="4" w:space="0"/>
              <w:left w:val="single" w:color="auto" w:sz="4" w:space="0"/>
              <w:bottom w:val="single" w:color="auto" w:sz="4" w:space="0"/>
              <w:right w:val="single" w:color="auto" w:sz="4" w:space="0"/>
            </w:tcBorders>
            <w:vAlign w:val="center"/>
          </w:tcPr>
          <w:p w14:paraId="356A38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val="0"/>
                <w:bCs w:val="0"/>
                <w:color w:val="auto"/>
                <w:sz w:val="24"/>
                <w:highlight w:val="none"/>
                <w:lang w:val="en-US" w:eastAsia="zh-CN"/>
              </w:rPr>
            </w:pPr>
            <w:r>
              <w:rPr>
                <w:rFonts w:hint="eastAsia" w:asciiTheme="minorEastAsia" w:hAnsiTheme="minorEastAsia" w:eastAsiaTheme="minorEastAsia"/>
                <w:b w:val="0"/>
                <w:bCs w:val="0"/>
                <w:color w:val="auto"/>
                <w:sz w:val="24"/>
                <w:highlight w:val="none"/>
                <w:lang w:val="en-US" w:eastAsia="zh-CN"/>
              </w:rPr>
              <w:t>0-5</w:t>
            </w:r>
          </w:p>
        </w:tc>
      </w:tr>
      <w:tr w14:paraId="523F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0" w:type="pct"/>
            <w:vMerge w:val="continue"/>
            <w:tcBorders>
              <w:left w:val="single" w:color="auto" w:sz="4" w:space="0"/>
              <w:right w:val="single" w:color="auto" w:sz="4" w:space="0"/>
            </w:tcBorders>
            <w:vAlign w:val="center"/>
          </w:tcPr>
          <w:p w14:paraId="4FF86BC0">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rPr>
                <w:rFonts w:asciiTheme="minorEastAsia" w:hAnsiTheme="minorEastAsia" w:eastAsiaTheme="minorEastAsia"/>
                <w:b/>
                <w:bCs/>
                <w:color w:val="auto"/>
                <w:sz w:val="24"/>
                <w:highlight w:val="none"/>
              </w:rPr>
            </w:pPr>
          </w:p>
        </w:tc>
        <w:tc>
          <w:tcPr>
            <w:tcW w:w="773" w:type="pct"/>
            <w:tcBorders>
              <w:top w:val="single" w:color="auto" w:sz="4" w:space="0"/>
              <w:left w:val="single" w:color="auto" w:sz="4" w:space="0"/>
              <w:bottom w:val="single" w:color="auto" w:sz="4" w:space="0"/>
              <w:right w:val="single" w:color="auto" w:sz="4" w:space="0"/>
            </w:tcBorders>
            <w:vAlign w:val="center"/>
          </w:tcPr>
          <w:p w14:paraId="18D938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供货方案</w:t>
            </w:r>
          </w:p>
        </w:tc>
        <w:tc>
          <w:tcPr>
            <w:tcW w:w="2839" w:type="pct"/>
            <w:tcBorders>
              <w:top w:val="single" w:color="auto" w:sz="4" w:space="0"/>
              <w:left w:val="single" w:color="auto" w:sz="4" w:space="0"/>
              <w:bottom w:val="single" w:color="auto" w:sz="4" w:space="0"/>
              <w:right w:val="single" w:color="auto" w:sz="4" w:space="0"/>
            </w:tcBorders>
            <w:vAlign w:val="center"/>
          </w:tcPr>
          <w:p w14:paraId="560ABB9D">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评标委员会根据采购文件要求及投标供应商提供的供货方案情况，进行综合评分，至少包含以下内容：</w:t>
            </w:r>
          </w:p>
          <w:p w14:paraId="0B31447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①供货过程中的产品质量保证方案；②供货过程中产品保护方案；③供货周期计划、产品生产方案；④供货过程中的时效控制方案、供货安全措施保障方案；⑤所供货物备品、备件提交及配套方案。</w:t>
            </w:r>
          </w:p>
          <w:p w14:paraId="2492C98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（1）对本项目特点和难点理解准确，供货方案优于本项目采购需求，完整详细，可行性、实用性、针对性强，得5分；</w:t>
            </w:r>
          </w:p>
          <w:p w14:paraId="67DEAA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（2）对本项目特点和难点理解基本准确，供货方案适合本项目采购需求，完整详细、具有可行性、实用性和针对性，得3分；</w:t>
            </w:r>
          </w:p>
          <w:p w14:paraId="462EBB5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（3）对本项目特点和难点理解有待提升，供货方案基本适合本项目采购需求，可行性、实用性、针对性有待改善，得1分；</w:t>
            </w:r>
          </w:p>
          <w:p w14:paraId="56AFBCB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（4）方案不可行或者未提供得0分。</w:t>
            </w:r>
            <w:r>
              <w:rPr>
                <w:rFonts w:asciiTheme="minorEastAsia" w:hAnsiTheme="minorEastAsia" w:eastAsiaTheme="minorEastAsia"/>
                <w:color w:val="auto"/>
                <w:sz w:val="24"/>
                <w:highlight w:val="none"/>
                <w:lang w:val="en-US" w:eastAsia="zh-CN"/>
              </w:rPr>
              <w:t xml:space="preserve"> </w:t>
            </w:r>
          </w:p>
        </w:tc>
        <w:tc>
          <w:tcPr>
            <w:tcW w:w="626" w:type="pct"/>
            <w:tcBorders>
              <w:top w:val="single" w:color="auto" w:sz="4" w:space="0"/>
              <w:left w:val="single" w:color="auto" w:sz="4" w:space="0"/>
              <w:bottom w:val="single" w:color="auto" w:sz="4" w:space="0"/>
              <w:right w:val="single" w:color="auto" w:sz="4" w:space="0"/>
            </w:tcBorders>
            <w:vAlign w:val="center"/>
          </w:tcPr>
          <w:p w14:paraId="393C6A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b w:val="0"/>
                <w:bCs w:val="0"/>
                <w:color w:val="auto"/>
                <w:sz w:val="24"/>
                <w:highlight w:val="none"/>
                <w:lang w:val="en-US" w:eastAsia="zh-CN"/>
              </w:rPr>
            </w:pPr>
            <w:r>
              <w:rPr>
                <w:rFonts w:hint="eastAsia" w:asciiTheme="minorEastAsia" w:hAnsiTheme="minorEastAsia" w:eastAsiaTheme="minorEastAsia"/>
                <w:b w:val="0"/>
                <w:bCs w:val="0"/>
                <w:color w:val="auto"/>
                <w:sz w:val="24"/>
                <w:highlight w:val="none"/>
                <w:lang w:val="en-US" w:eastAsia="zh-CN"/>
              </w:rPr>
              <w:t>0-5</w:t>
            </w:r>
          </w:p>
        </w:tc>
      </w:tr>
      <w:tr w14:paraId="57FD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760" w:type="pct"/>
            <w:tcBorders>
              <w:left w:val="single" w:color="auto" w:sz="4" w:space="0"/>
              <w:right w:val="single" w:color="auto" w:sz="4" w:space="0"/>
            </w:tcBorders>
            <w:vAlign w:val="center"/>
          </w:tcPr>
          <w:p w14:paraId="62B314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686F12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239" w:type="pct"/>
            <w:gridSpan w:val="3"/>
            <w:tcBorders>
              <w:top w:val="single" w:color="auto" w:sz="4" w:space="0"/>
              <w:left w:val="single" w:color="auto" w:sz="4" w:space="0"/>
              <w:bottom w:val="single" w:color="auto" w:sz="4" w:space="0"/>
              <w:right w:val="single" w:color="auto" w:sz="4" w:space="0"/>
            </w:tcBorders>
            <w:vAlign w:val="center"/>
          </w:tcPr>
          <w:p w14:paraId="066CCEB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分。其他投标人的价格分统一按照下列公式计算：</w:t>
            </w:r>
          </w:p>
          <w:p w14:paraId="6A2D5E8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％×100</w:t>
            </w:r>
          </w:p>
        </w:tc>
      </w:tr>
    </w:tbl>
    <w:p w14:paraId="478755A5">
      <w:pPr>
        <w:spacing w:line="360" w:lineRule="auto"/>
        <w:rPr>
          <w:rFonts w:asciiTheme="minorEastAsia" w:hAnsiTheme="minorEastAsia" w:eastAsiaTheme="minorEastAsia"/>
          <w:color w:val="auto"/>
          <w:sz w:val="24"/>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ED1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2026-07-15T07:03:40Z</dcterms:created>
  <dc:creator>Administrator</dc:creator>
  <cp:lastModifiedBy>℡可乐雪碧</cp:lastModifiedBy>
  <dcterms:modified xsi:type="dcterms:W3CDTF">2026-07-15T07:05:00Z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eyJoZGlkIjoiMjE5NzJlMTc0ZjkwN2UwZjI4YjU1MzZlMDkxODE0YWQiLCJ1c2VySWQiOiI1NjU5NzEwMzQifQ==</vt:lpwstr>
  </property>
  <property fmtid="{D5CDD505-2E9C-101B-9397-08002B2CF9AE}" pid="4" name="ICV">
    <vt:lpwstr>29AE32A05FC14C36A540600477B5174C_12</vt:lpwstr>
  </property>
</Properties>
</file>