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4E6188">
      <w:pPr>
        <w:pStyle w:val="4"/>
        <w:keepNext w:val="0"/>
        <w:keepLines w:val="0"/>
        <w:pageBreakBefore w:val="0"/>
        <w:widowControl/>
        <w:suppressLineNumbers w:val="0"/>
        <w:kinsoku/>
        <w:wordWrap/>
        <w:overflowPunct/>
        <w:topLinePunct w:val="0"/>
        <w:autoSpaceDE/>
        <w:autoSpaceDN/>
        <w:bidi w:val="0"/>
        <w:adjustRightInd/>
        <w:snapToGrid/>
        <w:spacing w:line="420" w:lineRule="exact"/>
        <w:ind w:left="0" w:firstLine="0"/>
        <w:jc w:val="left"/>
        <w:textAlignment w:val="auto"/>
        <w:rPr>
          <w:rFonts w:hint="eastAsia" w:ascii="Noto Sans SC" w:hAnsi="Noto Sans SC" w:eastAsia="Noto Sans SC" w:cs="Noto Sans SC"/>
          <w:i w:val="0"/>
          <w:iCs w:val="0"/>
          <w:caps w:val="0"/>
          <w:color w:val="auto"/>
          <w:spacing w:val="0"/>
          <w:sz w:val="27"/>
          <w:szCs w:val="27"/>
          <w:highlight w:val="none"/>
          <w:lang w:eastAsia="zh-CN"/>
        </w:rPr>
      </w:pPr>
      <w:r>
        <w:rPr>
          <w:rFonts w:hint="eastAsia" w:ascii="Noto Sans SC" w:hAnsi="Noto Sans SC" w:eastAsia="Noto Sans SC" w:cs="Noto Sans SC"/>
          <w:i w:val="0"/>
          <w:iCs w:val="0"/>
          <w:caps w:val="0"/>
          <w:color w:val="auto"/>
          <w:spacing w:val="0"/>
          <w:sz w:val="27"/>
          <w:szCs w:val="27"/>
          <w:highlight w:val="none"/>
          <w:lang w:eastAsia="zh-CN"/>
        </w:rPr>
        <w:t>项目名称：六安市公安局人民警察训练中心射击馆维修改造项目</w:t>
      </w:r>
    </w:p>
    <w:p w14:paraId="161F9D38">
      <w:pPr>
        <w:pStyle w:val="4"/>
        <w:keepNext w:val="0"/>
        <w:keepLines w:val="0"/>
        <w:pageBreakBefore w:val="0"/>
        <w:widowControl/>
        <w:suppressLineNumbers w:val="0"/>
        <w:kinsoku/>
        <w:wordWrap/>
        <w:overflowPunct/>
        <w:topLinePunct w:val="0"/>
        <w:autoSpaceDE/>
        <w:autoSpaceDN/>
        <w:bidi w:val="0"/>
        <w:adjustRightInd/>
        <w:snapToGrid/>
        <w:spacing w:line="420" w:lineRule="exact"/>
        <w:ind w:left="0" w:firstLine="0"/>
        <w:jc w:val="left"/>
        <w:textAlignment w:val="auto"/>
        <w:rPr>
          <w:rFonts w:hint="eastAsia" w:ascii="Noto Sans SC" w:hAnsi="Noto Sans SC" w:eastAsia="Noto Sans SC" w:cs="Noto Sans SC"/>
          <w:i w:val="0"/>
          <w:iCs w:val="0"/>
          <w:caps w:val="0"/>
          <w:color w:val="auto"/>
          <w:spacing w:val="0"/>
          <w:sz w:val="27"/>
          <w:szCs w:val="27"/>
          <w:highlight w:val="none"/>
          <w:lang w:eastAsia="zh-CN"/>
        </w:rPr>
      </w:pPr>
      <w:r>
        <w:rPr>
          <w:rFonts w:hint="eastAsia" w:ascii="Noto Sans SC" w:hAnsi="Noto Sans SC" w:eastAsia="Noto Sans SC" w:cs="Noto Sans SC"/>
          <w:i w:val="0"/>
          <w:iCs w:val="0"/>
          <w:caps w:val="0"/>
          <w:color w:val="auto"/>
          <w:spacing w:val="0"/>
          <w:sz w:val="27"/>
          <w:szCs w:val="27"/>
          <w:highlight w:val="none"/>
          <w:lang w:eastAsia="zh-CN"/>
        </w:rPr>
        <w:t>采购单位：六安市公安局</w:t>
      </w:r>
    </w:p>
    <w:p w14:paraId="46C7E8DD">
      <w:pPr>
        <w:pStyle w:val="4"/>
        <w:keepNext w:val="0"/>
        <w:keepLines w:val="0"/>
        <w:pageBreakBefore w:val="0"/>
        <w:widowControl/>
        <w:suppressLineNumbers w:val="0"/>
        <w:kinsoku/>
        <w:wordWrap/>
        <w:overflowPunct/>
        <w:topLinePunct w:val="0"/>
        <w:autoSpaceDE/>
        <w:autoSpaceDN/>
        <w:bidi w:val="0"/>
        <w:adjustRightInd/>
        <w:snapToGrid/>
        <w:spacing w:line="420" w:lineRule="exact"/>
        <w:ind w:left="0" w:firstLine="0"/>
        <w:jc w:val="left"/>
        <w:textAlignment w:val="auto"/>
        <w:rPr>
          <w:rFonts w:hint="eastAsia" w:ascii="Noto Sans SC" w:hAnsi="Noto Sans SC" w:eastAsia="Noto Sans SC" w:cs="Noto Sans SC"/>
          <w:i w:val="0"/>
          <w:iCs w:val="0"/>
          <w:caps w:val="0"/>
          <w:color w:val="auto"/>
          <w:spacing w:val="0"/>
          <w:sz w:val="27"/>
          <w:szCs w:val="27"/>
          <w:highlight w:val="none"/>
          <w:lang w:eastAsia="zh-CN"/>
        </w:rPr>
      </w:pPr>
      <w:r>
        <w:rPr>
          <w:rFonts w:hint="eastAsia" w:ascii="Noto Sans SC" w:hAnsi="Noto Sans SC" w:eastAsia="Noto Sans SC" w:cs="Noto Sans SC"/>
          <w:i w:val="0"/>
          <w:iCs w:val="0"/>
          <w:caps w:val="0"/>
          <w:color w:val="auto"/>
          <w:spacing w:val="0"/>
          <w:sz w:val="27"/>
          <w:szCs w:val="27"/>
          <w:highlight w:val="none"/>
          <w:lang w:eastAsia="zh-CN"/>
        </w:rPr>
        <w:t>项目预算：</w:t>
      </w:r>
      <w:r>
        <w:rPr>
          <w:rFonts w:hint="eastAsia" w:ascii="Noto Sans SC" w:hAnsi="Noto Sans SC" w:eastAsia="Noto Sans SC" w:cs="Noto Sans SC"/>
          <w:i w:val="0"/>
          <w:iCs w:val="0"/>
          <w:caps w:val="0"/>
          <w:color w:val="auto"/>
          <w:spacing w:val="0"/>
          <w:sz w:val="27"/>
          <w:szCs w:val="27"/>
          <w:highlight w:val="none"/>
          <w:lang w:val="en-US" w:eastAsia="zh-CN"/>
        </w:rPr>
        <w:t>85.5</w:t>
      </w:r>
      <w:r>
        <w:rPr>
          <w:rFonts w:hint="eastAsia" w:ascii="Noto Sans SC" w:hAnsi="Noto Sans SC" w:eastAsia="Noto Sans SC" w:cs="Noto Sans SC"/>
          <w:i w:val="0"/>
          <w:iCs w:val="0"/>
          <w:caps w:val="0"/>
          <w:color w:val="auto"/>
          <w:spacing w:val="0"/>
          <w:sz w:val="27"/>
          <w:szCs w:val="27"/>
          <w:highlight w:val="none"/>
          <w:lang w:eastAsia="zh-CN"/>
        </w:rPr>
        <w:t>万元</w:t>
      </w:r>
    </w:p>
    <w:p w14:paraId="02D90D9A">
      <w:pPr>
        <w:pStyle w:val="4"/>
        <w:keepNext w:val="0"/>
        <w:keepLines w:val="0"/>
        <w:pageBreakBefore w:val="0"/>
        <w:widowControl/>
        <w:suppressLineNumbers w:val="0"/>
        <w:kinsoku/>
        <w:wordWrap/>
        <w:overflowPunct/>
        <w:topLinePunct w:val="0"/>
        <w:autoSpaceDE/>
        <w:autoSpaceDN/>
        <w:bidi w:val="0"/>
        <w:adjustRightInd/>
        <w:snapToGrid/>
        <w:spacing w:line="420" w:lineRule="exact"/>
        <w:ind w:left="0" w:firstLine="0"/>
        <w:jc w:val="left"/>
        <w:textAlignment w:val="auto"/>
        <w:rPr>
          <w:rFonts w:hint="eastAsia" w:ascii="Noto Sans SC" w:hAnsi="Noto Sans SC" w:eastAsia="Noto Sans SC" w:cs="Noto Sans SC"/>
          <w:i w:val="0"/>
          <w:iCs w:val="0"/>
          <w:caps w:val="0"/>
          <w:color w:val="auto"/>
          <w:spacing w:val="0"/>
          <w:sz w:val="27"/>
          <w:szCs w:val="27"/>
          <w:highlight w:val="none"/>
          <w:lang w:val="en-US" w:eastAsia="zh-CN"/>
        </w:rPr>
      </w:pPr>
      <w:r>
        <w:rPr>
          <w:rFonts w:hint="eastAsia" w:ascii="Noto Sans SC" w:hAnsi="Noto Sans SC" w:eastAsia="Noto Sans SC" w:cs="Noto Sans SC"/>
          <w:i w:val="0"/>
          <w:iCs w:val="0"/>
          <w:caps w:val="0"/>
          <w:color w:val="auto"/>
          <w:spacing w:val="0"/>
          <w:sz w:val="27"/>
          <w:szCs w:val="27"/>
          <w:highlight w:val="none"/>
          <w:lang w:eastAsia="zh-CN"/>
        </w:rPr>
        <w:t>公示时间：2026年</w:t>
      </w:r>
      <w:r>
        <w:rPr>
          <w:rFonts w:hint="eastAsia" w:ascii="Noto Sans SC" w:hAnsi="Noto Sans SC" w:eastAsia="Noto Sans SC" w:cs="Noto Sans SC"/>
          <w:i w:val="0"/>
          <w:iCs w:val="0"/>
          <w:caps w:val="0"/>
          <w:color w:val="auto"/>
          <w:spacing w:val="0"/>
          <w:sz w:val="27"/>
          <w:szCs w:val="27"/>
          <w:highlight w:val="none"/>
          <w:lang w:val="en-US" w:eastAsia="zh-CN"/>
        </w:rPr>
        <w:t>9</w:t>
      </w:r>
      <w:r>
        <w:rPr>
          <w:rFonts w:hint="eastAsia" w:ascii="Noto Sans SC" w:hAnsi="Noto Sans SC" w:eastAsia="Noto Sans SC" w:cs="Noto Sans SC"/>
          <w:i w:val="0"/>
          <w:iCs w:val="0"/>
          <w:caps w:val="0"/>
          <w:color w:val="auto"/>
          <w:spacing w:val="0"/>
          <w:sz w:val="27"/>
          <w:szCs w:val="27"/>
          <w:highlight w:val="none"/>
          <w:lang w:eastAsia="zh-CN"/>
        </w:rPr>
        <w:t>月</w:t>
      </w:r>
      <w:r>
        <w:rPr>
          <w:rFonts w:hint="eastAsia" w:ascii="Noto Sans SC" w:hAnsi="Noto Sans SC" w:eastAsia="Noto Sans SC" w:cs="Noto Sans SC"/>
          <w:i w:val="0"/>
          <w:iCs w:val="0"/>
          <w:caps w:val="0"/>
          <w:color w:val="auto"/>
          <w:spacing w:val="0"/>
          <w:sz w:val="27"/>
          <w:szCs w:val="27"/>
          <w:highlight w:val="none"/>
          <w:lang w:val="en-US" w:eastAsia="zh-CN"/>
        </w:rPr>
        <w:t>29</w:t>
      </w:r>
      <w:r>
        <w:rPr>
          <w:rFonts w:hint="eastAsia" w:ascii="Noto Sans SC" w:hAnsi="Noto Sans SC" w:eastAsia="Noto Sans SC" w:cs="Noto Sans SC"/>
          <w:i w:val="0"/>
          <w:iCs w:val="0"/>
          <w:caps w:val="0"/>
          <w:color w:val="auto"/>
          <w:spacing w:val="0"/>
          <w:sz w:val="27"/>
          <w:szCs w:val="27"/>
          <w:highlight w:val="none"/>
          <w:lang w:eastAsia="zh-CN"/>
        </w:rPr>
        <w:t>日</w:t>
      </w:r>
    </w:p>
    <w:p w14:paraId="467B6CE5">
      <w:pPr>
        <w:spacing w:line="360" w:lineRule="auto"/>
        <w:ind w:firstLine="437"/>
        <w:outlineLvl w:val="1"/>
        <w:rPr>
          <w:rFonts w:ascii="宋体" w:hAnsi="宋体" w:eastAsia="宋体" w:cs="宋体"/>
          <w:b/>
          <w:sz w:val="24"/>
          <w:szCs w:val="18"/>
        </w:rPr>
      </w:pPr>
      <w:bookmarkStart w:id="0" w:name="_Toc32151"/>
      <w:bookmarkStart w:id="1" w:name="_Toc2554"/>
      <w:bookmarkStart w:id="2" w:name="_Toc32021"/>
      <w:bookmarkStart w:id="3" w:name="_Toc7752"/>
      <w:r>
        <w:rPr>
          <w:rFonts w:hint="eastAsia" w:ascii="宋体" w:hAnsi="宋体" w:eastAsia="宋体" w:cs="宋体"/>
          <w:b/>
          <w:sz w:val="24"/>
          <w:szCs w:val="18"/>
        </w:rPr>
        <w:t>一、采购需求前附表</w:t>
      </w:r>
      <w:bookmarkEnd w:id="0"/>
      <w:bookmarkEnd w:id="1"/>
      <w:bookmarkEnd w:id="2"/>
      <w:bookmarkEnd w:id="3"/>
    </w:p>
    <w:tbl>
      <w:tblPr>
        <w:tblStyle w:val="6"/>
        <w:tblW w:w="9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7"/>
        <w:gridCol w:w="1549"/>
        <w:gridCol w:w="6973"/>
      </w:tblGrid>
      <w:tr w14:paraId="0C8D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vAlign w:val="center"/>
          </w:tcPr>
          <w:p w14:paraId="1CB64EF8">
            <w:pPr>
              <w:pStyle w:val="8"/>
              <w:pBdr>
                <w:bottom w:val="none" w:color="auto" w:sz="0" w:space="0"/>
              </w:pBdr>
              <w:tabs>
                <w:tab w:val="clear" w:pos="4153"/>
                <w:tab w:val="clear" w:pos="8306"/>
              </w:tabs>
              <w:adjustRightInd/>
              <w:spacing w:line="400" w:lineRule="exact"/>
              <w:textAlignment w:val="auto"/>
              <w:rPr>
                <w:rFonts w:ascii="宋体" w:hAnsi="宋体" w:eastAsia="宋体" w:cs="宋体"/>
                <w:b/>
                <w:kern w:val="2"/>
              </w:rPr>
            </w:pPr>
            <w:r>
              <w:rPr>
                <w:rFonts w:hint="eastAsia" w:ascii="宋体" w:hAnsi="宋体" w:eastAsia="宋体" w:cs="宋体"/>
                <w:b/>
                <w:kern w:val="2"/>
              </w:rPr>
              <w:t>序号</w:t>
            </w:r>
          </w:p>
        </w:tc>
        <w:tc>
          <w:tcPr>
            <w:tcW w:w="1549" w:type="dxa"/>
            <w:vAlign w:val="center"/>
          </w:tcPr>
          <w:p w14:paraId="0AB00B2A">
            <w:pPr>
              <w:pStyle w:val="9"/>
              <w:widowControl w:val="0"/>
              <w:spacing w:before="0" w:beforeAutospacing="0" w:after="0" w:afterAutospacing="0" w:line="400" w:lineRule="exact"/>
              <w:rPr>
                <w:rFonts w:ascii="宋体" w:hAnsi="宋体" w:eastAsia="宋体" w:cs="宋体"/>
                <w:bCs w:val="0"/>
                <w:sz w:val="24"/>
              </w:rPr>
            </w:pPr>
            <w:r>
              <w:rPr>
                <w:rFonts w:hint="eastAsia" w:ascii="宋体" w:hAnsi="宋体" w:eastAsia="宋体" w:cs="宋体"/>
                <w:bCs w:val="0"/>
                <w:sz w:val="24"/>
              </w:rPr>
              <w:t>条款名称</w:t>
            </w:r>
          </w:p>
        </w:tc>
        <w:tc>
          <w:tcPr>
            <w:tcW w:w="6973" w:type="dxa"/>
            <w:vAlign w:val="center"/>
          </w:tcPr>
          <w:p w14:paraId="369AFAD9">
            <w:pPr>
              <w:pStyle w:val="9"/>
              <w:widowControl w:val="0"/>
              <w:spacing w:before="0" w:beforeAutospacing="0" w:after="0" w:afterAutospacing="0" w:line="400" w:lineRule="exact"/>
              <w:rPr>
                <w:rFonts w:ascii="宋体" w:hAnsi="宋体" w:eastAsia="宋体" w:cs="宋体"/>
                <w:bCs w:val="0"/>
                <w:sz w:val="24"/>
              </w:rPr>
            </w:pPr>
            <w:r>
              <w:rPr>
                <w:rFonts w:hint="eastAsia" w:ascii="宋体" w:hAnsi="宋体" w:eastAsia="宋体" w:cs="宋体"/>
                <w:bCs w:val="0"/>
                <w:sz w:val="24"/>
              </w:rPr>
              <w:t>内容、说明与要求</w:t>
            </w:r>
          </w:p>
        </w:tc>
      </w:tr>
      <w:tr w14:paraId="5935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vAlign w:val="center"/>
          </w:tcPr>
          <w:p w14:paraId="2A2F461C">
            <w:pPr>
              <w:pStyle w:val="8"/>
              <w:pBdr>
                <w:bottom w:val="none" w:color="auto" w:sz="0" w:space="0"/>
              </w:pBdr>
              <w:tabs>
                <w:tab w:val="clear" w:pos="4153"/>
                <w:tab w:val="clear" w:pos="8306"/>
              </w:tabs>
              <w:adjustRightInd/>
              <w:spacing w:line="400" w:lineRule="exact"/>
              <w:textAlignment w:val="auto"/>
              <w:rPr>
                <w:rFonts w:ascii="宋体" w:hAnsi="宋体" w:eastAsia="宋体" w:cs="宋体"/>
                <w:bCs/>
                <w:kern w:val="2"/>
              </w:rPr>
            </w:pPr>
            <w:r>
              <w:rPr>
                <w:rFonts w:hint="eastAsia" w:ascii="宋体" w:hAnsi="宋体" w:eastAsia="宋体" w:cs="宋体"/>
                <w:bCs/>
                <w:kern w:val="2"/>
              </w:rPr>
              <w:t>1</w:t>
            </w:r>
          </w:p>
        </w:tc>
        <w:tc>
          <w:tcPr>
            <w:tcW w:w="1549" w:type="dxa"/>
            <w:vAlign w:val="center"/>
          </w:tcPr>
          <w:p w14:paraId="294D5CDA">
            <w:pPr>
              <w:pStyle w:val="9"/>
              <w:widowControl w:val="0"/>
              <w:spacing w:before="0" w:beforeAutospacing="0" w:after="0" w:afterAutospacing="0" w:line="400" w:lineRule="exact"/>
              <w:rPr>
                <w:rFonts w:ascii="宋体" w:hAnsi="宋体" w:eastAsia="宋体" w:cs="宋体"/>
                <w:b w:val="0"/>
                <w:sz w:val="24"/>
              </w:rPr>
            </w:pPr>
            <w:r>
              <w:rPr>
                <w:rFonts w:hint="eastAsia" w:ascii="宋体" w:hAnsi="宋体" w:eastAsia="宋体" w:cs="宋体"/>
                <w:b w:val="0"/>
                <w:sz w:val="24"/>
              </w:rPr>
              <w:t>付款方式</w:t>
            </w:r>
          </w:p>
        </w:tc>
        <w:tc>
          <w:tcPr>
            <w:tcW w:w="6973" w:type="dxa"/>
            <w:vAlign w:val="center"/>
          </w:tcPr>
          <w:p w14:paraId="3DAA00ED">
            <w:pPr>
              <w:spacing w:line="400" w:lineRule="exact"/>
              <w:rPr>
                <w:rFonts w:ascii="宋体" w:hAnsi="宋体" w:eastAsia="宋体" w:cs="宋体"/>
                <w:sz w:val="24"/>
              </w:rPr>
            </w:pPr>
            <w:r>
              <w:rPr>
                <w:rFonts w:hint="eastAsia" w:ascii="宋体" w:hAnsi="宋体" w:eastAsia="宋体" w:cs="宋体"/>
                <w:sz w:val="24"/>
              </w:rPr>
              <w:t>⑴对投标人为大型企业的项目或者以人工投入为主且实行按月定期结算支付款项的项目，采购人确定预付款为合同金额的</w:t>
            </w:r>
            <w:r>
              <w:rPr>
                <w:rFonts w:hint="eastAsia" w:ascii="宋体" w:hAnsi="宋体" w:eastAsia="宋体" w:cs="宋体"/>
                <w:sz w:val="24"/>
                <w:u w:val="single"/>
              </w:rPr>
              <w:t xml:space="preserve">/ </w:t>
            </w:r>
            <w:r>
              <w:rPr>
                <w:rFonts w:hint="eastAsia" w:ascii="宋体" w:hAnsi="宋体" w:eastAsia="宋体" w:cs="宋体"/>
                <w:sz w:val="24"/>
              </w:rPr>
              <w:t>（0-70%）；</w:t>
            </w:r>
          </w:p>
          <w:p w14:paraId="5E92D09D">
            <w:pPr>
              <w:spacing w:line="400" w:lineRule="exact"/>
              <w:rPr>
                <w:rFonts w:ascii="宋体" w:hAnsi="宋体" w:eastAsia="宋体" w:cs="宋体"/>
                <w:sz w:val="24"/>
              </w:rPr>
            </w:pPr>
            <w:r>
              <w:rPr>
                <w:rFonts w:hint="eastAsia" w:ascii="宋体" w:hAnsi="宋体" w:eastAsia="宋体" w:cs="宋体"/>
                <w:sz w:val="24"/>
              </w:rPr>
              <w:t>⑵中小企业合同，采购人确定预付款为合同金额的</w:t>
            </w:r>
            <w:r>
              <w:rPr>
                <w:rFonts w:hint="eastAsia" w:ascii="宋体" w:hAnsi="宋体" w:eastAsia="宋体" w:cs="宋体"/>
                <w:sz w:val="24"/>
                <w:u w:val="single"/>
              </w:rPr>
              <w:t>40%</w:t>
            </w:r>
            <w:r>
              <w:rPr>
                <w:rFonts w:hint="eastAsia" w:ascii="宋体" w:hAnsi="宋体" w:eastAsia="宋体" w:cs="宋体"/>
                <w:sz w:val="24"/>
              </w:rPr>
              <w:t>（40%-70%）；</w:t>
            </w:r>
          </w:p>
          <w:p w14:paraId="325BF831">
            <w:pPr>
              <w:spacing w:line="400" w:lineRule="exact"/>
              <w:rPr>
                <w:rFonts w:ascii="宋体" w:hAnsi="宋体" w:eastAsia="宋体" w:cs="宋体"/>
                <w:sz w:val="24"/>
              </w:rPr>
            </w:pPr>
            <w:r>
              <w:rPr>
                <w:rFonts w:hint="eastAsia" w:ascii="宋体" w:hAnsi="宋体" w:eastAsia="宋体" w:cs="宋体"/>
                <w:sz w:val="24"/>
              </w:rPr>
              <w:t>⑶分年度安排预算的项目，采购人确定每年预付款为当年合同金额的</w:t>
            </w:r>
            <w:r>
              <w:rPr>
                <w:rFonts w:hint="eastAsia" w:ascii="宋体" w:hAnsi="宋体" w:eastAsia="宋体" w:cs="宋体"/>
                <w:sz w:val="24"/>
                <w:u w:val="single"/>
              </w:rPr>
              <w:t>/</w:t>
            </w:r>
            <w:r>
              <w:rPr>
                <w:rFonts w:hint="eastAsia" w:ascii="宋体" w:hAnsi="宋体" w:eastAsia="宋体" w:cs="宋体"/>
                <w:sz w:val="24"/>
              </w:rPr>
              <w:t>（40%-70%）。</w:t>
            </w:r>
          </w:p>
          <w:p w14:paraId="69262EFA">
            <w:pPr>
              <w:spacing w:line="400" w:lineRule="exact"/>
              <w:rPr>
                <w:rFonts w:ascii="宋体" w:hAnsi="宋体" w:eastAsia="宋体" w:cs="宋体"/>
                <w:sz w:val="24"/>
              </w:rPr>
            </w:pPr>
            <w:r>
              <w:rPr>
                <w:rFonts w:hint="eastAsia" w:ascii="宋体" w:hAnsi="宋体" w:eastAsia="宋体" w:cs="宋体"/>
                <w:b/>
                <w:bCs/>
                <w:sz w:val="24"/>
              </w:rPr>
              <w:t>注：</w:t>
            </w:r>
            <w:r>
              <w:rPr>
                <w:rFonts w:hint="eastAsia" w:ascii="宋体" w:hAnsi="宋体" w:eastAsia="宋体" w:cs="宋体"/>
                <w:sz w:val="24"/>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7468BA21">
            <w:pPr>
              <w:keepNext w:val="0"/>
              <w:keepLines w:val="0"/>
              <w:widowControl/>
              <w:suppressLineNumbers w:val="0"/>
              <w:jc w:val="left"/>
            </w:pPr>
            <w:r>
              <w:rPr>
                <w:rFonts w:hint="eastAsia" w:ascii="宋体" w:hAnsi="宋体" w:eastAsia="宋体" w:cs="宋体"/>
                <w:b/>
                <w:bCs/>
                <w:sz w:val="24"/>
              </w:rPr>
              <w:t>剩余款支付方式</w:t>
            </w:r>
            <w:r>
              <w:rPr>
                <w:rFonts w:hint="eastAsia" w:ascii="宋体" w:hAnsi="宋体" w:eastAsia="宋体" w:cs="宋体"/>
                <w:sz w:val="24"/>
              </w:rPr>
              <w:t>：</w:t>
            </w:r>
            <w:r>
              <w:rPr>
                <w:rFonts w:hint="eastAsia" w:ascii="宋体" w:hAnsi="宋体" w:eastAsia="宋体" w:cs="宋体"/>
                <w:color w:val="000000"/>
                <w:kern w:val="0"/>
                <w:sz w:val="24"/>
                <w:szCs w:val="24"/>
                <w:lang w:val="en-US" w:eastAsia="zh-CN" w:bidi="ar"/>
              </w:rPr>
              <w:t>验收合格后一次性付清剩余合同款。</w:t>
            </w:r>
          </w:p>
          <w:p w14:paraId="0BEEF021">
            <w:pPr>
              <w:pStyle w:val="9"/>
              <w:widowControl w:val="0"/>
              <w:spacing w:before="0" w:beforeAutospacing="0" w:after="0" w:afterAutospacing="0" w:line="400" w:lineRule="exact"/>
              <w:jc w:val="both"/>
              <w:rPr>
                <w:rFonts w:ascii="宋体" w:hAnsi="宋体" w:eastAsia="宋体" w:cs="宋体"/>
                <w:b w:val="0"/>
                <w:sz w:val="24"/>
                <w:u w:val="single"/>
              </w:rPr>
            </w:pPr>
            <w:r>
              <w:rPr>
                <w:rFonts w:hint="eastAsia" w:ascii="宋体" w:hAnsi="宋体" w:eastAsia="宋体" w:cs="宋体"/>
                <w:b w:val="0"/>
                <w:bCs w:val="0"/>
                <w:sz w:val="24"/>
              </w:rPr>
              <w:t>（投标人提交的投标文件中如有关于付款条件的表述与招标文件规定不符，将被视为实质性不响应，将导致</w:t>
            </w:r>
            <w:r>
              <w:rPr>
                <w:rFonts w:hint="eastAsia" w:ascii="宋体" w:hAnsi="宋体" w:eastAsia="宋体" w:cs="宋体"/>
                <w:sz w:val="24"/>
              </w:rPr>
              <w:t>响应无效</w:t>
            </w:r>
            <w:r>
              <w:rPr>
                <w:rFonts w:hint="eastAsia" w:ascii="宋体" w:hAnsi="宋体" w:eastAsia="宋体" w:cs="宋体"/>
                <w:b w:val="0"/>
                <w:bCs w:val="0"/>
                <w:sz w:val="24"/>
              </w:rPr>
              <w:t>）</w:t>
            </w:r>
          </w:p>
        </w:tc>
      </w:tr>
      <w:tr w14:paraId="4549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vAlign w:val="center"/>
          </w:tcPr>
          <w:p w14:paraId="29692B31">
            <w:pPr>
              <w:pStyle w:val="8"/>
              <w:pBdr>
                <w:bottom w:val="none" w:color="auto" w:sz="0" w:space="0"/>
              </w:pBdr>
              <w:tabs>
                <w:tab w:val="clear" w:pos="4153"/>
                <w:tab w:val="clear" w:pos="8306"/>
              </w:tabs>
              <w:adjustRightInd/>
              <w:spacing w:line="400" w:lineRule="exact"/>
              <w:textAlignment w:val="auto"/>
              <w:rPr>
                <w:rFonts w:ascii="宋体" w:hAnsi="宋体" w:eastAsia="宋体" w:cs="宋体"/>
                <w:bCs/>
                <w:kern w:val="2"/>
              </w:rPr>
            </w:pPr>
            <w:r>
              <w:rPr>
                <w:rFonts w:hint="eastAsia" w:ascii="宋体" w:hAnsi="宋体" w:eastAsia="宋体" w:cs="宋体"/>
                <w:bCs/>
                <w:kern w:val="2"/>
              </w:rPr>
              <w:t>2</w:t>
            </w:r>
          </w:p>
        </w:tc>
        <w:tc>
          <w:tcPr>
            <w:tcW w:w="1549" w:type="dxa"/>
            <w:vAlign w:val="center"/>
          </w:tcPr>
          <w:p w14:paraId="44C59CFA">
            <w:pPr>
              <w:pStyle w:val="9"/>
              <w:widowControl w:val="0"/>
              <w:spacing w:before="0" w:beforeAutospacing="0" w:after="0" w:afterAutospacing="0" w:line="400" w:lineRule="exact"/>
              <w:rPr>
                <w:rFonts w:ascii="宋体" w:hAnsi="宋体" w:eastAsia="宋体" w:cs="宋体"/>
                <w:b w:val="0"/>
                <w:sz w:val="24"/>
              </w:rPr>
            </w:pPr>
            <w:r>
              <w:rPr>
                <w:rFonts w:hint="eastAsia" w:ascii="宋体" w:hAnsi="宋体" w:eastAsia="宋体" w:cs="宋体"/>
                <w:b w:val="0"/>
                <w:sz w:val="24"/>
              </w:rPr>
              <w:t>供货及安装地点</w:t>
            </w:r>
          </w:p>
        </w:tc>
        <w:tc>
          <w:tcPr>
            <w:tcW w:w="6973" w:type="dxa"/>
            <w:vAlign w:val="center"/>
          </w:tcPr>
          <w:p w14:paraId="0F8D6906">
            <w:pPr>
              <w:keepNext w:val="0"/>
              <w:keepLines w:val="0"/>
              <w:widowControl/>
              <w:suppressLineNumbers w:val="0"/>
              <w:jc w:val="left"/>
              <w:rPr>
                <w:rFonts w:hint="eastAsia" w:ascii="宋体" w:hAnsi="宋体" w:eastAsia="宋体" w:cs="宋体"/>
                <w:b w:val="0"/>
                <w:sz w:val="24"/>
                <w:lang w:val="en-US" w:eastAsia="zh-CN"/>
              </w:rPr>
            </w:pPr>
            <w:r>
              <w:rPr>
                <w:rFonts w:hint="eastAsia" w:ascii="宋体" w:hAnsi="宋体" w:eastAsia="宋体" w:cs="宋体"/>
                <w:b w:val="0"/>
                <w:sz w:val="24"/>
                <w:lang w:val="en-US" w:eastAsia="zh-CN"/>
              </w:rPr>
              <w:t>六安市境内，具体地点由采购人指定。</w:t>
            </w:r>
          </w:p>
        </w:tc>
      </w:tr>
      <w:tr w14:paraId="1EA1B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vAlign w:val="center"/>
          </w:tcPr>
          <w:p w14:paraId="783BD001">
            <w:pPr>
              <w:pStyle w:val="8"/>
              <w:pBdr>
                <w:bottom w:val="none" w:color="auto" w:sz="0" w:space="0"/>
              </w:pBdr>
              <w:tabs>
                <w:tab w:val="clear" w:pos="4153"/>
                <w:tab w:val="clear" w:pos="8306"/>
              </w:tabs>
              <w:adjustRightInd/>
              <w:spacing w:line="400" w:lineRule="exact"/>
              <w:textAlignment w:val="auto"/>
              <w:rPr>
                <w:rFonts w:ascii="宋体" w:hAnsi="宋体" w:eastAsia="宋体" w:cs="宋体"/>
                <w:bCs/>
                <w:kern w:val="2"/>
              </w:rPr>
            </w:pPr>
            <w:r>
              <w:rPr>
                <w:rFonts w:hint="eastAsia" w:ascii="宋体" w:hAnsi="宋体" w:eastAsia="宋体" w:cs="宋体"/>
                <w:bCs/>
                <w:kern w:val="2"/>
              </w:rPr>
              <w:t>3</w:t>
            </w:r>
          </w:p>
        </w:tc>
        <w:tc>
          <w:tcPr>
            <w:tcW w:w="1549" w:type="dxa"/>
            <w:vAlign w:val="center"/>
          </w:tcPr>
          <w:p w14:paraId="5AEFEE2A">
            <w:pPr>
              <w:pStyle w:val="9"/>
              <w:widowControl w:val="0"/>
              <w:spacing w:before="0" w:beforeAutospacing="0" w:after="0" w:afterAutospacing="0" w:line="400" w:lineRule="exact"/>
              <w:rPr>
                <w:rFonts w:ascii="宋体" w:hAnsi="宋体" w:eastAsia="宋体" w:cs="宋体"/>
                <w:b w:val="0"/>
                <w:sz w:val="24"/>
              </w:rPr>
            </w:pPr>
            <w:r>
              <w:rPr>
                <w:rFonts w:hint="eastAsia" w:ascii="宋体" w:hAnsi="宋体" w:eastAsia="宋体" w:cs="宋体"/>
                <w:b w:val="0"/>
                <w:sz w:val="24"/>
              </w:rPr>
              <w:t>供货及安装期限</w:t>
            </w:r>
          </w:p>
        </w:tc>
        <w:tc>
          <w:tcPr>
            <w:tcW w:w="6973" w:type="dxa"/>
            <w:vAlign w:val="center"/>
          </w:tcPr>
          <w:p w14:paraId="22C711C2">
            <w:pPr>
              <w:keepNext w:val="0"/>
              <w:keepLines w:val="0"/>
              <w:widowControl/>
              <w:suppressLineNumbers w:val="0"/>
              <w:jc w:val="left"/>
              <w:rPr>
                <w:rFonts w:hint="eastAsia" w:ascii="宋体" w:hAnsi="宋体" w:eastAsia="宋体" w:cs="宋体"/>
                <w:b w:val="0"/>
                <w:sz w:val="24"/>
                <w:lang w:val="en-US" w:eastAsia="zh-CN"/>
              </w:rPr>
            </w:pPr>
            <w:r>
              <w:rPr>
                <w:rFonts w:hint="eastAsia" w:ascii="宋体" w:hAnsi="宋体" w:eastAsia="宋体" w:cs="宋体"/>
                <w:b w:val="0"/>
                <w:sz w:val="24"/>
                <w:lang w:val="en-US" w:eastAsia="zh-CN"/>
              </w:rPr>
              <w:t>合同签订后60 日内完成供货、安装、调试、验收等工作。</w:t>
            </w:r>
          </w:p>
        </w:tc>
      </w:tr>
      <w:tr w14:paraId="07B2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67" w:type="dxa"/>
            <w:vAlign w:val="center"/>
          </w:tcPr>
          <w:p w14:paraId="1E5AAF3F">
            <w:pPr>
              <w:pStyle w:val="8"/>
              <w:pBdr>
                <w:bottom w:val="none" w:color="auto" w:sz="0" w:space="0"/>
              </w:pBdr>
              <w:tabs>
                <w:tab w:val="clear" w:pos="4153"/>
                <w:tab w:val="clear" w:pos="8306"/>
              </w:tabs>
              <w:adjustRightInd/>
              <w:spacing w:line="400" w:lineRule="exact"/>
              <w:textAlignment w:val="auto"/>
              <w:rPr>
                <w:rFonts w:ascii="宋体" w:hAnsi="宋体" w:eastAsia="宋体" w:cs="宋体"/>
                <w:bCs/>
                <w:kern w:val="2"/>
              </w:rPr>
            </w:pPr>
            <w:r>
              <w:rPr>
                <w:rFonts w:hint="eastAsia" w:ascii="宋体" w:hAnsi="宋体" w:eastAsia="宋体" w:cs="宋体"/>
                <w:bCs/>
                <w:kern w:val="2"/>
              </w:rPr>
              <w:t>4</w:t>
            </w:r>
          </w:p>
        </w:tc>
        <w:tc>
          <w:tcPr>
            <w:tcW w:w="1549" w:type="dxa"/>
            <w:vAlign w:val="center"/>
          </w:tcPr>
          <w:p w14:paraId="52E0AFFC">
            <w:pPr>
              <w:pStyle w:val="9"/>
              <w:widowControl w:val="0"/>
              <w:spacing w:before="0" w:beforeAutospacing="0" w:after="0" w:afterAutospacing="0" w:line="400" w:lineRule="exact"/>
              <w:rPr>
                <w:rFonts w:ascii="宋体" w:hAnsi="宋体" w:eastAsia="宋体" w:cs="宋体"/>
                <w:b w:val="0"/>
                <w:sz w:val="24"/>
              </w:rPr>
            </w:pPr>
            <w:r>
              <w:rPr>
                <w:rFonts w:hint="eastAsia" w:ascii="宋体" w:hAnsi="宋体" w:eastAsia="宋体" w:cs="宋体"/>
                <w:b w:val="0"/>
                <w:sz w:val="24"/>
              </w:rPr>
              <w:t>免费质保期</w:t>
            </w:r>
          </w:p>
        </w:tc>
        <w:tc>
          <w:tcPr>
            <w:tcW w:w="6973" w:type="dxa"/>
            <w:vAlign w:val="center"/>
          </w:tcPr>
          <w:p w14:paraId="02B3A00A">
            <w:pPr>
              <w:widowControl/>
              <w:jc w:val="left"/>
              <w:rPr>
                <w:rFonts w:ascii="宋体" w:hAnsi="宋体" w:eastAsia="宋体" w:cs="宋体"/>
                <w:sz w:val="24"/>
              </w:rPr>
            </w:pPr>
            <w:r>
              <w:rPr>
                <w:rFonts w:hint="eastAsia" w:ascii="宋体" w:hAnsi="宋体" w:eastAsia="宋体" w:cs="宋体"/>
                <w:sz w:val="24"/>
              </w:rPr>
              <w:t>3年</w:t>
            </w:r>
          </w:p>
        </w:tc>
      </w:tr>
    </w:tbl>
    <w:p w14:paraId="6F430969">
      <w:pPr>
        <w:spacing w:line="360" w:lineRule="auto"/>
        <w:ind w:firstLine="437"/>
        <w:outlineLvl w:val="1"/>
        <w:rPr>
          <w:rFonts w:ascii="宋体" w:hAnsi="宋体" w:eastAsia="宋体" w:cs="宋体"/>
          <w:b/>
          <w:bCs/>
          <w:sz w:val="24"/>
          <w:szCs w:val="18"/>
        </w:rPr>
      </w:pPr>
      <w:bookmarkStart w:id="4" w:name="_Toc7671"/>
      <w:bookmarkStart w:id="5" w:name="_Toc5944"/>
      <w:bookmarkStart w:id="6" w:name="_Toc27372"/>
    </w:p>
    <w:bookmarkEnd w:id="4"/>
    <w:bookmarkEnd w:id="5"/>
    <w:bookmarkEnd w:id="6"/>
    <w:p w14:paraId="66810E2D">
      <w:pPr>
        <w:spacing w:line="360" w:lineRule="auto"/>
        <w:ind w:firstLine="437"/>
        <w:outlineLvl w:val="1"/>
        <w:rPr>
          <w:rFonts w:hint="eastAsia" w:ascii="宋体" w:hAnsi="宋体" w:eastAsia="宋体" w:cs="宋体"/>
          <w:b/>
          <w:sz w:val="24"/>
          <w:szCs w:val="18"/>
          <w:lang w:val="en-US" w:eastAsia="zh-CN"/>
        </w:rPr>
      </w:pPr>
      <w:r>
        <w:rPr>
          <w:rFonts w:hint="eastAsia" w:ascii="宋体" w:hAnsi="宋体" w:eastAsia="宋体" w:cs="宋体"/>
          <w:b/>
          <w:sz w:val="24"/>
          <w:szCs w:val="18"/>
          <w:lang w:val="en-US" w:eastAsia="zh-CN"/>
        </w:rPr>
        <w:t>二、项目概况</w:t>
      </w:r>
    </w:p>
    <w:p w14:paraId="0EB38DC5">
      <w:pPr>
        <w:numPr>
          <w:ilvl w:val="0"/>
          <w:numId w:val="0"/>
        </w:numPr>
        <w:spacing w:line="360" w:lineRule="auto"/>
        <w:ind w:firstLine="480" w:firstLineChars="200"/>
        <w:outlineLvl w:val="1"/>
        <w:rPr>
          <w:rFonts w:hint="eastAsia" w:ascii="Times New Roman" w:hAnsi="Times New Roman" w:eastAsia="宋体" w:cs="Times New Roman"/>
          <w:b w:val="0"/>
          <w:bCs w:val="0"/>
          <w:color w:val="auto"/>
          <w:sz w:val="24"/>
        </w:rPr>
      </w:pPr>
      <w:r>
        <w:rPr>
          <w:rFonts w:hint="eastAsia" w:ascii="Times New Roman" w:hAnsi="Times New Roman" w:eastAsia="宋体" w:cs="Times New Roman"/>
          <w:b w:val="0"/>
          <w:bCs w:val="0"/>
          <w:color w:val="auto"/>
          <w:sz w:val="24"/>
        </w:rPr>
        <w:t>本次项目为</w:t>
      </w:r>
      <w:r>
        <w:rPr>
          <w:rFonts w:hint="eastAsia" w:ascii="Times New Roman" w:hAnsi="Times New Roman" w:eastAsia="宋体" w:cs="Times New Roman"/>
          <w:b w:val="0"/>
          <w:bCs w:val="0"/>
          <w:color w:val="auto"/>
          <w:sz w:val="24"/>
          <w:lang w:val="en-US" w:eastAsia="zh-CN"/>
        </w:rPr>
        <w:t>六安市公安局人民警察训练中心射击馆维修改造项目</w:t>
      </w:r>
      <w:r>
        <w:rPr>
          <w:rFonts w:hint="eastAsia" w:ascii="Times New Roman" w:hAnsi="Times New Roman" w:eastAsia="宋体" w:cs="Times New Roman"/>
          <w:b w:val="0"/>
          <w:bCs w:val="0"/>
          <w:color w:val="auto"/>
          <w:sz w:val="24"/>
        </w:rPr>
        <w:t>，主要改造内容射击馆训练设备升级，安装精度训练隐现靶机、实弹弹着点定位系统、实弹橡胶胸环靶标、靶机控制主机及软件、训练靶位射击安全隔断显示板、训练观摩发布同频显示设备；配套训练监控摄像机及硬盘录像机；射击区安全防护改造，更换正面防反弹橡胶自动滚帘，墙面、</w:t>
      </w:r>
      <w:r>
        <w:rPr>
          <w:rFonts w:hint="eastAsia" w:ascii="Times New Roman" w:hAnsi="Times New Roman" w:eastAsia="宋体" w:cs="Times New Roman"/>
          <w:b w:val="0"/>
          <w:bCs w:val="0"/>
          <w:color w:val="auto"/>
          <w:sz w:val="24"/>
          <w:lang w:val="en-US" w:eastAsia="zh-CN"/>
        </w:rPr>
        <w:t>通风系统、</w:t>
      </w:r>
      <w:r>
        <w:rPr>
          <w:rFonts w:hint="eastAsia" w:ascii="Times New Roman" w:hAnsi="Times New Roman" w:eastAsia="宋体" w:cs="Times New Roman"/>
          <w:b w:val="0"/>
          <w:bCs w:val="0"/>
          <w:color w:val="auto"/>
          <w:sz w:val="24"/>
        </w:rPr>
        <w:t>顶面防护维修；增设过滤型场馆空气净化设备，更新场地及靶面照明灯具，详见</w:t>
      </w:r>
      <w:r>
        <w:rPr>
          <w:rFonts w:hint="eastAsia" w:ascii="Times New Roman" w:hAnsi="Times New Roman" w:eastAsia="宋体" w:cs="Times New Roman"/>
          <w:b w:val="0"/>
          <w:bCs w:val="0"/>
          <w:color w:val="auto"/>
          <w:sz w:val="24"/>
          <w:lang w:val="en-US" w:eastAsia="zh-CN"/>
        </w:rPr>
        <w:t>采购</w:t>
      </w:r>
      <w:r>
        <w:rPr>
          <w:rFonts w:hint="eastAsia" w:ascii="Times New Roman" w:hAnsi="Times New Roman" w:eastAsia="宋体" w:cs="Times New Roman"/>
          <w:b w:val="0"/>
          <w:bCs w:val="0"/>
          <w:color w:val="auto"/>
          <w:sz w:val="24"/>
        </w:rPr>
        <w:t>清单。</w:t>
      </w:r>
    </w:p>
    <w:p w14:paraId="57F4C4E9">
      <w:pPr>
        <w:numPr>
          <w:ilvl w:val="0"/>
          <w:numId w:val="0"/>
        </w:numPr>
        <w:spacing w:line="360" w:lineRule="auto"/>
        <w:ind w:firstLine="480" w:firstLineChars="200"/>
        <w:outlineLvl w:val="1"/>
        <w:rPr>
          <w:rFonts w:hint="eastAsia" w:ascii="Times New Roman" w:hAnsi="Times New Roman" w:eastAsia="宋体" w:cs="Times New Roman"/>
          <w:b w:val="0"/>
          <w:bCs w:val="0"/>
          <w:color w:val="auto"/>
          <w:sz w:val="24"/>
        </w:rPr>
      </w:pPr>
    </w:p>
    <w:p w14:paraId="4496A10C">
      <w:pPr>
        <w:spacing w:line="360" w:lineRule="auto"/>
        <w:ind w:firstLine="437"/>
        <w:outlineLvl w:val="1"/>
        <w:rPr>
          <w:rFonts w:ascii="宋体" w:hAnsi="宋体" w:eastAsia="宋体" w:cs="宋体"/>
          <w:b/>
          <w:bCs/>
          <w:sz w:val="24"/>
          <w:szCs w:val="18"/>
        </w:rPr>
      </w:pPr>
      <w:r>
        <w:rPr>
          <w:rFonts w:hint="eastAsia" w:ascii="宋体" w:hAnsi="宋体" w:eastAsia="宋体" w:cs="宋体"/>
          <w:b/>
          <w:sz w:val="24"/>
          <w:szCs w:val="18"/>
          <w:lang w:val="en-US" w:eastAsia="zh-CN"/>
        </w:rPr>
        <w:t>三、</w:t>
      </w:r>
      <w:r>
        <w:rPr>
          <w:rFonts w:hint="eastAsia" w:ascii="宋体" w:hAnsi="宋体" w:eastAsia="宋体" w:cs="宋体"/>
          <w:b/>
          <w:sz w:val="24"/>
          <w:szCs w:val="18"/>
        </w:rPr>
        <w:t>采购清单</w:t>
      </w:r>
    </w:p>
    <w:tbl>
      <w:tblPr>
        <w:tblStyle w:val="6"/>
        <w:tblW w:w="9638" w:type="dxa"/>
        <w:tblInd w:w="93" w:type="dxa"/>
        <w:tblLayout w:type="fixed"/>
        <w:tblCellMar>
          <w:top w:w="0" w:type="dxa"/>
          <w:left w:w="108" w:type="dxa"/>
          <w:bottom w:w="0" w:type="dxa"/>
          <w:right w:w="108" w:type="dxa"/>
        </w:tblCellMar>
      </w:tblPr>
      <w:tblGrid>
        <w:gridCol w:w="692"/>
        <w:gridCol w:w="946"/>
        <w:gridCol w:w="6718"/>
        <w:gridCol w:w="559"/>
        <w:gridCol w:w="723"/>
      </w:tblGrid>
      <w:tr w14:paraId="64340BEF">
        <w:tblPrEx>
          <w:tblCellMar>
            <w:top w:w="0" w:type="dxa"/>
            <w:left w:w="108" w:type="dxa"/>
            <w:bottom w:w="0" w:type="dxa"/>
            <w:right w:w="108" w:type="dxa"/>
          </w:tblCellMar>
        </w:tblPrEx>
        <w:trPr>
          <w:trHeight w:val="811"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47F063D5">
            <w:pPr>
              <w:keepNext w:val="0"/>
              <w:keepLines w:val="0"/>
              <w:widowControl/>
              <w:suppressLineNumbers w:val="0"/>
              <w:jc w:val="center"/>
              <w:textAlignment w:val="center"/>
              <w:rPr>
                <w:rFonts w:ascii="宋体" w:hAnsi="宋体" w:eastAsia="宋体" w:cs="宋体"/>
                <w:b/>
                <w:bCs/>
                <w:color w:val="000000" w:themeColor="text1"/>
                <w:sz w:val="24"/>
                <w:szCs w:val="24"/>
                <w:highlight w:val="none"/>
                <w14:textFill>
                  <w14:solidFill>
                    <w14:schemeClr w14:val="tx1"/>
                  </w14:solidFill>
                </w14:textFill>
              </w:rPr>
            </w:pPr>
            <w:bookmarkStart w:id="7" w:name="_Toc4843"/>
            <w:bookmarkStart w:id="8" w:name="_Toc13759"/>
            <w:bookmarkStart w:id="9" w:name="_Toc7421"/>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序号</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0560FA1D">
            <w:pPr>
              <w:keepNext w:val="0"/>
              <w:keepLines w:val="0"/>
              <w:widowControl/>
              <w:suppressLineNumbers w:val="0"/>
              <w:jc w:val="center"/>
              <w:textAlignment w:val="center"/>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货物名称</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76D76EA9">
            <w:pPr>
              <w:keepNext w:val="0"/>
              <w:keepLines w:val="0"/>
              <w:widowControl/>
              <w:suppressLineNumbers w:val="0"/>
              <w:jc w:val="center"/>
              <w:textAlignment w:val="center"/>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技术参数</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4A15DC21">
            <w:pPr>
              <w:keepNext w:val="0"/>
              <w:keepLines w:val="0"/>
              <w:widowControl/>
              <w:suppressLineNumbers w:val="0"/>
              <w:jc w:val="center"/>
              <w:textAlignment w:val="center"/>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单位</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2F3638DE">
            <w:pPr>
              <w:keepNext w:val="0"/>
              <w:keepLines w:val="0"/>
              <w:widowControl/>
              <w:suppressLineNumbers w:val="0"/>
              <w:jc w:val="center"/>
              <w:textAlignment w:val="center"/>
              <w:rPr>
                <w:rFonts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数量</w:t>
            </w:r>
          </w:p>
        </w:tc>
      </w:tr>
      <w:tr w14:paraId="1316F557">
        <w:tblPrEx>
          <w:tblCellMar>
            <w:top w:w="0" w:type="dxa"/>
            <w:left w:w="108" w:type="dxa"/>
            <w:bottom w:w="0" w:type="dxa"/>
            <w:right w:w="108" w:type="dxa"/>
          </w:tblCellMar>
        </w:tblPrEx>
        <w:trPr>
          <w:trHeight w:val="811"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1EE99A6C">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一</w:t>
            </w:r>
          </w:p>
        </w:tc>
        <w:tc>
          <w:tcPr>
            <w:tcW w:w="8946" w:type="dxa"/>
            <w:gridSpan w:val="4"/>
            <w:tcBorders>
              <w:top w:val="single" w:color="000000" w:sz="4" w:space="0"/>
              <w:left w:val="single" w:color="000000" w:sz="4" w:space="0"/>
              <w:bottom w:val="single" w:color="000000" w:sz="4" w:space="0"/>
              <w:right w:val="single" w:color="000000" w:sz="4" w:space="0"/>
            </w:tcBorders>
            <w:noWrap w:val="0"/>
            <w:vAlign w:val="center"/>
          </w:tcPr>
          <w:p w14:paraId="0C0B041D">
            <w:pPr>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训练设备</w:t>
            </w:r>
          </w:p>
        </w:tc>
      </w:tr>
      <w:tr w14:paraId="25373BDA">
        <w:tblPrEx>
          <w:tblCellMar>
            <w:top w:w="0" w:type="dxa"/>
            <w:left w:w="108" w:type="dxa"/>
            <w:bottom w:w="0" w:type="dxa"/>
            <w:right w:w="108" w:type="dxa"/>
          </w:tblCellMar>
        </w:tblPrEx>
        <w:trPr>
          <w:trHeight w:val="5754"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5D9B4563">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279CD559">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精度训练隐现靶机</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47485877">
            <w:pPr>
              <w:keepNext w:val="0"/>
              <w:keepLines w:val="0"/>
              <w:widowControl/>
              <w:numPr>
                <w:ilvl w:val="0"/>
                <w:numId w:val="1"/>
              </w:numPr>
              <w:suppressLineNumbers w:val="0"/>
              <w:jc w:val="left"/>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靶机网络智能控制；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2、供电方式：交流供电；</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3、一次90度旋转的速度≤0.6秒；</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4、靶标材质：橡胶印刷的胸环靶、掏枪人形靶等；</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5、报靶方式：热成像实弹定位自动报靶；</w:t>
            </w:r>
          </w:p>
          <w:p w14:paraId="63B0B3D7">
            <w:pPr>
              <w:keepNext w:val="0"/>
              <w:keepLines w:val="0"/>
              <w:widowControl/>
              <w:numPr>
                <w:ilvl w:val="0"/>
                <w:numId w:val="0"/>
              </w:numPr>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6、靶机具有正面防弹钢板和橡胶防反弹挡板，两侧具有钢板防弹功能；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7、靶机两侧安装防弹钢板。</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8、靶标的隐显时间长短可调。</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9、靶板起倒、旋转、靶板随机出现、其各项性能技术指标保持一致。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10、可配置胸环靶、半身靶、B27靶、速射靶、人质靶等靶型。 </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11、拆卸、安装方便，便于携带，可快速安装使用，更换靶板无需实弹重新校正精度。                                                                                                                                              12、适用枪型：狙击步枪、微冲、手枪等各类枪型。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13、适用弹型：适用于弹径4.5mm至12.7mm的各种金属弹及橡胶弹；</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14、整机寿命15年。</w:t>
            </w:r>
            <w:bookmarkStart w:id="10" w:name="_GoBack"/>
            <w:bookmarkEnd w:id="10"/>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3CC0E88E">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台</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4EB90470">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r>
      <w:tr w14:paraId="11D29711">
        <w:tblPrEx>
          <w:tblCellMar>
            <w:top w:w="0" w:type="dxa"/>
            <w:left w:w="108" w:type="dxa"/>
            <w:bottom w:w="0" w:type="dxa"/>
            <w:right w:w="108" w:type="dxa"/>
          </w:tblCellMar>
        </w:tblPrEx>
        <w:trPr>
          <w:trHeight w:val="5814"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78CE0307">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1D1283C8">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实弹弹着点定位系统</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4D4153A6">
            <w:pPr>
              <w:keepNext w:val="0"/>
              <w:keepLines w:val="0"/>
              <w:widowControl/>
              <w:numPr>
                <w:ilvl w:val="0"/>
                <w:numId w:val="0"/>
              </w:numPr>
              <w:suppressLineNumbers w:val="0"/>
              <w:jc w:val="left"/>
              <w:textAlignment w:val="cente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4"/>
                <w:szCs w:val="24"/>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由非制冷红外热成像仪和弹点解算软硬件所组成；</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2、实弹定位组件有效像素≥640*480分辨率；</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3、热成像仪帧率≥50帧以上；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4.测试用尺寸达到≥4米*2.5米时，弹着点解算速度均值达到≤40毫秒，可准确识别5.8mm以上（含）口径手枪及以上口径枪支射击子弹的弹着点热点信号；</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5.实弹定位精度误差平均值不大于3mm，误差极大值不大于5mm；</w:t>
            </w:r>
          </w:p>
          <w:p w14:paraId="2FDC5032">
            <w:pPr>
              <w:keepNext w:val="0"/>
              <w:keepLines w:val="0"/>
              <w:widowControl/>
              <w:numPr>
                <w:ilvl w:val="0"/>
                <w:numId w:val="0"/>
              </w:numPr>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6.误报、漏报率小于千分之一；</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7.专用镜头。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8、成绩界面的最后一发弹着点及弹序和之前的有颜色区分。</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9、可进行连发射击，最大射频10发/秒。</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10、适用子弹速度：≥250米/秒。</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11、报靶反应时间小于0.02秒。</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 支持单发、连发射击训练：可适应单发射击、点射、连发射击，最大支持射速800发/ 分钟。</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13、单机连续无故障工作时间大于12小时，可以支持中等强度以上的训练演练任务。能够在30秒内完成射击准备工作。</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1A86CC4C">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6A4C3A8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w:t>
            </w:r>
          </w:p>
        </w:tc>
      </w:tr>
      <w:tr w14:paraId="2ECED015">
        <w:tblPrEx>
          <w:tblCellMar>
            <w:top w:w="0" w:type="dxa"/>
            <w:left w:w="108" w:type="dxa"/>
            <w:bottom w:w="0" w:type="dxa"/>
            <w:right w:w="108" w:type="dxa"/>
          </w:tblCellMar>
        </w:tblPrEx>
        <w:trPr>
          <w:trHeight w:val="90"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1C7F3137">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0FE7414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实弹橡胶胸环靶标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2D8F389C">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1、靶标材质要求：橡胶上印刷标准绿色胸环靶，靶面印刷环纹牢固，不会因为射击弹孔出现弹孔周边印刷层的脱胶。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2、靶标附有硬质靶衬。</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3、每块靶板受弹10000发以上。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4、适用枪型：狙击步枪、微冲、手枪等各类枪型。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5、适用弹型：适用于弹径4.5mm至12.7mm的各种金属弹及橡胶弹。</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669B4A93">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6450369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36</w:t>
            </w:r>
          </w:p>
        </w:tc>
      </w:tr>
      <w:tr w14:paraId="14525ABF">
        <w:tblPrEx>
          <w:tblCellMar>
            <w:top w:w="0" w:type="dxa"/>
            <w:left w:w="108" w:type="dxa"/>
            <w:bottom w:w="0" w:type="dxa"/>
            <w:right w:w="108" w:type="dxa"/>
          </w:tblCellMar>
        </w:tblPrEx>
        <w:trPr>
          <w:trHeight w:val="1406"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6160FA36">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660EC522">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胸环靶纸</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29282CC0">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1、材质：胶版纸（双胶纸）</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 纸张克重：80g/㎡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 规格尺寸：550×550mm（标准胸环靶）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 印刷：军绿色单色印刷，环数刻度符合标准胸环靶规范</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51240FB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张</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3B88B1CB">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5000</w:t>
            </w:r>
          </w:p>
        </w:tc>
      </w:tr>
      <w:tr w14:paraId="170679C5">
        <w:tblPrEx>
          <w:tblCellMar>
            <w:top w:w="0" w:type="dxa"/>
            <w:left w:w="108" w:type="dxa"/>
            <w:bottom w:w="0" w:type="dxa"/>
            <w:right w:w="108" w:type="dxa"/>
          </w:tblCellMar>
        </w:tblPrEx>
        <w:trPr>
          <w:trHeight w:val="2291"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37AA940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6D9470EA">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实弹橡胶半身靶标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636B1F2F">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1、靶标材质要求：橡胶上印刷标准蓝色半身靶，靶面印刷环纹牢固，不会因为射击弹孔出现弹孔周边印刷层的脱胶。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2、靶标附有硬质靶衬。</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3、每块靶板受弹10000发以上。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4、适用枪型：狙击步枪、微冲、手枪等各类枪型。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5、适用弹型：适用于弹径4.5mm至12.7mm的各种金属弹及橡胶弹。</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3E7B7CC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5E89563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r>
      <w:tr w14:paraId="2F2A9B4E">
        <w:tblPrEx>
          <w:tblCellMar>
            <w:top w:w="0" w:type="dxa"/>
            <w:left w:w="108" w:type="dxa"/>
            <w:bottom w:w="0" w:type="dxa"/>
            <w:right w:w="108" w:type="dxa"/>
          </w:tblCellMar>
        </w:tblPrEx>
        <w:trPr>
          <w:trHeight w:val="2283"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716988F7">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26EA701B">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半身像靶纸</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37707478">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1、名称：半身靶纸</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2、材质：双面胶版纸（双胶纸）</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3、纸张定量：80g/㎡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4、成品规格：500×1000mm，符合公安射击训练半身靶标准图样</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4、印刷：单色印刷，轮廓、标识线条清晰，满足实弹射击判读要求</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7098C016">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张</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1726EB9E">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5000</w:t>
            </w:r>
          </w:p>
        </w:tc>
      </w:tr>
      <w:tr w14:paraId="5979B155">
        <w:tblPrEx>
          <w:tblCellMar>
            <w:top w:w="0" w:type="dxa"/>
            <w:left w:w="108" w:type="dxa"/>
            <w:bottom w:w="0" w:type="dxa"/>
            <w:right w:w="108" w:type="dxa"/>
          </w:tblCellMar>
        </w:tblPrEx>
        <w:trPr>
          <w:trHeight w:val="90"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67AAF939">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38519613">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靶机控制主机及软件</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64B34599">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1、训练主机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（1）处理器性能不低于24核32线程；</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（2）处理器CPU频率2.4G以上；</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（3）内存≥32G；</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（4）固态硬盘≥1T；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（5）多口输出的3D加速独立显卡（三口以上）、16G显存，具有热插拔盘位功能，标准接口4×1GbE，主机前端：1×USB 3.0、2×USB 2.0，后端：2×USB 3.0、2×USB 2.0。</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（6）24寸液晶显示器；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（7）键鼠套装。</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2、训练软件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（1）系统具有设备管理功能，可集中管理各类靶机、配置相关设备的参数，通过全场网络系统，对各类训练科目进行设置和运行，对靶机设备进行控制；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（2）具有训练人员姓名、编号、单位、训练成绩显示、储存、导出、录入管理功能；可保存100000次以上射击成绩。</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（3）实时展示训练人员射击训练信息、 靶机隐显状态；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（4）自动评判训练成绩，查看各靶道的实时显示练习成绩。可按时间、单位、人员、靶位查询射击成绩，进行成绩排名、生成成绩报表，以excel表格式导出成绩列表。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3、配备相应总控操作台。</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28470163">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台</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6DD5D5F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r w14:paraId="283E3C7C">
        <w:tblPrEx>
          <w:tblCellMar>
            <w:top w:w="0" w:type="dxa"/>
            <w:left w:w="108" w:type="dxa"/>
            <w:bottom w:w="0" w:type="dxa"/>
            <w:right w:w="108" w:type="dxa"/>
          </w:tblCellMar>
        </w:tblPrEx>
        <w:trPr>
          <w:trHeight w:val="6554"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3429617F">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49E0CA45">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训练靶位射击安全隔断显示板</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15AA7CCA">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1、设备由基础烤漆和不锈钢骨架、显示器设备、供电和逆变设备、防弹玻璃设备、训练遮挡雾化膜设备、训练状况提示灯带条、活动折叠放枪桌板、万向移动轮等组成；</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2、设备规格：高≥2米，前后宽≥1.1 米，左右宽度≤0.7米；</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3、设备下部6mm特种防弹钢钢板；</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4、设备上部≤16mm防弹玻璃，防弹玻璃级别符合92手枪钢芯弹5米射距检测不射穿要求；</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5、设备配置可折叠置枪几、耳罩挂杆；</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6、防弹玻璃安装遮挡电控雾化隔离膜，实现邻近射击位间透明或不透明状态；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7、设备配置训练警示灯光。不允许射击时灯条为红色，准许射击时灯条为蓝色，灯条颜色随训练程序自动变化；</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8、设备配置≥19.5寸一体型计算机，配置要求（1） I5CPU，（2）4G内存500G硬盘，（3）无线网卡，（4）屏幕分辨率1920*1080；（5）液晶显示屏幕含屏幕上的摄像机设备；</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9、配置人脸识别软件，直接识别训练人员；</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10、显示屏幕摄像机可以将射手位监控图像传回控制室监控显示；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11、显示器具有观察瞄准轨迹显示功能；</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 xml:space="preserve">12、设备内置充电锂电池、电量显示板，一次充电连续工作10小时以上。 </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611A5E4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台</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382D935B">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r>
      <w:tr w14:paraId="4080BBB2">
        <w:tblPrEx>
          <w:tblCellMar>
            <w:top w:w="0" w:type="dxa"/>
            <w:left w:w="108" w:type="dxa"/>
            <w:bottom w:w="0" w:type="dxa"/>
            <w:right w:w="108" w:type="dxa"/>
          </w:tblCellMar>
        </w:tblPrEx>
        <w:trPr>
          <w:trHeight w:val="119"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06AB30C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19F6B0D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训练观摩发布同频显示设备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13699266">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1、更新同屏信息显示设备，铺设新HDMI信号线连通至新主机；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2、新增网络传输和信号转换设备，使计算机输出的射手位显示信息到观摩区的训练观摩显示器上。</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1A57FC6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7FDE007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w:t>
            </w:r>
          </w:p>
        </w:tc>
      </w:tr>
      <w:tr w14:paraId="57896015">
        <w:tblPrEx>
          <w:tblCellMar>
            <w:top w:w="0" w:type="dxa"/>
            <w:left w:w="108" w:type="dxa"/>
            <w:bottom w:w="0" w:type="dxa"/>
            <w:right w:w="108" w:type="dxa"/>
          </w:tblCellMar>
        </w:tblPrEx>
        <w:trPr>
          <w:trHeight w:val="4586"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120F381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42215045">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训练监控摄像机</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239C6F2D">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1、400万白光全彩筒型摄像机，全彩级高灵敏度传感器，F1.0超大光圈镜头；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2、AI ISP图像处理引擎，影像随场景自适应，夜视效果随时在线；</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3、分辨率2560×1440 @25 fps，在该分辨率下可输出实时图像；</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4、内置麦克风&amp;扬声器，喊话对讲全兼顾；</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5、目标分类，报警精准减打扰</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6、背光补偿，强光抑制，3D数字降噪，120 dB宽动态适应不同监控环境；</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7、超级智能编码；</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8、柔光灯补光，照射距离最远需达30m；</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9、IP67防尘防水；</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10、含铺设线路费用；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11、监控要做到射击馆内全覆盖无死角。</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5CC2176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6CDF2C40">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10</w:t>
            </w:r>
          </w:p>
        </w:tc>
      </w:tr>
      <w:tr w14:paraId="30D7F7D4">
        <w:tblPrEx>
          <w:tblCellMar>
            <w:top w:w="0" w:type="dxa"/>
            <w:left w:w="108" w:type="dxa"/>
            <w:bottom w:w="0" w:type="dxa"/>
            <w:right w:w="108" w:type="dxa"/>
          </w:tblCellMar>
        </w:tblPrEx>
        <w:trPr>
          <w:trHeight w:val="1314"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4EF64D76">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1A4A0C1E">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训练监控录像机</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3FF3573F">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1、≥16路2K高清硬盘录像机；</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2、不小于24寸显示器；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3、≥6T的监控专用高速硬盘；</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4、录像存储时间≥60天。</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33F9A9F7">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614CB8B9">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r w14:paraId="39BAA683">
        <w:tblPrEx>
          <w:tblCellMar>
            <w:top w:w="0" w:type="dxa"/>
            <w:left w:w="108" w:type="dxa"/>
            <w:bottom w:w="0" w:type="dxa"/>
            <w:right w:w="108" w:type="dxa"/>
          </w:tblCellMar>
        </w:tblPrEx>
        <w:trPr>
          <w:trHeight w:val="754"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4A7EA78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二</w:t>
            </w:r>
          </w:p>
        </w:tc>
        <w:tc>
          <w:tcPr>
            <w:tcW w:w="8946" w:type="dxa"/>
            <w:gridSpan w:val="4"/>
            <w:tcBorders>
              <w:top w:val="single" w:color="000000" w:sz="4" w:space="0"/>
              <w:left w:val="single" w:color="000000" w:sz="4" w:space="0"/>
              <w:bottom w:val="single" w:color="000000" w:sz="4" w:space="0"/>
              <w:right w:val="single" w:color="000000" w:sz="4" w:space="0"/>
            </w:tcBorders>
            <w:noWrap w:val="0"/>
            <w:vAlign w:val="center"/>
          </w:tcPr>
          <w:p w14:paraId="07AED5C9">
            <w:pPr>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安全防护</w:t>
            </w:r>
          </w:p>
        </w:tc>
      </w:tr>
      <w:tr w14:paraId="1A93A8E1">
        <w:tblPrEx>
          <w:tblCellMar>
            <w:top w:w="0" w:type="dxa"/>
            <w:left w:w="108" w:type="dxa"/>
            <w:bottom w:w="0" w:type="dxa"/>
            <w:right w:w="108" w:type="dxa"/>
          </w:tblCellMar>
        </w:tblPrEx>
        <w:trPr>
          <w:trHeight w:val="1309"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7397C8F0">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12</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65EBB60E">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护目镜、降噪耳罩</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1CD567B6">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教官、学员配置护目镜、降噪耳罩；</w:t>
            </w:r>
          </w:p>
        </w:tc>
        <w:tc>
          <w:tcPr>
            <w:tcW w:w="559" w:type="dxa"/>
            <w:tcBorders>
              <w:top w:val="single" w:color="000000" w:sz="4" w:space="0"/>
              <w:left w:val="single" w:color="000000" w:sz="4" w:space="0"/>
              <w:bottom w:val="single" w:color="000000" w:sz="4" w:space="0"/>
              <w:right w:val="single" w:color="000000" w:sz="4" w:space="0"/>
            </w:tcBorders>
            <w:noWrap w:val="0"/>
            <w:vAlign w:val="center"/>
          </w:tcPr>
          <w:p w14:paraId="5E499A6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0"/>
            <w:vAlign w:val="center"/>
          </w:tcPr>
          <w:p w14:paraId="501903B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w:t>
            </w:r>
          </w:p>
        </w:tc>
      </w:tr>
      <w:tr w14:paraId="58798B61">
        <w:tblPrEx>
          <w:tblCellMar>
            <w:top w:w="0" w:type="dxa"/>
            <w:left w:w="108" w:type="dxa"/>
            <w:bottom w:w="0" w:type="dxa"/>
            <w:right w:w="108" w:type="dxa"/>
          </w:tblCellMar>
        </w:tblPrEx>
        <w:trPr>
          <w:trHeight w:val="2281"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240D901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13</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14519939">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射击区正面防反弹橡胶自动滚帘设备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2650E6B1">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1、拆除损坏的橡胶防弹结构。</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2、滚帘智能程序控制；</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3、电动防弹渣反弹橡胶滚帘需全自动控制上下、左右自动换位；</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4、橡胶滚帘总厚度≥30mm，具备多层复合耐弹橡胶结构，可有效抑制跳弹反弹；</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5、橡胶滚帘受弹需均匀分布；</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6、该项改造面积43.5m²</w:t>
            </w:r>
          </w:p>
        </w:tc>
        <w:tc>
          <w:tcPr>
            <w:tcW w:w="559" w:type="dxa"/>
            <w:tcBorders>
              <w:top w:val="single" w:color="000000" w:sz="4" w:space="0"/>
              <w:left w:val="single" w:color="000000" w:sz="4" w:space="0"/>
              <w:bottom w:val="single" w:color="000000" w:sz="4" w:space="0"/>
              <w:right w:val="single" w:color="000000" w:sz="4" w:space="0"/>
            </w:tcBorders>
            <w:noWrap/>
            <w:vAlign w:val="center"/>
          </w:tcPr>
          <w:p w14:paraId="5B8040F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项</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138C2D10">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r w14:paraId="05D95011">
        <w:tblPrEx>
          <w:tblCellMar>
            <w:top w:w="0" w:type="dxa"/>
            <w:left w:w="108" w:type="dxa"/>
            <w:bottom w:w="0" w:type="dxa"/>
            <w:right w:w="108" w:type="dxa"/>
          </w:tblCellMar>
        </w:tblPrEx>
        <w:trPr>
          <w:trHeight w:val="2379"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61FE2E4B">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14</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2C4A260B">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射击区正面防弹矮墙</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3E7B471C">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新增一条长15米分离式可移动防弹矮墙。</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1、防弹面板：特种防弹钢板≥6mm（抵御9mm手枪弹），外覆盖耐弹橡胶砖，吸收弹头、抑制跳弹，避免弹片飞溅。</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2、框架：镀锌槽钢 / 方管钢结构框架，模块化分节（单节 2</w:t>
            </w:r>
            <w:r>
              <w:rPr>
                <w:rFonts w:hint="default" w:ascii="Times New Roman" w:hAnsi="Times New Roman" w:eastAsia="宋体" w:cs="Times New Roman"/>
                <w:i w:val="0"/>
                <w:iCs w:val="0"/>
                <w:color w:val="000000" w:themeColor="text1"/>
                <w:kern w:val="0"/>
                <w:sz w:val="24"/>
                <w:szCs w:val="24"/>
                <w:highlight w:val="none"/>
                <w:u w:val="none"/>
                <w:lang w:val="en-US" w:eastAsia="zh-CN" w:bidi="ar"/>
                <w14:textFill>
                  <w14:solidFill>
                    <w14:schemeClr w14:val="tx1"/>
                  </w14:solidFill>
                </w14:textFill>
              </w:rPr>
              <w:noBreakHyphen/>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3m），节与节之间可快速拼接、分离。</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3、移动底座：配聚氨酯包胶刹车万向轮，移动到位可锁死固定；整体外表面喷塑防锈处理。</w:t>
            </w:r>
          </w:p>
        </w:tc>
        <w:tc>
          <w:tcPr>
            <w:tcW w:w="559" w:type="dxa"/>
            <w:tcBorders>
              <w:top w:val="single" w:color="000000" w:sz="4" w:space="0"/>
              <w:left w:val="single" w:color="000000" w:sz="4" w:space="0"/>
              <w:bottom w:val="single" w:color="000000" w:sz="4" w:space="0"/>
              <w:right w:val="single" w:color="000000" w:sz="4" w:space="0"/>
            </w:tcBorders>
            <w:noWrap/>
            <w:vAlign w:val="center"/>
          </w:tcPr>
          <w:p w14:paraId="6F972492">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356FF208">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r w14:paraId="16B4081D">
        <w:tblPrEx>
          <w:tblCellMar>
            <w:top w:w="0" w:type="dxa"/>
            <w:left w:w="108" w:type="dxa"/>
            <w:bottom w:w="0" w:type="dxa"/>
            <w:right w:w="108" w:type="dxa"/>
          </w:tblCellMar>
        </w:tblPrEx>
        <w:trPr>
          <w:trHeight w:val="1165"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698C042C">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15</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0D5F4927">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射击区墙面防护设备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43AE1176">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1、原墙面损坏部分进行填补维修，对打磨区域进行重新喷色；</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2、采用同规格穿孔硅酸钙板进行破面墙面修复；</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3、该项改造面积378m²；</w:t>
            </w:r>
          </w:p>
        </w:tc>
        <w:tc>
          <w:tcPr>
            <w:tcW w:w="559" w:type="dxa"/>
            <w:tcBorders>
              <w:top w:val="single" w:color="000000" w:sz="4" w:space="0"/>
              <w:left w:val="single" w:color="000000" w:sz="4" w:space="0"/>
              <w:bottom w:val="single" w:color="000000" w:sz="4" w:space="0"/>
              <w:right w:val="single" w:color="000000" w:sz="4" w:space="0"/>
            </w:tcBorders>
            <w:noWrap/>
            <w:vAlign w:val="center"/>
          </w:tcPr>
          <w:p w14:paraId="4658BFF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项</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03D99EDB">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r w14:paraId="5E44505F">
        <w:tblPrEx>
          <w:tblCellMar>
            <w:top w:w="0" w:type="dxa"/>
            <w:left w:w="108" w:type="dxa"/>
            <w:bottom w:w="0" w:type="dxa"/>
            <w:right w:w="108" w:type="dxa"/>
          </w:tblCellMar>
        </w:tblPrEx>
        <w:trPr>
          <w:trHeight w:val="1001"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0E23F726">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16</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122F5AB0">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射击区顶面防护设备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65829729">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1、拆除顶面吊轨设备；</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2、更换部分顶部吊筋、龙骨；</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3、除挡弹梁以外的全部顶部铺设玻纤耐潮吸音板；</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4、该项改造面积670m²。</w:t>
            </w:r>
          </w:p>
        </w:tc>
        <w:tc>
          <w:tcPr>
            <w:tcW w:w="559" w:type="dxa"/>
            <w:tcBorders>
              <w:top w:val="single" w:color="000000" w:sz="4" w:space="0"/>
              <w:left w:val="single" w:color="000000" w:sz="4" w:space="0"/>
              <w:bottom w:val="single" w:color="000000" w:sz="4" w:space="0"/>
              <w:right w:val="single" w:color="000000" w:sz="4" w:space="0"/>
            </w:tcBorders>
            <w:noWrap/>
            <w:vAlign w:val="center"/>
          </w:tcPr>
          <w:p w14:paraId="796B07B1">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项</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185DBB07">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r w14:paraId="5953EC3E">
        <w:tblPrEx>
          <w:tblCellMar>
            <w:top w:w="0" w:type="dxa"/>
            <w:left w:w="108" w:type="dxa"/>
            <w:bottom w:w="0" w:type="dxa"/>
            <w:right w:w="108" w:type="dxa"/>
          </w:tblCellMar>
        </w:tblPrEx>
        <w:trPr>
          <w:trHeight w:val="2060"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2E103ECA">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17</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181EABF2">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射击区过滤型场馆空气净化设备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5D5648FE">
            <w:pPr>
              <w:keepNext w:val="0"/>
              <w:keepLines w:val="0"/>
              <w:widowControl/>
              <w:numPr>
                <w:ilvl w:val="0"/>
                <w:numId w:val="0"/>
              </w:numPr>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排烟过滤系统，包括风管、风机、空气净化器、风口、软接头、铝合金进出风口、消音箱、维修清洗口等；</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2、根据需求在顶部相应位置安装4个排风口（两进两出），加大受弹墙位置排风口风机功率，侧墙采用百叶窗过滤出风口；</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3、空气滤清器风机风量</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7000立方米/小时。380V风机功率</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3000W；高效过滤效率：PM2.5的烟尘颗粒一次性过滤</w:t>
            </w:r>
            <w:r>
              <w:rPr>
                <w:rFonts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95%。</w:t>
            </w:r>
          </w:p>
        </w:tc>
        <w:tc>
          <w:tcPr>
            <w:tcW w:w="559" w:type="dxa"/>
            <w:tcBorders>
              <w:top w:val="single" w:color="000000" w:sz="4" w:space="0"/>
              <w:left w:val="single" w:color="000000" w:sz="4" w:space="0"/>
              <w:bottom w:val="single" w:color="000000" w:sz="4" w:space="0"/>
              <w:right w:val="single" w:color="000000" w:sz="4" w:space="0"/>
            </w:tcBorders>
            <w:noWrap/>
            <w:vAlign w:val="center"/>
          </w:tcPr>
          <w:p w14:paraId="6AA66DBD">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套</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64A3F70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2</w:t>
            </w:r>
          </w:p>
        </w:tc>
      </w:tr>
      <w:tr w14:paraId="6ECF42FF">
        <w:tblPrEx>
          <w:tblCellMar>
            <w:top w:w="0" w:type="dxa"/>
            <w:left w:w="108" w:type="dxa"/>
            <w:bottom w:w="0" w:type="dxa"/>
            <w:right w:w="108" w:type="dxa"/>
          </w:tblCellMar>
        </w:tblPrEx>
        <w:trPr>
          <w:trHeight w:val="1033" w:hRule="atLeast"/>
        </w:trPr>
        <w:tc>
          <w:tcPr>
            <w:tcW w:w="692" w:type="dxa"/>
            <w:tcBorders>
              <w:top w:val="single" w:color="000000" w:sz="4" w:space="0"/>
              <w:left w:val="single" w:color="000000" w:sz="4" w:space="0"/>
              <w:bottom w:val="single" w:color="000000" w:sz="4" w:space="0"/>
              <w:right w:val="single" w:color="000000" w:sz="4" w:space="0"/>
            </w:tcBorders>
            <w:noWrap w:val="0"/>
            <w:vAlign w:val="center"/>
          </w:tcPr>
          <w:p w14:paraId="79EA4446">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18</w:t>
            </w:r>
          </w:p>
        </w:tc>
        <w:tc>
          <w:tcPr>
            <w:tcW w:w="946" w:type="dxa"/>
            <w:tcBorders>
              <w:top w:val="single" w:color="000000" w:sz="4" w:space="0"/>
              <w:left w:val="single" w:color="000000" w:sz="4" w:space="0"/>
              <w:bottom w:val="single" w:color="000000" w:sz="4" w:space="0"/>
              <w:right w:val="single" w:color="000000" w:sz="4" w:space="0"/>
            </w:tcBorders>
            <w:noWrap w:val="0"/>
            <w:vAlign w:val="center"/>
          </w:tcPr>
          <w:p w14:paraId="5874667C">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射击区光线照明设备</w:t>
            </w:r>
          </w:p>
        </w:tc>
        <w:tc>
          <w:tcPr>
            <w:tcW w:w="6718" w:type="dxa"/>
            <w:tcBorders>
              <w:top w:val="single" w:color="000000" w:sz="4" w:space="0"/>
              <w:left w:val="single" w:color="000000" w:sz="4" w:space="0"/>
              <w:bottom w:val="single" w:color="000000" w:sz="4" w:space="0"/>
              <w:right w:val="single" w:color="000000" w:sz="4" w:space="0"/>
            </w:tcBorders>
            <w:noWrap w:val="0"/>
            <w:vAlign w:val="center"/>
          </w:tcPr>
          <w:p w14:paraId="453A79AB">
            <w:pPr>
              <w:keepNext w:val="0"/>
              <w:keepLines w:val="0"/>
              <w:widowControl/>
              <w:suppressLineNumbers w:val="0"/>
              <w:jc w:val="left"/>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射击区平均照度≥300Lux、靶面照度≥1000Lux。</w:t>
            </w:r>
          </w:p>
        </w:tc>
        <w:tc>
          <w:tcPr>
            <w:tcW w:w="559" w:type="dxa"/>
            <w:tcBorders>
              <w:top w:val="single" w:color="000000" w:sz="4" w:space="0"/>
              <w:left w:val="single" w:color="000000" w:sz="4" w:space="0"/>
              <w:bottom w:val="single" w:color="000000" w:sz="4" w:space="0"/>
              <w:right w:val="single" w:color="000000" w:sz="4" w:space="0"/>
            </w:tcBorders>
            <w:noWrap/>
            <w:vAlign w:val="center"/>
          </w:tcPr>
          <w:p w14:paraId="54237284">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批</w:t>
            </w:r>
          </w:p>
        </w:tc>
        <w:tc>
          <w:tcPr>
            <w:tcW w:w="723" w:type="dxa"/>
            <w:tcBorders>
              <w:top w:val="single" w:color="000000" w:sz="4" w:space="0"/>
              <w:left w:val="single" w:color="000000" w:sz="4" w:space="0"/>
              <w:bottom w:val="single" w:color="000000" w:sz="4" w:space="0"/>
              <w:right w:val="single" w:color="000000" w:sz="4" w:space="0"/>
            </w:tcBorders>
            <w:noWrap/>
            <w:vAlign w:val="center"/>
          </w:tcPr>
          <w:p w14:paraId="609C1B92">
            <w:pPr>
              <w:keepNext w:val="0"/>
              <w:keepLines w:val="0"/>
              <w:widowControl/>
              <w:suppressLineNumbers w:val="0"/>
              <w:jc w:val="center"/>
              <w:textAlignment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kern w:val="0"/>
                <w:sz w:val="24"/>
                <w:szCs w:val="24"/>
                <w:highlight w:val="none"/>
                <w:u w:val="none"/>
                <w:lang w:val="en-US" w:eastAsia="zh-CN" w:bidi="ar"/>
                <w14:textFill>
                  <w14:solidFill>
                    <w14:schemeClr w14:val="tx1"/>
                  </w14:solidFill>
                </w14:textFill>
              </w:rPr>
              <w:t>1</w:t>
            </w:r>
          </w:p>
        </w:tc>
      </w:tr>
    </w:tbl>
    <w:p w14:paraId="280375BF">
      <w:pPr>
        <w:spacing w:line="360" w:lineRule="auto"/>
        <w:outlineLvl w:val="1"/>
        <w:rPr>
          <w:rFonts w:ascii="宋体" w:hAnsi="宋体" w:eastAsia="宋体" w:cs="宋体"/>
          <w:b/>
          <w:bCs/>
          <w:sz w:val="24"/>
          <w:szCs w:val="18"/>
        </w:rPr>
      </w:pPr>
    </w:p>
    <w:bookmarkEnd w:id="7"/>
    <w:bookmarkEnd w:id="8"/>
    <w:bookmarkEnd w:id="9"/>
    <w:p w14:paraId="7D420978">
      <w:pPr>
        <w:spacing w:line="360" w:lineRule="auto"/>
        <w:ind w:firstLine="437" w:firstLineChars="0"/>
        <w:outlineLvl w:val="1"/>
        <w:rPr>
          <w:rFonts w:hint="eastAsia" w:ascii="宋体" w:hAnsi="宋体" w:eastAsia="宋体" w:cs="宋体"/>
          <w:b/>
          <w:sz w:val="24"/>
          <w:szCs w:val="18"/>
          <w:lang w:val="en-US" w:eastAsia="zh-CN"/>
        </w:rPr>
      </w:pPr>
      <w:r>
        <w:rPr>
          <w:rFonts w:hint="eastAsia" w:ascii="宋体" w:hAnsi="宋体" w:eastAsia="宋体" w:cs="宋体"/>
          <w:b/>
          <w:sz w:val="24"/>
          <w:szCs w:val="18"/>
          <w:lang w:val="en-US" w:eastAsia="zh-CN"/>
        </w:rPr>
        <w:t>四、其他要求</w:t>
      </w:r>
    </w:p>
    <w:p w14:paraId="0C6E6C3C">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因本项目改造内容所产生的全部拆除、搬运及恢复工作（包括但不限于防水卷材破坏后的铲除与恢复等），均属于本项目</w:t>
      </w:r>
      <w:r>
        <w:rPr>
          <w:rFonts w:hint="eastAsia" w:ascii="宋体" w:hAnsi="宋体" w:eastAsia="宋体" w:cs="宋体"/>
          <w:sz w:val="24"/>
          <w:lang w:val="en-US" w:eastAsia="zh-CN"/>
        </w:rPr>
        <w:t>采购</w:t>
      </w:r>
      <w:r>
        <w:rPr>
          <w:rFonts w:hint="eastAsia" w:ascii="宋体" w:hAnsi="宋体" w:eastAsia="宋体" w:cs="宋体"/>
          <w:sz w:val="24"/>
        </w:rPr>
        <w:t>范围。投标人须在投标前自行踏勘现场，充分了解拆除范围、搬运条件、恢复要求及现场施工条件。投标人中标后不得以工作范围不清、现场条件不符、恢复标准不明等任何理由拒绝履行或拖延履行该项工作</w:t>
      </w:r>
      <w:r>
        <w:rPr>
          <w:rFonts w:hint="eastAsia" w:ascii="宋体" w:hAnsi="宋体" w:eastAsia="宋体" w:cs="宋体"/>
          <w:sz w:val="24"/>
          <w:lang w:eastAsia="zh-CN"/>
        </w:rPr>
        <w:t>。</w:t>
      </w:r>
    </w:p>
    <w:p w14:paraId="3D43A26D"/>
    <w:sectPr>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微软雅黑"/>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兰米雅宋">
    <w:altName w:val="宋体"/>
    <w:panose1 w:val="02000503000000000000"/>
    <w:charset w:val="86"/>
    <w:family w:val="auto"/>
    <w:pitch w:val="default"/>
    <w:sig w:usb0="00000000" w:usb1="00000000" w:usb2="00000012" w:usb3="00000000" w:csb0="00040001" w:csb1="00000000"/>
  </w:font>
  <w:font w:name="Noto Sans SC">
    <w:panose1 w:val="020B0200000000000000"/>
    <w:charset w:val="86"/>
    <w:family w:val="auto"/>
    <w:pitch w:val="default"/>
    <w:sig w:usb0="20000083" w:usb1="2ADF3C10" w:usb2="00000016" w:usb3="00000000" w:csb0="600601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E982E9"/>
    <w:multiLevelType w:val="singleLevel"/>
    <w:tmpl w:val="18E982E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2923C2"/>
    <w:rsid w:val="032923C2"/>
    <w:rsid w:val="0F1A5F54"/>
    <w:rsid w:val="0F9F0794"/>
    <w:rsid w:val="13B81E24"/>
    <w:rsid w:val="235558E1"/>
    <w:rsid w:val="2CB02830"/>
    <w:rsid w:val="2E67471B"/>
    <w:rsid w:val="31A60F11"/>
    <w:rsid w:val="325154C6"/>
    <w:rsid w:val="331309CD"/>
    <w:rsid w:val="3C074355"/>
    <w:rsid w:val="3DD75419"/>
    <w:rsid w:val="41910909"/>
    <w:rsid w:val="472C1F8F"/>
    <w:rsid w:val="51F439A1"/>
    <w:rsid w:val="522E0F28"/>
    <w:rsid w:val="531D5224"/>
    <w:rsid w:val="6F9170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rPr>
      <w:rFonts w:ascii="兰米雅宋" w:hAnsi="兰米雅宋" w:eastAsia="兰米雅宋" w:cs="兰米雅宋"/>
      <w:szCs w:val="24"/>
      <w:lang w:val="zh-CN"/>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2"/>
    <w:next w:val="1"/>
    <w:unhideWhenUsed/>
    <w:qFormat/>
    <w:uiPriority w:val="99"/>
    <w:pPr>
      <w:ind w:firstLine="420" w:firstLineChars="100"/>
    </w:pPr>
  </w:style>
  <w:style w:type="paragraph" w:customStyle="1" w:styleId="8">
    <w:name w:val="D&amp;L"/>
    <w:basedOn w:val="3"/>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4c43ac79-c2b2-4e0b-8901-52e88fe0a859</errorID>
      <errorWord>0-70%</errorWord>
      <group>L1_Knowledge</group>
      <groupName>知识性问题</groupName>
      <ability>L2_Knowledge</ability>
      <abilityName>其他知识</abilityName>
      <candidateList>
        <item>0—70%</item>
      </candidateList>
      <explain>1. “0-70%”中的单位“%”仅出现在后一个数字上，容易引起歧义；根据《现代汉语标点符号数字用法规范手册》，数字表示范围两边需要使用统一的格式。2. 根据标点国标 4.13 中的规则，数字、时间或地域连接符应使用（视觉上更长的）“—”或“～”。</explain>
      <paraID>3DAA00ED</paraID>
      <start>56</start>
      <end>61</end>
      <status>unmodified</status>
      <modifiedWord/>
      <trackRevisions>false</trackRevisions>
    </reviewItem>
    <reviewItem>
      <errorID>40d8dd12-16b5-493c-9587-f773c711662f</errorID>
      <errorWord>40%-70%</errorWord>
      <group>L1_Knowledge</group>
      <groupName>知识性问题</groupName>
      <ability>L2_Knowledge</ability>
      <abilityName>其他知识</abilityName>
      <candidateList>
        <item>40%—70%</item>
      </candidateList>
      <explain>1. “40%-70%”中的单位“%”仅出现在后一个数字上，容易引起歧义；根据《现代汉语标点符号数字用法规范手册》，数字表示范围两边需要使用统一的格式。2. 根据标点国标 4.13 中的规则，数字、时间或地域连接符应使用（视觉上更长的）“—”或“～”。</explain>
      <paraID>5E92D09D</paraID>
      <start>26</start>
      <end>33</end>
      <status>unmodified</status>
      <modifiedWord/>
      <trackRevisions>false</trackRevisions>
    </reviewItem>
    <reviewItem>
      <errorID>96a195ca-7006-4f5f-ae77-df05f3a37c43</errorID>
      <errorWord>40%-70%</errorWord>
      <group>L1_Knowledge</group>
      <groupName>知识性问题</groupName>
      <ability>L2_Knowledge</ability>
      <abilityName>其他知识</abilityName>
      <candidateList>
        <item>40%—70%</item>
      </candidateList>
      <explain>1. “40%-70%”中的单位“%”仅出现在后一个数字上，容易引起歧义；根据《现代汉语标点符号数字用法规范手册》，数字表示范围两边需要使用统一的格式。2. 根据标点国标 4.13 中的规则，数字、时间或地域连接符应使用（视觉上更长的）“—”或“～”。</explain>
      <paraID>325BF831</paraID>
      <start>32</start>
      <end>39</end>
      <status>unmodified</status>
      <modifiedWord/>
      <trackRevisions>false</trackRevisions>
    </reviewItem>
    <reviewItem>
      <errorID>6b36643f-552d-4ad6-88b4-df0e10ed80de</errorID>
      <errorWord>容</errorWord>
      <group>L1_Word</group>
      <groupName>字词问题</groupName>
      <ability>L2_Typo</ability>
      <abilityName>字词错误</abilityName>
      <candidateList>
        <item>容为</item>
      </candidateList>
      <explain/>
      <paraID> EB38DC5</paraID>
      <start>34</start>
      <end>35</end>
      <status>unmodified</status>
      <modifiedWord/>
      <trackRevisions>false</trackRevisions>
    </reviewItem>
    <reviewItem>
      <errorID>292262ad-8527-43da-9b0a-16660e97106c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63B0B3D7</paraID>
      <start>0</start>
      <end>2</end>
      <status>unmodified</status>
      <modifiedWord/>
      <trackRevisions>false</trackRevisions>
    </reviewItem>
    <reviewItem>
      <errorID>e788a275-82fb-4dfc-a15d-2819ccf5d342</errorID>
      <errorWord>矫正</errorWord>
      <group>L1_Word</group>
      <groupName>字词问题</groupName>
      <ability>L2_Typo</ability>
      <abilityName>字词错误</abilityName>
      <candidateList>
        <item>校正</item>
      </candidateList>
      <explain/>
      <paraID>63B0B3D7</paraID>
      <start>160</start>
      <end>162</end>
      <status>modified</status>
      <modifiedWord>校正</modifiedWord>
      <trackRevisions>false</trackRevisions>
    </reviewItem>
    <reviewItem>
      <errorID>2fbabb65-a393-4a77-a560-18a28a986b84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4D4153A6</paraID>
      <start>0</start>
      <end>2</end>
      <status>unmodified</status>
      <modifiedWord/>
      <trackRevisions>false</trackRevisions>
    </reviewItem>
    <reviewItem>
      <errorID>7dcf1c65-7974-47e4-aa45-5b25b765bf45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2D8F389C</paraID>
      <start>0</start>
      <end>2</end>
      <status>unmodified</status>
      <modifiedWord/>
      <trackRevisions>false</trackRevisions>
    </reviewItem>
    <reviewItem>
      <errorID>f12bf234-73d3-4755-8885-73d86577259c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29282CC0</paraID>
      <start>0</start>
      <end>2</end>
      <status>unmodified</status>
      <modifiedWord/>
      <trackRevisions>false</trackRevisions>
    </reviewItem>
    <reviewItem>
      <errorID>985f031f-b1e7-47a3-8a24-c421139e05f7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636B1F2F</paraID>
      <start>0</start>
      <end>2</end>
      <status>unmodified</status>
      <modifiedWord/>
      <trackRevisions>false</trackRevisions>
    </reviewItem>
    <reviewItem>
      <errorID>edd25949-067d-431f-a7b2-b297e7950c96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37707478</paraID>
      <start>0</start>
      <end>2</end>
      <status>unmodified</status>
      <modifiedWord/>
      <trackRevisions>false</trackRevisions>
    </reviewItem>
    <reviewItem>
      <errorID>fca8d922-3333-413e-876b-385760765a39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64B34599</paraID>
      <start>0</start>
      <end>2</end>
      <status>unmodified</status>
      <modifiedWord/>
      <trackRevisions>false</trackRevisions>
    </reviewItem>
    <reviewItem>
      <errorID>f79f12ac-5018-4a4e-b33b-5dde9954d84c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15AA7CCA</paraID>
      <start>0</start>
      <end>2</end>
      <status>unmodified</status>
      <modifiedWord/>
      <trackRevisions>false</trackRevisions>
    </reviewItem>
    <reviewItem>
      <errorID>0866cfde-c155-4e7b-95cb-baf67bc815f2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13699266</paraID>
      <start>0</start>
      <end>2</end>
      <status>unmodified</status>
      <modifiedWord/>
      <trackRevisions>false</trackRevisions>
    </reviewItem>
    <reviewItem>
      <errorID>458f7d67-83c5-4e4a-a1d8-0ff7dc9b8c7e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239C6F2D</paraID>
      <start>0</start>
      <end>2</end>
      <status>unmodified</status>
      <modifiedWord/>
      <trackRevisions>false</trackRevisions>
    </reviewItem>
    <reviewItem>
      <errorID>0f3e9de4-8693-472c-bd92-9c093d97082d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3FF3573F</paraID>
      <start>0</start>
      <end>2</end>
      <status>unmodified</status>
      <modifiedWord/>
      <trackRevisions>false</trackRevisions>
    </reviewItem>
    <reviewItem>
      <errorID>501c216a-50fd-4e84-9f92-29a348a6e974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2650E6B1</paraID>
      <start>0</start>
      <end>2</end>
      <status>unmodified</status>
      <modifiedWord/>
      <trackRevisions>false</trackRevisions>
    </reviewItem>
    <reviewItem>
      <errorID>32a4e05d-0c20-4e79-8c2d-b7144ccf07e2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43AE1176</paraID>
      <start>0</start>
      <end>2</end>
      <status>unmodified</status>
      <modifiedWord/>
      <trackRevisions>false</trackRevisions>
    </reviewItem>
    <reviewItem>
      <errorID>61454b98-bf05-4975-9985-c76379f2aedf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65829729</paraID>
      <start>0</start>
      <end>2</end>
      <status>unmodified</status>
      <modifiedWord/>
      <trackRevisions>false</trackRevisions>
    </reviewItem>
    <reviewItem>
      <errorID>9990d5e2-99a1-40ee-a6fe-ace6cbccae7e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5D5648FE</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ae179cb8-8427-4543-af2e-928bea03d2af}">
  <ds:schemaRefs/>
</ds:datastoreItem>
</file>

<file path=docProps/app.xml><?xml version="1.0" encoding="utf-8"?>
<Properties xmlns="http://schemas.openxmlformats.org/officeDocument/2006/extended-properties" xmlns:vt="http://schemas.openxmlformats.org/officeDocument/2006/docPropsVTypes">
  <Template>Normal.dotm</Template>
  <Pages>7</Pages>
  <Words>3806</Words>
  <Characters>4116</Characters>
  <Lines>0</Lines>
  <Paragraphs>0</Paragraphs>
  <TotalTime>10</TotalTime>
  <ScaleCrop>false</ScaleCrop>
  <LinksUpToDate>false</LinksUpToDate>
  <CharactersWithSpaces>4283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2026-09-22T08:30:00Z</dcterms:created>
  <dc:creator>晴空万里</dc:creator>
  <cp:lastModifiedBy>晴空万里</cp:lastModifiedBy>
  <cp:lastPrinted>2026-09-29T01:25:00Z</cp:lastPrinted>
  <dcterms:modified xsi:type="dcterms:W3CDTF">2026-09-29T08:29:39Z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0BB467E6017D42AF85F5FAD02EC83E5D_11</vt:lpwstr>
  </property>
  <property fmtid="{D5CDD505-2E9C-101B-9397-08002B2CF9AE}" pid="4" name="KSOTemplateDocerSaveRecord">
    <vt:lpwstr>eyJoZGlkIjoiNTU0ZDhkY2FmMzRmMTYxMDY4ODA2YTJiODg2MTE5ZjgiLCJ1c2VySWQiOiI0NDA0MjUyMDIifQ==</vt:lpwstr>
  </property>
</Properties>
</file>