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9E54B">
      <w:pPr>
        <w:widowControl w:val="0"/>
        <w:spacing w:line="360" w:lineRule="auto"/>
        <w:ind w:left="0" w:leftChars="0" w:firstLine="0" w:firstLineChars="0"/>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六安市人民医院术中用C型臂招标要求</w:t>
      </w:r>
    </w:p>
    <w:p w14:paraId="4C45DB7D">
      <w:pPr>
        <w:widowControl w:val="0"/>
        <w:spacing w:line="360" w:lineRule="auto"/>
        <w:ind w:left="0" w:leftChars="0" w:firstLine="0" w:firstLineChars="0"/>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数量：1台                             预算：190万</w:t>
      </w:r>
    </w:p>
    <w:tbl>
      <w:tblPr>
        <w:tblStyle w:val="2"/>
        <w:tblW w:w="8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6567"/>
        <w:gridCol w:w="758"/>
      </w:tblGrid>
      <w:tr w14:paraId="7678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67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序号</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C48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采购需求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995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备注</w:t>
            </w:r>
          </w:p>
        </w:tc>
      </w:tr>
      <w:tr w14:paraId="0359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C1E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27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整机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9F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0FB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3DB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★1.1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1B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整机结构为单支撑,兼容偏立柱、双立柱床侧方入床。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01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7479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43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1.2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99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产品使用年限≥8年（附投标产品铭牌证明）</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B0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3D41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4E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CCE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高压发生器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BF8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544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13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84C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功率：≥5KW</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E5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85D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19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13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电压范围：40-120kV</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A7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B03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CA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5B7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电流最大调节范围：≥50mA</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084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FCD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79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92C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透视模式：脉冲/连续</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A82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6B6B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295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DD0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透视选择：自动/手动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D29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FCC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32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2.6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02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手动选择：≥4个体位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C91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FF5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79A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2EC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X射线发生装置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8C4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A6A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FEB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55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球管数量：2只</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967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CF6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C7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6E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阳极类型：旋转阳极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E93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920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2D8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B2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小焦点：≤0.3mm；大焦点：≤0.6mm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1F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01C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74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55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管套热容量：≥1000kJ</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F31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9A8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B7A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78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阳极热容量：≥200kHu</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96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7FC9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A3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7BD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激光定位灯：≥2套</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688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3467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3F2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3.7</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E7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限束器数量：2个</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0C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84C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041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3.8</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95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限束器类型：智能矩形</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67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18C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CF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3.9</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3C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曝光方式：具备无线手柄曝光、三联脚闸曝光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9A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99D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51B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81E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数字影像探测器参数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2C9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A24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C9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4A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平板数量：2只</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C8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399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00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66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平板类型：非晶硅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8AB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C0C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DD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58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平板视野：≥21cmx21cm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7B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B47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D6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21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像素矩阵：≥1024x1024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C0B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91F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F89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A79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空间分辨率：≥2.2LP/mm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4C3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2DF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520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717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灰阶：≥16bit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36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33DC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23F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4.7</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65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滤线栅栅比：10:1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15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641E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CB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★4.8</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85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DQE：≥80%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FF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28A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A6C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44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机架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7C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0C8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2B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F2F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沿轨道运动：≥90°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F22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859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C70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881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轴向运动：≥40°，轴向运动电动控制调节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2B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AA8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E40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D3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垂直升降运动：≥300mm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EDF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2E1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EBC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808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焦屏距：≥1050mm，具备SID调节功能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DC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68C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B66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F2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机架最小高度：≤1850mm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99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18E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661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07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机架抬升至上限后最大高度：≤2200mm</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BE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BE0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B0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5.7</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FC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机架系统所有运动均采用电动控制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94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699F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49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★5.8</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08A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机架运动方式≥4种</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15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7A8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6C4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★5.9</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D65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手柄控制机架运动:包含轴向、弧向、升降、SID调节等运动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49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1A9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AA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DE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图像显示器参数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C18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F98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617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51E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图像显示器：医学专用高清，一台显示屏且正侧位影像能同屏显示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54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76CA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F2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EA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尺寸：≥27寸，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E8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E80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F53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02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分辨率：≥2560×1440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8D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F6B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CE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E4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显示器旋转调整：≥±180°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16E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77A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6D5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41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控制屏：≥10寸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57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688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13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6.6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C6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系统控制：全触摸屏控制，无物理按键操作；无实体鼠标和键盘辅助</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0C0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747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C06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8E6">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数字图像处理软件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4E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F84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D5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7.1</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4C4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具有实时成像功能：正侧位实时成像，且正位或侧位可单独曝光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BD9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791C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78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7.2</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20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图像保存：末帧冻结</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45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2B5F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CE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7.3</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8E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具备图像同侧对比功能且同屏显示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39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6F6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FAB9">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7.4</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368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数字电影：拍摄、回放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E80">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A79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DE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7.5</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3F3C">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后处理：亮度/对比度、降噪、增强、翻转、反转、放大等</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F22E">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04E3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60E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7.6</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EC18">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图像格式：≥3种(JPG、DICOM、AVI)</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BA4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773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B8F">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7.7</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20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病员登记：具有病员登记、保存、调用功能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8B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51C4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76A">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7.8</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CF5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具有剂量统计功能，能出具剂量报告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52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17CD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092">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7.9</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217">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接口≥2种(USB，DICOM)；硬盘：≥1T</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5E6D">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34D2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4E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7.10</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A0B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图像容量：≥10万幅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D8B">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r w14:paraId="41BF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EBE4">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8</w:t>
            </w:r>
          </w:p>
        </w:tc>
        <w:tc>
          <w:tcPr>
            <w:tcW w:w="6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B05">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原厂免费质保不少于3年</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3141">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tc>
      </w:tr>
    </w:tbl>
    <w:p w14:paraId="6F55A063">
      <w:pPr>
        <w:widowControl w:val="0"/>
        <w:spacing w:line="360" w:lineRule="auto"/>
        <w:ind w:left="0" w:leftChars="0" w:firstLine="0" w:firstLineChars="0"/>
        <w:jc w:val="left"/>
        <w:rPr>
          <w:rFonts w:hint="eastAsia" w:ascii="宋体" w:hAnsi="宋体" w:eastAsia="宋体" w:cs="宋体"/>
          <w:b/>
          <w:bCs w:val="0"/>
          <w:color w:val="auto"/>
          <w:kern w:val="2"/>
          <w:sz w:val="24"/>
          <w:szCs w:val="24"/>
          <w:lang w:val="en-US" w:eastAsia="zh-CN" w:bidi="ar-SA"/>
        </w:rPr>
      </w:pPr>
    </w:p>
    <w:p w14:paraId="0F02883C">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本项目采购需求中所有参数必须完全响应。其中：（1）采购需求中标“★”参数供应商须在响应文件中提供产品彩页或功能截图或技术白皮书或检测报告等相关证明材料，以供应商提供的相应证明材料及响应文件中“响应情况表”为评审依据；（2）采购需求中非标“★”参数，以供应商响应文件中“响应情况表”为评审依据。不满足要求的按不实质性响应采购文件处理。</w:t>
      </w:r>
    </w:p>
    <w:p w14:paraId="280D206E">
      <w:pPr>
        <w:spacing w:line="360" w:lineRule="auto"/>
        <w:ind w:firstLine="482" w:firstLineChars="200"/>
        <w:rPr>
          <w:rFonts w:hint="default"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val="0"/>
          <w:i w:val="0"/>
          <w:iCs w:val="0"/>
          <w:color w:val="auto"/>
          <w:kern w:val="0"/>
          <w:sz w:val="24"/>
          <w:szCs w:val="24"/>
          <w:highlight w:val="none"/>
          <w:vertAlign w:val="baseline"/>
          <w:lang w:val="en-US" w:eastAsia="zh-CN" w:bidi="ar-SA"/>
        </w:rPr>
        <w:t>供应商须在响应文件中提供所投产品对应且有效的医疗器械注册证或备案凭证</w:t>
      </w:r>
      <w:r>
        <w:rPr>
          <w:rFonts w:hint="eastAsia" w:ascii="宋体" w:hAnsi="宋体" w:eastAsia="宋体" w:cs="宋体"/>
          <w:b/>
          <w:bCs/>
          <w:color w:val="auto"/>
          <w:sz w:val="24"/>
          <w:szCs w:val="24"/>
          <w:highlight w:val="none"/>
          <w:lang w:val="en-US" w:eastAsia="zh-CN"/>
        </w:rPr>
        <w:t>。</w:t>
      </w:r>
    </w:p>
    <w:p w14:paraId="5997450F">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ABF8">
    <w:pPr>
      <w:spacing w:line="176" w:lineRule="auto"/>
      <w:ind w:left="4438"/>
      <w:rPr>
        <w:rFonts w:ascii="Times New Roman" w:hAnsi="Times New Roman" w:eastAsia="Times New Roman" w:cs="Times New Roman"/>
        <w:sz w:val="18"/>
        <w:szCs w:val="18"/>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3C4F8">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44</w:t>
                          </w:r>
                          <w:r>
                            <w:rPr>
                              <w:rFonts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63C4F8">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44</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4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2026-05-07T02:01:19Z</dcterms:created>
  <dc:creator>Administrator</dc:creator>
  <cp:lastModifiedBy>李健</cp:lastModifiedBy>
  <dcterms:modified xsi:type="dcterms:W3CDTF">2026-05-07T02:01:26Z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eyJoZGlkIjoiNjQwYjc0M2ZiNWQ2ZmZiYzNiMzMxZGZkOWE3Mjg4YzciLCJ1c2VySWQiOiIyNTg1ODEyNyJ9</vt:lpwstr>
  </property>
  <property fmtid="{D5CDD505-2E9C-101B-9397-08002B2CF9AE}" pid="4" name="ICV">
    <vt:lpwstr>353322425C23444AB276F81BE8CB4EB2_12</vt:lpwstr>
  </property>
</Properties>
</file>