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4B304">
      <w:pPr>
        <w:pStyle w:val="13"/>
        <w:spacing w:line="520" w:lineRule="exact"/>
        <w:ind w:right="-21" w:firstLine="0" w:firstLineChars="0"/>
        <w:jc w:val="center"/>
        <w:rPr>
          <w:rFonts w:hint="eastAsia" w:ascii="宋体" w:hAnsi="宋体" w:eastAsia="宋体" w:cs="华文中宋"/>
          <w:bCs/>
          <w:sz w:val="44"/>
        </w:rPr>
      </w:pPr>
      <w:r>
        <w:rPr>
          <w:rFonts w:hint="eastAsia" w:ascii="宋体" w:hAnsi="宋体" w:eastAsia="宋体" w:cs="宋体"/>
          <w:color w:val="auto"/>
          <w:sz w:val="44"/>
          <w:szCs w:val="44"/>
        </w:rPr>
        <w:t>中小学校（含幼儿园）</w:t>
      </w:r>
      <w:r>
        <w:rPr>
          <w:rFonts w:hint="eastAsia" w:ascii="宋体" w:hAnsi="宋体" w:eastAsia="宋体" w:cs="宋体"/>
          <w:sz w:val="44"/>
          <w:szCs w:val="44"/>
        </w:rPr>
        <w:t>食堂经营承包项目</w:t>
      </w:r>
      <w:bookmarkStart w:id="0" w:name="_Toc135385799"/>
      <w:r>
        <w:rPr>
          <w:rFonts w:hint="eastAsia" w:ascii="宋体" w:hAnsi="宋体" w:eastAsia="宋体" w:cs="华文中宋"/>
          <w:bCs/>
          <w:sz w:val="44"/>
        </w:rPr>
        <w:t>招标公告</w:t>
      </w:r>
      <w:bookmarkEnd w:id="0"/>
    </w:p>
    <w:p w14:paraId="72CBB50D">
      <w:pPr>
        <w:pStyle w:val="13"/>
        <w:spacing w:line="520" w:lineRule="exact"/>
        <w:ind w:right="-21" w:firstLine="0" w:firstLineChars="0"/>
        <w:jc w:val="center"/>
        <w:rPr>
          <w:rFonts w:hint="eastAsia" w:ascii="宋体" w:hAnsi="宋体" w:eastAsia="宋体"/>
        </w:rPr>
      </w:pPr>
      <w:r>
        <w:rPr>
          <w:rFonts w:hint="eastAsia" w:ascii="宋体" w:hAnsi="宋体" w:eastAsia="宋体" w:cs="华文中宋"/>
          <w:bCs/>
          <w:sz w:val="44"/>
        </w:rPr>
        <w:t>（公示部分）</w:t>
      </w:r>
    </w:p>
    <w:p w14:paraId="3362D09A">
      <w:pPr>
        <w:jc w:val="center"/>
        <w:rPr>
          <w:rFonts w:hint="eastAsia" w:ascii="宋体" w:hAnsi="宋体" w:cs="华文中宋"/>
          <w:b/>
          <w:bCs/>
          <w:sz w:val="32"/>
          <w:szCs w:val="32"/>
        </w:rPr>
      </w:pPr>
    </w:p>
    <w:p w14:paraId="7E78052C">
      <w:pPr>
        <w:jc w:val="center"/>
        <w:rPr>
          <w:rFonts w:hint="eastAsia" w:ascii="宋体" w:hAnsi="宋体" w:cs="黑体"/>
          <w:bCs/>
          <w:kern w:val="0"/>
          <w:sz w:val="28"/>
          <w:szCs w:val="28"/>
        </w:rPr>
      </w:pPr>
      <w:r>
        <w:rPr>
          <w:rFonts w:hint="eastAsia" w:ascii="宋体" w:hAnsi="宋体" w:cs="华文中宋"/>
          <w:b/>
          <w:bCs/>
          <w:sz w:val="32"/>
          <w:szCs w:val="32"/>
        </w:rPr>
        <w:t>第一</w:t>
      </w:r>
      <w:r>
        <w:rPr>
          <w:rFonts w:ascii="宋体" w:hAnsi="宋体" w:cs="华文中宋"/>
          <w:b/>
          <w:bCs/>
          <w:sz w:val="32"/>
          <w:szCs w:val="32"/>
        </w:rPr>
        <w:t>部分：</w:t>
      </w:r>
      <w:r>
        <w:rPr>
          <w:rFonts w:hint="eastAsia" w:ascii="宋体" w:hAnsi="宋体" w:cs="华文中宋"/>
          <w:b/>
          <w:bCs/>
          <w:sz w:val="32"/>
          <w:szCs w:val="32"/>
        </w:rPr>
        <w:t>基本</w:t>
      </w:r>
      <w:r>
        <w:rPr>
          <w:rFonts w:ascii="宋体" w:hAnsi="宋体" w:cs="华文中宋"/>
          <w:b/>
          <w:bCs/>
          <w:sz w:val="32"/>
          <w:szCs w:val="32"/>
        </w:rPr>
        <w:t>情况</w:t>
      </w:r>
    </w:p>
    <w:p w14:paraId="16209078">
      <w:pPr>
        <w:keepNext/>
        <w:keepLines/>
        <w:spacing w:line="540" w:lineRule="exact"/>
        <w:outlineLvl w:val="1"/>
        <w:rPr>
          <w:rFonts w:hint="eastAsia" w:ascii="宋体" w:hAnsi="宋体" w:cs="宋体"/>
          <w:sz w:val="24"/>
          <w:szCs w:val="24"/>
        </w:rPr>
      </w:pPr>
      <w:bookmarkStart w:id="1" w:name="_Toc28359002"/>
      <w:bookmarkStart w:id="2" w:name="_Toc35393790"/>
      <w:bookmarkStart w:id="3" w:name="_Toc28359079"/>
      <w:bookmarkStart w:id="4" w:name="_Toc35393621"/>
      <w:r>
        <w:rPr>
          <w:rFonts w:hint="eastAsia" w:ascii="黑体" w:hAnsi="黑体" w:eastAsia="黑体" w:cs="黑体"/>
          <w:bCs/>
          <w:kern w:val="0"/>
          <w:sz w:val="24"/>
          <w:szCs w:val="24"/>
        </w:rPr>
        <w:t>一、项目基本情况</w:t>
      </w:r>
      <w:bookmarkEnd w:id="1"/>
      <w:bookmarkEnd w:id="2"/>
      <w:bookmarkEnd w:id="3"/>
      <w:bookmarkEnd w:id="4"/>
    </w:p>
    <w:p w14:paraId="73B13576">
      <w:pPr>
        <w:spacing w:line="540" w:lineRule="exact"/>
        <w:ind w:firstLine="480" w:firstLineChars="200"/>
        <w:rPr>
          <w:rFonts w:hint="eastAsia" w:ascii="宋体" w:hAnsi="宋体" w:cs="宋体"/>
          <w:sz w:val="24"/>
          <w:szCs w:val="24"/>
        </w:rPr>
      </w:pPr>
      <w:r>
        <w:rPr>
          <w:rFonts w:hint="eastAsia" w:ascii="宋体" w:hAnsi="宋体" w:cs="宋体"/>
          <w:sz w:val="24"/>
          <w:szCs w:val="24"/>
        </w:rPr>
        <w:t>1、项目编号：</w:t>
      </w:r>
    </w:p>
    <w:p w14:paraId="51220542">
      <w:pPr>
        <w:spacing w:line="540" w:lineRule="exact"/>
        <w:ind w:firstLine="480" w:firstLineChars="200"/>
        <w:rPr>
          <w:rFonts w:hint="eastAsia" w:ascii="宋体" w:hAnsi="宋体" w:cs="宋体"/>
          <w:sz w:val="24"/>
          <w:szCs w:val="24"/>
        </w:rPr>
      </w:pPr>
      <w:r>
        <w:rPr>
          <w:rFonts w:hint="eastAsia" w:ascii="宋体" w:hAnsi="宋体" w:cs="宋体"/>
          <w:sz w:val="24"/>
          <w:szCs w:val="24"/>
        </w:rPr>
        <w:t>2、项目名称：XXX学校食堂经营承包项目</w:t>
      </w:r>
    </w:p>
    <w:p w14:paraId="50BE5C5F">
      <w:pPr>
        <w:spacing w:line="540" w:lineRule="exact"/>
        <w:ind w:firstLine="480" w:firstLineChars="200"/>
        <w:rPr>
          <w:rFonts w:hint="eastAsia" w:ascii="宋体" w:hAnsi="宋体" w:cs="宋体"/>
          <w:sz w:val="24"/>
          <w:szCs w:val="24"/>
        </w:rPr>
      </w:pPr>
      <w:r>
        <w:rPr>
          <w:rFonts w:hint="eastAsia" w:ascii="宋体" w:hAnsi="宋体" w:cs="宋体"/>
          <w:sz w:val="24"/>
          <w:szCs w:val="24"/>
        </w:rPr>
        <w:t>3、项目类型：服务类</w:t>
      </w:r>
    </w:p>
    <w:p w14:paraId="02E0FF54">
      <w:pPr>
        <w:spacing w:line="540" w:lineRule="exact"/>
        <w:ind w:firstLine="480" w:firstLineChars="200"/>
        <w:rPr>
          <w:rFonts w:hint="eastAsia" w:ascii="宋体" w:hAnsi="宋体" w:cs="宋体"/>
          <w:sz w:val="24"/>
          <w:szCs w:val="24"/>
        </w:rPr>
      </w:pPr>
      <w:r>
        <w:rPr>
          <w:rFonts w:hint="eastAsia" w:ascii="宋体" w:hAnsi="宋体" w:cs="宋体"/>
          <w:sz w:val="24"/>
          <w:szCs w:val="24"/>
        </w:rPr>
        <w:t>4、预算金额：</w:t>
      </w:r>
      <w:r>
        <w:rPr>
          <w:rFonts w:hint="eastAsia" w:ascii="宋体" w:hAnsi="宋体" w:cs="宋体"/>
          <w:sz w:val="24"/>
          <w:szCs w:val="24"/>
          <w:u w:val="single"/>
        </w:rPr>
        <w:t xml:space="preserve"> / </w:t>
      </w:r>
      <w:r>
        <w:rPr>
          <w:rFonts w:hint="eastAsia" w:ascii="宋体" w:hAnsi="宋体" w:cs="宋体"/>
          <w:sz w:val="24"/>
          <w:szCs w:val="24"/>
        </w:rPr>
        <w:t>万元</w:t>
      </w:r>
    </w:p>
    <w:p w14:paraId="76D0D8FA">
      <w:pPr>
        <w:spacing w:line="540" w:lineRule="exact"/>
        <w:ind w:firstLine="480" w:firstLineChars="200"/>
        <w:rPr>
          <w:rFonts w:hint="eastAsia" w:ascii="宋体" w:hAnsi="宋体" w:cs="宋体"/>
          <w:sz w:val="24"/>
          <w:szCs w:val="24"/>
        </w:rPr>
      </w:pPr>
      <w:r>
        <w:rPr>
          <w:rFonts w:hint="eastAsia" w:ascii="宋体" w:hAnsi="宋体" w:cs="宋体"/>
          <w:sz w:val="24"/>
          <w:szCs w:val="24"/>
        </w:rPr>
        <w:t>5、最高限价：</w:t>
      </w:r>
      <w:r>
        <w:rPr>
          <w:rFonts w:hint="eastAsia" w:ascii="宋体" w:hAnsi="宋体" w:cs="宋体"/>
          <w:sz w:val="24"/>
          <w:szCs w:val="24"/>
          <w:u w:val="single"/>
        </w:rPr>
        <w:t xml:space="preserve"> / </w:t>
      </w:r>
      <w:r>
        <w:rPr>
          <w:rFonts w:hint="eastAsia" w:ascii="宋体" w:hAnsi="宋体" w:cs="宋体"/>
          <w:sz w:val="24"/>
          <w:szCs w:val="24"/>
        </w:rPr>
        <w:t>万元</w:t>
      </w:r>
    </w:p>
    <w:p w14:paraId="7E8E248F">
      <w:pPr>
        <w:widowControl/>
        <w:spacing w:line="520" w:lineRule="exact"/>
        <w:ind w:firstLine="480" w:firstLineChars="200"/>
        <w:rPr>
          <w:rFonts w:hint="eastAsia" w:ascii="宋体" w:hAnsi="宋体" w:cs="宋体"/>
          <w:b/>
          <w:bCs/>
          <w:sz w:val="24"/>
          <w:szCs w:val="24"/>
        </w:rPr>
      </w:pPr>
      <w:r>
        <w:rPr>
          <w:rFonts w:hint="eastAsia" w:ascii="宋体" w:hAnsi="宋体" w:cs="宋体"/>
          <w:sz w:val="24"/>
          <w:szCs w:val="24"/>
        </w:rPr>
        <w:t>6、发包需求：为了强化学校后勤管理，提高膳食质量和服务水平，将本学校食堂经营权实行对外采购承包经营，XXX学校食堂在校就餐总人数约XXX人，</w:t>
      </w:r>
      <w:r>
        <w:rPr>
          <w:rFonts w:hint="eastAsia" w:ascii="宋体" w:hAnsi="宋体" w:cs="宋体"/>
          <w:color w:val="auto"/>
          <w:sz w:val="24"/>
          <w:szCs w:val="24"/>
        </w:rPr>
        <w:t>提供早、中、晚餐（幼儿园一般按两餐两点供餐，具体供餐方式以学校需求为准），</w:t>
      </w:r>
      <w:r>
        <w:rPr>
          <w:rFonts w:hint="eastAsia" w:ascii="宋体" w:hAnsi="宋体" w:cs="宋体"/>
          <w:sz w:val="24"/>
          <w:szCs w:val="24"/>
        </w:rPr>
        <w:t>自愿就餐，具体详见发包需求。</w:t>
      </w:r>
    </w:p>
    <w:p w14:paraId="698BA268">
      <w:pPr>
        <w:spacing w:line="54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rPr>
        <w:t>7、服务期限：服务期3年，采取1+1+1模式，合同1年1签，经学校考核合格报区教育局同意方可续签。</w:t>
      </w:r>
    </w:p>
    <w:p w14:paraId="1E97A1E0">
      <w:pPr>
        <w:spacing w:line="540" w:lineRule="exact"/>
        <w:ind w:firstLine="480" w:firstLineChars="200"/>
        <w:rPr>
          <w:rFonts w:hint="eastAsia" w:ascii="宋体" w:hAnsi="宋体" w:cs="宋体"/>
          <w:sz w:val="24"/>
          <w:szCs w:val="24"/>
        </w:rPr>
      </w:pPr>
      <w:r>
        <w:rPr>
          <w:rFonts w:hint="eastAsia" w:ascii="宋体" w:hAnsi="宋体" w:cs="宋体"/>
          <w:sz w:val="24"/>
          <w:szCs w:val="24"/>
        </w:rPr>
        <w:t>8、是否接受联合体：本项目不接受联合体投标。</w:t>
      </w:r>
    </w:p>
    <w:p w14:paraId="42C26F09">
      <w:pPr>
        <w:keepNext/>
        <w:keepLines/>
        <w:spacing w:line="520" w:lineRule="exact"/>
        <w:outlineLvl w:val="1"/>
        <w:rPr>
          <w:rFonts w:hint="eastAsia" w:ascii="宋体" w:hAnsi="宋体" w:cs="宋体"/>
          <w:b/>
          <w:kern w:val="0"/>
          <w:sz w:val="24"/>
          <w:szCs w:val="24"/>
        </w:rPr>
      </w:pPr>
      <w:r>
        <w:rPr>
          <w:rFonts w:hint="eastAsia" w:ascii="宋体" w:hAnsi="宋体" w:cs="宋体"/>
          <w:b/>
          <w:kern w:val="0"/>
          <w:sz w:val="24"/>
          <w:szCs w:val="24"/>
        </w:rPr>
        <w:t>二、申请人的资格要求</w:t>
      </w:r>
    </w:p>
    <w:p w14:paraId="2AECBD61">
      <w:pPr>
        <w:spacing w:line="520" w:lineRule="exact"/>
        <w:ind w:firstLine="480" w:firstLineChars="200"/>
        <w:rPr>
          <w:rFonts w:hint="eastAsia" w:ascii="宋体" w:hAnsi="宋体" w:cs="宋体"/>
          <w:sz w:val="24"/>
          <w:szCs w:val="24"/>
        </w:rPr>
      </w:pPr>
      <w:r>
        <w:rPr>
          <w:rFonts w:hint="eastAsia" w:ascii="宋体" w:hAnsi="宋体" w:cs="宋体"/>
          <w:sz w:val="24"/>
          <w:szCs w:val="24"/>
        </w:rPr>
        <w:t>1、供应商参加发包活动应当具备下列条件：</w:t>
      </w:r>
    </w:p>
    <w:p w14:paraId="4CE215A6">
      <w:pPr>
        <w:pStyle w:val="13"/>
        <w:spacing w:line="520" w:lineRule="exact"/>
        <w:ind w:right="-21" w:firstLine="630"/>
        <w:rPr>
          <w:rFonts w:hint="eastAsia" w:ascii="宋体" w:hAnsi="宋体" w:eastAsia="宋体" w:cs="宋体"/>
          <w:kern w:val="2"/>
          <w:sz w:val="24"/>
          <w:szCs w:val="24"/>
        </w:rPr>
      </w:pPr>
      <w:r>
        <w:rPr>
          <w:rFonts w:hint="eastAsia" w:ascii="宋体" w:hAnsi="宋体" w:eastAsia="宋体" w:cs="宋体"/>
          <w:kern w:val="2"/>
          <w:sz w:val="24"/>
          <w:szCs w:val="24"/>
        </w:rPr>
        <w:t>（1）具有独立承担民事责任的能力；</w:t>
      </w:r>
    </w:p>
    <w:p w14:paraId="568A2A0C">
      <w:pPr>
        <w:pStyle w:val="13"/>
        <w:spacing w:line="520" w:lineRule="exact"/>
        <w:ind w:right="-21" w:firstLine="630"/>
        <w:rPr>
          <w:rFonts w:hint="eastAsia" w:ascii="宋体" w:hAnsi="宋体" w:eastAsia="宋体" w:cs="宋体"/>
          <w:kern w:val="2"/>
          <w:sz w:val="24"/>
          <w:szCs w:val="24"/>
        </w:rPr>
      </w:pPr>
      <w:r>
        <w:rPr>
          <w:rFonts w:hint="eastAsia" w:ascii="宋体" w:hAnsi="宋体" w:eastAsia="宋体" w:cs="宋体"/>
          <w:kern w:val="2"/>
          <w:sz w:val="24"/>
          <w:szCs w:val="24"/>
        </w:rPr>
        <w:t>（2）具有良好的商业信誉和健全的财务会计制度；</w:t>
      </w:r>
    </w:p>
    <w:p w14:paraId="4AD7848B">
      <w:pPr>
        <w:pStyle w:val="13"/>
        <w:spacing w:line="520" w:lineRule="exact"/>
        <w:ind w:right="-21" w:firstLine="630"/>
        <w:rPr>
          <w:rFonts w:hint="eastAsia" w:ascii="宋体" w:hAnsi="宋体" w:eastAsia="宋体" w:cs="宋体"/>
          <w:kern w:val="2"/>
          <w:sz w:val="24"/>
          <w:szCs w:val="24"/>
        </w:rPr>
      </w:pPr>
      <w:r>
        <w:rPr>
          <w:rFonts w:hint="eastAsia" w:ascii="宋体" w:hAnsi="宋体" w:eastAsia="宋体" w:cs="宋体"/>
          <w:kern w:val="2"/>
          <w:sz w:val="24"/>
          <w:szCs w:val="24"/>
        </w:rPr>
        <w:t xml:space="preserve">（3）具有履行合同所必需的设备和专业技术能力；  </w:t>
      </w:r>
    </w:p>
    <w:p w14:paraId="3A3686BF">
      <w:pPr>
        <w:pStyle w:val="13"/>
        <w:spacing w:line="520" w:lineRule="exact"/>
        <w:ind w:right="-21" w:firstLine="630"/>
        <w:rPr>
          <w:rFonts w:hint="eastAsia" w:ascii="宋体" w:hAnsi="宋体" w:eastAsia="宋体" w:cs="宋体"/>
          <w:kern w:val="2"/>
          <w:sz w:val="24"/>
          <w:szCs w:val="24"/>
        </w:rPr>
      </w:pPr>
      <w:r>
        <w:rPr>
          <w:rFonts w:hint="eastAsia" w:ascii="宋体" w:hAnsi="宋体" w:eastAsia="宋体" w:cs="宋体"/>
          <w:kern w:val="2"/>
          <w:sz w:val="24"/>
          <w:szCs w:val="24"/>
        </w:rPr>
        <w:t xml:space="preserve">（4）有依法缴纳税收和社会保障资金的良好记录；   </w:t>
      </w:r>
    </w:p>
    <w:p w14:paraId="0ECD1EF5">
      <w:pPr>
        <w:pStyle w:val="13"/>
        <w:spacing w:line="520" w:lineRule="exact"/>
        <w:ind w:right="-21" w:firstLine="630"/>
        <w:rPr>
          <w:rFonts w:hint="eastAsia" w:ascii="宋体" w:hAnsi="宋体" w:eastAsia="宋体" w:cs="宋体"/>
          <w:kern w:val="2"/>
          <w:sz w:val="24"/>
          <w:szCs w:val="24"/>
        </w:rPr>
      </w:pPr>
      <w:r>
        <w:rPr>
          <w:rFonts w:hint="eastAsia" w:ascii="宋体" w:hAnsi="宋体" w:eastAsia="宋体" w:cs="宋体"/>
          <w:kern w:val="2"/>
          <w:sz w:val="24"/>
          <w:szCs w:val="24"/>
        </w:rPr>
        <w:t>（5）参加发包活动前三年内，在经营活动中没有重大违法记录。</w:t>
      </w:r>
    </w:p>
    <w:p w14:paraId="799017FE">
      <w:pPr>
        <w:numPr>
          <w:ilvl w:val="0"/>
          <w:numId w:val="1"/>
        </w:numPr>
        <w:spacing w:line="540" w:lineRule="exact"/>
        <w:ind w:firstLine="480" w:firstLineChars="200"/>
        <w:rPr>
          <w:rFonts w:hint="eastAsia" w:ascii="宋体" w:hAnsi="宋体" w:cs="宋体"/>
          <w:sz w:val="24"/>
          <w:szCs w:val="24"/>
        </w:rPr>
      </w:pPr>
      <w:r>
        <w:rPr>
          <w:rFonts w:hint="eastAsia" w:ascii="宋体" w:hAnsi="宋体" w:cs="宋体"/>
          <w:sz w:val="24"/>
          <w:szCs w:val="24"/>
        </w:rPr>
        <w:t>本项目的特定资格要求：持有餐饮行业经营活动的餐饮服务许可证或食品经营许可证，且在有效期内。</w:t>
      </w:r>
    </w:p>
    <w:p w14:paraId="67CC87DC">
      <w:pPr>
        <w:pStyle w:val="13"/>
        <w:spacing w:line="520" w:lineRule="exact"/>
        <w:ind w:right="-21" w:firstLine="630"/>
        <w:rPr>
          <w:color w:val="auto"/>
          <w:sz w:val="24"/>
          <w:szCs w:val="24"/>
        </w:rPr>
      </w:pPr>
      <w:r>
        <w:rPr>
          <w:rFonts w:hint="eastAsia" w:ascii="宋体" w:hAnsi="宋体" w:eastAsia="宋体" w:cs="宋体"/>
          <w:color w:val="auto"/>
          <w:kern w:val="2"/>
          <w:sz w:val="24"/>
          <w:szCs w:val="24"/>
        </w:rPr>
        <w:t>（1）学校食堂承包（委托）经营企业应依法取得食品经营许可、能承担食品安全责任、社会信誉好，有完善的管理体系和专业管理队伍的餐饮服务单位或符合条件的餐饮管理单位。</w:t>
      </w:r>
    </w:p>
    <w:p w14:paraId="4195190A">
      <w:pPr>
        <w:spacing w:line="540" w:lineRule="exact"/>
        <w:ind w:firstLine="480" w:firstLineChars="200"/>
        <w:rPr>
          <w:rFonts w:hint="eastAsia" w:ascii="宋体" w:hAnsi="宋体" w:cs="宋体"/>
          <w:sz w:val="24"/>
          <w:szCs w:val="24"/>
        </w:rPr>
      </w:pPr>
      <w:r>
        <w:rPr>
          <w:rFonts w:hint="eastAsia" w:ascii="宋体" w:hAnsi="宋体" w:cs="宋体"/>
          <w:color w:val="auto"/>
          <w:sz w:val="24"/>
          <w:szCs w:val="24"/>
        </w:rPr>
        <w:t>（2）且未被列入经营异常名录、严重违法市场主体名单，未发生过食品安全事故。 3年内未因食品安全问题受到行政处罚。</w:t>
      </w:r>
    </w:p>
    <w:p w14:paraId="43EC8FF9">
      <w:pPr>
        <w:pStyle w:val="13"/>
        <w:ind w:right="-21" w:firstLine="723"/>
        <w:rPr>
          <w:rFonts w:hint="eastAsia" w:ascii="宋体" w:hAnsi="宋体" w:eastAsia="宋体" w:cs="华文中宋"/>
          <w:b/>
          <w:bCs/>
          <w:sz w:val="24"/>
          <w:szCs w:val="24"/>
        </w:rPr>
      </w:pPr>
    </w:p>
    <w:p w14:paraId="6A822299">
      <w:pPr>
        <w:pStyle w:val="13"/>
        <w:ind w:right="-21" w:firstLine="0" w:firstLineChars="0"/>
        <w:jc w:val="center"/>
        <w:rPr>
          <w:rFonts w:hint="eastAsia" w:ascii="宋体" w:hAnsi="宋体" w:eastAsia="宋体"/>
        </w:rPr>
      </w:pPr>
      <w:r>
        <w:rPr>
          <w:rFonts w:hint="eastAsia" w:ascii="宋体" w:hAnsi="宋体" w:eastAsia="宋体" w:cs="华文中宋"/>
          <w:b/>
          <w:bCs/>
          <w:sz w:val="32"/>
        </w:rPr>
        <w:t>第二</w:t>
      </w:r>
      <w:r>
        <w:rPr>
          <w:rFonts w:ascii="宋体" w:hAnsi="宋体" w:eastAsia="宋体" w:cs="华文中宋"/>
          <w:b/>
          <w:bCs/>
          <w:sz w:val="32"/>
        </w:rPr>
        <w:t>部分：</w:t>
      </w:r>
      <w:r>
        <w:rPr>
          <w:rFonts w:hint="eastAsia" w:ascii="宋体" w:hAnsi="宋体" w:eastAsia="宋体" w:cs="华文中宋"/>
          <w:b/>
          <w:bCs/>
          <w:sz w:val="32"/>
        </w:rPr>
        <w:t>评分</w:t>
      </w:r>
      <w:r>
        <w:rPr>
          <w:rFonts w:ascii="宋体" w:hAnsi="宋体" w:eastAsia="宋体" w:cs="华文中宋"/>
          <w:b/>
          <w:bCs/>
          <w:sz w:val="32"/>
        </w:rPr>
        <w:t>细则</w:t>
      </w:r>
    </w:p>
    <w:p w14:paraId="384D05A0">
      <w:pPr>
        <w:spacing w:line="480" w:lineRule="exact"/>
        <w:ind w:firstLine="480" w:firstLineChars="200"/>
        <w:jc w:val="left"/>
        <w:rPr>
          <w:rFonts w:hint="eastAsia" w:ascii="宋体" w:hAnsi="宋体"/>
          <w:sz w:val="24"/>
          <w:szCs w:val="24"/>
        </w:rPr>
      </w:pPr>
      <w:r>
        <w:rPr>
          <w:rFonts w:hint="eastAsia" w:ascii="宋体" w:hAnsi="宋体"/>
          <w:sz w:val="24"/>
          <w:szCs w:val="24"/>
        </w:rPr>
        <w:t>本项目技术分值占总分值的权重为</w:t>
      </w:r>
      <w:r>
        <w:rPr>
          <w:rFonts w:hint="eastAsia" w:ascii="宋体" w:hAnsi="宋体"/>
          <w:sz w:val="24"/>
          <w:szCs w:val="24"/>
          <w:u w:val="single"/>
        </w:rPr>
        <w:t xml:space="preserve"> 80 </w:t>
      </w:r>
      <w:r>
        <w:rPr>
          <w:rFonts w:hint="eastAsia" w:ascii="宋体" w:hAnsi="宋体"/>
          <w:sz w:val="24"/>
          <w:szCs w:val="24"/>
        </w:rPr>
        <w:t>%，价格分值占总分值的权重为</w:t>
      </w:r>
      <w:r>
        <w:rPr>
          <w:rFonts w:hint="eastAsia" w:ascii="宋体" w:hAnsi="宋体"/>
          <w:sz w:val="24"/>
          <w:szCs w:val="24"/>
          <w:u w:val="single"/>
        </w:rPr>
        <w:t xml:space="preserve"> 20 </w:t>
      </w:r>
      <w:r>
        <w:rPr>
          <w:rFonts w:hint="eastAsia" w:ascii="宋体" w:hAnsi="宋体"/>
          <w:sz w:val="24"/>
          <w:szCs w:val="24"/>
        </w:rPr>
        <w:t>%</w:t>
      </w:r>
      <w:r>
        <w:rPr>
          <w:rFonts w:hint="eastAsia" w:ascii="宋体" w:hAnsi="宋体" w:cs="宋体"/>
          <w:sz w:val="24"/>
          <w:szCs w:val="24"/>
        </w:rPr>
        <w:t>。</w:t>
      </w:r>
      <w:r>
        <w:rPr>
          <w:rFonts w:hint="eastAsia" w:ascii="宋体" w:hAnsi="宋体"/>
          <w:sz w:val="24"/>
          <w:szCs w:val="24"/>
        </w:rPr>
        <w:t>具体评分细则如下：</w:t>
      </w:r>
    </w:p>
    <w:tbl>
      <w:tblPr>
        <w:tblStyle w:val="1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041"/>
        <w:gridCol w:w="1041"/>
        <w:gridCol w:w="6778"/>
        <w:gridCol w:w="653"/>
        <w:gridCol w:w="10"/>
      </w:tblGrid>
      <w:tr w14:paraId="4C85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789"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14:paraId="6FC60F30">
            <w:pPr>
              <w:spacing w:line="400" w:lineRule="exact"/>
              <w:jc w:val="center"/>
              <w:rPr>
                <w:rFonts w:hint="eastAsia" w:ascii="宋体" w:hAnsi="宋体" w:cs="宋体"/>
                <w:b/>
                <w:bCs/>
                <w:sz w:val="24"/>
                <w:szCs w:val="24"/>
              </w:rPr>
            </w:pPr>
            <w:r>
              <w:rPr>
                <w:rFonts w:hint="eastAsia" w:ascii="宋体" w:hAnsi="宋体" w:cs="宋体"/>
                <w:b/>
                <w:bCs/>
                <w:sz w:val="24"/>
                <w:szCs w:val="24"/>
              </w:rPr>
              <w:t>类别</w:t>
            </w:r>
          </w:p>
        </w:tc>
        <w:tc>
          <w:tcPr>
            <w:tcW w:w="1041" w:type="dxa"/>
            <w:tcBorders>
              <w:top w:val="single" w:color="auto" w:sz="4" w:space="0"/>
              <w:left w:val="single" w:color="auto" w:sz="4" w:space="0"/>
              <w:bottom w:val="single" w:color="auto" w:sz="4" w:space="0"/>
              <w:right w:val="single" w:color="auto" w:sz="4" w:space="0"/>
            </w:tcBorders>
            <w:vAlign w:val="center"/>
          </w:tcPr>
          <w:p w14:paraId="1091E3E3">
            <w:pPr>
              <w:spacing w:line="400" w:lineRule="exact"/>
              <w:jc w:val="center"/>
              <w:rPr>
                <w:rFonts w:hint="eastAsia" w:ascii="宋体" w:hAnsi="宋体" w:cs="宋体"/>
                <w:b/>
                <w:bCs/>
                <w:sz w:val="24"/>
                <w:szCs w:val="24"/>
              </w:rPr>
            </w:pPr>
            <w:r>
              <w:rPr>
                <w:rFonts w:hint="eastAsia" w:ascii="宋体" w:hAnsi="宋体" w:cs="宋体"/>
                <w:b/>
                <w:bCs/>
                <w:sz w:val="24"/>
                <w:szCs w:val="24"/>
              </w:rPr>
              <w:t>评分内容</w:t>
            </w:r>
          </w:p>
        </w:tc>
        <w:tc>
          <w:tcPr>
            <w:tcW w:w="6778" w:type="dxa"/>
            <w:tcBorders>
              <w:top w:val="single" w:color="auto" w:sz="4" w:space="0"/>
              <w:left w:val="single" w:color="auto" w:sz="4" w:space="0"/>
              <w:bottom w:val="single" w:color="auto" w:sz="4" w:space="0"/>
              <w:right w:val="single" w:color="auto" w:sz="4" w:space="0"/>
            </w:tcBorders>
            <w:vAlign w:val="center"/>
          </w:tcPr>
          <w:p w14:paraId="0E6C1D3D">
            <w:pPr>
              <w:spacing w:line="400" w:lineRule="exact"/>
              <w:jc w:val="center"/>
              <w:rPr>
                <w:rFonts w:hint="eastAsia"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59B83178">
            <w:pPr>
              <w:spacing w:line="400" w:lineRule="exact"/>
              <w:jc w:val="center"/>
              <w:rPr>
                <w:rFonts w:hint="eastAsia" w:ascii="宋体" w:hAnsi="宋体" w:cs="宋体"/>
                <w:b/>
                <w:bCs/>
                <w:sz w:val="24"/>
                <w:szCs w:val="24"/>
              </w:rPr>
            </w:pPr>
            <w:r>
              <w:rPr>
                <w:rFonts w:hint="eastAsia" w:ascii="宋体" w:hAnsi="宋体" w:cs="宋体"/>
                <w:b/>
                <w:bCs/>
                <w:sz w:val="24"/>
                <w:szCs w:val="24"/>
              </w:rPr>
              <w:t>分值范围</w:t>
            </w:r>
          </w:p>
        </w:tc>
      </w:tr>
      <w:tr w14:paraId="3F94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33" w:hRule="atLeast"/>
          <w:jc w:val="center"/>
        </w:trPr>
        <w:tc>
          <w:tcPr>
            <w:tcW w:w="1041" w:type="dxa"/>
            <w:vMerge w:val="restart"/>
            <w:tcBorders>
              <w:top w:val="single" w:color="auto" w:sz="4" w:space="0"/>
              <w:left w:val="single" w:color="auto" w:sz="4" w:space="0"/>
              <w:right w:val="single" w:color="auto" w:sz="4" w:space="0"/>
            </w:tcBorders>
            <w:vAlign w:val="center"/>
          </w:tcPr>
          <w:p w14:paraId="6E698B1B">
            <w:pPr>
              <w:spacing w:line="400" w:lineRule="exact"/>
              <w:jc w:val="center"/>
              <w:rPr>
                <w:rFonts w:hint="eastAsia" w:ascii="宋体" w:hAnsi="宋体"/>
                <w:sz w:val="24"/>
                <w:szCs w:val="24"/>
                <w:lang w:val="en-US" w:eastAsia="zh-CN"/>
              </w:rPr>
            </w:pPr>
            <w:r>
              <w:rPr>
                <w:rFonts w:hint="eastAsia" w:ascii="宋体" w:hAnsi="宋体" w:cs="宋体"/>
                <w:sz w:val="24"/>
                <w:szCs w:val="24"/>
                <w:lang w:val="en-US" w:eastAsia="zh-CN"/>
              </w:rPr>
              <w:t>技术标分（80分）</w:t>
            </w:r>
          </w:p>
        </w:tc>
        <w:tc>
          <w:tcPr>
            <w:tcW w:w="1041" w:type="dxa"/>
            <w:tcBorders>
              <w:top w:val="single" w:color="auto" w:sz="4" w:space="0"/>
              <w:left w:val="single" w:color="auto" w:sz="4" w:space="0"/>
              <w:right w:val="single" w:color="auto" w:sz="4" w:space="0"/>
            </w:tcBorders>
            <w:vAlign w:val="center"/>
          </w:tcPr>
          <w:p w14:paraId="1FFFACB8">
            <w:pPr>
              <w:widowControl/>
              <w:spacing w:line="400" w:lineRule="exact"/>
              <w:jc w:val="center"/>
              <w:rPr>
                <w:rFonts w:hint="eastAsia" w:ascii="宋体" w:hAnsi="宋体" w:cs="宋体"/>
                <w:bCs/>
                <w:sz w:val="24"/>
                <w:szCs w:val="24"/>
              </w:rPr>
            </w:pPr>
            <w:r>
              <w:rPr>
                <w:rFonts w:ascii="宋体" w:hAnsi="宋体"/>
                <w:sz w:val="24"/>
                <w:szCs w:val="24"/>
              </w:rPr>
              <w:t>体系认证</w:t>
            </w:r>
          </w:p>
        </w:tc>
        <w:tc>
          <w:tcPr>
            <w:tcW w:w="6778" w:type="dxa"/>
            <w:tcBorders>
              <w:top w:val="single" w:color="auto" w:sz="4" w:space="0"/>
              <w:left w:val="single" w:color="auto" w:sz="4" w:space="0"/>
              <w:right w:val="single" w:color="auto" w:sz="4" w:space="0"/>
            </w:tcBorders>
            <w:vAlign w:val="center"/>
          </w:tcPr>
          <w:p w14:paraId="200D7BFC">
            <w:pPr>
              <w:widowControl/>
              <w:adjustRightInd w:val="0"/>
              <w:snapToGrid w:val="0"/>
              <w:spacing w:line="400" w:lineRule="exact"/>
              <w:rPr>
                <w:rFonts w:hint="eastAsia" w:ascii="宋体" w:hAnsi="宋体"/>
                <w:sz w:val="24"/>
                <w:szCs w:val="24"/>
              </w:rPr>
            </w:pPr>
            <w:r>
              <w:rPr>
                <w:rFonts w:ascii="宋体" w:hAnsi="宋体"/>
                <w:sz w:val="24"/>
                <w:szCs w:val="24"/>
              </w:rPr>
              <w:t>1.具有ISO9001质量管理体系认证证书</w:t>
            </w:r>
            <w:r>
              <w:rPr>
                <w:rFonts w:hint="eastAsia" w:ascii="宋体" w:hAnsi="宋体"/>
                <w:sz w:val="24"/>
                <w:szCs w:val="24"/>
              </w:rPr>
              <w:t>且</w:t>
            </w:r>
            <w:r>
              <w:rPr>
                <w:rFonts w:ascii="宋体" w:hAnsi="宋体"/>
                <w:sz w:val="24"/>
                <w:szCs w:val="24"/>
              </w:rPr>
              <w:t>在有效期内</w:t>
            </w:r>
            <w:r>
              <w:rPr>
                <w:rFonts w:hint="eastAsia" w:ascii="宋体" w:hAnsi="宋体"/>
                <w:sz w:val="24"/>
                <w:szCs w:val="24"/>
              </w:rPr>
              <w:t>的</w:t>
            </w:r>
            <w:r>
              <w:rPr>
                <w:rFonts w:ascii="宋体" w:hAnsi="宋体"/>
                <w:sz w:val="24"/>
                <w:szCs w:val="24"/>
              </w:rPr>
              <w:t>，得3 分。</w:t>
            </w:r>
          </w:p>
          <w:p w14:paraId="0C7716B2">
            <w:pPr>
              <w:widowControl/>
              <w:adjustRightInd w:val="0"/>
              <w:snapToGrid w:val="0"/>
              <w:spacing w:line="400" w:lineRule="exact"/>
              <w:rPr>
                <w:rFonts w:hint="eastAsia" w:ascii="宋体" w:hAnsi="宋体"/>
                <w:sz w:val="24"/>
                <w:szCs w:val="24"/>
              </w:rPr>
            </w:pPr>
            <w:r>
              <w:rPr>
                <w:rFonts w:ascii="宋体" w:hAnsi="宋体"/>
                <w:sz w:val="24"/>
                <w:szCs w:val="24"/>
              </w:rPr>
              <w:t>2.具有ISO14001 环境管理体系认证证书且在有效期内</w:t>
            </w:r>
            <w:r>
              <w:rPr>
                <w:rFonts w:hint="eastAsia" w:ascii="宋体" w:hAnsi="宋体"/>
                <w:sz w:val="24"/>
                <w:szCs w:val="24"/>
              </w:rPr>
              <w:t>的</w:t>
            </w:r>
            <w:r>
              <w:rPr>
                <w:rFonts w:ascii="宋体" w:hAnsi="宋体"/>
                <w:sz w:val="24"/>
                <w:szCs w:val="24"/>
              </w:rPr>
              <w:t>，得3 分。</w:t>
            </w:r>
          </w:p>
          <w:p w14:paraId="4E55765E">
            <w:pPr>
              <w:widowControl/>
              <w:adjustRightInd w:val="0"/>
              <w:snapToGrid w:val="0"/>
              <w:spacing w:line="400" w:lineRule="exact"/>
              <w:rPr>
                <w:rFonts w:hint="eastAsia" w:ascii="宋体" w:hAnsi="宋体"/>
                <w:sz w:val="24"/>
                <w:szCs w:val="24"/>
              </w:rPr>
            </w:pPr>
            <w:r>
              <w:rPr>
                <w:rFonts w:ascii="宋体" w:hAnsi="宋体"/>
                <w:sz w:val="24"/>
                <w:szCs w:val="24"/>
              </w:rPr>
              <w:t>3.具有ISO45001或HSAS18001 职业健康安全管理体系认证证书且在有效期内</w:t>
            </w:r>
            <w:r>
              <w:rPr>
                <w:rFonts w:hint="eastAsia" w:ascii="宋体" w:hAnsi="宋体"/>
                <w:sz w:val="24"/>
                <w:szCs w:val="24"/>
              </w:rPr>
              <w:t>的，</w:t>
            </w:r>
            <w:r>
              <w:rPr>
                <w:rFonts w:ascii="宋体" w:hAnsi="宋体"/>
                <w:sz w:val="24"/>
                <w:szCs w:val="24"/>
              </w:rPr>
              <w:t>得3分。</w:t>
            </w:r>
          </w:p>
          <w:p w14:paraId="0B85677D">
            <w:pPr>
              <w:widowControl/>
              <w:adjustRightInd w:val="0"/>
              <w:snapToGrid w:val="0"/>
              <w:spacing w:line="400" w:lineRule="exact"/>
            </w:pPr>
            <w:r>
              <w:rPr>
                <w:rFonts w:ascii="宋体" w:hAnsi="宋体"/>
                <w:sz w:val="24"/>
                <w:szCs w:val="24"/>
              </w:rPr>
              <w:t>4.</w:t>
            </w:r>
            <w:r>
              <w:rPr>
                <w:rFonts w:hint="eastAsia" w:ascii="宋体" w:hAnsi="宋体"/>
                <w:sz w:val="24"/>
                <w:szCs w:val="24"/>
              </w:rPr>
              <w:t>具有</w:t>
            </w:r>
            <w:r>
              <w:rPr>
                <w:rFonts w:ascii="宋体" w:hAnsi="宋体"/>
                <w:sz w:val="24"/>
                <w:szCs w:val="24"/>
              </w:rPr>
              <w:t>ISO22000食品安全管理体系认证证书且在有效期内</w:t>
            </w:r>
            <w:r>
              <w:rPr>
                <w:rFonts w:hint="eastAsia" w:ascii="宋体" w:hAnsi="宋体"/>
                <w:sz w:val="24"/>
                <w:szCs w:val="24"/>
              </w:rPr>
              <w:t>的或</w:t>
            </w:r>
            <w:r>
              <w:rPr>
                <w:rFonts w:ascii="宋体" w:hAnsi="宋体"/>
                <w:sz w:val="24"/>
                <w:szCs w:val="24"/>
              </w:rPr>
              <w:t>具有HACCP(危害分析与关键控制点) 管理体系认证证书且在有效期内</w:t>
            </w:r>
            <w:r>
              <w:rPr>
                <w:rFonts w:hint="eastAsia" w:ascii="宋体" w:hAnsi="宋体"/>
                <w:sz w:val="24"/>
                <w:szCs w:val="24"/>
              </w:rPr>
              <w:t>的或</w:t>
            </w:r>
            <w:r>
              <w:rPr>
                <w:rFonts w:ascii="宋体" w:hAnsi="宋体"/>
                <w:sz w:val="24"/>
                <w:szCs w:val="24"/>
              </w:rPr>
              <w:t>具有有效的 ISO28000供应链安全管理体系认证证书</w:t>
            </w:r>
            <w:r>
              <w:rPr>
                <w:rFonts w:hint="eastAsia" w:ascii="宋体" w:hAnsi="宋体"/>
                <w:sz w:val="24"/>
                <w:szCs w:val="24"/>
              </w:rPr>
              <w:t>的</w:t>
            </w:r>
            <w:r>
              <w:rPr>
                <w:rFonts w:ascii="宋体" w:hAnsi="宋体"/>
                <w:sz w:val="24"/>
                <w:szCs w:val="24"/>
              </w:rPr>
              <w:t xml:space="preserve">，得3分。 </w:t>
            </w:r>
          </w:p>
          <w:p w14:paraId="3AB71D58">
            <w:pPr>
              <w:widowControl/>
              <w:adjustRightInd w:val="0"/>
              <w:snapToGrid w:val="0"/>
              <w:spacing w:line="400" w:lineRule="exact"/>
              <w:rPr>
                <w:rFonts w:hint="eastAsia" w:ascii="宋体" w:hAnsi="宋体"/>
                <w:b/>
                <w:bCs/>
                <w:sz w:val="24"/>
                <w:szCs w:val="24"/>
              </w:rPr>
            </w:pPr>
            <w:r>
              <w:rPr>
                <w:rFonts w:ascii="宋体" w:hAnsi="宋体"/>
                <w:b/>
                <w:bCs/>
                <w:sz w:val="24"/>
                <w:szCs w:val="24"/>
              </w:rPr>
              <w:t>注：(1)提供上述</w:t>
            </w:r>
            <w:r>
              <w:rPr>
                <w:rFonts w:hint="eastAsia" w:ascii="宋体" w:hAnsi="宋体"/>
                <w:b/>
                <w:bCs/>
                <w:sz w:val="24"/>
                <w:szCs w:val="24"/>
              </w:rPr>
              <w:t>证书</w:t>
            </w:r>
            <w:r>
              <w:rPr>
                <w:rFonts w:ascii="宋体" w:hAnsi="宋体"/>
                <w:b/>
                <w:sz w:val="24"/>
                <w:szCs w:val="24"/>
              </w:rPr>
              <w:t>有</w:t>
            </w:r>
            <w:r>
              <w:rPr>
                <w:rFonts w:ascii="宋体" w:hAnsi="宋体"/>
                <w:b/>
                <w:bCs/>
                <w:sz w:val="24"/>
                <w:szCs w:val="24"/>
              </w:rPr>
              <w:t>效原件的</w:t>
            </w:r>
            <w:r>
              <w:rPr>
                <w:rFonts w:hint="eastAsia" w:ascii="宋体" w:hAnsi="宋体"/>
                <w:b/>
                <w:bCs/>
                <w:sz w:val="24"/>
                <w:szCs w:val="24"/>
              </w:rPr>
              <w:t>扫描件</w:t>
            </w:r>
            <w:r>
              <w:rPr>
                <w:rFonts w:ascii="宋体" w:hAnsi="宋体"/>
                <w:b/>
                <w:bCs/>
                <w:sz w:val="24"/>
                <w:szCs w:val="24"/>
              </w:rPr>
              <w:t>以及全国认证认可信息公共服务平台（国家市场监督管理总局）网站证书查询截图，否则不得分。</w:t>
            </w:r>
          </w:p>
          <w:p w14:paraId="6E9C6EBE">
            <w:pPr>
              <w:pStyle w:val="13"/>
              <w:spacing w:line="400" w:lineRule="exact"/>
              <w:ind w:right="-21" w:firstLine="542"/>
              <w:rPr>
                <w:rFonts w:hint="eastAsia" w:ascii="宋体" w:hAnsi="宋体" w:eastAsia="宋体" w:cs="Calibri"/>
              </w:rPr>
            </w:pPr>
            <w:r>
              <w:rPr>
                <w:rFonts w:hint="eastAsia" w:ascii="宋体" w:hAnsi="宋体" w:eastAsia="宋体" w:cs="Times New Roman"/>
                <w:b/>
                <w:bCs/>
                <w:kern w:val="2"/>
                <w:szCs w:val="24"/>
              </w:rPr>
              <w:t>(</w:t>
            </w:r>
            <w:r>
              <w:rPr>
                <w:rFonts w:ascii="宋体" w:hAnsi="宋体" w:eastAsia="宋体" w:cs="Times New Roman"/>
                <w:b/>
                <w:bCs/>
                <w:kern w:val="2"/>
                <w:szCs w:val="24"/>
              </w:rPr>
              <w:t xml:space="preserve">2) </w:t>
            </w:r>
            <w:r>
              <w:rPr>
                <w:rFonts w:hint="eastAsia" w:ascii="宋体" w:hAnsi="宋体" w:eastAsia="宋体" w:cs="Times New Roman"/>
                <w:b/>
                <w:bCs/>
                <w:kern w:val="2"/>
                <w:szCs w:val="24"/>
              </w:rPr>
              <w:t>此项累计最高得分</w:t>
            </w:r>
            <w:r>
              <w:rPr>
                <w:rFonts w:ascii="宋体" w:hAnsi="宋体" w:eastAsia="宋体" w:cs="Times New Roman"/>
                <w:b/>
                <w:bCs/>
                <w:kern w:val="2"/>
                <w:szCs w:val="24"/>
              </w:rPr>
              <w:t>12</w:t>
            </w:r>
            <w:r>
              <w:rPr>
                <w:rFonts w:hint="eastAsia" w:ascii="宋体" w:hAnsi="宋体" w:eastAsia="宋体" w:cs="Times New Roman"/>
                <w:b/>
                <w:bCs/>
                <w:kern w:val="2"/>
                <w:szCs w:val="24"/>
              </w:rPr>
              <w:t>分。</w:t>
            </w:r>
          </w:p>
        </w:tc>
        <w:tc>
          <w:tcPr>
            <w:tcW w:w="653" w:type="dxa"/>
            <w:tcBorders>
              <w:top w:val="single" w:color="auto" w:sz="4" w:space="0"/>
              <w:left w:val="single" w:color="auto" w:sz="4" w:space="0"/>
              <w:right w:val="single" w:color="auto" w:sz="4" w:space="0"/>
            </w:tcBorders>
            <w:vAlign w:val="center"/>
          </w:tcPr>
          <w:p w14:paraId="6672CFCC">
            <w:pPr>
              <w:adjustRightInd w:val="0"/>
              <w:snapToGrid w:val="0"/>
              <w:spacing w:line="400" w:lineRule="exact"/>
              <w:jc w:val="center"/>
              <w:rPr>
                <w:rFonts w:hint="eastAsia" w:ascii="宋体" w:hAnsi="宋体" w:cs="宋体"/>
                <w:b/>
                <w:sz w:val="24"/>
                <w:szCs w:val="24"/>
              </w:rPr>
            </w:pPr>
            <w:r>
              <w:rPr>
                <w:rFonts w:ascii="宋体" w:hAnsi="宋体"/>
                <w:sz w:val="24"/>
                <w:szCs w:val="24"/>
              </w:rPr>
              <w:t>0-12</w:t>
            </w:r>
          </w:p>
        </w:tc>
      </w:tr>
      <w:tr w14:paraId="334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55" w:hRule="atLeast"/>
          <w:jc w:val="center"/>
        </w:trPr>
        <w:tc>
          <w:tcPr>
            <w:tcW w:w="1041" w:type="dxa"/>
            <w:vMerge w:val="continue"/>
            <w:tcBorders>
              <w:left w:val="single" w:color="auto" w:sz="4" w:space="0"/>
              <w:right w:val="single" w:color="auto" w:sz="4" w:space="0"/>
            </w:tcBorders>
            <w:vAlign w:val="center"/>
          </w:tcPr>
          <w:p w14:paraId="18E72E5B">
            <w:pPr>
              <w:spacing w:line="400" w:lineRule="exact"/>
              <w:jc w:val="center"/>
              <w:rPr>
                <w:rFonts w:hint="eastAsia" w:ascii="宋体" w:hAnsi="宋体" w:cs="宋体"/>
                <w:sz w:val="24"/>
                <w:szCs w:val="24"/>
              </w:rPr>
            </w:pPr>
          </w:p>
        </w:tc>
        <w:tc>
          <w:tcPr>
            <w:tcW w:w="1041" w:type="dxa"/>
            <w:tcBorders>
              <w:left w:val="single" w:color="auto" w:sz="4" w:space="0"/>
              <w:right w:val="single" w:color="auto" w:sz="4" w:space="0"/>
            </w:tcBorders>
            <w:vAlign w:val="center"/>
          </w:tcPr>
          <w:p w14:paraId="43646ECD">
            <w:pPr>
              <w:spacing w:line="400" w:lineRule="exact"/>
              <w:jc w:val="center"/>
              <w:rPr>
                <w:rFonts w:hint="eastAsia" w:ascii="宋体" w:hAnsi="宋体"/>
                <w:sz w:val="24"/>
                <w:szCs w:val="24"/>
              </w:rPr>
            </w:pPr>
            <w:r>
              <w:rPr>
                <w:rFonts w:ascii="宋体" w:hAnsi="宋体"/>
                <w:sz w:val="24"/>
                <w:szCs w:val="24"/>
                <w:highlight w:val="none"/>
              </w:rPr>
              <w:t>企业荣誉</w:t>
            </w:r>
          </w:p>
        </w:tc>
        <w:tc>
          <w:tcPr>
            <w:tcW w:w="6778" w:type="dxa"/>
            <w:tcBorders>
              <w:top w:val="single" w:color="auto" w:sz="4" w:space="0"/>
              <w:left w:val="single" w:color="auto" w:sz="4" w:space="0"/>
              <w:bottom w:val="single" w:color="auto" w:sz="4" w:space="0"/>
              <w:right w:val="single" w:color="auto" w:sz="4" w:space="0"/>
            </w:tcBorders>
            <w:vAlign w:val="center"/>
          </w:tcPr>
          <w:p w14:paraId="1A381DF6">
            <w:pPr>
              <w:widowControl/>
              <w:adjustRightInd w:val="0"/>
              <w:snapToGrid w:val="0"/>
              <w:spacing w:line="400" w:lineRule="exact"/>
              <w:rPr>
                <w:rFonts w:cs="Calibri"/>
                <w:color w:val="333333"/>
                <w:szCs w:val="21"/>
              </w:rPr>
            </w:pPr>
            <w:r>
              <w:rPr>
                <w:rFonts w:hint="eastAsia" w:ascii="宋体" w:hAnsi="宋体"/>
                <w:sz w:val="24"/>
                <w:szCs w:val="24"/>
              </w:rPr>
              <w:t>投标人或投标人所运营的</w:t>
            </w:r>
            <w:bookmarkStart w:id="5" w:name="OLE_LINK1"/>
            <w:r>
              <w:rPr>
                <w:rFonts w:hint="eastAsia" w:ascii="宋体" w:hAnsi="宋体"/>
                <w:sz w:val="24"/>
                <w:szCs w:val="24"/>
              </w:rPr>
              <w:t>学校</w:t>
            </w:r>
            <w:bookmarkEnd w:id="5"/>
            <w:r>
              <w:rPr>
                <w:rFonts w:hint="eastAsia" w:ascii="宋体" w:hAnsi="宋体"/>
                <w:sz w:val="24"/>
                <w:szCs w:val="24"/>
              </w:rPr>
              <w:t>食堂获得政府部门【或国内依法登记注册的协会（学会）】颁发的餐饮类荣誉奖项的。其中，市级及以上颁发的，每个得4分；县区级颁发的，每个得2分。</w:t>
            </w:r>
          </w:p>
          <w:p w14:paraId="55874F0E">
            <w:pPr>
              <w:spacing w:line="400" w:lineRule="exact"/>
              <w:ind w:firstLine="241" w:firstLineChars="100"/>
              <w:jc w:val="left"/>
              <w:rPr>
                <w:rFonts w:hint="eastAsia" w:ascii="宋体" w:hAnsi="宋体"/>
                <w:sz w:val="24"/>
                <w:szCs w:val="24"/>
              </w:rPr>
            </w:pPr>
            <w:r>
              <w:rPr>
                <w:rFonts w:hint="eastAsia" w:ascii="宋体" w:hAnsi="宋体" w:cs="宋体"/>
                <w:b/>
                <w:bCs/>
                <w:color w:val="000000"/>
                <w:sz w:val="24"/>
                <w:szCs w:val="24"/>
                <w:lang w:val="zh-CN"/>
              </w:rPr>
              <w:t>注：以上须提供荣誉证书或获奖证书或获奖文件；若是提供投标供应商所经营管理的</w:t>
            </w:r>
            <w:r>
              <w:rPr>
                <w:rFonts w:hint="eastAsia" w:ascii="宋体" w:hAnsi="宋体"/>
                <w:sz w:val="24"/>
                <w:szCs w:val="24"/>
              </w:rPr>
              <w:t>学校（含幼儿园）</w:t>
            </w:r>
            <w:r>
              <w:rPr>
                <w:rFonts w:hint="eastAsia" w:ascii="宋体" w:hAnsi="宋体" w:cs="宋体"/>
                <w:b/>
                <w:bCs/>
                <w:color w:val="000000"/>
                <w:sz w:val="24"/>
                <w:szCs w:val="24"/>
                <w:lang w:val="zh-CN"/>
              </w:rPr>
              <w:t>食堂获得荣誉证书或获奖证书或获奖文件，另需提供合同、业主证明材料的原件扫描件，否则不得分；</w:t>
            </w:r>
            <w:r>
              <w:rPr>
                <w:rFonts w:hint="eastAsia" w:ascii="宋体" w:hAnsi="宋体" w:cs="宋体"/>
                <w:b/>
                <w:bCs/>
                <w:color w:val="auto"/>
                <w:sz w:val="24"/>
                <w:szCs w:val="24"/>
                <w:lang w:val="zh-CN"/>
              </w:rPr>
              <w:t>协会（学会）颁发的餐饮类荣誉奖项需同时提供依法登记注册的协会（学会）相关证明材料；</w:t>
            </w:r>
            <w:r>
              <w:rPr>
                <w:rFonts w:hint="eastAsia" w:ascii="宋体" w:hAnsi="宋体" w:cs="宋体"/>
                <w:b/>
                <w:bCs/>
                <w:color w:val="000000"/>
                <w:sz w:val="24"/>
                <w:szCs w:val="24"/>
                <w:lang w:val="zh-CN"/>
              </w:rPr>
              <w:t>同一证书或荣誉若同时满足多个加分条件的，按高分计入，不累计重复计分；奖牌不予认可。</w:t>
            </w:r>
          </w:p>
        </w:tc>
        <w:tc>
          <w:tcPr>
            <w:tcW w:w="653" w:type="dxa"/>
            <w:tcBorders>
              <w:top w:val="single" w:color="auto" w:sz="4" w:space="0"/>
              <w:left w:val="single" w:color="auto" w:sz="4" w:space="0"/>
              <w:bottom w:val="single" w:color="auto" w:sz="4" w:space="0"/>
              <w:right w:val="single" w:color="auto" w:sz="4" w:space="0"/>
            </w:tcBorders>
            <w:vAlign w:val="center"/>
          </w:tcPr>
          <w:p w14:paraId="1C72DCAD">
            <w:pPr>
              <w:spacing w:line="400" w:lineRule="exact"/>
              <w:jc w:val="center"/>
              <w:rPr>
                <w:rFonts w:hint="eastAsia" w:ascii="宋体" w:hAnsi="宋体"/>
                <w:sz w:val="24"/>
                <w:szCs w:val="24"/>
              </w:rPr>
            </w:pPr>
            <w:r>
              <w:rPr>
                <w:rFonts w:hint="eastAsia" w:ascii="宋体" w:hAnsi="宋体"/>
                <w:sz w:val="24"/>
                <w:szCs w:val="24"/>
              </w:rPr>
              <w:t>0</w:t>
            </w:r>
            <w:r>
              <w:rPr>
                <w:rFonts w:ascii="宋体" w:hAnsi="宋体"/>
                <w:sz w:val="24"/>
                <w:szCs w:val="24"/>
              </w:rPr>
              <w:t>-10</w:t>
            </w:r>
          </w:p>
        </w:tc>
      </w:tr>
      <w:tr w14:paraId="69D6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41" w:type="dxa"/>
            <w:vMerge w:val="continue"/>
            <w:tcBorders>
              <w:left w:val="single" w:color="auto" w:sz="4" w:space="0"/>
              <w:right w:val="single" w:color="auto" w:sz="4" w:space="0"/>
            </w:tcBorders>
            <w:vAlign w:val="center"/>
          </w:tcPr>
          <w:p w14:paraId="494BF23D">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293E058E">
            <w:pPr>
              <w:spacing w:line="400" w:lineRule="exact"/>
              <w:jc w:val="center"/>
              <w:rPr>
                <w:rFonts w:hint="eastAsia" w:ascii="宋体" w:hAnsi="宋体" w:cs="宋体"/>
                <w:sz w:val="24"/>
                <w:szCs w:val="24"/>
              </w:rPr>
            </w:pPr>
            <w:r>
              <w:rPr>
                <w:rFonts w:ascii="宋体" w:hAnsi="宋体"/>
                <w:sz w:val="24"/>
                <w:szCs w:val="24"/>
                <w:highlight w:val="none"/>
              </w:rPr>
              <w:t>类似业绩</w:t>
            </w:r>
          </w:p>
        </w:tc>
        <w:tc>
          <w:tcPr>
            <w:tcW w:w="6778" w:type="dxa"/>
            <w:tcBorders>
              <w:top w:val="single" w:color="auto" w:sz="4" w:space="0"/>
              <w:left w:val="single" w:color="auto" w:sz="4" w:space="0"/>
              <w:bottom w:val="single" w:color="auto" w:sz="4" w:space="0"/>
              <w:right w:val="single" w:color="auto" w:sz="4" w:space="0"/>
            </w:tcBorders>
            <w:vAlign w:val="center"/>
          </w:tcPr>
          <w:p w14:paraId="11C753DA">
            <w:pPr>
              <w:adjustRightInd w:val="0"/>
              <w:snapToGrid w:val="0"/>
              <w:spacing w:line="400" w:lineRule="exact"/>
              <w:jc w:val="left"/>
              <w:rPr>
                <w:rFonts w:hint="eastAsia" w:ascii="宋体" w:hAnsi="宋体"/>
                <w:color w:val="auto"/>
                <w:sz w:val="24"/>
                <w:szCs w:val="24"/>
              </w:rPr>
            </w:pPr>
            <w:r>
              <w:rPr>
                <w:rFonts w:ascii="宋体" w:hAnsi="宋体"/>
                <w:color w:val="auto"/>
                <w:sz w:val="24"/>
                <w:szCs w:val="24"/>
              </w:rPr>
              <w:t>投标供应商</w:t>
            </w:r>
            <w:r>
              <w:rPr>
                <w:rFonts w:hint="eastAsia" w:ascii="宋体" w:hAnsi="宋体"/>
                <w:color w:val="auto"/>
                <w:sz w:val="24"/>
                <w:szCs w:val="24"/>
              </w:rPr>
              <w:t>提供学校</w:t>
            </w:r>
            <w:r>
              <w:rPr>
                <w:rFonts w:ascii="宋体" w:hAnsi="宋体"/>
                <w:color w:val="auto"/>
                <w:sz w:val="24"/>
                <w:szCs w:val="24"/>
              </w:rPr>
              <w:t>食堂</w:t>
            </w:r>
            <w:r>
              <w:rPr>
                <w:rFonts w:hint="eastAsia" w:ascii="宋体" w:hAnsi="宋体"/>
                <w:color w:val="auto"/>
                <w:sz w:val="24"/>
                <w:szCs w:val="24"/>
              </w:rPr>
              <w:t>经营承包服务</w:t>
            </w:r>
            <w:r>
              <w:rPr>
                <w:rFonts w:ascii="宋体" w:hAnsi="宋体"/>
                <w:color w:val="auto"/>
                <w:sz w:val="24"/>
                <w:szCs w:val="24"/>
              </w:rPr>
              <w:t>业绩的</w:t>
            </w:r>
            <w:r>
              <w:rPr>
                <w:rFonts w:hint="eastAsia" w:ascii="宋体" w:hAnsi="宋体"/>
                <w:color w:val="auto"/>
                <w:sz w:val="24"/>
                <w:szCs w:val="24"/>
              </w:rPr>
              <w:t>，</w:t>
            </w:r>
            <w:r>
              <w:rPr>
                <w:rFonts w:ascii="宋体" w:hAnsi="宋体"/>
                <w:color w:val="auto"/>
                <w:sz w:val="24"/>
                <w:szCs w:val="24"/>
              </w:rPr>
              <w:t xml:space="preserve">每个得5分。 </w:t>
            </w:r>
          </w:p>
          <w:p w14:paraId="0B3418BF">
            <w:pPr>
              <w:adjustRightInd w:val="0"/>
              <w:snapToGrid w:val="0"/>
              <w:spacing w:line="400" w:lineRule="exact"/>
              <w:jc w:val="left"/>
              <w:rPr>
                <w:rFonts w:hint="eastAsia" w:ascii="宋体" w:hAnsi="宋体"/>
                <w:b/>
                <w:bCs/>
                <w:sz w:val="24"/>
                <w:szCs w:val="24"/>
              </w:rPr>
            </w:pPr>
            <w:r>
              <w:rPr>
                <w:rFonts w:hint="eastAsia" w:ascii="宋体" w:hAnsi="宋体" w:cs="宋体"/>
                <w:b/>
                <w:bCs/>
                <w:color w:val="auto"/>
                <w:sz w:val="24"/>
                <w:szCs w:val="24"/>
              </w:rPr>
              <w:t>注：（1）提供合同、中标（成交）通知书</w:t>
            </w:r>
            <w:r>
              <w:rPr>
                <w:rFonts w:hint="eastAsia" w:ascii="宋体" w:hAnsi="宋体" w:cs="宋体"/>
                <w:b/>
                <w:bCs/>
                <w:color w:val="auto"/>
                <w:sz w:val="24"/>
                <w:szCs w:val="24"/>
                <w:lang w:eastAsia="zh-CN"/>
              </w:rPr>
              <w:t>、</w:t>
            </w:r>
            <w:r>
              <w:rPr>
                <w:rFonts w:hint="eastAsia" w:ascii="宋体" w:hAnsi="宋体" w:cs="宋体"/>
                <w:b/>
                <w:bCs/>
                <w:color w:val="auto"/>
                <w:sz w:val="24"/>
                <w:szCs w:val="24"/>
                <w:highlight w:val="none"/>
                <w:lang w:val="en-US" w:eastAsia="zh-CN"/>
              </w:rPr>
              <w:t>招标项目网址链接、招标公告网上截图、中标（成交）结果公示网上截图</w:t>
            </w:r>
            <w:r>
              <w:rPr>
                <w:rFonts w:hint="eastAsia" w:ascii="宋体" w:hAnsi="宋体" w:cs="宋体"/>
                <w:b/>
                <w:bCs/>
                <w:color w:val="auto"/>
                <w:sz w:val="24"/>
                <w:szCs w:val="24"/>
              </w:rPr>
              <w:t>和业主评价合格（盖公章）的</w:t>
            </w:r>
            <w:r>
              <w:rPr>
                <w:rFonts w:hint="eastAsia" w:ascii="宋体" w:hAnsi="宋体" w:cs="宋体"/>
                <w:b/>
                <w:bCs/>
                <w:color w:val="auto"/>
                <w:sz w:val="24"/>
                <w:szCs w:val="28"/>
              </w:rPr>
              <w:t>原件扫描件</w:t>
            </w:r>
            <w:r>
              <w:rPr>
                <w:rFonts w:hint="eastAsia" w:ascii="宋体" w:hAnsi="宋体" w:cs="宋体"/>
                <w:b/>
                <w:bCs/>
                <w:color w:val="auto"/>
                <w:sz w:val="24"/>
                <w:szCs w:val="24"/>
              </w:rPr>
              <w:t>，未提供不得分。同一学校或幼儿园同一食堂不同年份的合同只按一份计入，同一学校或幼儿园不同食堂不同年份的合同可以分别计分。</w:t>
            </w:r>
            <w:r>
              <w:rPr>
                <w:rFonts w:hint="eastAsia" w:ascii="宋体" w:hAnsi="宋体"/>
                <w:b/>
                <w:bCs/>
                <w:color w:val="auto"/>
                <w:sz w:val="24"/>
                <w:szCs w:val="24"/>
              </w:rPr>
              <w:t>（2）</w:t>
            </w:r>
            <w:r>
              <w:rPr>
                <w:rFonts w:ascii="宋体" w:hAnsi="宋体"/>
                <w:b/>
                <w:bCs/>
                <w:color w:val="auto"/>
                <w:sz w:val="24"/>
                <w:szCs w:val="24"/>
              </w:rPr>
              <w:t>此项累计最高得分15分</w:t>
            </w:r>
            <w:r>
              <w:rPr>
                <w:rFonts w:hint="eastAsia" w:ascii="宋体" w:hAnsi="宋体"/>
                <w:b/>
                <w:bCs/>
                <w:color w:val="auto"/>
                <w:sz w:val="24"/>
                <w:szCs w:val="24"/>
              </w:rPr>
              <w:t>。</w:t>
            </w:r>
          </w:p>
        </w:tc>
        <w:tc>
          <w:tcPr>
            <w:tcW w:w="653" w:type="dxa"/>
            <w:tcBorders>
              <w:top w:val="single" w:color="auto" w:sz="4" w:space="0"/>
              <w:left w:val="single" w:color="auto" w:sz="4" w:space="0"/>
              <w:bottom w:val="single" w:color="auto" w:sz="4" w:space="0"/>
              <w:right w:val="single" w:color="auto" w:sz="4" w:space="0"/>
            </w:tcBorders>
            <w:vAlign w:val="center"/>
          </w:tcPr>
          <w:p w14:paraId="5F148505">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51CD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41" w:type="dxa"/>
            <w:vMerge w:val="continue"/>
            <w:tcBorders>
              <w:left w:val="single" w:color="auto" w:sz="4" w:space="0"/>
              <w:right w:val="single" w:color="auto" w:sz="4" w:space="0"/>
            </w:tcBorders>
            <w:vAlign w:val="center"/>
          </w:tcPr>
          <w:p w14:paraId="6F0CB03E">
            <w:pPr>
              <w:spacing w:line="400" w:lineRule="exact"/>
              <w:jc w:val="center"/>
              <w:rPr>
                <w:rFonts w:hint="eastAsia" w:ascii="宋体" w:hAnsi="宋体" w:cs="宋体"/>
                <w:sz w:val="24"/>
                <w:szCs w:val="24"/>
                <w:lang w:val="en-US" w:eastAsia="zh-CN"/>
              </w:rPr>
            </w:pPr>
          </w:p>
        </w:tc>
        <w:tc>
          <w:tcPr>
            <w:tcW w:w="1041" w:type="dxa"/>
            <w:tcBorders>
              <w:left w:val="single" w:color="auto" w:sz="4" w:space="0"/>
              <w:bottom w:val="single" w:color="auto" w:sz="4" w:space="0"/>
              <w:right w:val="single" w:color="auto" w:sz="4" w:space="0"/>
            </w:tcBorders>
            <w:vAlign w:val="center"/>
          </w:tcPr>
          <w:p w14:paraId="55DA2613">
            <w:pPr>
              <w:spacing w:line="400" w:lineRule="exact"/>
              <w:jc w:val="center"/>
              <w:rPr>
                <w:rFonts w:hint="eastAsia" w:ascii="宋体" w:hAnsi="宋体" w:cs="宋体"/>
                <w:bCs/>
                <w:sz w:val="24"/>
                <w:szCs w:val="24"/>
              </w:rPr>
            </w:pPr>
            <w:r>
              <w:rPr>
                <w:rFonts w:ascii="宋体" w:hAnsi="宋体"/>
                <w:sz w:val="24"/>
                <w:szCs w:val="24"/>
              </w:rPr>
              <w:t>安全状况</w:t>
            </w:r>
          </w:p>
        </w:tc>
        <w:tc>
          <w:tcPr>
            <w:tcW w:w="6778" w:type="dxa"/>
            <w:tcBorders>
              <w:top w:val="single" w:color="auto" w:sz="4" w:space="0"/>
              <w:left w:val="single" w:color="auto" w:sz="4" w:space="0"/>
              <w:bottom w:val="single" w:color="auto" w:sz="4" w:space="0"/>
              <w:right w:val="single" w:color="auto" w:sz="4" w:space="0"/>
            </w:tcBorders>
            <w:vAlign w:val="center"/>
          </w:tcPr>
          <w:p w14:paraId="36A9ED94">
            <w:pPr>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每</w:t>
            </w:r>
            <w:r>
              <w:rPr>
                <w:rFonts w:ascii="宋体" w:hAnsi="宋体"/>
                <w:sz w:val="24"/>
                <w:szCs w:val="24"/>
              </w:rPr>
              <w:t>提供1份经营的项目业绩从未出现食品安全事故证明的得2分，满分10分。</w:t>
            </w:r>
          </w:p>
          <w:p w14:paraId="125AD228">
            <w:pPr>
              <w:spacing w:line="340" w:lineRule="exact"/>
              <w:jc w:val="left"/>
              <w:rPr>
                <w:b/>
                <w:bCs/>
                <w:sz w:val="24"/>
                <w:szCs w:val="24"/>
              </w:rPr>
            </w:pPr>
            <w:r>
              <w:rPr>
                <w:b/>
                <w:bCs/>
                <w:sz w:val="24"/>
                <w:szCs w:val="24"/>
              </w:rPr>
              <w:t>注：</w:t>
            </w:r>
            <w:r>
              <w:rPr>
                <w:rFonts w:hint="eastAsia"/>
                <w:b/>
                <w:bCs/>
                <w:sz w:val="24"/>
                <w:szCs w:val="24"/>
                <w:lang w:eastAsia="zh-CN"/>
              </w:rPr>
              <w:t>（</w:t>
            </w:r>
            <w:r>
              <w:rPr>
                <w:rFonts w:hint="eastAsia"/>
                <w:b/>
                <w:bCs/>
                <w:sz w:val="24"/>
                <w:szCs w:val="24"/>
                <w:lang w:val="en-US" w:eastAsia="zh-CN"/>
              </w:rPr>
              <w:t>1）</w:t>
            </w:r>
            <w:r>
              <w:rPr>
                <w:b/>
                <w:bCs/>
                <w:sz w:val="24"/>
                <w:szCs w:val="24"/>
              </w:rPr>
              <w:t>需提供业绩食堂所在地</w:t>
            </w:r>
            <w:r>
              <w:rPr>
                <w:rFonts w:hint="eastAsia"/>
                <w:b/>
                <w:bCs/>
                <w:sz w:val="24"/>
                <w:szCs w:val="24"/>
              </w:rPr>
              <w:t>(县或区级及以上)</w:t>
            </w:r>
            <w:r>
              <w:rPr>
                <w:b/>
                <w:bCs/>
                <w:sz w:val="24"/>
                <w:szCs w:val="24"/>
              </w:rPr>
              <w:t>市场监管部门出具的证明材料原件的扫描件</w:t>
            </w:r>
            <w:r>
              <w:rPr>
                <w:rFonts w:hint="eastAsia"/>
                <w:b/>
                <w:bCs/>
                <w:sz w:val="24"/>
                <w:szCs w:val="24"/>
              </w:rPr>
              <w:t>或国家企业信用信息公示系统截图、合作业主方出具的证明材料原件的扫描件</w:t>
            </w:r>
            <w:r>
              <w:rPr>
                <w:b/>
                <w:bCs/>
                <w:sz w:val="24"/>
                <w:szCs w:val="24"/>
              </w:rPr>
              <w:t>，在同一学校不同年份经营的</w:t>
            </w:r>
            <w:r>
              <w:rPr>
                <w:rFonts w:hint="eastAsia"/>
                <w:b/>
                <w:bCs/>
                <w:sz w:val="24"/>
                <w:szCs w:val="24"/>
              </w:rPr>
              <w:t>同一食堂</w:t>
            </w:r>
            <w:r>
              <w:rPr>
                <w:b/>
                <w:bCs/>
                <w:sz w:val="24"/>
                <w:szCs w:val="24"/>
              </w:rPr>
              <w:t>按一份计入，在同一学校不同年份经营的不同食堂可以分别计分。</w:t>
            </w:r>
          </w:p>
          <w:p w14:paraId="4D36D158">
            <w:pPr>
              <w:spacing w:line="340" w:lineRule="exact"/>
              <w:jc w:val="left"/>
              <w:rPr>
                <w:rFonts w:hint="default" w:eastAsia="宋体"/>
                <w:b/>
                <w:bCs/>
                <w:sz w:val="24"/>
                <w:szCs w:val="24"/>
                <w:lang w:val="en-US" w:eastAsia="zh-CN"/>
              </w:rPr>
            </w:pPr>
            <w:r>
              <w:rPr>
                <w:rFonts w:hint="eastAsia"/>
                <w:b/>
                <w:bCs/>
                <w:sz w:val="24"/>
                <w:szCs w:val="24"/>
                <w:highlight w:val="none"/>
                <w:lang w:eastAsia="zh-CN"/>
              </w:rPr>
              <w:t>（</w:t>
            </w:r>
            <w:r>
              <w:rPr>
                <w:rFonts w:hint="eastAsia"/>
                <w:b/>
                <w:bCs/>
                <w:sz w:val="24"/>
                <w:szCs w:val="24"/>
                <w:highlight w:val="none"/>
                <w:lang w:val="en-US" w:eastAsia="zh-CN"/>
              </w:rPr>
              <w:t>2）供应商承诺近3年内未因食品安全问题受到行政处罚，承诺函格式自拟。</w:t>
            </w:r>
          </w:p>
        </w:tc>
        <w:tc>
          <w:tcPr>
            <w:tcW w:w="653" w:type="dxa"/>
            <w:tcBorders>
              <w:top w:val="single" w:color="auto" w:sz="4" w:space="0"/>
              <w:left w:val="single" w:color="auto" w:sz="4" w:space="0"/>
              <w:bottom w:val="single" w:color="auto" w:sz="4" w:space="0"/>
              <w:right w:val="single" w:color="auto" w:sz="4" w:space="0"/>
            </w:tcBorders>
            <w:vAlign w:val="center"/>
          </w:tcPr>
          <w:p w14:paraId="55715620">
            <w:pPr>
              <w:spacing w:line="400" w:lineRule="exact"/>
              <w:jc w:val="center"/>
              <w:rPr>
                <w:rFonts w:hint="eastAsia" w:ascii="宋体" w:hAnsi="宋体"/>
                <w:sz w:val="24"/>
                <w:szCs w:val="24"/>
              </w:rPr>
            </w:pPr>
            <w:r>
              <w:rPr>
                <w:rFonts w:hint="eastAsia" w:ascii="宋体" w:hAnsi="宋体"/>
                <w:sz w:val="24"/>
                <w:szCs w:val="24"/>
              </w:rPr>
              <w:t>0</w:t>
            </w:r>
            <w:r>
              <w:rPr>
                <w:rFonts w:ascii="宋体" w:hAnsi="宋体"/>
                <w:sz w:val="24"/>
                <w:szCs w:val="24"/>
              </w:rPr>
              <w:t>-10</w:t>
            </w:r>
          </w:p>
        </w:tc>
      </w:tr>
      <w:tr w14:paraId="33FD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6220" w:hRule="atLeast"/>
          <w:jc w:val="center"/>
        </w:trPr>
        <w:tc>
          <w:tcPr>
            <w:tcW w:w="1041" w:type="dxa"/>
            <w:vMerge w:val="continue"/>
            <w:tcBorders>
              <w:left w:val="single" w:color="auto" w:sz="4" w:space="0"/>
              <w:right w:val="single" w:color="auto" w:sz="4" w:space="0"/>
            </w:tcBorders>
            <w:vAlign w:val="center"/>
          </w:tcPr>
          <w:p w14:paraId="34AEB3EE">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1E8FADBC">
            <w:pPr>
              <w:widowControl/>
              <w:spacing w:line="400" w:lineRule="exact"/>
              <w:jc w:val="center"/>
              <w:rPr>
                <w:rFonts w:hint="eastAsia" w:ascii="宋体" w:hAnsi="宋体" w:cs="宋体"/>
                <w:sz w:val="24"/>
                <w:szCs w:val="24"/>
              </w:rPr>
            </w:pPr>
            <w:r>
              <w:rPr>
                <w:rFonts w:ascii="宋体" w:hAnsi="宋体"/>
                <w:sz w:val="24"/>
                <w:szCs w:val="24"/>
              </w:rPr>
              <w:t>人员配备</w:t>
            </w:r>
          </w:p>
        </w:tc>
        <w:tc>
          <w:tcPr>
            <w:tcW w:w="6778" w:type="dxa"/>
            <w:tcBorders>
              <w:top w:val="single" w:color="auto" w:sz="4" w:space="0"/>
              <w:left w:val="single" w:color="auto" w:sz="4" w:space="0"/>
              <w:bottom w:val="single" w:color="auto" w:sz="4" w:space="0"/>
              <w:right w:val="single" w:color="auto" w:sz="4" w:space="0"/>
            </w:tcBorders>
            <w:vAlign w:val="center"/>
          </w:tcPr>
          <w:p w14:paraId="75CB6650">
            <w:pPr>
              <w:spacing w:line="400" w:lineRule="exact"/>
              <w:rPr>
                <w:rFonts w:hint="eastAsia" w:ascii="宋体" w:hAnsi="宋体"/>
                <w:sz w:val="24"/>
                <w:szCs w:val="24"/>
              </w:rPr>
            </w:pPr>
            <w:r>
              <w:rPr>
                <w:rFonts w:hint="eastAsia" w:ascii="宋体" w:hAnsi="宋体"/>
                <w:sz w:val="24"/>
                <w:szCs w:val="24"/>
              </w:rPr>
              <w:t>各</w:t>
            </w:r>
            <w:r>
              <w:rPr>
                <w:rFonts w:ascii="宋体" w:hAnsi="宋体"/>
                <w:sz w:val="24"/>
                <w:szCs w:val="24"/>
              </w:rPr>
              <w:t>类岗位、人员配置齐全、科学：</w:t>
            </w:r>
          </w:p>
          <w:p w14:paraId="5D55981E">
            <w:pPr>
              <w:adjustRightInd w:val="0"/>
              <w:snapToGrid w:val="0"/>
              <w:spacing w:line="400" w:lineRule="exact"/>
              <w:jc w:val="left"/>
              <w:rPr>
                <w:rFonts w:hint="eastAsia" w:ascii="宋体" w:hAnsi="宋体"/>
                <w:color w:val="auto"/>
                <w:sz w:val="24"/>
                <w:szCs w:val="24"/>
              </w:rPr>
            </w:pPr>
            <w:r>
              <w:rPr>
                <w:rFonts w:ascii="宋体" w:hAnsi="宋体"/>
                <w:sz w:val="24"/>
                <w:szCs w:val="24"/>
              </w:rPr>
              <w:t xml:space="preserve"> </w:t>
            </w:r>
            <w:r>
              <w:rPr>
                <w:rFonts w:hint="eastAsia" w:ascii="宋体" w:hAnsi="宋体"/>
                <w:sz w:val="24"/>
                <w:szCs w:val="24"/>
              </w:rPr>
              <w:t>1、投标供应商配备项目负责人：具有国家级餐饮类协会颁发的食品安全管理师证书得</w:t>
            </w:r>
            <w:r>
              <w:rPr>
                <w:rFonts w:ascii="宋体" w:hAnsi="宋体"/>
                <w:sz w:val="24"/>
                <w:szCs w:val="24"/>
              </w:rPr>
              <w:t>1</w:t>
            </w:r>
            <w:r>
              <w:rPr>
                <w:rFonts w:hint="eastAsia" w:ascii="宋体" w:hAnsi="宋体"/>
                <w:sz w:val="24"/>
                <w:szCs w:val="24"/>
              </w:rPr>
              <w:t>分；具有国家级餐饮类协会颁发的高级职业经理人证书的得1分；</w:t>
            </w:r>
            <w:r>
              <w:rPr>
                <w:rFonts w:hint="eastAsia" w:ascii="宋体" w:hAnsi="宋体"/>
                <w:color w:val="auto"/>
                <w:sz w:val="24"/>
                <w:szCs w:val="24"/>
              </w:rPr>
              <w:t>具有3年以上餐饮经营管理经验的得2分；此项最高得3分。</w:t>
            </w:r>
          </w:p>
          <w:p w14:paraId="6072FCA0">
            <w:pPr>
              <w:adjustRightInd w:val="0"/>
              <w:snapToGrid w:val="0"/>
              <w:spacing w:line="400" w:lineRule="exact"/>
              <w:jc w:val="left"/>
              <w:rPr>
                <w:rFonts w:hint="eastAsia" w:ascii="宋体" w:hAnsi="宋体"/>
                <w:sz w:val="24"/>
                <w:szCs w:val="24"/>
              </w:rPr>
            </w:pPr>
            <w:r>
              <w:rPr>
                <w:rFonts w:hint="eastAsia" w:ascii="宋体" w:hAnsi="宋体"/>
                <w:sz w:val="24"/>
                <w:szCs w:val="24"/>
              </w:rPr>
              <w:t>2、投标供应商配备具有中式烹调（饪）师，每提供1名得1 分；此项最高得</w:t>
            </w:r>
            <w:r>
              <w:rPr>
                <w:rFonts w:hint="eastAsia" w:ascii="宋体" w:hAnsi="宋体"/>
                <w:color w:val="FF0000"/>
                <w:sz w:val="24"/>
                <w:szCs w:val="24"/>
              </w:rPr>
              <w:t>5分</w:t>
            </w:r>
            <w:r>
              <w:rPr>
                <w:rFonts w:hint="eastAsia" w:ascii="宋体" w:hAnsi="宋体"/>
                <w:sz w:val="24"/>
                <w:szCs w:val="24"/>
              </w:rPr>
              <w:t xml:space="preserve">。 </w:t>
            </w:r>
          </w:p>
          <w:p w14:paraId="28F95A09">
            <w:pPr>
              <w:adjustRightInd w:val="0"/>
              <w:snapToGrid w:val="0"/>
              <w:spacing w:line="400" w:lineRule="exact"/>
              <w:jc w:val="left"/>
              <w:rPr>
                <w:rFonts w:hint="eastAsia" w:ascii="宋体" w:hAnsi="宋体"/>
                <w:b/>
                <w:bCs/>
                <w:sz w:val="24"/>
                <w:szCs w:val="24"/>
              </w:rPr>
            </w:pPr>
            <w:r>
              <w:rPr>
                <w:rFonts w:hint="eastAsia" w:ascii="宋体" w:hAnsi="宋体"/>
                <w:b/>
                <w:bCs/>
                <w:sz w:val="24"/>
                <w:szCs w:val="24"/>
              </w:rPr>
              <w:t>注：（1）上述配备人员需提供人员证书以及与投标供应商签订的劳动合同、身份证、有效期内的健康证</w:t>
            </w:r>
            <w:r>
              <w:rPr>
                <w:rFonts w:hint="eastAsia" w:ascii="宋体" w:hAnsi="宋体"/>
                <w:b/>
                <w:bCs/>
                <w:sz w:val="24"/>
                <w:szCs w:val="24"/>
                <w:highlight w:val="none"/>
              </w:rPr>
              <w:t>、</w:t>
            </w:r>
            <w:r>
              <w:rPr>
                <w:rFonts w:hint="eastAsia" w:ascii="宋体" w:hAnsi="宋体"/>
                <w:b/>
                <w:bCs/>
                <w:sz w:val="24"/>
                <w:szCs w:val="24"/>
                <w:highlight w:val="none"/>
                <w:lang w:val="en-US" w:eastAsia="zh-CN"/>
              </w:rPr>
              <w:t>近3个月内</w:t>
            </w:r>
            <w:r>
              <w:rPr>
                <w:rFonts w:hint="eastAsia" w:ascii="宋体" w:hAnsi="宋体"/>
                <w:b/>
                <w:bCs/>
                <w:sz w:val="24"/>
                <w:szCs w:val="24"/>
              </w:rPr>
              <w:t>任意</w:t>
            </w:r>
            <w:r>
              <w:rPr>
                <w:rFonts w:ascii="宋体" w:hAnsi="宋体"/>
                <w:b/>
                <w:bCs/>
                <w:sz w:val="24"/>
                <w:szCs w:val="24"/>
              </w:rPr>
              <w:t>一个月</w:t>
            </w:r>
            <w:r>
              <w:rPr>
                <w:rFonts w:hint="eastAsia" w:ascii="宋体" w:hAnsi="宋体"/>
                <w:b/>
                <w:bCs/>
                <w:sz w:val="24"/>
                <w:szCs w:val="24"/>
              </w:rPr>
              <w:t>社保缴纳证明材料的原件的扫描件；具有3年以上餐饮经营管理经验需提供</w:t>
            </w:r>
            <w:r>
              <w:rPr>
                <w:rFonts w:hint="eastAsia" w:ascii="宋体" w:hAnsi="宋体"/>
                <w:b/>
                <w:bCs/>
                <w:sz w:val="24"/>
                <w:szCs w:val="24"/>
                <w:highlight w:val="none"/>
                <w:lang w:val="en-US" w:eastAsia="zh-CN"/>
              </w:rPr>
              <w:t>合同</w:t>
            </w:r>
            <w:r>
              <w:rPr>
                <w:rFonts w:hint="eastAsia" w:ascii="宋体" w:hAnsi="宋体"/>
                <w:b/>
                <w:bCs/>
                <w:sz w:val="24"/>
                <w:szCs w:val="24"/>
              </w:rPr>
              <w:t>扫描件；同时供应商需提供承诺函，承诺以上所有人员在本项目服务期内均专职服务于本项目，进场前由发包单位对人员身份进行核查，如有虚假响应情况一律作废标处理，并报监管部门按相关法律法规进行处罚。</w:t>
            </w:r>
          </w:p>
          <w:p w14:paraId="2F1AC396">
            <w:pPr>
              <w:pStyle w:val="13"/>
              <w:numPr>
                <w:ilvl w:val="0"/>
                <w:numId w:val="2"/>
              </w:numPr>
              <w:spacing w:line="400" w:lineRule="exact"/>
              <w:ind w:right="-21" w:firstLine="542"/>
              <w:rPr>
                <w:rFonts w:hint="eastAsia"/>
              </w:rPr>
            </w:pPr>
            <w:r>
              <w:rPr>
                <w:rFonts w:hint="eastAsia" w:ascii="宋体" w:hAnsi="宋体" w:eastAsia="宋体" w:cs="Times New Roman"/>
                <w:b/>
                <w:bCs/>
                <w:kern w:val="2"/>
                <w:szCs w:val="24"/>
              </w:rPr>
              <w:t>此项累计最高得分</w:t>
            </w:r>
            <w:r>
              <w:rPr>
                <w:rFonts w:ascii="宋体" w:hAnsi="宋体" w:eastAsia="宋体" w:cs="Times New Roman"/>
                <w:b/>
                <w:bCs/>
                <w:kern w:val="2"/>
                <w:szCs w:val="24"/>
              </w:rPr>
              <w:t>8</w:t>
            </w:r>
            <w:r>
              <w:rPr>
                <w:rFonts w:hint="eastAsia" w:ascii="宋体" w:hAnsi="宋体" w:eastAsia="宋体" w:cs="Times New Roman"/>
                <w:b/>
                <w:bCs/>
                <w:kern w:val="2"/>
                <w:szCs w:val="24"/>
              </w:rPr>
              <w:t>分。</w:t>
            </w:r>
          </w:p>
        </w:tc>
        <w:tc>
          <w:tcPr>
            <w:tcW w:w="653" w:type="dxa"/>
            <w:tcBorders>
              <w:top w:val="single" w:color="auto" w:sz="4" w:space="0"/>
              <w:left w:val="single" w:color="auto" w:sz="4" w:space="0"/>
              <w:bottom w:val="single" w:color="auto" w:sz="4" w:space="0"/>
              <w:right w:val="single" w:color="auto" w:sz="4" w:space="0"/>
            </w:tcBorders>
            <w:vAlign w:val="center"/>
          </w:tcPr>
          <w:p w14:paraId="26E4D205">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-8</w:t>
            </w:r>
          </w:p>
        </w:tc>
      </w:tr>
      <w:tr w14:paraId="1F26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41" w:type="dxa"/>
            <w:vMerge w:val="continue"/>
            <w:tcBorders>
              <w:left w:val="single" w:color="auto" w:sz="4" w:space="0"/>
              <w:right w:val="single" w:color="auto" w:sz="4" w:space="0"/>
            </w:tcBorders>
            <w:vAlign w:val="center"/>
          </w:tcPr>
          <w:p w14:paraId="09F788CC">
            <w:pPr>
              <w:spacing w:line="400" w:lineRule="exact"/>
              <w:jc w:val="center"/>
              <w:rPr>
                <w:rFonts w:hint="eastAsia" w:ascii="宋体" w:hAnsi="宋体" w:cs="宋体"/>
                <w:sz w:val="24"/>
                <w:szCs w:val="24"/>
                <w:lang w:val="en-US" w:eastAsia="zh-CN"/>
              </w:rPr>
            </w:pPr>
          </w:p>
        </w:tc>
        <w:tc>
          <w:tcPr>
            <w:tcW w:w="1041" w:type="dxa"/>
            <w:tcBorders>
              <w:left w:val="single" w:color="auto" w:sz="4" w:space="0"/>
              <w:bottom w:val="single" w:color="auto" w:sz="4" w:space="0"/>
              <w:right w:val="single" w:color="auto" w:sz="4" w:space="0"/>
            </w:tcBorders>
            <w:vAlign w:val="center"/>
          </w:tcPr>
          <w:p w14:paraId="65E07834">
            <w:pPr>
              <w:widowControl/>
              <w:spacing w:line="400" w:lineRule="exact"/>
              <w:jc w:val="center"/>
              <w:rPr>
                <w:rFonts w:hint="eastAsia" w:ascii="宋体" w:hAnsi="宋体"/>
                <w:sz w:val="24"/>
                <w:szCs w:val="24"/>
              </w:rPr>
            </w:pPr>
            <w:r>
              <w:rPr>
                <w:rFonts w:ascii="宋体" w:hAnsi="宋体"/>
                <w:sz w:val="24"/>
                <w:szCs w:val="24"/>
              </w:rPr>
              <w:t>应急</w:t>
            </w:r>
          </w:p>
          <w:p w14:paraId="524FDD4C">
            <w:pPr>
              <w:widowControl/>
              <w:spacing w:line="400" w:lineRule="exact"/>
              <w:jc w:val="center"/>
              <w:rPr>
                <w:rFonts w:hint="eastAsia" w:ascii="宋体" w:hAnsi="宋体"/>
                <w:sz w:val="24"/>
                <w:szCs w:val="24"/>
              </w:rPr>
            </w:pPr>
            <w:r>
              <w:rPr>
                <w:rFonts w:ascii="宋体" w:hAnsi="宋体"/>
                <w:sz w:val="24"/>
                <w:szCs w:val="24"/>
              </w:rPr>
              <w:t>处理</w:t>
            </w:r>
          </w:p>
          <w:p w14:paraId="620709AE">
            <w:pPr>
              <w:widowControl/>
              <w:spacing w:line="400" w:lineRule="exact"/>
              <w:jc w:val="center"/>
              <w:rPr>
                <w:rFonts w:hint="eastAsia" w:ascii="宋体" w:hAnsi="宋体" w:cs="宋体"/>
                <w:sz w:val="24"/>
                <w:szCs w:val="24"/>
              </w:rPr>
            </w:pPr>
            <w:r>
              <w:rPr>
                <w:rFonts w:ascii="宋体" w:hAnsi="宋体"/>
                <w:sz w:val="24"/>
                <w:szCs w:val="24"/>
              </w:rPr>
              <w:t>方案</w:t>
            </w:r>
          </w:p>
        </w:tc>
        <w:tc>
          <w:tcPr>
            <w:tcW w:w="6778" w:type="dxa"/>
            <w:tcBorders>
              <w:top w:val="single" w:color="auto" w:sz="4" w:space="0"/>
              <w:left w:val="single" w:color="auto" w:sz="4" w:space="0"/>
              <w:bottom w:val="single" w:color="auto" w:sz="4" w:space="0"/>
              <w:right w:val="single" w:color="auto" w:sz="4" w:space="0"/>
            </w:tcBorders>
            <w:vAlign w:val="center"/>
          </w:tcPr>
          <w:p w14:paraId="75765283">
            <w:pPr>
              <w:spacing w:line="400" w:lineRule="exact"/>
              <w:rPr>
                <w:rFonts w:hint="eastAsia" w:ascii="宋体" w:hAnsi="宋体"/>
                <w:sz w:val="24"/>
                <w:szCs w:val="24"/>
              </w:rPr>
            </w:pPr>
            <w:r>
              <w:rPr>
                <w:rFonts w:ascii="宋体" w:hAnsi="宋体"/>
                <w:sz w:val="24"/>
                <w:szCs w:val="24"/>
              </w:rPr>
              <w:t>1. 投标供应商针对</w:t>
            </w:r>
            <w:r>
              <w:rPr>
                <w:rFonts w:hint="eastAsia" w:ascii="宋体" w:hAnsi="宋体"/>
                <w:sz w:val="24"/>
                <w:szCs w:val="24"/>
              </w:rPr>
              <w:t>突发食品安全事故、传染性疾病防控、恶劣天气、</w:t>
            </w:r>
            <w:r>
              <w:rPr>
                <w:rFonts w:ascii="宋体" w:hAnsi="宋体"/>
                <w:sz w:val="24"/>
                <w:szCs w:val="24"/>
              </w:rPr>
              <w:t>停水、停电</w:t>
            </w:r>
            <w:r>
              <w:rPr>
                <w:rFonts w:hint="eastAsia" w:ascii="宋体" w:hAnsi="宋体"/>
                <w:sz w:val="24"/>
                <w:szCs w:val="24"/>
              </w:rPr>
              <w:t>、停气、消防</w:t>
            </w:r>
            <w:r>
              <w:rPr>
                <w:rFonts w:ascii="宋体" w:hAnsi="宋体"/>
                <w:sz w:val="24"/>
                <w:szCs w:val="24"/>
              </w:rPr>
              <w:t>等各种紧急情况制定切实可行应急方案</w:t>
            </w:r>
            <w:r>
              <w:rPr>
                <w:rFonts w:hint="eastAsia" w:ascii="宋体" w:hAnsi="宋体"/>
                <w:sz w:val="24"/>
                <w:szCs w:val="24"/>
              </w:rPr>
              <w:t>，</w:t>
            </w:r>
            <w:r>
              <w:rPr>
                <w:rFonts w:ascii="宋体" w:hAnsi="宋体"/>
                <w:sz w:val="24"/>
                <w:szCs w:val="24"/>
              </w:rPr>
              <w:t>进行综合评分</w:t>
            </w:r>
            <w:r>
              <w:rPr>
                <w:rFonts w:hint="eastAsia" w:ascii="宋体" w:hAnsi="宋体"/>
                <w:sz w:val="24"/>
                <w:szCs w:val="24"/>
              </w:rPr>
              <w:t>：</w:t>
            </w:r>
          </w:p>
          <w:p w14:paraId="649E2075">
            <w:pPr>
              <w:spacing w:line="400" w:lineRule="exact"/>
              <w:rPr>
                <w:rFonts w:hint="eastAsia" w:ascii="宋体" w:hAnsi="宋体"/>
                <w:sz w:val="24"/>
                <w:szCs w:val="24"/>
              </w:rPr>
            </w:pPr>
            <w:r>
              <w:rPr>
                <w:rFonts w:hint="eastAsia" w:ascii="宋体" w:hAnsi="宋体"/>
                <w:sz w:val="24"/>
                <w:szCs w:val="24"/>
              </w:rPr>
              <w:t>（1）突发食品安全事故应急方案应实现学校食品安全“零事故”，安全管理制度化、规范化、有针对</w:t>
            </w:r>
            <w:r>
              <w:rPr>
                <w:rFonts w:ascii="宋体" w:hAnsi="宋体"/>
                <w:sz w:val="24"/>
                <w:szCs w:val="24"/>
              </w:rPr>
              <w:t>性</w:t>
            </w:r>
            <w:r>
              <w:rPr>
                <w:rFonts w:hint="eastAsia" w:ascii="宋体" w:hAnsi="宋体"/>
                <w:sz w:val="24"/>
                <w:szCs w:val="24"/>
              </w:rPr>
              <w:t>。方案内容具体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针对性的得3分；内容简单</w:t>
            </w:r>
            <w:r>
              <w:rPr>
                <w:rFonts w:ascii="宋体" w:hAnsi="宋体"/>
                <w:sz w:val="24"/>
                <w:szCs w:val="24"/>
              </w:rPr>
              <w:t>，针对性不强</w:t>
            </w:r>
            <w:r>
              <w:rPr>
                <w:rFonts w:hint="eastAsia" w:ascii="宋体" w:hAnsi="宋体"/>
                <w:sz w:val="24"/>
                <w:szCs w:val="24"/>
              </w:rPr>
              <w:t>的得1分；不提供不得分；</w:t>
            </w:r>
          </w:p>
          <w:p w14:paraId="0B68A373">
            <w:pPr>
              <w:spacing w:line="400" w:lineRule="exact"/>
              <w:rPr>
                <w:rFonts w:hint="eastAsia" w:ascii="宋体" w:hAnsi="宋体"/>
                <w:sz w:val="24"/>
                <w:szCs w:val="24"/>
              </w:rPr>
            </w:pPr>
            <w:r>
              <w:rPr>
                <w:rFonts w:hint="eastAsia" w:ascii="宋体" w:hAnsi="宋体"/>
                <w:sz w:val="24"/>
                <w:szCs w:val="24"/>
              </w:rPr>
              <w:t>（2）传染性疾病防控应急方案应建立快速的应急、救援工作机制，及时采取科学有效的防控措施。防控措施满足项目需求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66633C02">
            <w:pPr>
              <w:spacing w:line="400" w:lineRule="exact"/>
              <w:rPr>
                <w:rFonts w:hint="eastAsia" w:ascii="宋体" w:hAnsi="宋体"/>
                <w:sz w:val="24"/>
                <w:szCs w:val="24"/>
              </w:rPr>
            </w:pPr>
            <w:r>
              <w:rPr>
                <w:rFonts w:hint="eastAsia" w:ascii="宋体" w:hAnsi="宋体"/>
                <w:sz w:val="24"/>
                <w:szCs w:val="24"/>
              </w:rPr>
              <w:t>（3）为保证恶劣天气、停水、停电、停气、消防等突发情况下全校师生正常就餐，特殊情况下安全性、及时性服务能力。保障措施满足项目需求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5EF91EB6">
            <w:pPr>
              <w:spacing w:line="400" w:lineRule="exact"/>
              <w:rPr>
                <w:rFonts w:hint="eastAsia" w:ascii="宋体" w:hAnsi="宋体"/>
                <w:b/>
                <w:bCs/>
                <w:sz w:val="24"/>
                <w:szCs w:val="24"/>
              </w:rPr>
            </w:pPr>
            <w:r>
              <w:rPr>
                <w:rFonts w:hint="eastAsia" w:ascii="宋体" w:hAnsi="宋体"/>
                <w:b/>
                <w:bCs/>
                <w:sz w:val="24"/>
                <w:szCs w:val="24"/>
              </w:rPr>
              <w:t>注：</w:t>
            </w:r>
            <w:r>
              <w:rPr>
                <w:rFonts w:ascii="宋体" w:hAnsi="宋体"/>
                <w:b/>
                <w:bCs/>
                <w:sz w:val="24"/>
                <w:szCs w:val="24"/>
              </w:rPr>
              <w:t>此项累计最高得分15分。</w:t>
            </w:r>
          </w:p>
        </w:tc>
        <w:tc>
          <w:tcPr>
            <w:tcW w:w="653" w:type="dxa"/>
            <w:tcBorders>
              <w:top w:val="single" w:color="auto" w:sz="4" w:space="0"/>
              <w:left w:val="single" w:color="auto" w:sz="4" w:space="0"/>
              <w:bottom w:val="single" w:color="auto" w:sz="4" w:space="0"/>
              <w:right w:val="single" w:color="auto" w:sz="4" w:space="0"/>
            </w:tcBorders>
            <w:vAlign w:val="center"/>
          </w:tcPr>
          <w:p w14:paraId="0E48BA6C">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07F0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41" w:type="dxa"/>
            <w:vMerge w:val="continue"/>
            <w:tcBorders>
              <w:left w:val="single" w:color="auto" w:sz="4" w:space="0"/>
              <w:right w:val="single" w:color="auto" w:sz="4" w:space="0"/>
            </w:tcBorders>
            <w:vAlign w:val="center"/>
          </w:tcPr>
          <w:p w14:paraId="2A8951AC">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5FF24BF0">
            <w:pPr>
              <w:widowControl/>
              <w:spacing w:line="400" w:lineRule="exact"/>
              <w:jc w:val="center"/>
              <w:rPr>
                <w:rFonts w:hint="eastAsia" w:ascii="宋体" w:hAnsi="宋体" w:cs="宋体"/>
                <w:sz w:val="24"/>
                <w:szCs w:val="24"/>
              </w:rPr>
            </w:pPr>
            <w:r>
              <w:rPr>
                <w:rFonts w:ascii="宋体" w:hAnsi="宋体"/>
                <w:sz w:val="24"/>
                <w:szCs w:val="24"/>
              </w:rPr>
              <w:t>经营方案</w:t>
            </w:r>
          </w:p>
        </w:tc>
        <w:tc>
          <w:tcPr>
            <w:tcW w:w="6778" w:type="dxa"/>
            <w:tcBorders>
              <w:top w:val="single" w:color="auto" w:sz="4" w:space="0"/>
              <w:left w:val="single" w:color="auto" w:sz="4" w:space="0"/>
              <w:bottom w:val="single" w:color="auto" w:sz="4" w:space="0"/>
              <w:right w:val="single" w:color="auto" w:sz="4" w:space="0"/>
            </w:tcBorders>
            <w:vAlign w:val="center"/>
          </w:tcPr>
          <w:p w14:paraId="10AA06F4">
            <w:pPr>
              <w:spacing w:line="400" w:lineRule="exact"/>
              <w:rPr>
                <w:rFonts w:hint="eastAsia" w:ascii="宋体" w:hAnsi="宋体"/>
                <w:sz w:val="24"/>
                <w:szCs w:val="24"/>
              </w:rPr>
            </w:pPr>
            <w:r>
              <w:rPr>
                <w:rFonts w:ascii="宋体" w:hAnsi="宋体"/>
                <w:sz w:val="24"/>
                <w:szCs w:val="24"/>
              </w:rPr>
              <w:t>围绕经营管理、</w:t>
            </w:r>
            <w:r>
              <w:rPr>
                <w:rFonts w:hint="eastAsia" w:ascii="宋体" w:hAnsi="宋体"/>
                <w:sz w:val="24"/>
                <w:szCs w:val="24"/>
              </w:rPr>
              <w:t>人员配置、</w:t>
            </w:r>
            <w:r>
              <w:rPr>
                <w:rFonts w:ascii="宋体" w:hAnsi="宋体"/>
                <w:sz w:val="24"/>
                <w:szCs w:val="24"/>
              </w:rPr>
              <w:t>原材料采购、原材料验收标准、饭菜品种与价格、与学校共建校园文化、食品安全环境卫生、食品质量控制、服务质量控制、卫生管理控制(食品卫生</w:t>
            </w:r>
            <w:r>
              <w:rPr>
                <w:rFonts w:hint="eastAsia" w:ascii="宋体" w:hAnsi="宋体"/>
                <w:sz w:val="24"/>
                <w:szCs w:val="24"/>
              </w:rPr>
              <w:t>，</w:t>
            </w:r>
            <w:r>
              <w:rPr>
                <w:rFonts w:ascii="宋体" w:hAnsi="宋体"/>
                <w:sz w:val="24"/>
                <w:szCs w:val="24"/>
              </w:rPr>
              <w:t>人员卫生，环境卫生，垃圾处理方案等)、食品添加剂管理、明厨亮灶等进行综合评分</w:t>
            </w:r>
            <w:r>
              <w:rPr>
                <w:rFonts w:hint="eastAsia" w:ascii="宋体" w:hAnsi="宋体"/>
                <w:sz w:val="24"/>
                <w:szCs w:val="24"/>
              </w:rPr>
              <w:t>：</w:t>
            </w:r>
            <w:r>
              <w:rPr>
                <w:rFonts w:ascii="宋体" w:hAnsi="宋体"/>
                <w:sz w:val="24"/>
                <w:szCs w:val="24"/>
              </w:rPr>
              <w:t xml:space="preserve"> </w:t>
            </w:r>
          </w:p>
          <w:p w14:paraId="5273EAF5">
            <w:pPr>
              <w:spacing w:line="400" w:lineRule="exact"/>
              <w:rPr>
                <w:rFonts w:hint="eastAsia" w:ascii="宋体" w:hAnsi="宋体"/>
                <w:sz w:val="24"/>
                <w:szCs w:val="24"/>
              </w:rPr>
            </w:pPr>
            <w:r>
              <w:rPr>
                <w:rFonts w:hint="eastAsia" w:ascii="宋体" w:hAnsi="宋体"/>
                <w:sz w:val="24"/>
                <w:szCs w:val="24"/>
              </w:rPr>
              <w:t>（1）</w:t>
            </w:r>
            <w:r>
              <w:rPr>
                <w:rFonts w:ascii="宋体" w:hAnsi="宋体"/>
                <w:sz w:val="24"/>
                <w:szCs w:val="24"/>
              </w:rPr>
              <w:t>经营实施方案</w:t>
            </w:r>
            <w:r>
              <w:rPr>
                <w:rFonts w:hint="eastAsia" w:ascii="宋体" w:hAnsi="宋体"/>
                <w:sz w:val="24"/>
                <w:szCs w:val="24"/>
              </w:rPr>
              <w:t>满足项目需求，内容完整，措施规范全面，得 5分；</w:t>
            </w:r>
          </w:p>
          <w:p w14:paraId="4F6EE8B1">
            <w:pPr>
              <w:spacing w:line="400" w:lineRule="exact"/>
              <w:rPr>
                <w:rFonts w:hint="eastAsia" w:ascii="宋体" w:hAnsi="宋体"/>
                <w:sz w:val="24"/>
                <w:szCs w:val="24"/>
              </w:rPr>
            </w:pPr>
            <w:r>
              <w:rPr>
                <w:rFonts w:hint="eastAsia" w:ascii="宋体" w:hAnsi="宋体"/>
                <w:sz w:val="24"/>
                <w:szCs w:val="24"/>
              </w:rPr>
              <w:t>（2）</w:t>
            </w:r>
            <w:r>
              <w:rPr>
                <w:rFonts w:ascii="宋体" w:hAnsi="宋体"/>
                <w:sz w:val="24"/>
                <w:szCs w:val="24"/>
              </w:rPr>
              <w:t>经营实施方案</w:t>
            </w:r>
            <w:r>
              <w:rPr>
                <w:rFonts w:hint="eastAsia" w:ascii="宋体" w:hAnsi="宋体"/>
                <w:sz w:val="24"/>
                <w:szCs w:val="24"/>
              </w:rPr>
              <w:t>基本满足项目需求，内容有待完善，措施有待改进，得3分；</w:t>
            </w:r>
          </w:p>
          <w:p w14:paraId="16AA4C38">
            <w:pPr>
              <w:spacing w:line="400" w:lineRule="exact"/>
              <w:rPr>
                <w:rFonts w:hint="eastAsia" w:ascii="宋体" w:hAnsi="宋体"/>
                <w:sz w:val="24"/>
                <w:szCs w:val="24"/>
              </w:rPr>
            </w:pPr>
            <w:r>
              <w:rPr>
                <w:rFonts w:hint="eastAsia" w:ascii="宋体" w:hAnsi="宋体"/>
                <w:sz w:val="24"/>
                <w:szCs w:val="24"/>
              </w:rPr>
              <w:t>（3）</w:t>
            </w:r>
            <w:r>
              <w:rPr>
                <w:rFonts w:ascii="宋体" w:hAnsi="宋体"/>
                <w:sz w:val="24"/>
                <w:szCs w:val="24"/>
              </w:rPr>
              <w:t>经营实施方案</w:t>
            </w:r>
            <w:r>
              <w:rPr>
                <w:rFonts w:hint="eastAsia" w:ascii="宋体" w:hAnsi="宋体"/>
                <w:sz w:val="24"/>
                <w:szCs w:val="24"/>
              </w:rPr>
              <w:t>笼统，与项目实际需求有较大出入，措施缺失，得1分；</w:t>
            </w:r>
          </w:p>
          <w:p w14:paraId="5B3CB9CE">
            <w:pPr>
              <w:spacing w:line="400" w:lineRule="exact"/>
              <w:rPr>
                <w:rFonts w:hint="eastAsia" w:ascii="宋体" w:hAnsi="宋体" w:cs="宋体"/>
                <w:b/>
                <w:sz w:val="24"/>
                <w:szCs w:val="24"/>
              </w:rPr>
            </w:pPr>
            <w:r>
              <w:rPr>
                <w:rFonts w:hint="eastAsia" w:ascii="宋体" w:hAnsi="宋体"/>
                <w:sz w:val="24"/>
                <w:szCs w:val="24"/>
              </w:rPr>
              <w:t>（4）</w:t>
            </w:r>
            <w:r>
              <w:rPr>
                <w:rFonts w:ascii="宋体" w:hAnsi="宋体"/>
                <w:sz w:val="24"/>
                <w:szCs w:val="24"/>
              </w:rPr>
              <w:t>未提供</w:t>
            </w:r>
            <w:r>
              <w:rPr>
                <w:rFonts w:hint="eastAsia" w:ascii="宋体" w:hAnsi="宋体"/>
                <w:sz w:val="24"/>
                <w:szCs w:val="24"/>
              </w:rPr>
              <w:t>方案</w:t>
            </w:r>
            <w:r>
              <w:rPr>
                <w:rFonts w:ascii="宋体" w:hAnsi="宋体"/>
                <w:sz w:val="24"/>
                <w:szCs w:val="24"/>
              </w:rPr>
              <w:t>不得分。</w:t>
            </w:r>
          </w:p>
        </w:tc>
        <w:tc>
          <w:tcPr>
            <w:tcW w:w="653" w:type="dxa"/>
            <w:tcBorders>
              <w:top w:val="single" w:color="auto" w:sz="4" w:space="0"/>
              <w:left w:val="single" w:color="auto" w:sz="4" w:space="0"/>
              <w:bottom w:val="single" w:color="auto" w:sz="4" w:space="0"/>
              <w:right w:val="single" w:color="auto" w:sz="4" w:space="0"/>
            </w:tcBorders>
            <w:vAlign w:val="center"/>
          </w:tcPr>
          <w:p w14:paraId="76BA7B57">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-5</w:t>
            </w:r>
          </w:p>
        </w:tc>
      </w:tr>
      <w:tr w14:paraId="497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41" w:type="dxa"/>
            <w:vMerge w:val="continue"/>
            <w:tcBorders>
              <w:left w:val="single" w:color="auto" w:sz="4" w:space="0"/>
              <w:bottom w:val="single" w:color="auto" w:sz="4" w:space="0"/>
              <w:right w:val="single" w:color="auto" w:sz="4" w:space="0"/>
            </w:tcBorders>
            <w:vAlign w:val="center"/>
          </w:tcPr>
          <w:p w14:paraId="0D717FE2">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664876FE">
            <w:pPr>
              <w:spacing w:line="400" w:lineRule="exact"/>
              <w:jc w:val="center"/>
              <w:rPr>
                <w:rFonts w:hint="eastAsia" w:ascii="宋体" w:hAnsi="宋体" w:cs="宋体"/>
                <w:bCs/>
                <w:sz w:val="24"/>
                <w:szCs w:val="24"/>
              </w:rPr>
            </w:pPr>
            <w:r>
              <w:rPr>
                <w:rFonts w:ascii="宋体" w:hAnsi="宋体"/>
                <w:sz w:val="24"/>
                <w:szCs w:val="24"/>
              </w:rPr>
              <w:t>管理制度</w:t>
            </w:r>
          </w:p>
        </w:tc>
        <w:tc>
          <w:tcPr>
            <w:tcW w:w="6778" w:type="dxa"/>
            <w:tcBorders>
              <w:top w:val="single" w:color="auto" w:sz="4" w:space="0"/>
              <w:left w:val="single" w:color="auto" w:sz="4" w:space="0"/>
              <w:bottom w:val="single" w:color="auto" w:sz="4" w:space="0"/>
              <w:right w:val="single" w:color="auto" w:sz="4" w:space="0"/>
            </w:tcBorders>
            <w:vAlign w:val="center"/>
          </w:tcPr>
          <w:p w14:paraId="7C2838C3">
            <w:pPr>
              <w:spacing w:line="400" w:lineRule="exact"/>
              <w:rPr>
                <w:rFonts w:hint="eastAsia" w:ascii="宋体" w:hAnsi="宋体"/>
                <w:sz w:val="24"/>
                <w:szCs w:val="24"/>
              </w:rPr>
            </w:pPr>
            <w:r>
              <w:rPr>
                <w:rFonts w:ascii="宋体" w:hAnsi="宋体"/>
                <w:sz w:val="24"/>
                <w:szCs w:val="24"/>
              </w:rPr>
              <w:t>围绕采购索证制度、库房管理制度、冰箱（柜）存放管理制度、食品加工制度、销售制度﹑存储制度、餐具洗消制度、食品留样制度、剩餐管理制度、备餐间操作管理制度、员工管理制度、食 堂意见反馈和流程、安全管理制度、收尾管理制度、电气管理制度、机械管理制度、财务管理制度、台账制度、食堂管理沟通体系</w:t>
            </w:r>
            <w:r>
              <w:rPr>
                <w:rFonts w:hint="eastAsia" w:ascii="宋体" w:hAnsi="宋体"/>
                <w:sz w:val="24"/>
                <w:szCs w:val="24"/>
              </w:rPr>
              <w:t>、治安管理</w:t>
            </w:r>
            <w:r>
              <w:rPr>
                <w:rFonts w:ascii="宋体" w:hAnsi="宋体"/>
                <w:sz w:val="24"/>
                <w:szCs w:val="24"/>
              </w:rPr>
              <w:t xml:space="preserve">等进行综合评分： </w:t>
            </w:r>
          </w:p>
          <w:p w14:paraId="09C5064E">
            <w:pPr>
              <w:spacing w:line="400" w:lineRule="exact"/>
              <w:rPr>
                <w:rFonts w:hint="eastAsia" w:ascii="宋体" w:hAnsi="宋体"/>
                <w:sz w:val="24"/>
                <w:szCs w:val="24"/>
              </w:rPr>
            </w:pPr>
            <w:r>
              <w:rPr>
                <w:rFonts w:ascii="宋体" w:hAnsi="宋体"/>
                <w:sz w:val="24"/>
                <w:szCs w:val="24"/>
              </w:rPr>
              <w:t>（1）制度</w:t>
            </w:r>
            <w:r>
              <w:rPr>
                <w:rFonts w:hint="eastAsia" w:ascii="宋体" w:hAnsi="宋体"/>
                <w:sz w:val="24"/>
                <w:szCs w:val="24"/>
              </w:rPr>
              <w:t>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w:t>
            </w:r>
          </w:p>
          <w:p w14:paraId="37D160FA">
            <w:pPr>
              <w:spacing w:line="400" w:lineRule="exact"/>
              <w:rPr>
                <w:rFonts w:hint="eastAsia" w:ascii="宋体" w:hAnsi="宋体"/>
                <w:sz w:val="24"/>
                <w:szCs w:val="24"/>
              </w:rPr>
            </w:pPr>
            <w:r>
              <w:rPr>
                <w:rFonts w:ascii="宋体" w:hAnsi="宋体"/>
                <w:sz w:val="24"/>
                <w:szCs w:val="24"/>
              </w:rPr>
              <w:t>（2）制度</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w:t>
            </w:r>
            <w:r>
              <w:rPr>
                <w:rFonts w:ascii="宋体" w:hAnsi="宋体"/>
                <w:sz w:val="24"/>
                <w:szCs w:val="24"/>
              </w:rPr>
              <w:t>，得3分</w:t>
            </w:r>
            <w:r>
              <w:rPr>
                <w:rFonts w:hint="eastAsia" w:ascii="宋体" w:hAnsi="宋体"/>
                <w:sz w:val="24"/>
                <w:szCs w:val="24"/>
              </w:rPr>
              <w:t>；</w:t>
            </w:r>
            <w:r>
              <w:rPr>
                <w:rFonts w:ascii="宋体" w:hAnsi="宋体"/>
                <w:sz w:val="24"/>
                <w:szCs w:val="24"/>
              </w:rPr>
              <w:t xml:space="preserve"> </w:t>
            </w:r>
          </w:p>
          <w:p w14:paraId="1207092D">
            <w:pPr>
              <w:spacing w:line="400" w:lineRule="exact"/>
              <w:rPr>
                <w:rFonts w:hint="eastAsia" w:ascii="宋体" w:hAnsi="宋体"/>
                <w:sz w:val="24"/>
                <w:szCs w:val="24"/>
              </w:rPr>
            </w:pPr>
            <w:r>
              <w:rPr>
                <w:rFonts w:hint="eastAsia" w:ascii="宋体" w:hAnsi="宋体"/>
                <w:sz w:val="24"/>
                <w:szCs w:val="24"/>
              </w:rPr>
              <w:t>（3）</w:t>
            </w:r>
            <w:r>
              <w:rPr>
                <w:rFonts w:ascii="宋体" w:hAnsi="宋体"/>
                <w:sz w:val="24"/>
                <w:szCs w:val="24"/>
              </w:rPr>
              <w:t>制度</w:t>
            </w:r>
            <w:r>
              <w:rPr>
                <w:rFonts w:hint="eastAsia" w:ascii="宋体" w:hAnsi="宋体"/>
                <w:sz w:val="24"/>
                <w:szCs w:val="24"/>
              </w:rPr>
              <w:t>内容简单</w:t>
            </w:r>
            <w:r>
              <w:rPr>
                <w:rFonts w:ascii="宋体" w:hAnsi="宋体"/>
                <w:sz w:val="24"/>
                <w:szCs w:val="24"/>
              </w:rPr>
              <w:t>，针对性不强</w:t>
            </w:r>
            <w:r>
              <w:rPr>
                <w:rFonts w:hint="eastAsia" w:ascii="宋体" w:hAnsi="宋体"/>
                <w:sz w:val="24"/>
                <w:szCs w:val="24"/>
              </w:rPr>
              <w:t>的，得1分；</w:t>
            </w:r>
          </w:p>
          <w:p w14:paraId="5EA442FA">
            <w:pPr>
              <w:spacing w:line="400" w:lineRule="exact"/>
              <w:rPr>
                <w:rFonts w:hint="eastAsia" w:ascii="宋体" w:hAnsi="宋体" w:cs="宋体"/>
                <w:b/>
                <w:sz w:val="24"/>
                <w:szCs w:val="24"/>
              </w:rPr>
            </w:pPr>
            <w:r>
              <w:rPr>
                <w:rFonts w:ascii="宋体" w:hAnsi="宋体"/>
                <w:sz w:val="24"/>
                <w:szCs w:val="24"/>
              </w:rPr>
              <w:t>（4）未提供</w:t>
            </w:r>
            <w:r>
              <w:rPr>
                <w:rFonts w:hint="eastAsia" w:ascii="宋体" w:hAnsi="宋体"/>
                <w:sz w:val="24"/>
                <w:szCs w:val="24"/>
              </w:rPr>
              <w:t>制度</w:t>
            </w:r>
            <w:r>
              <w:rPr>
                <w:rFonts w:ascii="宋体" w:hAnsi="宋体"/>
                <w:sz w:val="24"/>
                <w:szCs w:val="24"/>
              </w:rPr>
              <w:t>不得分。</w:t>
            </w:r>
          </w:p>
        </w:tc>
        <w:tc>
          <w:tcPr>
            <w:tcW w:w="653" w:type="dxa"/>
            <w:tcBorders>
              <w:top w:val="single" w:color="auto" w:sz="4" w:space="0"/>
              <w:left w:val="single" w:color="auto" w:sz="4" w:space="0"/>
              <w:bottom w:val="single" w:color="auto" w:sz="4" w:space="0"/>
              <w:right w:val="single" w:color="auto" w:sz="4" w:space="0"/>
            </w:tcBorders>
            <w:vAlign w:val="center"/>
          </w:tcPr>
          <w:p w14:paraId="1ED0232F">
            <w:pPr>
              <w:spacing w:line="400" w:lineRule="exact"/>
              <w:jc w:val="center"/>
              <w:rPr>
                <w:rFonts w:hint="eastAsia" w:ascii="宋体" w:hAnsi="宋体" w:cs="宋体"/>
                <w:sz w:val="24"/>
                <w:szCs w:val="24"/>
              </w:rPr>
            </w:pPr>
            <w:r>
              <w:rPr>
                <w:rFonts w:ascii="宋体" w:hAnsi="宋体"/>
                <w:sz w:val="24"/>
                <w:szCs w:val="24"/>
              </w:rPr>
              <w:t>0-5</w:t>
            </w:r>
          </w:p>
        </w:tc>
      </w:tr>
      <w:tr w14:paraId="011F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119"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14:paraId="61751477">
            <w:pPr>
              <w:spacing w:line="400" w:lineRule="exact"/>
              <w:jc w:val="center"/>
              <w:rPr>
                <w:rFonts w:hint="eastAsia" w:ascii="宋体" w:hAnsi="宋体" w:cs="宋体"/>
                <w:sz w:val="24"/>
                <w:szCs w:val="24"/>
              </w:rPr>
            </w:pPr>
            <w:r>
              <w:rPr>
                <w:rFonts w:hint="eastAsia" w:ascii="宋体" w:hAnsi="宋体" w:cs="宋体"/>
                <w:sz w:val="24"/>
                <w:szCs w:val="24"/>
              </w:rPr>
              <w:t>价格分</w:t>
            </w:r>
          </w:p>
          <w:p w14:paraId="1228AF1E">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20</w:t>
            </w:r>
            <w:r>
              <w:rPr>
                <w:rFonts w:hint="eastAsia" w:ascii="宋体" w:hAnsi="宋体" w:cs="宋体"/>
                <w:sz w:val="24"/>
                <w:szCs w:val="24"/>
                <w:u w:val="single"/>
              </w:rPr>
              <w:t xml:space="preserve"> </w:t>
            </w:r>
            <w:r>
              <w:rPr>
                <w:rFonts w:hint="eastAsia" w:ascii="宋体" w:hAnsi="宋体" w:cs="宋体"/>
                <w:sz w:val="24"/>
                <w:szCs w:val="24"/>
              </w:rPr>
              <w:t>分）</w:t>
            </w:r>
          </w:p>
        </w:tc>
        <w:tc>
          <w:tcPr>
            <w:tcW w:w="8482" w:type="dxa"/>
            <w:gridSpan w:val="4"/>
            <w:tcBorders>
              <w:top w:val="single" w:color="auto" w:sz="4" w:space="0"/>
              <w:left w:val="single" w:color="auto" w:sz="4" w:space="0"/>
              <w:bottom w:val="single" w:color="auto" w:sz="4" w:space="0"/>
              <w:right w:val="single" w:color="auto" w:sz="4" w:space="0"/>
            </w:tcBorders>
            <w:vAlign w:val="center"/>
          </w:tcPr>
          <w:p w14:paraId="66E3C990">
            <w:pPr>
              <w:spacing w:after="120" w:line="500" w:lineRule="exact"/>
              <w:rPr>
                <w:rFonts w:hint="eastAsia" w:ascii="宋体" w:hAnsi="宋体" w:cs="宋体"/>
                <w:b/>
                <w:bCs/>
                <w:sz w:val="24"/>
                <w:szCs w:val="24"/>
              </w:rPr>
            </w:pPr>
            <w:r>
              <w:rPr>
                <w:rFonts w:hint="eastAsia" w:ascii="宋体" w:hAnsi="宋体" w:cs="宋体"/>
                <w:b/>
                <w:bCs/>
                <w:sz w:val="24"/>
                <w:szCs w:val="24"/>
              </w:rPr>
              <w:t>报价响应承诺（格式见附件）：</w:t>
            </w:r>
          </w:p>
          <w:p w14:paraId="302C63F3">
            <w:pPr>
              <w:spacing w:after="120" w:line="5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承包(委托)经营企业严格遵守中小学校食堂公益性、非营利性原则，每学期食堂利润率不超过5%；2、餐费价格严格执行教育、发改、市场等部门要求，按备案价执行；3、为满足师生日常生活需求，实行套餐（菜品）品种多样化；4、米、面单价不低于“六安城区农贸市场价格</w:t>
            </w:r>
            <w:r>
              <w:rPr>
                <w:rFonts w:ascii="宋体" w:hAnsi="宋体" w:cs="宋体"/>
                <w:b/>
                <w:bCs/>
                <w:color w:val="auto"/>
                <w:sz w:val="24"/>
                <w:szCs w:val="24"/>
              </w:rPr>
              <w:t>”</w:t>
            </w:r>
            <w:r>
              <w:rPr>
                <w:rFonts w:hint="eastAsia" w:ascii="宋体" w:hAnsi="宋体" w:cs="宋体"/>
                <w:b/>
                <w:bCs/>
                <w:color w:val="auto"/>
                <w:sz w:val="24"/>
                <w:szCs w:val="24"/>
              </w:rPr>
              <w:t>同期价格，其他食材及辅材不高于“六安城区农贸市场价格</w:t>
            </w:r>
            <w:r>
              <w:rPr>
                <w:rFonts w:ascii="宋体" w:hAnsi="宋体" w:cs="宋体"/>
                <w:b/>
                <w:bCs/>
                <w:color w:val="auto"/>
                <w:sz w:val="24"/>
                <w:szCs w:val="24"/>
              </w:rPr>
              <w:t>”</w:t>
            </w:r>
            <w:r>
              <w:rPr>
                <w:rFonts w:hint="eastAsia" w:ascii="宋体" w:hAnsi="宋体" w:cs="宋体"/>
                <w:b/>
                <w:bCs/>
                <w:color w:val="auto"/>
                <w:sz w:val="24"/>
                <w:szCs w:val="24"/>
              </w:rPr>
              <w:t xml:space="preserve">同期价格；5、购买食品安全责任保险；6、定期接受相关部门对财务状况的监督检查和审计。 </w:t>
            </w:r>
          </w:p>
          <w:p w14:paraId="56F43146">
            <w:pPr>
              <w:spacing w:after="120" w:line="500" w:lineRule="exact"/>
              <w:ind w:firstLine="482" w:firstLineChars="200"/>
              <w:rPr>
                <w:rFonts w:hint="eastAsia" w:ascii="宋体" w:hAnsi="宋体" w:cs="宋体"/>
                <w:b/>
                <w:bCs/>
                <w:sz w:val="24"/>
                <w:szCs w:val="24"/>
              </w:rPr>
            </w:pPr>
            <w:r>
              <w:rPr>
                <w:rFonts w:hint="eastAsia" w:ascii="宋体" w:hAnsi="宋体" w:cs="宋体"/>
                <w:b/>
                <w:bCs/>
                <w:sz w:val="24"/>
                <w:szCs w:val="24"/>
              </w:rPr>
              <w:t>有此项承诺得20分。 无承诺或承诺不符合要求的得0分且不得推荐为中标供应商。</w:t>
            </w:r>
          </w:p>
        </w:tc>
      </w:tr>
    </w:tbl>
    <w:p w14:paraId="06C84A2B">
      <w:pPr>
        <w:spacing w:line="560" w:lineRule="exact"/>
        <w:ind w:firstLine="569" w:firstLineChars="236"/>
        <w:rPr>
          <w:rFonts w:hint="eastAsia" w:ascii="宋体" w:hAnsi="宋体"/>
          <w:b/>
          <w:bCs/>
          <w:sz w:val="24"/>
          <w:szCs w:val="24"/>
          <w:lang w:val="en-US" w:eastAsia="zh-CN"/>
        </w:rPr>
      </w:pPr>
      <w:r>
        <w:rPr>
          <w:rFonts w:hint="eastAsia" w:ascii="宋体" w:hAnsi="宋体"/>
          <w:b/>
          <w:bCs/>
          <w:sz w:val="24"/>
          <w:szCs w:val="24"/>
          <w:lang w:val="en-US" w:eastAsia="zh-CN"/>
        </w:rPr>
        <w:t>注：评分办法中“学校</w:t>
      </w:r>
      <w:r>
        <w:rPr>
          <w:rFonts w:hint="default" w:ascii="宋体" w:hAnsi="宋体"/>
          <w:b/>
          <w:bCs/>
          <w:sz w:val="24"/>
          <w:szCs w:val="24"/>
          <w:lang w:val="en-US" w:eastAsia="zh-CN"/>
        </w:rPr>
        <w:t>”</w:t>
      </w:r>
      <w:r>
        <w:rPr>
          <w:rFonts w:hint="eastAsia" w:ascii="宋体" w:hAnsi="宋体"/>
          <w:b/>
          <w:bCs/>
          <w:sz w:val="24"/>
          <w:szCs w:val="24"/>
          <w:lang w:val="en-US" w:eastAsia="zh-CN"/>
        </w:rPr>
        <w:t>是指中小学校（包含高中、幼儿园）。</w:t>
      </w:r>
    </w:p>
    <w:p w14:paraId="703BB537">
      <w:pPr>
        <w:spacing w:line="560" w:lineRule="exact"/>
        <w:ind w:firstLine="566" w:firstLineChars="236"/>
      </w:pPr>
      <w:r>
        <w:rPr>
          <w:rFonts w:hint="eastAsia" w:ascii="宋体" w:hAnsi="宋体"/>
          <w:sz w:val="24"/>
          <w:szCs w:val="24"/>
        </w:rPr>
        <w:t>3、技术标分的汇总方法为：对某一投标供应商的技术标的每一个指标项得分，取各位评委评分之平均值，四舍五入保留至小数点后两位数，得到该投标供应商该指标项的得分。再将投标供应商每个技术标的指标项得分进行汇总，得到该投标供应商的技术标分之和。</w:t>
      </w:r>
    </w:p>
    <w:p w14:paraId="0BE50BC1">
      <w:pPr>
        <w:pStyle w:val="6"/>
        <w:spacing w:line="560" w:lineRule="exact"/>
        <w:ind w:right="-11" w:firstLine="495"/>
        <w:rPr>
          <w:rFonts w:hint="eastAsia" w:ascii="宋体" w:hAnsi="宋体"/>
          <w:sz w:val="24"/>
          <w:szCs w:val="24"/>
        </w:rPr>
      </w:pPr>
      <w:r>
        <w:rPr>
          <w:rFonts w:hint="eastAsia" w:ascii="宋体" w:hAnsi="宋体"/>
          <w:sz w:val="24"/>
          <w:szCs w:val="24"/>
        </w:rPr>
        <w:t>4、得分汇总</w:t>
      </w:r>
    </w:p>
    <w:p w14:paraId="6E80D959">
      <w:pPr>
        <w:pStyle w:val="6"/>
        <w:spacing w:line="560" w:lineRule="exact"/>
        <w:ind w:right="-11" w:firstLine="495"/>
        <w:rPr>
          <w:rFonts w:ascii="宋体" w:hAnsi="宋体"/>
          <w:sz w:val="24"/>
          <w:szCs w:val="24"/>
        </w:rPr>
      </w:pPr>
      <w:r>
        <w:rPr>
          <w:rFonts w:hint="eastAsia" w:ascii="宋体" w:hAnsi="宋体"/>
          <w:sz w:val="24"/>
          <w:szCs w:val="24"/>
        </w:rPr>
        <w:t>（1）将每个有效投标供应商的技术标分之和加上根据上述标准计算出的价格分，即为该投标供应商的综合总得分。</w:t>
      </w:r>
    </w:p>
    <w:p w14:paraId="5C5683CD">
      <w:pPr>
        <w:pStyle w:val="6"/>
        <w:spacing w:line="560" w:lineRule="exact"/>
        <w:ind w:right="-11" w:firstLine="495"/>
        <w:rPr>
          <w:rFonts w:ascii="宋体" w:hAnsi="宋体"/>
          <w:sz w:val="24"/>
          <w:szCs w:val="24"/>
        </w:rPr>
      </w:pPr>
      <w:r>
        <w:rPr>
          <w:rFonts w:hint="eastAsia" w:ascii="宋体" w:hAnsi="宋体"/>
          <w:sz w:val="24"/>
          <w:szCs w:val="24"/>
        </w:rPr>
        <w:t>（2）按照有效投标供应商综合总得分由高到低依次排出中标供应商及中标候选供应商。</w:t>
      </w:r>
      <w:r>
        <w:rPr>
          <w:rFonts w:hint="eastAsia" w:ascii="宋体" w:hAnsi="宋体"/>
          <w:color w:val="auto"/>
          <w:sz w:val="24"/>
          <w:szCs w:val="24"/>
          <w:highlight w:val="none"/>
        </w:rPr>
        <w:t>综合得分相同时，采用</w:t>
      </w:r>
      <w:r>
        <w:rPr>
          <w:rFonts w:hint="eastAsia" w:ascii="宋体" w:hAnsi="宋体"/>
          <w:color w:val="auto"/>
          <w:sz w:val="24"/>
          <w:szCs w:val="24"/>
          <w:highlight w:val="none"/>
          <w:lang w:val="en-US" w:eastAsia="zh-CN"/>
        </w:rPr>
        <w:t>摇号</w:t>
      </w:r>
      <w:r>
        <w:rPr>
          <w:rFonts w:hint="eastAsia" w:ascii="宋体" w:hAnsi="宋体"/>
          <w:color w:val="auto"/>
          <w:sz w:val="24"/>
          <w:szCs w:val="24"/>
          <w:highlight w:val="none"/>
        </w:rPr>
        <w:t>方式确定排名顺序。</w:t>
      </w:r>
    </w:p>
    <w:p w14:paraId="4220162E">
      <w:pPr>
        <w:pStyle w:val="2"/>
        <w:spacing w:before="156" w:beforeLines="50" w:after="156" w:afterLines="50" w:line="560" w:lineRule="exact"/>
        <w:jc w:val="center"/>
        <w:rPr>
          <w:rFonts w:hint="eastAsia" w:ascii="宋体" w:hAnsi="宋体" w:cs="华文中宋"/>
          <w:b w:val="0"/>
          <w:bCs w:val="0"/>
          <w:sz w:val="32"/>
          <w:szCs w:val="32"/>
        </w:rPr>
      </w:pPr>
      <w:bookmarkStart w:id="6" w:name="_Toc135385810"/>
      <w:r>
        <w:rPr>
          <w:rFonts w:hint="eastAsia" w:ascii="宋体" w:hAnsi="宋体" w:cs="华文中宋"/>
          <w:b w:val="0"/>
          <w:bCs w:val="0"/>
          <w:sz w:val="32"/>
          <w:szCs w:val="32"/>
        </w:rPr>
        <w:t>第</w:t>
      </w:r>
      <w:r>
        <w:rPr>
          <w:rFonts w:ascii="宋体" w:hAnsi="宋体" w:cs="华文中宋"/>
          <w:b w:val="0"/>
          <w:bCs w:val="0"/>
          <w:sz w:val="32"/>
          <w:szCs w:val="32"/>
        </w:rPr>
        <w:t>三部分：</w:t>
      </w:r>
      <w:r>
        <w:rPr>
          <w:rFonts w:hint="eastAsia" w:ascii="宋体" w:hAnsi="宋体" w:cs="华文中宋"/>
          <w:b w:val="0"/>
          <w:bCs w:val="0"/>
          <w:sz w:val="32"/>
          <w:szCs w:val="32"/>
        </w:rPr>
        <w:t>发包需求</w:t>
      </w:r>
      <w:bookmarkEnd w:id="6"/>
    </w:p>
    <w:p w14:paraId="691B0D6C">
      <w:pPr>
        <w:spacing w:line="360" w:lineRule="auto"/>
        <w:ind w:firstLine="569" w:firstLineChars="236"/>
        <w:rPr>
          <w:b/>
          <w:bCs/>
          <w:sz w:val="24"/>
          <w:szCs w:val="24"/>
        </w:rPr>
      </w:pPr>
      <w:r>
        <w:rPr>
          <w:rFonts w:hint="eastAsia"/>
          <w:b/>
          <w:bCs/>
          <w:sz w:val="24"/>
          <w:szCs w:val="24"/>
        </w:rPr>
        <w:t>一、总体要求</w:t>
      </w:r>
    </w:p>
    <w:p w14:paraId="0BAE65D5">
      <w:pPr>
        <w:spacing w:line="360" w:lineRule="auto"/>
        <w:ind w:firstLine="566" w:firstLineChars="236"/>
        <w:rPr>
          <w:sz w:val="24"/>
          <w:szCs w:val="24"/>
        </w:rPr>
      </w:pPr>
      <w:r>
        <w:rPr>
          <w:rFonts w:hint="eastAsia"/>
          <w:sz w:val="24"/>
          <w:szCs w:val="24"/>
        </w:rPr>
        <w:t>(一)</w:t>
      </w:r>
      <w:r>
        <w:rPr>
          <w:sz w:val="24"/>
          <w:szCs w:val="24"/>
        </w:rPr>
        <w:t xml:space="preserve"> </w:t>
      </w:r>
      <w:r>
        <w:rPr>
          <w:rFonts w:hint="eastAsia"/>
          <w:sz w:val="24"/>
          <w:szCs w:val="24"/>
        </w:rPr>
        <w:t>从业人员</w:t>
      </w:r>
    </w:p>
    <w:p w14:paraId="5A3C788D">
      <w:pPr>
        <w:spacing w:line="360" w:lineRule="auto"/>
        <w:ind w:firstLine="480" w:firstLineChars="200"/>
        <w:rPr>
          <w:sz w:val="24"/>
          <w:szCs w:val="24"/>
        </w:rPr>
      </w:pPr>
      <w:r>
        <w:rPr>
          <w:rFonts w:hint="eastAsia"/>
          <w:sz w:val="24"/>
          <w:szCs w:val="24"/>
        </w:rPr>
        <w:t>从业人员及要求：项目负责人：*名</w:t>
      </w:r>
    </w:p>
    <w:p w14:paraId="6E465EE2">
      <w:pPr>
        <w:spacing w:line="360" w:lineRule="auto"/>
        <w:ind w:firstLine="480" w:firstLineChars="200"/>
        <w:rPr>
          <w:sz w:val="24"/>
          <w:szCs w:val="24"/>
        </w:rPr>
      </w:pPr>
      <w:r>
        <w:rPr>
          <w:rFonts w:hint="eastAsia"/>
          <w:sz w:val="24"/>
          <w:szCs w:val="24"/>
        </w:rPr>
        <w:t>厨师：*名</w:t>
      </w:r>
    </w:p>
    <w:p w14:paraId="58A6A943">
      <w:pPr>
        <w:spacing w:line="360" w:lineRule="auto"/>
        <w:ind w:firstLine="480" w:firstLineChars="200"/>
        <w:rPr>
          <w:sz w:val="24"/>
          <w:szCs w:val="24"/>
        </w:rPr>
      </w:pPr>
      <w:r>
        <w:rPr>
          <w:rFonts w:hint="eastAsia" w:ascii="Times New Roman" w:hAnsi="Times New Roman"/>
          <w:sz w:val="24"/>
          <w:szCs w:val="24"/>
        </w:rPr>
        <w:t>面点师：*名</w:t>
      </w:r>
    </w:p>
    <w:p w14:paraId="55906A24">
      <w:pPr>
        <w:spacing w:line="360" w:lineRule="auto"/>
        <w:ind w:firstLine="480" w:firstLineChars="200"/>
      </w:pPr>
      <w:r>
        <w:rPr>
          <w:rFonts w:hint="eastAsia"/>
          <w:sz w:val="24"/>
          <w:szCs w:val="24"/>
        </w:rPr>
        <w:t>营养师：*名（</w:t>
      </w:r>
      <w:r>
        <w:rPr>
          <w:rFonts w:hint="eastAsia" w:ascii="宋体" w:hAnsi="宋体" w:cs="宋体"/>
        </w:rPr>
        <w:t>持公共营养师或营养配餐师或美食营养师证书上岗，投标时需提供证书原件扫描）</w:t>
      </w:r>
    </w:p>
    <w:p w14:paraId="06DA5031">
      <w:pPr>
        <w:spacing w:line="360" w:lineRule="auto"/>
        <w:ind w:firstLine="480" w:firstLineChars="200"/>
        <w:rPr>
          <w:rFonts w:hint="eastAsia" w:ascii="宋体" w:hAnsi="宋体"/>
          <w:sz w:val="24"/>
          <w:szCs w:val="24"/>
        </w:rPr>
      </w:pPr>
      <w:r>
        <w:rPr>
          <w:rFonts w:hint="eastAsia" w:ascii="宋体" w:hAnsi="宋体"/>
          <w:sz w:val="24"/>
          <w:szCs w:val="24"/>
        </w:rPr>
        <w:t>案板：*名</w:t>
      </w:r>
    </w:p>
    <w:p w14:paraId="5FEF0C45">
      <w:pPr>
        <w:spacing w:line="360" w:lineRule="auto"/>
        <w:ind w:firstLine="480" w:firstLineChars="200"/>
        <w:rPr>
          <w:sz w:val="24"/>
          <w:szCs w:val="24"/>
        </w:rPr>
      </w:pPr>
      <w:r>
        <w:rPr>
          <w:rFonts w:hint="eastAsia"/>
          <w:sz w:val="24"/>
          <w:szCs w:val="24"/>
        </w:rPr>
        <w:t>服务员：满足实际经营需要</w:t>
      </w:r>
    </w:p>
    <w:p w14:paraId="5500E836">
      <w:pPr>
        <w:spacing w:line="360" w:lineRule="auto"/>
        <w:ind w:firstLine="480" w:firstLineChars="200"/>
        <w:rPr>
          <w:sz w:val="24"/>
          <w:szCs w:val="24"/>
        </w:rPr>
      </w:pPr>
      <w:r>
        <w:rPr>
          <w:rFonts w:hint="eastAsia"/>
          <w:sz w:val="24"/>
          <w:szCs w:val="24"/>
        </w:rPr>
        <w:t>勤杂工：满足实际经营需要</w:t>
      </w:r>
    </w:p>
    <w:p w14:paraId="1F0C0B8B">
      <w:pPr>
        <w:spacing w:line="360" w:lineRule="auto"/>
        <w:ind w:firstLine="566" w:firstLineChars="236"/>
        <w:rPr>
          <w:sz w:val="24"/>
          <w:szCs w:val="24"/>
        </w:rPr>
      </w:pPr>
      <w:r>
        <w:rPr>
          <w:rFonts w:hint="eastAsia"/>
          <w:sz w:val="24"/>
          <w:szCs w:val="24"/>
        </w:rPr>
        <w:t>(二)</w:t>
      </w:r>
      <w:r>
        <w:rPr>
          <w:sz w:val="24"/>
          <w:szCs w:val="24"/>
        </w:rPr>
        <w:t xml:space="preserve"> </w:t>
      </w:r>
      <w:r>
        <w:rPr>
          <w:rFonts w:hint="eastAsia"/>
          <w:sz w:val="24"/>
          <w:szCs w:val="24"/>
        </w:rPr>
        <w:t>服务行为</w:t>
      </w:r>
    </w:p>
    <w:p w14:paraId="1FE9E0E1">
      <w:pPr>
        <w:spacing w:line="360" w:lineRule="auto"/>
        <w:ind w:firstLine="566" w:firstLineChars="236"/>
        <w:rPr>
          <w:sz w:val="24"/>
          <w:szCs w:val="24"/>
        </w:rPr>
      </w:pPr>
      <w:r>
        <w:rPr>
          <w:rFonts w:hint="eastAsia"/>
          <w:sz w:val="24"/>
          <w:szCs w:val="24"/>
        </w:rPr>
        <w:t>1、任命一名有资质、有经验的管理人员，全权负责食堂的日常管理，并接受发包人的监督，落实合同约定的要求。</w:t>
      </w:r>
    </w:p>
    <w:p w14:paraId="2BF81DD0">
      <w:pPr>
        <w:spacing w:line="360" w:lineRule="auto"/>
        <w:ind w:firstLine="566" w:firstLineChars="236"/>
        <w:rPr>
          <w:color w:val="auto"/>
          <w:sz w:val="24"/>
          <w:szCs w:val="24"/>
        </w:rPr>
      </w:pPr>
      <w:r>
        <w:rPr>
          <w:rFonts w:hint="eastAsia"/>
          <w:sz w:val="24"/>
          <w:szCs w:val="24"/>
        </w:rPr>
        <w:t>2、按合同规范管理，工作人员全部由中标人自行安排(与发包人不存在雇佣等劳务关系)，按规定签订劳务合同，并依照《中华人民共和国劳动法》等有关规定购买社会保险。中标人及其雇佣人员，发生任何人身财产的意外事故均由中标人自行承担，与发包人无关。</w:t>
      </w:r>
      <w:r>
        <w:rPr>
          <w:rFonts w:hint="eastAsia"/>
          <w:color w:val="auto"/>
          <w:sz w:val="24"/>
          <w:szCs w:val="24"/>
        </w:rPr>
        <w:t>履约过程中实际从业人员需与投标文件承诺人员一致。</w:t>
      </w:r>
    </w:p>
    <w:p w14:paraId="0B2F03ED">
      <w:pPr>
        <w:spacing w:line="360" w:lineRule="auto"/>
        <w:ind w:firstLine="566" w:firstLineChars="236"/>
        <w:rPr>
          <w:sz w:val="24"/>
          <w:szCs w:val="24"/>
        </w:rPr>
      </w:pPr>
      <w:r>
        <w:rPr>
          <w:rFonts w:hint="eastAsia"/>
          <w:sz w:val="24"/>
          <w:szCs w:val="24"/>
        </w:rPr>
        <w:t>3、重视和搞好食品卫生安全和食堂卫生防疫工作，就餐环境必须达到发包人和上级主管部门制定的标准。食堂垃圾必须送到指定地点，不准乱倒乱放。食堂的泔水处理，必须与收集人签有协议，日产日清。如因管理不善造成安全事故，由承包方承担全部责任。</w:t>
      </w:r>
    </w:p>
    <w:p w14:paraId="6ADA32D2">
      <w:pPr>
        <w:spacing w:line="360" w:lineRule="auto"/>
        <w:ind w:firstLine="566" w:firstLineChars="236"/>
        <w:rPr>
          <w:sz w:val="24"/>
          <w:szCs w:val="24"/>
        </w:rPr>
      </w:pPr>
      <w:r>
        <w:rPr>
          <w:rFonts w:hint="eastAsia"/>
          <w:sz w:val="24"/>
          <w:szCs w:val="24"/>
        </w:rPr>
        <w:t>4、服务期间的用水、用电、用气等费用由中标人承担，由发包人代为缴纳。</w:t>
      </w:r>
    </w:p>
    <w:p w14:paraId="7DF9F23F">
      <w:pPr>
        <w:spacing w:line="360" w:lineRule="auto"/>
        <w:ind w:firstLine="566" w:firstLineChars="236"/>
        <w:rPr>
          <w:sz w:val="24"/>
          <w:szCs w:val="24"/>
        </w:rPr>
      </w:pPr>
      <w:r>
        <w:rPr>
          <w:rFonts w:hint="eastAsia"/>
          <w:sz w:val="24"/>
          <w:szCs w:val="24"/>
        </w:rPr>
        <w:t>5、发包人提供食堂餐厅等场所的厨具等设备。如因被盗、人为损坏等因素引起的资产损坏、损失，其责任由肇事者承担，并按相关法律法规追究其责任。</w:t>
      </w:r>
    </w:p>
    <w:p w14:paraId="20081F29">
      <w:pPr>
        <w:spacing w:line="360" w:lineRule="auto"/>
        <w:ind w:firstLine="566" w:firstLineChars="236"/>
        <w:rPr>
          <w:sz w:val="24"/>
          <w:szCs w:val="24"/>
        </w:rPr>
      </w:pPr>
      <w:r>
        <w:rPr>
          <w:rFonts w:hint="eastAsia"/>
          <w:sz w:val="24"/>
          <w:szCs w:val="24"/>
        </w:rPr>
        <w:t>6、服务期间，聘用人员年龄必须在55周岁以下，身体健康，经培训考核合格并与中标人签定合同后，方可上岗(培训内容：《中华人民共和国食品安全法》等)。并将其身份证、健康证和劳务用工合同(查原件，留复印件)报发包人备案。</w:t>
      </w:r>
    </w:p>
    <w:p w14:paraId="7C43C8F4">
      <w:pPr>
        <w:spacing w:line="360" w:lineRule="auto"/>
        <w:ind w:firstLine="566" w:firstLineChars="236"/>
        <w:rPr>
          <w:sz w:val="24"/>
          <w:szCs w:val="24"/>
        </w:rPr>
      </w:pPr>
      <w:r>
        <w:rPr>
          <w:rFonts w:hint="eastAsia"/>
          <w:sz w:val="24"/>
          <w:szCs w:val="24"/>
        </w:rPr>
        <w:t>7、食品安全要求严格执行《中华人民共和国食品安全法》和卫健部门关于食堂卫生安全管理及政府相关部门的有关规定。</w:t>
      </w:r>
    </w:p>
    <w:p w14:paraId="06285868">
      <w:pPr>
        <w:spacing w:line="360" w:lineRule="auto"/>
        <w:ind w:firstLine="566" w:firstLineChars="236"/>
        <w:rPr>
          <w:sz w:val="24"/>
          <w:szCs w:val="24"/>
        </w:rPr>
      </w:pPr>
      <w:r>
        <w:rPr>
          <w:rFonts w:hint="eastAsia"/>
          <w:sz w:val="24"/>
          <w:szCs w:val="24"/>
        </w:rPr>
        <w:t>（1）中标人依法配备食品安全管理人员，并持续加强培训与考核。</w:t>
      </w:r>
    </w:p>
    <w:p w14:paraId="76093E09">
      <w:pPr>
        <w:spacing w:line="360" w:lineRule="auto"/>
        <w:ind w:firstLine="566" w:firstLineChars="236"/>
        <w:rPr>
          <w:sz w:val="24"/>
          <w:szCs w:val="24"/>
        </w:rPr>
      </w:pPr>
      <w:r>
        <w:rPr>
          <w:rFonts w:hint="eastAsia"/>
          <w:sz w:val="24"/>
          <w:szCs w:val="24"/>
        </w:rPr>
        <w:t>（2）提供各种食材的经销商必须要具备经营许可证和产品合格证。</w:t>
      </w:r>
    </w:p>
    <w:p w14:paraId="5F729F82">
      <w:pPr>
        <w:spacing w:line="360" w:lineRule="auto"/>
        <w:ind w:firstLine="566" w:firstLineChars="236"/>
        <w:rPr>
          <w:sz w:val="24"/>
          <w:szCs w:val="24"/>
        </w:rPr>
      </w:pPr>
      <w:r>
        <w:rPr>
          <w:rFonts w:hint="eastAsia"/>
          <w:sz w:val="24"/>
          <w:szCs w:val="24"/>
        </w:rPr>
        <w:t>（3）汤和调料必须有专人管理。</w:t>
      </w:r>
    </w:p>
    <w:p w14:paraId="29F1EFB7">
      <w:pPr>
        <w:spacing w:line="360" w:lineRule="auto"/>
        <w:ind w:firstLine="566" w:firstLineChars="236"/>
        <w:rPr>
          <w:sz w:val="24"/>
          <w:szCs w:val="24"/>
        </w:rPr>
      </w:pPr>
      <w:r>
        <w:rPr>
          <w:rFonts w:hint="eastAsia"/>
          <w:sz w:val="24"/>
          <w:szCs w:val="24"/>
        </w:rPr>
        <w:t>（4）不准闲杂人员进入操作间。</w:t>
      </w:r>
    </w:p>
    <w:p w14:paraId="753ADC52">
      <w:pPr>
        <w:spacing w:line="360" w:lineRule="auto"/>
        <w:ind w:firstLine="566" w:firstLineChars="236"/>
        <w:rPr>
          <w:sz w:val="24"/>
          <w:szCs w:val="24"/>
        </w:rPr>
      </w:pPr>
      <w:r>
        <w:rPr>
          <w:rFonts w:hint="eastAsia"/>
          <w:sz w:val="24"/>
          <w:szCs w:val="24"/>
        </w:rPr>
        <w:t>（5）餐厅、操作间苍蝇密度不得超过卫生条例的规定。</w:t>
      </w:r>
    </w:p>
    <w:p w14:paraId="7F03CFA2">
      <w:pPr>
        <w:spacing w:line="360" w:lineRule="auto"/>
        <w:ind w:firstLine="566" w:firstLineChars="236"/>
        <w:rPr>
          <w:sz w:val="24"/>
          <w:szCs w:val="24"/>
        </w:rPr>
      </w:pPr>
      <w:r>
        <w:rPr>
          <w:rFonts w:hint="eastAsia"/>
          <w:sz w:val="24"/>
          <w:szCs w:val="24"/>
        </w:rPr>
        <w:t>（6）操作间分生熟区域，生熟盆必须明确标识，分开使用。</w:t>
      </w:r>
      <w:r>
        <w:rPr>
          <w:rFonts w:hint="eastAsia"/>
          <w:b/>
          <w:bCs/>
          <w:sz w:val="24"/>
          <w:szCs w:val="24"/>
        </w:rPr>
        <w:t>原料、成品、半成品及其盛放容器和加工制作工具区分标识、分开放置和使用。</w:t>
      </w:r>
    </w:p>
    <w:p w14:paraId="24C1DEAF">
      <w:pPr>
        <w:spacing w:line="360" w:lineRule="auto"/>
        <w:ind w:firstLine="566" w:firstLineChars="236"/>
        <w:rPr>
          <w:sz w:val="24"/>
          <w:szCs w:val="24"/>
        </w:rPr>
      </w:pPr>
      <w:r>
        <w:rPr>
          <w:rFonts w:hint="eastAsia"/>
          <w:sz w:val="24"/>
          <w:szCs w:val="24"/>
        </w:rPr>
        <w:t>（7）剩饭、剩菜不准隔顿使用。</w:t>
      </w:r>
    </w:p>
    <w:p w14:paraId="4DF83838">
      <w:pPr>
        <w:spacing w:line="360" w:lineRule="auto"/>
        <w:ind w:firstLine="566" w:firstLineChars="236"/>
        <w:rPr>
          <w:sz w:val="24"/>
          <w:szCs w:val="24"/>
        </w:rPr>
      </w:pPr>
      <w:r>
        <w:rPr>
          <w:rFonts w:hint="eastAsia"/>
          <w:sz w:val="24"/>
          <w:szCs w:val="24"/>
        </w:rPr>
        <w:t>（8）冰柜定期清理、生熟分开存放。</w:t>
      </w:r>
      <w:r>
        <w:rPr>
          <w:rFonts w:hint="eastAsia"/>
          <w:b/>
          <w:bCs/>
          <w:sz w:val="24"/>
          <w:szCs w:val="24"/>
        </w:rPr>
        <w:t>冷藏（冻）设施温度显示正常，定期清理，原料、半成品、成品等分开存放。</w:t>
      </w:r>
    </w:p>
    <w:p w14:paraId="255ADFB3">
      <w:pPr>
        <w:spacing w:line="360" w:lineRule="auto"/>
        <w:ind w:firstLine="566" w:firstLineChars="236"/>
        <w:rPr>
          <w:sz w:val="24"/>
          <w:szCs w:val="24"/>
        </w:rPr>
      </w:pPr>
      <w:r>
        <w:rPr>
          <w:rFonts w:hint="eastAsia"/>
          <w:sz w:val="24"/>
          <w:szCs w:val="24"/>
        </w:rPr>
        <w:t>（9）餐具及用具需及时消毒。</w:t>
      </w:r>
    </w:p>
    <w:p w14:paraId="2E5C647B">
      <w:pPr>
        <w:spacing w:line="360" w:lineRule="auto"/>
        <w:ind w:firstLine="566" w:firstLineChars="236"/>
        <w:rPr>
          <w:sz w:val="24"/>
          <w:szCs w:val="24"/>
        </w:rPr>
      </w:pPr>
      <w:r>
        <w:rPr>
          <w:rFonts w:hint="eastAsia"/>
          <w:sz w:val="24"/>
          <w:szCs w:val="24"/>
        </w:rPr>
        <w:t>（10）操作间、送餐电梯（如有）和学生餐厅需及时打扫，保持清洁卫生。</w:t>
      </w:r>
    </w:p>
    <w:p w14:paraId="3EB38590">
      <w:pPr>
        <w:spacing w:line="360" w:lineRule="auto"/>
        <w:ind w:firstLine="566" w:firstLineChars="236"/>
        <w:rPr>
          <w:sz w:val="24"/>
          <w:szCs w:val="24"/>
        </w:rPr>
      </w:pPr>
      <w:r>
        <w:rPr>
          <w:rFonts w:hint="eastAsia"/>
          <w:sz w:val="24"/>
          <w:szCs w:val="24"/>
        </w:rPr>
        <w:t>（11）每餐的各品种餐熟食必须留样备查。</w:t>
      </w:r>
      <w:r>
        <w:rPr>
          <w:rFonts w:hint="eastAsia"/>
          <w:b/>
          <w:bCs/>
          <w:sz w:val="24"/>
          <w:szCs w:val="24"/>
        </w:rPr>
        <w:t>每餐次的食品成品应在专用冷藏设施中留样不低于48小时且每个</w:t>
      </w:r>
      <w:r>
        <w:rPr>
          <w:b/>
          <w:bCs/>
          <w:sz w:val="24"/>
          <w:szCs w:val="24"/>
        </w:rPr>
        <w:t>样</w:t>
      </w:r>
      <w:r>
        <w:rPr>
          <w:rFonts w:hint="eastAsia"/>
          <w:b/>
          <w:bCs/>
          <w:sz w:val="24"/>
          <w:szCs w:val="24"/>
        </w:rPr>
        <w:t>品不少于125g。</w:t>
      </w:r>
    </w:p>
    <w:p w14:paraId="4F2512FB">
      <w:pPr>
        <w:spacing w:line="360" w:lineRule="auto"/>
        <w:ind w:firstLine="566" w:firstLineChars="236"/>
        <w:rPr>
          <w:rFonts w:hint="eastAsia" w:ascii="宋体" w:hAnsi="宋体"/>
          <w:sz w:val="24"/>
          <w:szCs w:val="24"/>
        </w:rPr>
      </w:pPr>
      <w:r>
        <w:rPr>
          <w:rFonts w:hint="eastAsia" w:ascii="宋体" w:hAnsi="宋体"/>
          <w:sz w:val="24"/>
          <w:szCs w:val="24"/>
        </w:rPr>
        <w:t>(12)工作期间，工作人员工作衣着穿戴整洁，严禁在工作场所抽烟、饮酒。</w:t>
      </w:r>
    </w:p>
    <w:p w14:paraId="3D0F1492">
      <w:pPr>
        <w:spacing w:line="360" w:lineRule="auto"/>
        <w:ind w:firstLine="566" w:firstLineChars="236"/>
        <w:rPr>
          <w:sz w:val="24"/>
          <w:szCs w:val="24"/>
        </w:rPr>
      </w:pPr>
      <w:r>
        <w:rPr>
          <w:rFonts w:hint="eastAsia" w:ascii="宋体" w:hAnsi="宋体"/>
          <w:sz w:val="24"/>
          <w:szCs w:val="24"/>
        </w:rPr>
        <w:t>(13)中标人在服务期间所产生任何债务由中标人负责，并依法承担责任。</w:t>
      </w:r>
    </w:p>
    <w:p w14:paraId="03B27CC5">
      <w:pPr>
        <w:spacing w:line="360" w:lineRule="auto"/>
        <w:ind w:firstLine="600" w:firstLineChars="250"/>
        <w:rPr>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)中标人在服务期结束后，必须完好地移交发包人提供的设备和设施，如损坏按价赔偿。在经营期满后10日内，撤走承包经营者剩余商品、自购设备，把场所交给发包人，否则所留物品发包人有权处理。</w:t>
      </w:r>
    </w:p>
    <w:p w14:paraId="64CE1DE9">
      <w:pPr>
        <w:spacing w:line="360" w:lineRule="auto"/>
        <w:ind w:firstLine="566" w:firstLineChars="236"/>
        <w:rPr>
          <w:sz w:val="24"/>
          <w:szCs w:val="24"/>
        </w:rPr>
      </w:pPr>
      <w:r>
        <w:rPr>
          <w:rFonts w:hint="eastAsia" w:ascii="宋体" w:hAnsi="宋体"/>
          <w:sz w:val="24"/>
          <w:szCs w:val="24"/>
        </w:rPr>
        <w:t>8、经营指标控制</w:t>
      </w:r>
    </w:p>
    <w:p w14:paraId="7323C6A8">
      <w:pPr>
        <w:spacing w:line="360" w:lineRule="auto"/>
        <w:ind w:firstLine="566" w:firstLineChars="236"/>
        <w:rPr>
          <w:sz w:val="24"/>
          <w:szCs w:val="24"/>
        </w:rPr>
      </w:pPr>
      <w:r>
        <w:rPr>
          <w:rFonts w:hint="eastAsia" w:ascii="宋体" w:hAnsi="宋体"/>
          <w:sz w:val="24"/>
          <w:szCs w:val="24"/>
        </w:rPr>
        <w:t>中标人在服从发包人统一管理的前提下，对食堂实行自主经营、自负盈亏。</w:t>
      </w:r>
    </w:p>
    <w:p w14:paraId="473E430C">
      <w:pPr>
        <w:spacing w:line="360" w:lineRule="auto"/>
        <w:ind w:firstLine="566" w:firstLineChars="236"/>
        <w:rPr>
          <w:sz w:val="24"/>
          <w:szCs w:val="24"/>
        </w:rPr>
      </w:pPr>
      <w:r>
        <w:rPr>
          <w:rFonts w:hint="eastAsia" w:ascii="宋体" w:hAnsi="宋体"/>
          <w:sz w:val="24"/>
          <w:szCs w:val="24"/>
        </w:rPr>
        <w:t>（1）保证主副食花色品种不断翻新和多样化。科学营养均衡，符合学生生长发育所需营养规律。</w:t>
      </w:r>
    </w:p>
    <w:p w14:paraId="4F7B318A">
      <w:pPr>
        <w:spacing w:line="360" w:lineRule="auto"/>
        <w:ind w:firstLine="566" w:firstLineChars="236"/>
        <w:rPr>
          <w:sz w:val="24"/>
          <w:szCs w:val="24"/>
        </w:rPr>
      </w:pPr>
      <w:r>
        <w:rPr>
          <w:rFonts w:hint="eastAsia" w:ascii="宋体" w:hAnsi="宋体"/>
          <w:sz w:val="24"/>
          <w:szCs w:val="24"/>
        </w:rPr>
        <w:t>（2）食堂经营项目除供应主副食外，不得经营饮食服务以外的其它项目，不得变相转包，增加经营品种和促销活动须书面报发包人同意。</w:t>
      </w:r>
    </w:p>
    <w:p w14:paraId="58658508">
      <w:pPr>
        <w:spacing w:line="360" w:lineRule="auto"/>
        <w:ind w:firstLine="566" w:firstLineChars="236"/>
        <w:rPr>
          <w:rFonts w:hint="eastAsia" w:ascii="宋体" w:hAnsi="宋体"/>
          <w:sz w:val="24"/>
          <w:szCs w:val="24"/>
        </w:rPr>
      </w:pPr>
      <w:r>
        <w:rPr>
          <w:rFonts w:hint="eastAsia" w:ascii="宋体" w:hAnsi="宋体"/>
          <w:sz w:val="24"/>
          <w:szCs w:val="24"/>
        </w:rPr>
        <w:t>（3）经营毛利润符合安徽省餐饮管理相关规定，严禁暴利。食堂每学期</w:t>
      </w:r>
      <w:r>
        <w:rPr>
          <w:rFonts w:ascii="宋体" w:hAnsi="宋体"/>
          <w:sz w:val="24"/>
          <w:szCs w:val="24"/>
        </w:rPr>
        <w:t>营业利润率应控制在5%以内，并定期接受学校和</w:t>
      </w:r>
      <w:r>
        <w:rPr>
          <w:rFonts w:hint="eastAsia" w:ascii="宋体" w:hAnsi="宋体"/>
          <w:sz w:val="24"/>
          <w:szCs w:val="24"/>
        </w:rPr>
        <w:t>上级</w:t>
      </w:r>
      <w:r>
        <w:rPr>
          <w:rFonts w:ascii="宋体" w:hAnsi="宋体"/>
          <w:sz w:val="24"/>
          <w:szCs w:val="24"/>
        </w:rPr>
        <w:t>教育、财政</w:t>
      </w:r>
      <w:r>
        <w:rPr>
          <w:rFonts w:hint="eastAsia" w:ascii="宋体" w:hAnsi="宋体"/>
          <w:sz w:val="24"/>
          <w:szCs w:val="24"/>
        </w:rPr>
        <w:t>等</w:t>
      </w:r>
      <w:r>
        <w:rPr>
          <w:rFonts w:ascii="宋体" w:hAnsi="宋体"/>
          <w:sz w:val="24"/>
          <w:szCs w:val="24"/>
        </w:rPr>
        <w:t>部门对经营业务财务状况监督检查</w:t>
      </w:r>
      <w:r>
        <w:rPr>
          <w:rFonts w:hint="eastAsia" w:ascii="宋体" w:hAnsi="宋体"/>
          <w:sz w:val="24"/>
          <w:szCs w:val="24"/>
        </w:rPr>
        <w:t>和审计</w:t>
      </w:r>
      <w:r>
        <w:rPr>
          <w:rFonts w:ascii="宋体" w:hAnsi="宋体"/>
          <w:sz w:val="24"/>
          <w:szCs w:val="24"/>
        </w:rPr>
        <w:t>。</w:t>
      </w:r>
    </w:p>
    <w:p w14:paraId="148D5434">
      <w:pPr>
        <w:spacing w:line="360" w:lineRule="auto"/>
        <w:ind w:firstLine="566" w:firstLineChars="236"/>
      </w:pPr>
      <w:r>
        <w:rPr>
          <w:rFonts w:hint="eastAsia" w:ascii="宋体" w:hAnsi="宋体"/>
          <w:sz w:val="24"/>
          <w:szCs w:val="24"/>
        </w:rPr>
        <w:t>（4）售卖菜品必须明码标价，接受发包人监督。</w:t>
      </w:r>
    </w:p>
    <w:p w14:paraId="01D7FB2A">
      <w:pPr>
        <w:spacing w:line="360" w:lineRule="auto"/>
        <w:ind w:firstLine="566" w:firstLineChars="236"/>
        <w:rPr>
          <w:sz w:val="24"/>
          <w:szCs w:val="24"/>
        </w:rPr>
      </w:pPr>
      <w:r>
        <w:rPr>
          <w:rFonts w:hint="eastAsia" w:ascii="宋体" w:hAnsi="宋体"/>
          <w:sz w:val="24"/>
          <w:szCs w:val="24"/>
        </w:rPr>
        <w:t>9、食堂财务管理</w:t>
      </w:r>
    </w:p>
    <w:p w14:paraId="740F5389">
      <w:pPr>
        <w:spacing w:line="360" w:lineRule="auto"/>
        <w:ind w:firstLine="566" w:firstLineChars="236"/>
        <w:rPr>
          <w:sz w:val="24"/>
          <w:szCs w:val="24"/>
        </w:rPr>
      </w:pPr>
      <w:r>
        <w:rPr>
          <w:rFonts w:hint="eastAsia" w:ascii="宋体" w:hAnsi="宋体"/>
          <w:sz w:val="24"/>
          <w:szCs w:val="24"/>
        </w:rPr>
        <w:t>(1)中标人必须建立规范的财务管理制度，主动接受发包人的监督和检查。</w:t>
      </w:r>
    </w:p>
    <w:p w14:paraId="090EDD0E">
      <w:pPr>
        <w:spacing w:line="360" w:lineRule="auto"/>
        <w:ind w:firstLine="566" w:firstLineChars="236"/>
        <w:rPr>
          <w:rFonts w:hint="eastAsia" w:ascii="宋体" w:hAnsi="宋体"/>
          <w:sz w:val="24"/>
          <w:szCs w:val="24"/>
        </w:rPr>
      </w:pPr>
      <w:r>
        <w:rPr>
          <w:rFonts w:hint="eastAsia" w:ascii="宋体" w:hAnsi="宋体"/>
          <w:sz w:val="24"/>
          <w:szCs w:val="24"/>
        </w:rPr>
        <w:t>(2)膳食经费由发包人管理。</w:t>
      </w:r>
    </w:p>
    <w:p w14:paraId="0D66A71D">
      <w:pPr>
        <w:spacing w:line="360" w:lineRule="auto"/>
        <w:ind w:firstLine="566" w:firstLineChars="236"/>
        <w:rPr>
          <w:rFonts w:hint="eastAsia" w:ascii="宋体" w:hAnsi="宋体"/>
          <w:szCs w:val="24"/>
        </w:rPr>
      </w:pPr>
      <w:r>
        <w:rPr>
          <w:rFonts w:hint="eastAsia" w:ascii="宋体" w:hAnsi="宋体"/>
          <w:sz w:val="24"/>
          <w:szCs w:val="24"/>
        </w:rPr>
        <w:t>(3)食堂托管费用：本项目实行零租赁；</w:t>
      </w:r>
    </w:p>
    <w:p w14:paraId="13E71651">
      <w:pPr>
        <w:pStyle w:val="13"/>
        <w:ind w:right="-21" w:firstLine="540"/>
        <w:rPr>
          <w:rFonts w:hint="eastAsia" w:ascii="宋体" w:hAnsi="宋体" w:eastAsia="宋体" w:cs="Times New Roman"/>
          <w:kern w:val="2"/>
          <w:szCs w:val="24"/>
        </w:rPr>
      </w:pPr>
      <w:r>
        <w:rPr>
          <w:rFonts w:hint="eastAsia" w:ascii="宋体" w:hAnsi="宋体" w:eastAsia="宋体"/>
          <w:szCs w:val="24"/>
        </w:rPr>
        <w:t>(4)</w:t>
      </w:r>
      <w:r>
        <w:rPr>
          <w:rFonts w:hint="eastAsia" w:ascii="宋体" w:hAnsi="宋体" w:eastAsia="宋体" w:cs="Times New Roman"/>
          <w:kern w:val="2"/>
          <w:szCs w:val="24"/>
        </w:rPr>
        <w:t>发包人不向中标人收取承包费、管理费、租赁费等费用；</w:t>
      </w:r>
    </w:p>
    <w:p w14:paraId="55F86180">
      <w:pPr>
        <w:pStyle w:val="13"/>
        <w:ind w:right="-21" w:firstLine="540"/>
        <w:rPr>
          <w:color w:val="EE0000"/>
        </w:rPr>
      </w:pPr>
      <w:r>
        <w:rPr>
          <w:rFonts w:hint="eastAsia" w:ascii="宋体" w:hAnsi="宋体" w:eastAsia="宋体" w:cs="Times New Roman"/>
          <w:kern w:val="2"/>
          <w:szCs w:val="24"/>
        </w:rPr>
        <w:t>(5)食堂财务账簿统一由招标人存档。</w:t>
      </w:r>
    </w:p>
    <w:p w14:paraId="56F7D5FF">
      <w:pPr>
        <w:spacing w:line="360" w:lineRule="auto"/>
        <w:ind w:firstLine="566" w:firstLineChars="236"/>
        <w:rPr>
          <w:sz w:val="24"/>
          <w:szCs w:val="24"/>
        </w:rPr>
      </w:pPr>
      <w:r>
        <w:rPr>
          <w:rFonts w:hint="eastAsia" w:ascii="宋体" w:hAnsi="宋体"/>
          <w:sz w:val="24"/>
          <w:szCs w:val="24"/>
        </w:rPr>
        <w:t>10</w:t>
      </w:r>
      <w:r>
        <w:rPr>
          <w:rFonts w:hint="eastAsia" w:ascii="宋体" w:hAnsi="宋体" w:cs="宋体"/>
          <w:sz w:val="24"/>
          <w:szCs w:val="24"/>
        </w:rPr>
        <w:t>、</w:t>
      </w:r>
      <w:r>
        <w:rPr>
          <w:rFonts w:hint="eastAsia" w:ascii="宋体" w:hAnsi="宋体"/>
          <w:sz w:val="24"/>
          <w:szCs w:val="24"/>
        </w:rPr>
        <w:t>中标人负责完成学校“明厨亮灶”视频信息接入到金安区教育局校园食品安全监管系统和</w:t>
      </w:r>
      <w:r>
        <w:rPr>
          <w:rFonts w:ascii="宋体" w:hAnsi="宋体"/>
          <w:sz w:val="24"/>
          <w:szCs w:val="24"/>
        </w:rPr>
        <w:t>其他需要接入的信息监管平台</w:t>
      </w:r>
      <w:r>
        <w:rPr>
          <w:rFonts w:hint="eastAsia" w:ascii="宋体" w:hAnsi="宋体"/>
          <w:sz w:val="24"/>
          <w:szCs w:val="24"/>
        </w:rPr>
        <w:t>。</w:t>
      </w:r>
    </w:p>
    <w:p w14:paraId="7BCFF4DC">
      <w:pPr>
        <w:spacing w:line="360" w:lineRule="auto"/>
        <w:ind w:firstLine="569" w:firstLineChars="236"/>
        <w:rPr>
          <w:sz w:val="24"/>
          <w:szCs w:val="24"/>
        </w:rPr>
      </w:pPr>
      <w:r>
        <w:rPr>
          <w:rFonts w:hint="eastAsia"/>
          <w:b/>
          <w:bCs/>
          <w:sz w:val="24"/>
        </w:rPr>
        <w:t>二、发包人监管事项</w:t>
      </w:r>
    </w:p>
    <w:p w14:paraId="0964DB98">
      <w:pPr>
        <w:spacing w:line="360" w:lineRule="auto"/>
        <w:ind w:firstLine="566" w:firstLineChars="236"/>
        <w:rPr>
          <w:sz w:val="24"/>
          <w:szCs w:val="24"/>
        </w:rPr>
      </w:pPr>
      <w:r>
        <w:rPr>
          <w:rFonts w:hint="eastAsia"/>
          <w:sz w:val="24"/>
        </w:rPr>
        <w:t>1、主要内容：监管合同执行情况，履行考核职责，监督经营者是否存在分包、转包等现象，其它定期和不定期检查。</w:t>
      </w:r>
    </w:p>
    <w:p w14:paraId="4CD20ED0">
      <w:pPr>
        <w:spacing w:line="360" w:lineRule="auto"/>
        <w:ind w:firstLine="566" w:firstLineChars="236"/>
        <w:rPr>
          <w:sz w:val="24"/>
          <w:szCs w:val="24"/>
        </w:rPr>
      </w:pPr>
      <w:r>
        <w:rPr>
          <w:rFonts w:hint="eastAsia"/>
          <w:sz w:val="24"/>
        </w:rPr>
        <w:t>2、发包人对中标人的服务质量进行监管和考核，中标人如果日常工作有不到位、不达标现象，发包人将依据合同约定</w:t>
      </w:r>
      <w:r>
        <w:rPr>
          <w:rFonts w:hint="eastAsia"/>
          <w:color w:val="auto"/>
          <w:sz w:val="24"/>
        </w:rPr>
        <w:t>和退出机制</w:t>
      </w:r>
      <w:r>
        <w:rPr>
          <w:rFonts w:hint="eastAsia"/>
          <w:sz w:val="24"/>
        </w:rPr>
        <w:t>做出相应违约处理。</w:t>
      </w:r>
    </w:p>
    <w:p w14:paraId="75884D9F">
      <w:pPr>
        <w:spacing w:line="360" w:lineRule="auto"/>
        <w:ind w:firstLine="569" w:firstLineChars="236"/>
        <w:rPr>
          <w:rFonts w:hint="eastAsia"/>
          <w:sz w:val="24"/>
        </w:rPr>
      </w:pPr>
      <w:r>
        <w:rPr>
          <w:rFonts w:hint="eastAsia"/>
          <w:b/>
          <w:bCs/>
          <w:sz w:val="24"/>
        </w:rPr>
        <w:t>三、经营期限：</w:t>
      </w:r>
      <w:r>
        <w:rPr>
          <w:rFonts w:hint="eastAsia"/>
          <w:sz w:val="24"/>
        </w:rPr>
        <w:t>服务期3年，采取1+1+1模式，合同1年1签，经学校考核合格报区教育局同意方可续签。</w:t>
      </w:r>
    </w:p>
    <w:p w14:paraId="6F582A3E">
      <w:pPr>
        <w:spacing w:line="360" w:lineRule="auto"/>
        <w:ind w:firstLine="569" w:firstLineChars="236"/>
        <w:rPr>
          <w:sz w:val="24"/>
          <w:szCs w:val="24"/>
        </w:rPr>
      </w:pPr>
      <w:r>
        <w:rPr>
          <w:rFonts w:hint="eastAsia" w:ascii="宋体" w:hAnsi="宋体"/>
          <w:b/>
          <w:bCs/>
          <w:sz w:val="24"/>
          <w:szCs w:val="24"/>
        </w:rPr>
        <w:t>四、其他</w:t>
      </w:r>
    </w:p>
    <w:p w14:paraId="191D74C8">
      <w:pPr>
        <w:spacing w:line="360" w:lineRule="auto"/>
        <w:ind w:firstLine="566" w:firstLineChars="236"/>
        <w:rPr>
          <w:sz w:val="24"/>
          <w:szCs w:val="24"/>
        </w:rPr>
      </w:pPr>
      <w:r>
        <w:rPr>
          <w:rFonts w:hint="eastAsia"/>
          <w:sz w:val="24"/>
        </w:rPr>
        <w:t>中标人为学校食堂卫生、防火、防盗、防食物中毒等安全责任人，对相应工作负有全部组织和管理责任。</w:t>
      </w:r>
    </w:p>
    <w:p w14:paraId="74059857">
      <w:pPr>
        <w:spacing w:line="360" w:lineRule="auto"/>
        <w:ind w:firstLine="566" w:firstLineChars="236"/>
        <w:rPr>
          <w:sz w:val="24"/>
          <w:szCs w:val="24"/>
        </w:rPr>
      </w:pPr>
      <w:r>
        <w:rPr>
          <w:rFonts w:hint="eastAsia"/>
          <w:sz w:val="24"/>
        </w:rPr>
        <w:t>1、中标人必须自行做好安全、防盗、防火和食品卫生等工作，维护好消防设施，定期检查消防器材，如发生失窃、火灾、食物中毒等事故，造成的一切损</w:t>
      </w:r>
      <w:r>
        <w:rPr>
          <w:rFonts w:hint="eastAsia"/>
          <w:color w:val="auto"/>
          <w:sz w:val="24"/>
          <w:highlight w:val="none"/>
        </w:rPr>
        <w:t>失</w:t>
      </w:r>
      <w:r>
        <w:rPr>
          <w:rFonts w:hint="eastAsia"/>
          <w:color w:val="auto"/>
          <w:sz w:val="24"/>
          <w:highlight w:val="none"/>
          <w:lang w:val="en-US" w:eastAsia="zh-CN"/>
        </w:rPr>
        <w:t>均由</w:t>
      </w:r>
      <w:r>
        <w:rPr>
          <w:rFonts w:hint="eastAsia"/>
          <w:sz w:val="24"/>
        </w:rPr>
        <w:t>中标人自行承担。发现消防器材过期、失效须及时向发包人报告更换。</w:t>
      </w:r>
    </w:p>
    <w:p w14:paraId="3110B630">
      <w:pPr>
        <w:spacing w:line="360" w:lineRule="auto"/>
        <w:ind w:firstLine="566" w:firstLineChars="236"/>
        <w:rPr>
          <w:sz w:val="24"/>
          <w:szCs w:val="24"/>
        </w:rPr>
      </w:pPr>
      <w:r>
        <w:rPr>
          <w:rFonts w:hint="eastAsia"/>
          <w:sz w:val="24"/>
        </w:rPr>
        <w:t>2、严格执行《中华人民共和国食品安全法》，所有员工都要经过卫生防疫部门或定点医疗机构的体检、办理健康证才能上岗；按时到卫生防疫部门办理食堂卫生许可证的年检手续，接受卫生防疫部门的各类检查。</w:t>
      </w:r>
    </w:p>
    <w:p w14:paraId="1E6D199F">
      <w:pPr>
        <w:spacing w:line="360" w:lineRule="auto"/>
        <w:ind w:firstLine="566" w:firstLineChars="236"/>
        <w:rPr>
          <w:b/>
          <w:bCs/>
          <w:sz w:val="24"/>
        </w:rPr>
      </w:pPr>
      <w:r>
        <w:rPr>
          <w:rFonts w:hint="eastAsia" w:ascii="宋体" w:hAnsi="宋体"/>
          <w:sz w:val="24"/>
          <w:szCs w:val="24"/>
        </w:rPr>
        <w:t>3、中标人必须遵守食品原料采购制度，安排专人负责,大宗食品如米面油肉蛋奶、主要副食品等必须有各种索票索证制度；所购物料必须具备“三证”(卫生许可证、食品检验合格证、产地来源证)，按照发包人要求做好台账，建立档案，接受监督检查。</w:t>
      </w:r>
      <w:r>
        <w:rPr>
          <w:rFonts w:hint="eastAsia"/>
          <w:b/>
          <w:bCs/>
          <w:sz w:val="24"/>
        </w:rPr>
        <w:t>（采购食品原料需要查验供应商的营业执照、食品生产或经营许可证、产品合格证明文件等，采购畜禽肉类的，需查验动物产品检疫检验合格证明，采购猪肉的，应查验肉品品质检验合格证明。）</w:t>
      </w:r>
    </w:p>
    <w:p w14:paraId="54BE18D5">
      <w:pPr>
        <w:pStyle w:val="13"/>
        <w:ind w:right="-21" w:firstLine="540"/>
        <w:rPr>
          <w:rFonts w:hint="eastAsia" w:ascii="宋体" w:hAnsi="宋体" w:eastAsia="宋体" w:cs="Times New Roman"/>
          <w:kern w:val="2"/>
          <w:szCs w:val="24"/>
        </w:rPr>
      </w:pPr>
      <w:r>
        <w:rPr>
          <w:rFonts w:hint="eastAsia" w:ascii="宋体" w:hAnsi="宋体" w:eastAsia="宋体" w:cs="Times New Roman"/>
          <w:kern w:val="2"/>
          <w:szCs w:val="24"/>
        </w:rPr>
        <w:t>4、中标人对大宗食材供应商的确定。通过招标等方式确定大宗食材供应商，需定期在食堂内部公示供货信息，接受监督，招标材料报教育局备案。</w:t>
      </w:r>
    </w:p>
    <w:p w14:paraId="45B83F85">
      <w:pPr>
        <w:spacing w:line="360" w:lineRule="auto"/>
        <w:ind w:firstLine="566" w:firstLineChars="236"/>
        <w:rPr>
          <w:sz w:val="24"/>
          <w:szCs w:val="24"/>
        </w:rPr>
      </w:pPr>
      <w:r>
        <w:rPr>
          <w:rFonts w:hint="eastAsia" w:ascii="宋体" w:hAnsi="宋体"/>
          <w:sz w:val="24"/>
          <w:szCs w:val="24"/>
        </w:rPr>
        <w:t>5、</w:t>
      </w:r>
      <w:r>
        <w:rPr>
          <w:rFonts w:ascii="宋体" w:hAnsi="宋体" w:cs="宋体"/>
          <w:sz w:val="24"/>
          <w:szCs w:val="24"/>
        </w:rPr>
        <w:t>中标单位负责落实食堂经营范围内及发包人指定区域的卫生工作(含周边环境、下水、隔油池、厕所等)，建立和健全一整套生产管理、卫生管理和安全管理制度，承担垃圾处理费用。</w:t>
      </w:r>
    </w:p>
    <w:p w14:paraId="44F6C87F">
      <w:pPr>
        <w:spacing w:line="360" w:lineRule="auto"/>
        <w:ind w:firstLine="566" w:firstLineChars="236"/>
        <w:rPr>
          <w:sz w:val="24"/>
          <w:szCs w:val="24"/>
        </w:rPr>
      </w:pPr>
      <w:r>
        <w:rPr>
          <w:rFonts w:hint="eastAsia" w:ascii="宋体" w:hAnsi="宋体"/>
          <w:sz w:val="24"/>
          <w:szCs w:val="24"/>
        </w:rPr>
        <w:t>6、中标人必须接受发包人、政府相关职能部门的监督检查和管理，自觉接受对财务管理、食品采购、生产流程、卫生消毒、供应价格、服务规范等方面的全方位监管。</w:t>
      </w:r>
    </w:p>
    <w:p w14:paraId="321CCEF2">
      <w:pPr>
        <w:spacing w:line="360" w:lineRule="auto"/>
        <w:ind w:firstLine="566" w:firstLineChars="236"/>
      </w:pPr>
      <w:r>
        <w:rPr>
          <w:rFonts w:hint="eastAsia" w:ascii="宋体" w:hAnsi="宋体"/>
          <w:sz w:val="24"/>
          <w:szCs w:val="24"/>
        </w:rPr>
        <w:t>7、中标企业取得承包经营权后，必须由该企业自营，不得转包。一经发现，视为违约，立即终止合同。由此造成的损失和责任由中标企业承担。</w:t>
      </w:r>
    </w:p>
    <w:p w14:paraId="6EAF00BD">
      <w:pPr>
        <w:spacing w:line="360" w:lineRule="auto"/>
        <w:ind w:firstLine="566" w:firstLineChars="236"/>
        <w:rPr>
          <w:rFonts w:hint="eastAsia" w:ascii="宋体" w:hAnsi="宋体"/>
          <w:sz w:val="24"/>
          <w:szCs w:val="24"/>
        </w:rPr>
      </w:pPr>
      <w:r>
        <w:rPr>
          <w:rFonts w:hint="eastAsia" w:ascii="宋体" w:hAnsi="宋体"/>
          <w:sz w:val="24"/>
          <w:szCs w:val="24"/>
        </w:rPr>
        <w:t>8、落实校园餐黑名单制度。学校每学期分期中</w:t>
      </w:r>
      <w:r>
        <w:rPr>
          <w:rFonts w:hint="eastAsia" w:ascii="宋体" w:hAnsi="宋体"/>
          <w:sz w:val="24"/>
          <w:szCs w:val="24"/>
          <w:lang w:eastAsia="zh-CN"/>
        </w:rPr>
        <w:t>、</w:t>
      </w:r>
      <w:r>
        <w:rPr>
          <w:rFonts w:hint="eastAsia" w:ascii="宋体" w:hAnsi="宋体"/>
          <w:sz w:val="24"/>
          <w:szCs w:val="24"/>
        </w:rPr>
        <w:t>期末两次对校园</w:t>
      </w:r>
      <w:r>
        <w:rPr>
          <w:rFonts w:hint="eastAsia" w:ascii="宋体" w:hAnsi="宋体"/>
          <w:sz w:val="24"/>
          <w:szCs w:val="24"/>
          <w:highlight w:val="none"/>
          <w:lang w:val="en-US" w:eastAsia="zh-CN"/>
        </w:rPr>
        <w:t>提</w:t>
      </w:r>
      <w:r>
        <w:rPr>
          <w:rFonts w:hint="eastAsia" w:ascii="宋体" w:hAnsi="宋体"/>
          <w:sz w:val="24"/>
          <w:szCs w:val="24"/>
          <w:highlight w:val="none"/>
        </w:rPr>
        <w:t>供经营承包</w:t>
      </w:r>
      <w:r>
        <w:rPr>
          <w:rFonts w:hint="eastAsia" w:ascii="宋体" w:hAnsi="宋体"/>
          <w:sz w:val="24"/>
          <w:szCs w:val="24"/>
          <w:highlight w:val="none"/>
          <w:lang w:val="en-US" w:eastAsia="zh-CN"/>
        </w:rPr>
        <w:t>服务企</w:t>
      </w:r>
      <w:r>
        <w:rPr>
          <w:rFonts w:hint="eastAsia" w:ascii="宋体" w:hAnsi="宋体"/>
          <w:sz w:val="24"/>
          <w:szCs w:val="24"/>
          <w:highlight w:val="none"/>
        </w:rPr>
        <w:t>业进行问卷调查，每次</w:t>
      </w:r>
      <w:r>
        <w:rPr>
          <w:rFonts w:hint="eastAsia" w:ascii="宋体" w:hAnsi="宋体"/>
          <w:sz w:val="24"/>
          <w:szCs w:val="24"/>
        </w:rPr>
        <w:t>调查问卷不少于就餐人数的50%，满意度低于80%记一次不良记录；</w:t>
      </w:r>
      <w:r>
        <w:rPr>
          <w:rFonts w:hint="eastAsia" w:ascii="宋体" w:hAnsi="宋体"/>
          <w:b/>
          <w:bCs/>
          <w:sz w:val="24"/>
          <w:szCs w:val="24"/>
        </w:rPr>
        <w:t>一年内出现两次不良记录，将列入金安区校园食堂经营黑名单。</w:t>
      </w:r>
      <w:r>
        <w:rPr>
          <w:rFonts w:hint="eastAsia" w:ascii="宋体" w:hAnsi="宋体"/>
          <w:sz w:val="24"/>
          <w:szCs w:val="24"/>
        </w:rPr>
        <w:t>对于进入黑名单的企业，</w:t>
      </w:r>
      <w:r>
        <w:rPr>
          <w:rFonts w:hint="eastAsia" w:ascii="宋体" w:hAnsi="宋体"/>
          <w:color w:val="auto"/>
          <w:sz w:val="24"/>
          <w:szCs w:val="24"/>
        </w:rPr>
        <w:t>按照退出机制进行处理，</w:t>
      </w:r>
      <w:r>
        <w:rPr>
          <w:rFonts w:hint="eastAsia" w:ascii="宋体" w:hAnsi="宋体"/>
          <w:sz w:val="24"/>
          <w:szCs w:val="24"/>
        </w:rPr>
        <w:t>同时将限制其参与金安区教育系统的食堂投标活动。</w:t>
      </w:r>
    </w:p>
    <w:p w14:paraId="5655BF9A">
      <w:pPr>
        <w:spacing w:line="480" w:lineRule="exact"/>
        <w:ind w:firstLine="566" w:firstLineChars="236"/>
        <w:rPr>
          <w:rFonts w:hint="eastAsia" w:ascii="宋体" w:hAnsi="宋体" w:cs="宋体"/>
          <w:sz w:val="24"/>
          <w:szCs w:val="24"/>
        </w:rPr>
      </w:pPr>
      <w:r>
        <w:rPr>
          <w:rFonts w:hint="eastAsia" w:ascii="宋体" w:hAnsi="宋体"/>
          <w:sz w:val="24"/>
          <w:szCs w:val="24"/>
        </w:rPr>
        <w:t>9、</w:t>
      </w:r>
      <w:r>
        <w:rPr>
          <w:rFonts w:hint="eastAsia" w:ascii="宋体" w:hAnsi="宋体" w:cs="宋体"/>
          <w:sz w:val="24"/>
          <w:szCs w:val="24"/>
        </w:rPr>
        <w:t>日常管理要求</w:t>
      </w:r>
    </w:p>
    <w:p w14:paraId="32A46AEF">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①严格执行食品采购验收制度，食材正规渠道采购，索证索票并建立台账，杜绝使用过期、变质、不合格及来源不明的食材。</w:t>
      </w:r>
    </w:p>
    <w:p w14:paraId="68A7338E">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②规范食材储存，分类存放生熟食品，避免交叉污染，定期清理库存，确保食材新鲜。</w:t>
      </w:r>
    </w:p>
    <w:p w14:paraId="7171BB87">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③严格遵守食品加工操作规程，生熟分开处理，烹饪过程彻底加热，餐具、厨具需按规定清洗消毒并做好记录。</w:t>
      </w:r>
    </w:p>
    <w:p w14:paraId="33342E4B">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④建立食品安全自查制度，定期排查安全隐患，配合招标人及相关部门的监督检查，若发生食品安全问题及时处理并承担责任。</w:t>
      </w:r>
    </w:p>
    <w:p w14:paraId="73E0BDA6">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⑤丰富食谱多样性：拓展菜品的种类范围，涵盖谷物、蔬菜、水果、肉蛋、豆制品等多个类别，在保证营养搭配合理的基础上，引入更多适合学生口味和消化的食材，如各类时令蔬菜、不同品种的鱼禽肉等。</w:t>
      </w:r>
    </w:p>
    <w:p w14:paraId="0FD8714F">
      <w:pPr>
        <w:pStyle w:val="13"/>
        <w:ind w:right="-21" w:firstLine="564" w:firstLineChars="235"/>
        <w:rPr>
          <w:rFonts w:hint="eastAsia" w:ascii="宋体" w:hAnsi="宋体" w:eastAsia="宋体" w:cs="Times New Roman"/>
          <w:kern w:val="2"/>
          <w:szCs w:val="24"/>
        </w:rPr>
      </w:pPr>
      <w:r>
        <w:rPr>
          <w:rFonts w:hint="eastAsia" w:eastAsia="宋体" w:cs="Times New Roman"/>
          <w:kern w:val="2"/>
          <w:szCs w:val="24"/>
        </w:rPr>
        <w:t>⑥</w:t>
      </w:r>
      <w:r>
        <w:rPr>
          <w:rFonts w:hint="eastAsia" w:ascii="宋体" w:hAnsi="宋体" w:eastAsia="宋体" w:cs="Times New Roman"/>
          <w:kern w:val="2"/>
          <w:szCs w:val="24"/>
        </w:rPr>
        <w:t>降低月内重复率：尽量控制同一菜品在一个月内的出现频次。可通过调整烹饪方式（如蒸、煮、炒等）和食材搭配，在保证营养的前提下，丰富多种多样的菜品组合。</w:t>
      </w:r>
    </w:p>
    <w:p w14:paraId="7D7F9BAB">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⑦食谱需包含谷物、蔬菜、水果、肉蛋、豆制品等各类营养素，做到荤素搭配、粗细结合。</w:t>
      </w:r>
    </w:p>
    <w:p w14:paraId="2383E343">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⑧菜品制作需符合学生饮食习惯，少盐少糖少添加剂，避免辛辣、油炸等刺激性食物，食材切配大小适宜，便于食用。</w:t>
      </w:r>
    </w:p>
    <w:p w14:paraId="15B249CC">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⑨每周提前向招标人提交食谱，经审核后公示，若需调整食谱需提前与招标人沟通并获同意。</w:t>
      </w:r>
    </w:p>
    <w:p w14:paraId="751E41EE">
      <w:pPr>
        <w:spacing w:line="500" w:lineRule="exact"/>
        <w:ind w:firstLine="566" w:firstLineChars="236"/>
        <w:rPr>
          <w:rFonts w:hint="eastAsia" w:ascii="宋体" w:hAnsi="宋体"/>
          <w:sz w:val="24"/>
          <w:szCs w:val="24"/>
        </w:rPr>
      </w:pPr>
      <w:bookmarkStart w:id="7" w:name="OLE_LINK2"/>
      <w:r>
        <w:rPr>
          <w:rFonts w:hint="eastAsia" w:ascii="宋体" w:hAnsi="宋体"/>
          <w:sz w:val="24"/>
          <w:szCs w:val="24"/>
        </w:rPr>
        <w:t>⑩</w:t>
      </w:r>
      <w:bookmarkEnd w:id="7"/>
      <w:r>
        <w:rPr>
          <w:rFonts w:hint="eastAsia" w:ascii="宋体" w:hAnsi="宋体"/>
          <w:sz w:val="24"/>
          <w:szCs w:val="24"/>
        </w:rPr>
        <w:t>保证餐食按时供应，数量充足，温度适宜，根据季节变化合理调整餐食温度（如冬季保温、夏季避免过凉）。</w:t>
      </w:r>
    </w:p>
    <w:p w14:paraId="60B7D485">
      <w:pPr>
        <w:spacing w:line="360" w:lineRule="auto"/>
        <w:ind w:firstLine="566" w:firstLineChars="236"/>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10、严格落实承包（委托）经营企业评价和退出机制</w:t>
      </w:r>
    </w:p>
    <w:p w14:paraId="74386C99">
      <w:pPr>
        <w:widowControl/>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（1）学校要建立承包（委托）经营评价和退出机制，每学期对承包经营企业至少开展一次综合评价（或考核），对不符合质量和经营标准的，学校将启动退出机制。</w:t>
      </w:r>
    </w:p>
    <w:p w14:paraId="01FE39B1">
      <w:pPr>
        <w:pStyle w:val="13"/>
        <w:ind w:right="-21" w:firstLine="54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承包（委托）经营企业存在以下违法违规行为的，由学校重新组织招标，在新的经营承包企业未进场之前，仍由原经营承包企业负责师生供餐。学校确定新的经营承包企业后，立即取消原经营承包企业供餐资格，终止承包或委托经营行为。</w:t>
      </w:r>
    </w:p>
    <w:p w14:paraId="233A7E05">
      <w:pPr>
        <w:pStyle w:val="13"/>
        <w:ind w:right="-21" w:firstLine="540"/>
        <w:rPr>
          <w:rFonts w:eastAsia="宋体" w:cs="Times New Roman"/>
          <w:kern w:val="2"/>
          <w:szCs w:val="24"/>
        </w:rPr>
      </w:pPr>
      <w:r>
        <w:rPr>
          <w:rFonts w:hint="eastAsia" w:ascii="宋体" w:hAnsi="宋体" w:eastAsia="宋体" w:cs="Times New Roman"/>
          <w:kern w:val="2"/>
          <w:szCs w:val="24"/>
        </w:rPr>
        <w:t>①</w:t>
      </w:r>
      <w:r>
        <w:rPr>
          <w:rFonts w:hint="eastAsia" w:eastAsia="宋体" w:cs="Times New Roman"/>
          <w:kern w:val="2"/>
          <w:szCs w:val="24"/>
        </w:rPr>
        <w:t>以弄虚作假等欺诈手段获得准入资格，或经营情况发生变化不符合准入条件的；</w:t>
      </w:r>
    </w:p>
    <w:p w14:paraId="3D438A37">
      <w:pPr>
        <w:pStyle w:val="13"/>
        <w:ind w:right="-21" w:firstLine="540"/>
        <w:rPr>
          <w:rFonts w:eastAsia="宋体" w:cs="Times New Roman"/>
          <w:kern w:val="2"/>
          <w:szCs w:val="24"/>
        </w:rPr>
      </w:pPr>
      <w:r>
        <w:rPr>
          <w:rFonts w:hint="eastAsia" w:ascii="宋体" w:hAnsi="宋体" w:eastAsia="宋体" w:cs="Times New Roman"/>
          <w:kern w:val="2"/>
          <w:szCs w:val="24"/>
        </w:rPr>
        <w:t>②</w:t>
      </w:r>
      <w:r>
        <w:rPr>
          <w:rFonts w:hint="eastAsia" w:eastAsia="宋体" w:cs="Times New Roman"/>
          <w:kern w:val="2"/>
          <w:szCs w:val="24"/>
        </w:rPr>
        <w:t>违反相关法律法规，被市场监管部门吊销食品经营许可证、营业执照的，或一年内受到市场监管部门2次以上行政处罚的;</w:t>
      </w:r>
    </w:p>
    <w:p w14:paraId="69863F87">
      <w:pPr>
        <w:pStyle w:val="13"/>
        <w:ind w:right="-21" w:firstLine="540"/>
        <w:rPr>
          <w:rFonts w:eastAsia="宋体" w:cs="Times New Roman"/>
          <w:kern w:val="2"/>
          <w:szCs w:val="24"/>
        </w:rPr>
      </w:pPr>
      <w:r>
        <w:rPr>
          <w:rFonts w:hint="eastAsia" w:ascii="宋体" w:hAnsi="宋体" w:eastAsia="宋体" w:cs="Times New Roman"/>
          <w:kern w:val="2"/>
          <w:szCs w:val="24"/>
        </w:rPr>
        <w:t>③</w:t>
      </w:r>
      <w:r>
        <w:rPr>
          <w:rFonts w:hint="eastAsia" w:eastAsia="宋体" w:cs="Times New Roman"/>
          <w:kern w:val="2"/>
          <w:szCs w:val="24"/>
        </w:rPr>
        <w:t>准入后不具备经营条件或不服从学校管理，师生满意度不高，屡次出现问题，整改不彻底的；</w:t>
      </w:r>
    </w:p>
    <w:p w14:paraId="1B6A81D7">
      <w:pPr>
        <w:pStyle w:val="13"/>
        <w:ind w:right="-21" w:firstLine="540"/>
        <w:rPr>
          <w:rFonts w:hint="eastAsia" w:eastAsia="宋体" w:cs="Times New Roman"/>
          <w:kern w:val="2"/>
          <w:szCs w:val="24"/>
        </w:rPr>
      </w:pPr>
      <w:r>
        <w:rPr>
          <w:rFonts w:hint="eastAsia" w:ascii="宋体" w:hAnsi="宋体" w:eastAsia="宋体" w:cs="Times New Roman"/>
          <w:kern w:val="2"/>
          <w:szCs w:val="24"/>
        </w:rPr>
        <w:t>④</w:t>
      </w:r>
      <w:r>
        <w:rPr>
          <w:rFonts w:hint="eastAsia" w:eastAsia="宋体" w:cs="Times New Roman"/>
          <w:kern w:val="2"/>
          <w:szCs w:val="24"/>
        </w:rPr>
        <w:t>在合同期内经营期间发生食品安全事件造成后果的，存在食品安全问题且拒不整改或连续整改不到位的；</w:t>
      </w:r>
    </w:p>
    <w:p w14:paraId="09E91E0B">
      <w:pPr>
        <w:pStyle w:val="13"/>
        <w:ind w:right="-21" w:firstLine="540"/>
        <w:rPr>
          <w:rFonts w:eastAsia="宋体" w:cs="Times New Roman"/>
          <w:kern w:val="2"/>
          <w:szCs w:val="24"/>
        </w:rPr>
      </w:pPr>
      <w:r>
        <w:rPr>
          <w:rFonts w:hint="eastAsia" w:ascii="宋体" w:hAnsi="宋体" w:eastAsia="宋体" w:cs="Times New Roman"/>
          <w:kern w:val="2"/>
          <w:szCs w:val="24"/>
        </w:rPr>
        <w:t>⑤</w:t>
      </w:r>
      <w:r>
        <w:rPr>
          <w:rFonts w:hint="eastAsia" w:eastAsia="宋体" w:cs="Times New Roman"/>
          <w:kern w:val="2"/>
          <w:szCs w:val="24"/>
        </w:rPr>
        <w:t>存在加工销售法律法规禁止生产经营的食品、使用非食用物质、滥用食品添加剂、降低食品安全保障条件等食品安全问题的；</w:t>
      </w:r>
    </w:p>
    <w:p w14:paraId="3D909CBD">
      <w:pPr>
        <w:pStyle w:val="13"/>
        <w:ind w:right="-21" w:firstLine="540"/>
        <w:rPr>
          <w:rFonts w:eastAsia="宋体" w:cs="Times New Roman"/>
          <w:kern w:val="2"/>
          <w:szCs w:val="24"/>
        </w:rPr>
      </w:pPr>
      <w:r>
        <w:rPr>
          <w:rFonts w:hint="eastAsia" w:eastAsia="宋体" w:cs="Times New Roman"/>
          <w:kern w:val="2"/>
          <w:szCs w:val="24"/>
        </w:rPr>
        <w:t>⑥转包、分包供餐业务等违约行为；</w:t>
      </w:r>
    </w:p>
    <w:p w14:paraId="2C2E8510">
      <w:pPr>
        <w:pStyle w:val="13"/>
        <w:ind w:right="-21" w:firstLine="540"/>
        <w:rPr>
          <w:rFonts w:eastAsia="宋体" w:cs="Times New Roman"/>
          <w:kern w:val="2"/>
          <w:szCs w:val="24"/>
        </w:rPr>
      </w:pPr>
      <w:r>
        <w:rPr>
          <w:rFonts w:hint="eastAsia" w:ascii="宋体" w:hAnsi="宋体" w:eastAsia="宋体" w:cs="Times New Roman"/>
          <w:kern w:val="2"/>
          <w:szCs w:val="24"/>
        </w:rPr>
        <w:t>⑦</w:t>
      </w:r>
      <w:r>
        <w:rPr>
          <w:rFonts w:hint="eastAsia" w:eastAsia="宋体" w:cs="Times New Roman"/>
          <w:kern w:val="2"/>
          <w:szCs w:val="24"/>
        </w:rPr>
        <w:t>拒不接受、配合相关职能部门监督管理的；</w:t>
      </w:r>
    </w:p>
    <w:p w14:paraId="125C8D67">
      <w:pPr>
        <w:pStyle w:val="13"/>
        <w:ind w:right="-21" w:firstLine="540"/>
        <w:rPr>
          <w:rFonts w:eastAsia="宋体" w:cs="Times New Roman"/>
          <w:kern w:val="2"/>
          <w:szCs w:val="24"/>
        </w:rPr>
      </w:pPr>
      <w:r>
        <w:rPr>
          <w:rFonts w:hint="eastAsia" w:ascii="宋体" w:hAnsi="宋体" w:eastAsia="宋体" w:cs="Times New Roman"/>
          <w:kern w:val="2"/>
          <w:szCs w:val="24"/>
        </w:rPr>
        <w:t>⑧</w:t>
      </w:r>
      <w:r>
        <w:rPr>
          <w:rFonts w:hint="eastAsia" w:eastAsia="宋体" w:cs="Times New Roman"/>
          <w:kern w:val="2"/>
          <w:szCs w:val="24"/>
        </w:rPr>
        <w:t>在市场监管部门组织的食品安全监督抽检中，一年内出现2批次以上食品抽检不合格；</w:t>
      </w:r>
    </w:p>
    <w:p w14:paraId="30F4780E">
      <w:pPr>
        <w:pStyle w:val="13"/>
        <w:ind w:right="-21" w:firstLine="540"/>
        <w:rPr>
          <w:rFonts w:eastAsia="宋体" w:cs="Times New Roman"/>
          <w:kern w:val="2"/>
          <w:szCs w:val="24"/>
        </w:rPr>
      </w:pPr>
      <w:r>
        <w:rPr>
          <w:rFonts w:hint="eastAsia" w:ascii="宋体" w:hAnsi="宋体" w:eastAsia="宋体" w:cs="Times New Roman"/>
          <w:kern w:val="2"/>
          <w:szCs w:val="24"/>
        </w:rPr>
        <w:t>⑨</w:t>
      </w:r>
      <w:r>
        <w:rPr>
          <w:rFonts w:hint="eastAsia" w:eastAsia="宋体" w:cs="Times New Roman"/>
          <w:kern w:val="2"/>
          <w:szCs w:val="24"/>
        </w:rPr>
        <w:t>评价结果为不合格的企业；</w:t>
      </w:r>
    </w:p>
    <w:p w14:paraId="4CD27EC2">
      <w:pPr>
        <w:pStyle w:val="13"/>
        <w:ind w:right="-21" w:firstLine="540"/>
        <w:rPr>
          <w:rFonts w:hint="eastAsia" w:ascii="宋体" w:hAnsi="宋体"/>
          <w:szCs w:val="24"/>
        </w:rPr>
      </w:pPr>
      <w:r>
        <w:rPr>
          <w:rFonts w:hint="eastAsia" w:ascii="宋体" w:hAnsi="宋体" w:eastAsia="宋体" w:cs="Times New Roman"/>
          <w:kern w:val="2"/>
          <w:szCs w:val="24"/>
        </w:rPr>
        <w:t>⑩</w:t>
      </w:r>
      <w:r>
        <w:rPr>
          <w:rFonts w:hint="eastAsia" w:eastAsia="宋体" w:cs="Times New Roman"/>
          <w:kern w:val="2"/>
          <w:szCs w:val="24"/>
        </w:rPr>
        <w:t>其他违反法律法规及有关规定的情形。</w:t>
      </w:r>
    </w:p>
    <w:p w14:paraId="68B31327">
      <w:pPr>
        <w:pStyle w:val="13"/>
        <w:ind w:right="-21" w:firstLine="540"/>
        <w:rPr>
          <w:rFonts w:hint="eastAsia" w:eastAsia="宋体" w:cs="Times New Roman"/>
          <w:kern w:val="2"/>
          <w:szCs w:val="24"/>
        </w:rPr>
      </w:pPr>
      <w:r>
        <w:rPr>
          <w:rFonts w:hint="eastAsia" w:eastAsia="宋体" w:cs="Times New Roman"/>
          <w:kern w:val="2"/>
          <w:szCs w:val="24"/>
        </w:rPr>
        <w:t>11、食堂经营承包企业承诺从利润中拿出部分资金，用于农村低保家庭、特困救助供养等家庭困难学生在校就餐伙食费补贴。</w:t>
      </w:r>
    </w:p>
    <w:p w14:paraId="2EF8E92C">
      <w:pPr>
        <w:pStyle w:val="13"/>
        <w:ind w:right="-21" w:firstLine="540"/>
        <w:rPr>
          <w:rFonts w:hint="eastAsia" w:eastAsia="宋体" w:cs="Times New Roman"/>
          <w:kern w:val="2"/>
          <w:szCs w:val="24"/>
        </w:rPr>
      </w:pPr>
      <w:r>
        <w:rPr>
          <w:rFonts w:hint="eastAsia" w:eastAsia="宋体" w:cs="Times New Roman"/>
          <w:kern w:val="2"/>
          <w:szCs w:val="24"/>
        </w:rPr>
        <w:t>12、由于受国家政策、区域规划、办学形式多样化等因素，发包人对经营环境、就餐人数、经营时间、饭菜价格、服务期限等不作任何承诺。其他未尽事宜，由发包人与中标人在合同约定。</w:t>
      </w:r>
    </w:p>
    <w:p w14:paraId="79A07FB6">
      <w:pPr>
        <w:spacing w:line="480" w:lineRule="exact"/>
        <w:ind w:firstLine="566" w:firstLineChars="236"/>
        <w:rPr>
          <w:rFonts w:hint="eastAsia" w:ascii="宋体" w:hAnsi="宋体" w:cs="宋体"/>
          <w:sz w:val="24"/>
          <w:szCs w:val="24"/>
        </w:rPr>
      </w:pPr>
    </w:p>
    <w:p w14:paraId="1D505039">
      <w:pPr>
        <w:spacing w:line="48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注：因各类型学校幼儿园就（配）餐人数和配就（配）标准要求不同，在发包时发包人可以根据实际情况对供应商类似业绩、配备人员、配餐标准、管理要求等进行调整。</w:t>
      </w:r>
    </w:p>
    <w:p w14:paraId="4D37B3B3">
      <w:pPr>
        <w:spacing w:line="480" w:lineRule="exact"/>
        <w:ind w:firstLine="566" w:firstLineChars="236"/>
        <w:rPr>
          <w:rFonts w:ascii="宋体" w:hAnsi="宋体"/>
          <w:sz w:val="24"/>
          <w:szCs w:val="24"/>
        </w:rPr>
      </w:pPr>
    </w:p>
    <w:p w14:paraId="1969EF39">
      <w:pPr>
        <w:spacing w:line="480" w:lineRule="exact"/>
        <w:ind w:firstLine="495" w:firstLineChars="236"/>
        <w:rPr>
          <w:rFonts w:hint="eastAsia" w:ascii="宋体" w:hAnsi="宋体"/>
          <w:sz w:val="24"/>
          <w:szCs w:val="24"/>
        </w:rPr>
      </w:pPr>
      <w:r>
        <w:rPr>
          <w:rFonts w:hint="eastAsia" w:ascii="宋体" w:hAnsi="宋体"/>
          <w:szCs w:val="24"/>
        </w:rPr>
        <w:br w:type="page"/>
      </w:r>
    </w:p>
    <w:p w14:paraId="3482AC1A">
      <w:pPr>
        <w:pStyle w:val="13"/>
        <w:ind w:right="-21" w:firstLine="0" w:firstLineChars="0"/>
        <w:jc w:val="center"/>
        <w:rPr>
          <w:rFonts w:hint="eastAsia" w:ascii="宋体" w:hAnsi="宋体" w:eastAsia="宋体" w:cs="仿宋"/>
          <w:kern w:val="2"/>
          <w:sz w:val="28"/>
          <w:szCs w:val="28"/>
        </w:rPr>
      </w:pPr>
      <w:r>
        <w:rPr>
          <w:rFonts w:hint="eastAsia" w:ascii="宋体" w:hAnsi="宋体" w:eastAsia="宋体" w:cs="宋体"/>
          <w:sz w:val="44"/>
          <w:szCs w:val="44"/>
        </w:rPr>
        <w:t>送餐学校项目</w:t>
      </w:r>
      <w:r>
        <w:rPr>
          <w:rFonts w:hint="eastAsia" w:ascii="宋体" w:hAnsi="宋体" w:eastAsia="宋体" w:cs="华文中宋"/>
          <w:bCs/>
          <w:sz w:val="44"/>
        </w:rPr>
        <w:t>招标公告（公示部分）</w:t>
      </w:r>
    </w:p>
    <w:p w14:paraId="2184AE72">
      <w:pPr>
        <w:pStyle w:val="13"/>
        <w:ind w:right="-21" w:firstLine="630"/>
        <w:rPr>
          <w:rFonts w:hint="eastAsia" w:ascii="宋体" w:hAnsi="宋体" w:eastAsia="宋体" w:cs="仿宋"/>
          <w:kern w:val="2"/>
          <w:sz w:val="28"/>
          <w:szCs w:val="28"/>
        </w:rPr>
      </w:pPr>
    </w:p>
    <w:p w14:paraId="49526184">
      <w:pPr>
        <w:pStyle w:val="13"/>
        <w:ind w:right="-21" w:firstLine="0" w:firstLineChars="0"/>
        <w:jc w:val="center"/>
        <w:rPr>
          <w:rFonts w:hint="eastAsia" w:ascii="宋体" w:hAnsi="宋体" w:eastAsia="宋体" w:cs="华文中宋"/>
          <w:b/>
          <w:bCs/>
          <w:sz w:val="32"/>
          <w:highlight w:val="none"/>
        </w:rPr>
      </w:pPr>
      <w:r>
        <w:rPr>
          <w:rFonts w:hint="eastAsia" w:ascii="宋体" w:hAnsi="宋体" w:eastAsia="宋体" w:cs="华文中宋"/>
          <w:b/>
          <w:bCs/>
          <w:sz w:val="32"/>
          <w:highlight w:val="none"/>
        </w:rPr>
        <w:t>第一</w:t>
      </w:r>
      <w:r>
        <w:rPr>
          <w:rFonts w:ascii="宋体" w:hAnsi="宋体" w:eastAsia="宋体" w:cs="华文中宋"/>
          <w:b/>
          <w:bCs/>
          <w:sz w:val="32"/>
          <w:highlight w:val="none"/>
        </w:rPr>
        <w:t>部分：</w:t>
      </w:r>
      <w:r>
        <w:rPr>
          <w:rFonts w:hint="eastAsia" w:ascii="宋体" w:hAnsi="宋体" w:eastAsia="宋体" w:cs="华文中宋"/>
          <w:b/>
          <w:bCs/>
          <w:sz w:val="32"/>
          <w:highlight w:val="none"/>
        </w:rPr>
        <w:t>基本</w:t>
      </w:r>
      <w:r>
        <w:rPr>
          <w:rFonts w:ascii="宋体" w:hAnsi="宋体" w:eastAsia="宋体" w:cs="华文中宋"/>
          <w:b/>
          <w:bCs/>
          <w:sz w:val="32"/>
          <w:highlight w:val="none"/>
        </w:rPr>
        <w:t>情况</w:t>
      </w:r>
    </w:p>
    <w:p w14:paraId="61E9857B">
      <w:pPr>
        <w:pStyle w:val="14"/>
        <w:ind w:left="0" w:leftChars="0" w:firstLine="0" w:firstLineChars="0"/>
        <w:jc w:val="center"/>
        <w:rPr>
          <w:rFonts w:hint="eastAsia" w:ascii="宋体" w:hAnsi="宋体" w:cs="华文中宋"/>
          <w:b/>
          <w:bCs/>
          <w:kern w:val="0"/>
          <w:sz w:val="28"/>
          <w:szCs w:val="28"/>
          <w:highlight w:val="none"/>
        </w:rPr>
      </w:pPr>
      <w:r>
        <w:rPr>
          <w:rFonts w:hint="eastAsia" w:ascii="宋体" w:hAnsi="宋体" w:cs="华文中宋"/>
          <w:b/>
          <w:bCs/>
          <w:kern w:val="0"/>
          <w:sz w:val="28"/>
          <w:szCs w:val="28"/>
          <w:highlight w:val="none"/>
        </w:rPr>
        <w:t>（根据各学校实际情况拟定）</w:t>
      </w:r>
    </w:p>
    <w:p w14:paraId="6FD0708A">
      <w:pPr>
        <w:pStyle w:val="13"/>
        <w:ind w:right="-21" w:firstLine="630"/>
        <w:rPr>
          <w:rFonts w:hint="eastAsia" w:ascii="宋体" w:hAnsi="宋体" w:eastAsia="宋体" w:cs="仿宋"/>
          <w:kern w:val="2"/>
          <w:sz w:val="28"/>
          <w:szCs w:val="28"/>
        </w:rPr>
      </w:pPr>
    </w:p>
    <w:p w14:paraId="09CA83DF">
      <w:pPr>
        <w:pStyle w:val="14"/>
      </w:pPr>
    </w:p>
    <w:p w14:paraId="739A4562">
      <w:pPr>
        <w:pStyle w:val="14"/>
      </w:pPr>
    </w:p>
    <w:p w14:paraId="6F15553B">
      <w:pPr>
        <w:pStyle w:val="14"/>
      </w:pPr>
    </w:p>
    <w:p w14:paraId="17A8EAB3">
      <w:pPr>
        <w:pStyle w:val="14"/>
      </w:pPr>
    </w:p>
    <w:p w14:paraId="42D8E6C2">
      <w:pPr>
        <w:pStyle w:val="14"/>
      </w:pPr>
    </w:p>
    <w:p w14:paraId="4029F6A4">
      <w:pPr>
        <w:pStyle w:val="13"/>
        <w:ind w:right="-21" w:firstLine="0" w:firstLineChars="0"/>
        <w:jc w:val="center"/>
        <w:rPr>
          <w:rFonts w:hint="eastAsia" w:ascii="宋体" w:hAnsi="宋体" w:eastAsia="宋体" w:cs="仿宋"/>
          <w:kern w:val="2"/>
          <w:sz w:val="28"/>
          <w:szCs w:val="28"/>
        </w:rPr>
      </w:pPr>
      <w:r>
        <w:rPr>
          <w:rFonts w:hint="eastAsia" w:ascii="宋体" w:hAnsi="宋体" w:eastAsia="宋体" w:cs="华文中宋"/>
          <w:b/>
          <w:bCs/>
          <w:sz w:val="32"/>
        </w:rPr>
        <w:t>第二</w:t>
      </w:r>
      <w:r>
        <w:rPr>
          <w:rFonts w:ascii="宋体" w:hAnsi="宋体" w:eastAsia="宋体" w:cs="华文中宋"/>
          <w:b/>
          <w:bCs/>
          <w:sz w:val="32"/>
        </w:rPr>
        <w:t>部分：</w:t>
      </w:r>
      <w:r>
        <w:rPr>
          <w:rFonts w:hint="eastAsia" w:ascii="宋体" w:hAnsi="宋体" w:eastAsia="宋体" w:cs="华文中宋"/>
          <w:b/>
          <w:bCs/>
          <w:sz w:val="32"/>
        </w:rPr>
        <w:t>评分细则</w:t>
      </w:r>
    </w:p>
    <w:p w14:paraId="3401BE38">
      <w:pPr>
        <w:adjustRightInd w:val="0"/>
        <w:snapToGrid w:val="0"/>
        <w:spacing w:line="360" w:lineRule="auto"/>
        <w:ind w:right="-10"/>
        <w:rPr>
          <w:rFonts w:hint="eastAsia" w:ascii="宋体" w:hAnsi="宋体"/>
          <w:b/>
          <w:bCs/>
          <w:sz w:val="24"/>
          <w:szCs w:val="24"/>
        </w:rPr>
      </w:pPr>
      <w:r>
        <w:rPr>
          <w:rFonts w:hint="eastAsia" w:ascii="宋体" w:hAnsi="宋体"/>
          <w:b/>
          <w:bCs/>
          <w:sz w:val="24"/>
          <w:szCs w:val="24"/>
        </w:rPr>
        <w:t>一、评分标准</w:t>
      </w:r>
    </w:p>
    <w:p w14:paraId="2031EACA">
      <w:pPr>
        <w:adjustRightInd w:val="0"/>
        <w:snapToGrid w:val="0"/>
        <w:spacing w:line="360" w:lineRule="auto"/>
        <w:ind w:right="-10" w:firstLine="482" w:firstLineChars="200"/>
        <w:rPr>
          <w:rFonts w:hint="eastAsia" w:ascii="宋体" w:hAnsi="宋体"/>
          <w:b/>
          <w:bCs/>
          <w:sz w:val="24"/>
          <w:szCs w:val="24"/>
        </w:rPr>
      </w:pPr>
      <w:r>
        <w:rPr>
          <w:rFonts w:hint="eastAsia" w:ascii="宋体" w:hAnsi="宋体"/>
          <w:b/>
          <w:bCs/>
          <w:sz w:val="24"/>
          <w:szCs w:val="24"/>
        </w:rPr>
        <w:t>1、资格审查</w:t>
      </w:r>
    </w:p>
    <w:tbl>
      <w:tblPr>
        <w:tblStyle w:val="16"/>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20"/>
        <w:gridCol w:w="1980"/>
        <w:gridCol w:w="2546"/>
        <w:gridCol w:w="1358"/>
        <w:gridCol w:w="2940"/>
        <w:gridCol w:w="9"/>
      </w:tblGrid>
      <w:tr w14:paraId="7ADE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jc w:val="center"/>
        </w:trPr>
        <w:tc>
          <w:tcPr>
            <w:tcW w:w="9553" w:type="dxa"/>
            <w:gridSpan w:val="6"/>
            <w:vAlign w:val="center"/>
          </w:tcPr>
          <w:p w14:paraId="29AFB6F1">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
                <w:kern w:val="2"/>
                <w:szCs w:val="24"/>
              </w:rPr>
              <w:t>资格审查表</w:t>
            </w:r>
          </w:p>
        </w:tc>
      </w:tr>
      <w:tr w14:paraId="32EF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jc w:val="center"/>
        </w:trPr>
        <w:tc>
          <w:tcPr>
            <w:tcW w:w="9553" w:type="dxa"/>
            <w:gridSpan w:val="6"/>
            <w:vAlign w:val="center"/>
          </w:tcPr>
          <w:p w14:paraId="38431699">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rPr>
              <w:t>投标供应商：</w:t>
            </w:r>
          </w:p>
        </w:tc>
      </w:tr>
      <w:tr w14:paraId="4942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599" w:hRule="atLeast"/>
          <w:jc w:val="center"/>
        </w:trPr>
        <w:tc>
          <w:tcPr>
            <w:tcW w:w="720" w:type="dxa"/>
            <w:tcBorders>
              <w:bottom w:val="single" w:color="auto" w:sz="4" w:space="0"/>
            </w:tcBorders>
            <w:vAlign w:val="center"/>
          </w:tcPr>
          <w:p w14:paraId="02794F95">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序号</w:t>
            </w:r>
          </w:p>
        </w:tc>
        <w:tc>
          <w:tcPr>
            <w:tcW w:w="1980" w:type="dxa"/>
            <w:tcBorders>
              <w:bottom w:val="single" w:color="auto" w:sz="4" w:space="0"/>
            </w:tcBorders>
            <w:vAlign w:val="center"/>
          </w:tcPr>
          <w:p w14:paraId="3EC1D99C">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指标名称</w:t>
            </w:r>
          </w:p>
        </w:tc>
        <w:tc>
          <w:tcPr>
            <w:tcW w:w="2546" w:type="dxa"/>
            <w:tcBorders>
              <w:bottom w:val="single" w:color="auto" w:sz="4" w:space="0"/>
            </w:tcBorders>
            <w:vAlign w:val="center"/>
          </w:tcPr>
          <w:p w14:paraId="0622B53C">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指标要求</w:t>
            </w:r>
          </w:p>
        </w:tc>
        <w:tc>
          <w:tcPr>
            <w:tcW w:w="1358" w:type="dxa"/>
            <w:tcBorders>
              <w:bottom w:val="single" w:color="auto" w:sz="4" w:space="0"/>
            </w:tcBorders>
            <w:vAlign w:val="center"/>
          </w:tcPr>
          <w:p w14:paraId="63E6980A">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是否通过</w:t>
            </w:r>
          </w:p>
        </w:tc>
        <w:tc>
          <w:tcPr>
            <w:tcW w:w="2940" w:type="dxa"/>
            <w:tcBorders>
              <w:bottom w:val="single" w:color="auto" w:sz="4" w:space="0"/>
            </w:tcBorders>
            <w:vAlign w:val="center"/>
          </w:tcPr>
          <w:p w14:paraId="6110E7E3">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投标文件格式及提交资料要求</w:t>
            </w:r>
          </w:p>
        </w:tc>
      </w:tr>
      <w:tr w14:paraId="0CE8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2767" w:hRule="atLeast"/>
          <w:jc w:val="center"/>
        </w:trPr>
        <w:tc>
          <w:tcPr>
            <w:tcW w:w="720" w:type="dxa"/>
            <w:tcBorders>
              <w:bottom w:val="single" w:color="auto" w:sz="4" w:space="0"/>
            </w:tcBorders>
            <w:vAlign w:val="center"/>
          </w:tcPr>
          <w:p w14:paraId="10C4B22A">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1</w:t>
            </w:r>
          </w:p>
        </w:tc>
        <w:tc>
          <w:tcPr>
            <w:tcW w:w="1980" w:type="dxa"/>
            <w:tcBorders>
              <w:bottom w:val="single" w:color="auto" w:sz="4" w:space="0"/>
            </w:tcBorders>
            <w:vAlign w:val="center"/>
          </w:tcPr>
          <w:p w14:paraId="71B0D729">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营业执照</w:t>
            </w:r>
          </w:p>
        </w:tc>
        <w:tc>
          <w:tcPr>
            <w:tcW w:w="2546" w:type="dxa"/>
            <w:tcBorders>
              <w:bottom w:val="single" w:color="auto" w:sz="4" w:space="0"/>
            </w:tcBorders>
            <w:vAlign w:val="center"/>
          </w:tcPr>
          <w:p w14:paraId="216E1088">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合法有效</w:t>
            </w:r>
          </w:p>
        </w:tc>
        <w:tc>
          <w:tcPr>
            <w:tcW w:w="1358" w:type="dxa"/>
            <w:tcBorders>
              <w:bottom w:val="single" w:color="auto" w:sz="4" w:space="0"/>
            </w:tcBorders>
            <w:vAlign w:val="center"/>
          </w:tcPr>
          <w:p w14:paraId="26B385A1">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vMerge w:val="restart"/>
            <w:vAlign w:val="center"/>
          </w:tcPr>
          <w:p w14:paraId="0C8DABB0">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提供有效的营业执照和税务登记证的扫描件，应完整的体现出营业执照和税务登记证的全部内容。已办理“三证合一”登记的，投标文件中提供营业执照扫描件即可。联合体投标的联合体各方均须提供。事业单位提供事业单位法人证书、民办非企业提供民办非企业单位登记证书即可。</w:t>
            </w:r>
          </w:p>
        </w:tc>
      </w:tr>
      <w:tr w14:paraId="1A86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293" w:hRule="atLeast"/>
          <w:jc w:val="center"/>
        </w:trPr>
        <w:tc>
          <w:tcPr>
            <w:tcW w:w="720" w:type="dxa"/>
            <w:tcBorders>
              <w:bottom w:val="single" w:color="auto" w:sz="4" w:space="0"/>
            </w:tcBorders>
            <w:vAlign w:val="center"/>
          </w:tcPr>
          <w:p w14:paraId="7835E9EF">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2</w:t>
            </w:r>
          </w:p>
        </w:tc>
        <w:tc>
          <w:tcPr>
            <w:tcW w:w="1980" w:type="dxa"/>
            <w:tcBorders>
              <w:bottom w:val="single" w:color="auto" w:sz="4" w:space="0"/>
            </w:tcBorders>
            <w:vAlign w:val="center"/>
          </w:tcPr>
          <w:p w14:paraId="56EAFEAA">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税务登记证</w:t>
            </w:r>
          </w:p>
        </w:tc>
        <w:tc>
          <w:tcPr>
            <w:tcW w:w="2546" w:type="dxa"/>
            <w:tcBorders>
              <w:bottom w:val="single" w:color="auto" w:sz="4" w:space="0"/>
            </w:tcBorders>
            <w:vAlign w:val="center"/>
          </w:tcPr>
          <w:p w14:paraId="78A8B9C0">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合法有效</w:t>
            </w:r>
          </w:p>
        </w:tc>
        <w:tc>
          <w:tcPr>
            <w:tcW w:w="1358" w:type="dxa"/>
            <w:tcBorders>
              <w:bottom w:val="single" w:color="auto" w:sz="4" w:space="0"/>
            </w:tcBorders>
            <w:vAlign w:val="center"/>
          </w:tcPr>
          <w:p w14:paraId="2B05DB00">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vMerge w:val="continue"/>
            <w:tcBorders>
              <w:bottom w:val="single" w:color="auto" w:sz="4" w:space="0"/>
            </w:tcBorders>
            <w:vAlign w:val="center"/>
          </w:tcPr>
          <w:p w14:paraId="6220298A">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p>
        </w:tc>
      </w:tr>
      <w:tr w14:paraId="30C8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461" w:hRule="atLeast"/>
          <w:jc w:val="center"/>
        </w:trPr>
        <w:tc>
          <w:tcPr>
            <w:tcW w:w="720" w:type="dxa"/>
            <w:tcBorders>
              <w:bottom w:val="single" w:color="auto" w:sz="4" w:space="0"/>
            </w:tcBorders>
            <w:vAlign w:val="center"/>
          </w:tcPr>
          <w:p w14:paraId="165B332B">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3</w:t>
            </w:r>
          </w:p>
        </w:tc>
        <w:tc>
          <w:tcPr>
            <w:tcW w:w="1980" w:type="dxa"/>
            <w:tcBorders>
              <w:bottom w:val="single" w:color="auto" w:sz="4" w:space="0"/>
            </w:tcBorders>
            <w:vAlign w:val="center"/>
          </w:tcPr>
          <w:p w14:paraId="11D9BDDC">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联合体协议</w:t>
            </w:r>
          </w:p>
          <w:p w14:paraId="4465F4F0">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（如有）</w:t>
            </w:r>
          </w:p>
        </w:tc>
        <w:tc>
          <w:tcPr>
            <w:tcW w:w="2546" w:type="dxa"/>
            <w:tcBorders>
              <w:bottom w:val="single" w:color="auto" w:sz="4" w:space="0"/>
            </w:tcBorders>
            <w:vAlign w:val="center"/>
          </w:tcPr>
          <w:p w14:paraId="046B1830">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格式、填写要求符合发包文件规定并加盖投标供应商电子签章</w:t>
            </w:r>
          </w:p>
        </w:tc>
        <w:tc>
          <w:tcPr>
            <w:tcW w:w="1358" w:type="dxa"/>
            <w:tcBorders>
              <w:bottom w:val="single" w:color="auto" w:sz="4" w:space="0"/>
            </w:tcBorders>
            <w:vAlign w:val="center"/>
          </w:tcPr>
          <w:p w14:paraId="239125AE">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05CAC3CD">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联合体投标的，须提供联合体协议</w:t>
            </w:r>
          </w:p>
        </w:tc>
      </w:tr>
      <w:tr w14:paraId="1907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930" w:hRule="atLeast"/>
          <w:jc w:val="center"/>
        </w:trPr>
        <w:tc>
          <w:tcPr>
            <w:tcW w:w="720" w:type="dxa"/>
            <w:tcBorders>
              <w:bottom w:val="single" w:color="auto" w:sz="4" w:space="0"/>
            </w:tcBorders>
            <w:vAlign w:val="center"/>
          </w:tcPr>
          <w:p w14:paraId="10177749">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4</w:t>
            </w:r>
          </w:p>
        </w:tc>
        <w:tc>
          <w:tcPr>
            <w:tcW w:w="1980" w:type="dxa"/>
            <w:tcBorders>
              <w:bottom w:val="single" w:color="auto" w:sz="4" w:space="0"/>
            </w:tcBorders>
            <w:vAlign w:val="center"/>
          </w:tcPr>
          <w:p w14:paraId="6C1D7D5F">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无重大违法记录声明函、无不良信用记录承诺函</w:t>
            </w:r>
          </w:p>
        </w:tc>
        <w:tc>
          <w:tcPr>
            <w:tcW w:w="2546" w:type="dxa"/>
            <w:tcBorders>
              <w:bottom w:val="single" w:color="auto" w:sz="4" w:space="0"/>
            </w:tcBorders>
            <w:vAlign w:val="center"/>
          </w:tcPr>
          <w:p w14:paraId="21C78D5C">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格式、填写要求符合发包文件规定并加盖投标供应商电子签章</w:t>
            </w:r>
          </w:p>
        </w:tc>
        <w:tc>
          <w:tcPr>
            <w:tcW w:w="1358" w:type="dxa"/>
            <w:tcBorders>
              <w:bottom w:val="single" w:color="auto" w:sz="4" w:space="0"/>
            </w:tcBorders>
            <w:vAlign w:val="center"/>
          </w:tcPr>
          <w:p w14:paraId="00CC490B">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26944974">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第七章投标文件格式</w:t>
            </w:r>
          </w:p>
        </w:tc>
      </w:tr>
      <w:tr w14:paraId="3D8B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930" w:hRule="atLeast"/>
          <w:jc w:val="center"/>
        </w:trPr>
        <w:tc>
          <w:tcPr>
            <w:tcW w:w="720" w:type="dxa"/>
            <w:tcBorders>
              <w:bottom w:val="single" w:color="auto" w:sz="4" w:space="0"/>
            </w:tcBorders>
            <w:vAlign w:val="center"/>
          </w:tcPr>
          <w:p w14:paraId="50DD0008">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5</w:t>
            </w:r>
          </w:p>
        </w:tc>
        <w:tc>
          <w:tcPr>
            <w:tcW w:w="1980" w:type="dxa"/>
            <w:tcBorders>
              <w:bottom w:val="single" w:color="auto" w:sz="4" w:space="0"/>
            </w:tcBorders>
            <w:vAlign w:val="center"/>
          </w:tcPr>
          <w:p w14:paraId="7E073ECA">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cs="宋体"/>
                <w:szCs w:val="24"/>
              </w:rPr>
              <w:t>投标供应商其他资格要求</w:t>
            </w:r>
          </w:p>
        </w:tc>
        <w:tc>
          <w:tcPr>
            <w:tcW w:w="2546" w:type="dxa"/>
            <w:tcBorders>
              <w:bottom w:val="single" w:color="auto" w:sz="4" w:space="0"/>
            </w:tcBorders>
            <w:vAlign w:val="center"/>
          </w:tcPr>
          <w:p w14:paraId="327F0F56">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符合招标公告要求</w:t>
            </w:r>
          </w:p>
        </w:tc>
        <w:tc>
          <w:tcPr>
            <w:tcW w:w="1358" w:type="dxa"/>
            <w:tcBorders>
              <w:bottom w:val="single" w:color="auto" w:sz="4" w:space="0"/>
            </w:tcBorders>
            <w:vAlign w:val="center"/>
          </w:tcPr>
          <w:p w14:paraId="7E5DA29E">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09632DD2">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color w:val="auto"/>
                <w:kern w:val="2"/>
                <w:szCs w:val="24"/>
              </w:rPr>
              <w:t>具备集体用餐配送单位资质，即由县区级（含县级市）及以上市场监督管理局颁发的食品经营许可证，主体业态为：餐饮服务经营者（集体用餐配送单位）。</w:t>
            </w:r>
          </w:p>
        </w:tc>
      </w:tr>
      <w:tr w14:paraId="7421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930" w:hRule="atLeast"/>
          <w:jc w:val="center"/>
        </w:trPr>
        <w:tc>
          <w:tcPr>
            <w:tcW w:w="720" w:type="dxa"/>
            <w:tcBorders>
              <w:bottom w:val="single" w:color="auto" w:sz="4" w:space="0"/>
            </w:tcBorders>
            <w:vAlign w:val="center"/>
          </w:tcPr>
          <w:p w14:paraId="546B8CC9">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6</w:t>
            </w:r>
          </w:p>
        </w:tc>
        <w:tc>
          <w:tcPr>
            <w:tcW w:w="1980" w:type="dxa"/>
            <w:tcBorders>
              <w:bottom w:val="single" w:color="auto" w:sz="4" w:space="0"/>
            </w:tcBorders>
            <w:vAlign w:val="center"/>
          </w:tcPr>
          <w:p w14:paraId="2F2EA435">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投标授权书</w:t>
            </w:r>
          </w:p>
        </w:tc>
        <w:tc>
          <w:tcPr>
            <w:tcW w:w="2546" w:type="dxa"/>
            <w:tcBorders>
              <w:bottom w:val="single" w:color="auto" w:sz="4" w:space="0"/>
            </w:tcBorders>
            <w:vAlign w:val="center"/>
          </w:tcPr>
          <w:p w14:paraId="566C66D4">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格式、填写要求符合发包文件规定并加盖投标供应商电子签章</w:t>
            </w:r>
          </w:p>
        </w:tc>
        <w:tc>
          <w:tcPr>
            <w:tcW w:w="1358" w:type="dxa"/>
            <w:tcBorders>
              <w:bottom w:val="single" w:color="auto" w:sz="4" w:space="0"/>
            </w:tcBorders>
            <w:vAlign w:val="center"/>
          </w:tcPr>
          <w:p w14:paraId="111CA8FF">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64039022">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法定代表人参加投标的无需此件，提供身份证明扫描件即可。第七章投标文件格式</w:t>
            </w:r>
          </w:p>
        </w:tc>
      </w:tr>
      <w:tr w14:paraId="432F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930" w:hRule="atLeast"/>
          <w:jc w:val="center"/>
        </w:trPr>
        <w:tc>
          <w:tcPr>
            <w:tcW w:w="720" w:type="dxa"/>
            <w:tcBorders>
              <w:bottom w:val="single" w:color="auto" w:sz="4" w:space="0"/>
            </w:tcBorders>
            <w:vAlign w:val="center"/>
          </w:tcPr>
          <w:p w14:paraId="76B1C084">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7</w:t>
            </w:r>
          </w:p>
        </w:tc>
        <w:tc>
          <w:tcPr>
            <w:tcW w:w="1980" w:type="dxa"/>
            <w:tcBorders>
              <w:bottom w:val="single" w:color="auto" w:sz="4" w:space="0"/>
            </w:tcBorders>
            <w:vAlign w:val="center"/>
          </w:tcPr>
          <w:p w14:paraId="4AF536B3">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标书响应情况</w:t>
            </w:r>
          </w:p>
        </w:tc>
        <w:tc>
          <w:tcPr>
            <w:tcW w:w="2546" w:type="dxa"/>
            <w:tcBorders>
              <w:bottom w:val="single" w:color="auto" w:sz="4" w:space="0"/>
            </w:tcBorders>
            <w:vAlign w:val="center"/>
          </w:tcPr>
          <w:p w14:paraId="5996FAA5">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技术响应（无重大偏离）、付款响应、交货期及安装调试期响应、质保期响应等与发包文件要求无重大偏离。</w:t>
            </w:r>
          </w:p>
        </w:tc>
        <w:tc>
          <w:tcPr>
            <w:tcW w:w="1358" w:type="dxa"/>
            <w:tcBorders>
              <w:bottom w:val="single" w:color="auto" w:sz="4" w:space="0"/>
            </w:tcBorders>
            <w:vAlign w:val="center"/>
          </w:tcPr>
          <w:p w14:paraId="697784D6">
            <w:pPr>
              <w:pStyle w:val="33"/>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4A6085B5">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投标文件格式</w:t>
            </w:r>
          </w:p>
        </w:tc>
      </w:tr>
      <w:tr w14:paraId="7192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83" w:hRule="atLeast"/>
          <w:jc w:val="center"/>
        </w:trPr>
        <w:tc>
          <w:tcPr>
            <w:tcW w:w="9553" w:type="dxa"/>
            <w:gridSpan w:val="6"/>
            <w:tcBorders>
              <w:bottom w:val="single" w:color="auto" w:sz="4" w:space="0"/>
            </w:tcBorders>
            <w:vAlign w:val="center"/>
          </w:tcPr>
          <w:p w14:paraId="7B960402">
            <w:pPr>
              <w:pStyle w:val="33"/>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资格审查通过标准：投标供应商必须通过上述全部指标。</w:t>
            </w:r>
          </w:p>
        </w:tc>
      </w:tr>
      <w:tr w14:paraId="2FB7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01" w:hRule="atLeast"/>
          <w:jc w:val="center"/>
        </w:trPr>
        <w:tc>
          <w:tcPr>
            <w:tcW w:w="9553" w:type="dxa"/>
            <w:gridSpan w:val="6"/>
            <w:tcBorders>
              <w:bottom w:val="single" w:color="auto" w:sz="4" w:space="0"/>
            </w:tcBorders>
            <w:vAlign w:val="center"/>
          </w:tcPr>
          <w:p w14:paraId="38F91CD2">
            <w:pPr>
              <w:adjustRightInd w:val="0"/>
              <w:snapToGrid w:val="0"/>
              <w:spacing w:line="400" w:lineRule="exact"/>
              <w:ind w:right="-10"/>
              <w:rPr>
                <w:rFonts w:hint="eastAsia" w:ascii="宋体" w:hAnsi="宋体"/>
                <w:b/>
                <w:bCs/>
                <w:sz w:val="24"/>
                <w:szCs w:val="24"/>
              </w:rPr>
            </w:pPr>
            <w:r>
              <w:rPr>
                <w:rFonts w:hint="eastAsia" w:ascii="宋体" w:hAnsi="宋体"/>
                <w:b/>
                <w:bCs/>
                <w:sz w:val="24"/>
                <w:szCs w:val="24"/>
              </w:rPr>
              <w:t>签字：</w:t>
            </w:r>
          </w:p>
          <w:p w14:paraId="5E2C7EB5">
            <w:pPr>
              <w:adjustRightInd w:val="0"/>
              <w:snapToGrid w:val="0"/>
              <w:spacing w:line="400" w:lineRule="exact"/>
              <w:ind w:right="-10"/>
              <w:rPr>
                <w:rFonts w:hint="eastAsia" w:ascii="宋体" w:hAnsi="宋体"/>
                <w:sz w:val="24"/>
                <w:szCs w:val="24"/>
              </w:rPr>
            </w:pPr>
          </w:p>
        </w:tc>
      </w:tr>
    </w:tbl>
    <w:p w14:paraId="315FA6B7">
      <w:pPr>
        <w:spacing w:before="156" w:beforeLines="50" w:line="520" w:lineRule="exact"/>
        <w:ind w:firstLine="566" w:firstLineChars="236"/>
        <w:rPr>
          <w:rFonts w:hint="eastAsia" w:ascii="宋体" w:hAnsi="宋体"/>
          <w:sz w:val="24"/>
          <w:szCs w:val="24"/>
        </w:rPr>
      </w:pPr>
      <w:r>
        <w:rPr>
          <w:rFonts w:hint="eastAsia" w:ascii="宋体" w:hAnsi="宋体"/>
          <w:sz w:val="24"/>
          <w:szCs w:val="24"/>
        </w:rPr>
        <w:t>2、对投标文件进行详细审查。评标委员会只对通过资格审查的，实质上响应发包文件要求的投标文件按照下述指标表进行详细审查。</w:t>
      </w:r>
    </w:p>
    <w:p w14:paraId="7312CB23">
      <w:pPr>
        <w:spacing w:line="520" w:lineRule="exact"/>
        <w:ind w:firstLine="480" w:firstLineChars="200"/>
        <w:jc w:val="left"/>
        <w:rPr>
          <w:rFonts w:hint="eastAsia" w:ascii="宋体" w:hAnsi="宋体"/>
          <w:sz w:val="24"/>
          <w:szCs w:val="24"/>
        </w:rPr>
      </w:pPr>
      <w:r>
        <w:rPr>
          <w:rFonts w:hint="eastAsia" w:ascii="宋体" w:hAnsi="宋体"/>
          <w:sz w:val="24"/>
          <w:szCs w:val="24"/>
        </w:rPr>
        <w:t>本项目技术分值占总分值的权重为</w:t>
      </w:r>
      <w:r>
        <w:rPr>
          <w:rFonts w:hint="eastAsia" w:ascii="宋体" w:hAnsi="宋体"/>
          <w:sz w:val="24"/>
          <w:szCs w:val="24"/>
          <w:u w:val="single"/>
        </w:rPr>
        <w:t xml:space="preserve"> </w:t>
      </w:r>
      <w:r>
        <w:rPr>
          <w:rFonts w:ascii="宋体" w:hAnsi="宋体"/>
          <w:sz w:val="24"/>
          <w:szCs w:val="24"/>
          <w:u w:val="single"/>
        </w:rPr>
        <w:t>80</w:t>
      </w:r>
      <w:r>
        <w:rPr>
          <w:rFonts w:hint="eastAsia" w:ascii="宋体" w:hAnsi="宋体"/>
          <w:sz w:val="24"/>
          <w:szCs w:val="24"/>
          <w:u w:val="single"/>
        </w:rPr>
        <w:t xml:space="preserve"> </w:t>
      </w:r>
      <w:r>
        <w:rPr>
          <w:rFonts w:hint="eastAsia" w:ascii="宋体" w:hAnsi="宋体"/>
          <w:sz w:val="24"/>
          <w:szCs w:val="24"/>
        </w:rPr>
        <w:t>%，价格分值占总分值的权重为</w:t>
      </w:r>
      <w:r>
        <w:rPr>
          <w:rFonts w:hint="eastAsia" w:ascii="宋体" w:hAnsi="宋体"/>
          <w:sz w:val="24"/>
          <w:szCs w:val="24"/>
          <w:u w:val="single"/>
        </w:rPr>
        <w:t xml:space="preserve"> </w:t>
      </w:r>
      <w:r>
        <w:rPr>
          <w:rFonts w:ascii="宋体" w:hAnsi="宋体"/>
          <w:sz w:val="24"/>
          <w:szCs w:val="24"/>
          <w:u w:val="single"/>
        </w:rPr>
        <w:t>20</w:t>
      </w:r>
      <w:r>
        <w:rPr>
          <w:rFonts w:hint="eastAsia" w:ascii="宋体" w:hAnsi="宋体"/>
          <w:sz w:val="24"/>
          <w:szCs w:val="24"/>
          <w:u w:val="single"/>
        </w:rPr>
        <w:t xml:space="preserve"> </w:t>
      </w:r>
      <w:r>
        <w:rPr>
          <w:rFonts w:hint="eastAsia" w:ascii="宋体" w:hAnsi="宋体"/>
          <w:sz w:val="24"/>
          <w:szCs w:val="24"/>
        </w:rPr>
        <w:t>%。</w:t>
      </w:r>
    </w:p>
    <w:p w14:paraId="0653FD2A">
      <w:pPr>
        <w:spacing w:line="480" w:lineRule="exact"/>
        <w:ind w:firstLine="480"/>
        <w:jc w:val="left"/>
      </w:pPr>
      <w:r>
        <w:rPr>
          <w:rFonts w:hint="eastAsia" w:ascii="宋体" w:hAnsi="宋体" w:cs="宋体"/>
          <w:sz w:val="24"/>
          <w:szCs w:val="24"/>
        </w:rPr>
        <w:t>注：超过最高限价的最后磋商报价为无效报价，按废标处理。</w:t>
      </w:r>
    </w:p>
    <w:p w14:paraId="411E1F71">
      <w:pPr>
        <w:pStyle w:val="6"/>
        <w:spacing w:line="520" w:lineRule="exact"/>
        <w:ind w:firstLine="480" w:firstLineChars="200"/>
        <w:rPr>
          <w:rFonts w:hint="eastAsia" w:ascii="宋体" w:hAnsi="宋体"/>
          <w:sz w:val="24"/>
          <w:szCs w:val="24"/>
        </w:rPr>
      </w:pPr>
      <w:r>
        <w:rPr>
          <w:rFonts w:hint="eastAsia" w:ascii="宋体" w:hAnsi="宋体"/>
          <w:sz w:val="24"/>
          <w:szCs w:val="24"/>
        </w:rPr>
        <w:t>具体评分细则如下：</w:t>
      </w:r>
    </w:p>
    <w:tbl>
      <w:tblPr>
        <w:tblStyle w:val="16"/>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074"/>
        <w:gridCol w:w="1074"/>
        <w:gridCol w:w="6778"/>
        <w:gridCol w:w="653"/>
        <w:gridCol w:w="10"/>
      </w:tblGrid>
      <w:tr w14:paraId="075E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789"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2CA26F1C">
            <w:pPr>
              <w:spacing w:line="400" w:lineRule="exact"/>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0D8A07F2">
            <w:pPr>
              <w:spacing w:line="400" w:lineRule="exact"/>
              <w:jc w:val="center"/>
              <w:rPr>
                <w:rFonts w:hint="eastAsia" w:ascii="宋体" w:hAnsi="宋体" w:cs="宋体"/>
                <w:b/>
                <w:bCs/>
                <w:sz w:val="24"/>
                <w:szCs w:val="24"/>
              </w:rPr>
            </w:pPr>
            <w:r>
              <w:rPr>
                <w:rFonts w:hint="eastAsia" w:ascii="宋体" w:hAnsi="宋体" w:cs="宋体"/>
                <w:b/>
                <w:bCs/>
                <w:sz w:val="24"/>
                <w:szCs w:val="24"/>
              </w:rPr>
              <w:t>评分内容</w:t>
            </w:r>
          </w:p>
        </w:tc>
        <w:tc>
          <w:tcPr>
            <w:tcW w:w="6778" w:type="dxa"/>
            <w:tcBorders>
              <w:top w:val="single" w:color="auto" w:sz="4" w:space="0"/>
              <w:left w:val="single" w:color="auto" w:sz="4" w:space="0"/>
              <w:bottom w:val="single" w:color="auto" w:sz="4" w:space="0"/>
              <w:right w:val="single" w:color="auto" w:sz="4" w:space="0"/>
            </w:tcBorders>
            <w:vAlign w:val="center"/>
          </w:tcPr>
          <w:p w14:paraId="73BA555A">
            <w:pPr>
              <w:spacing w:line="400" w:lineRule="exact"/>
              <w:jc w:val="center"/>
              <w:rPr>
                <w:rFonts w:hint="eastAsia"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729874B7">
            <w:pPr>
              <w:spacing w:line="400" w:lineRule="exact"/>
              <w:jc w:val="center"/>
              <w:rPr>
                <w:rFonts w:hint="eastAsia" w:ascii="宋体" w:hAnsi="宋体" w:cs="宋体"/>
                <w:b/>
                <w:bCs/>
                <w:sz w:val="24"/>
                <w:szCs w:val="24"/>
              </w:rPr>
            </w:pPr>
            <w:r>
              <w:rPr>
                <w:rFonts w:hint="eastAsia" w:ascii="宋体" w:hAnsi="宋体" w:cs="宋体"/>
                <w:b/>
                <w:bCs/>
                <w:sz w:val="24"/>
                <w:szCs w:val="24"/>
              </w:rPr>
              <w:t>分值范围</w:t>
            </w:r>
          </w:p>
        </w:tc>
      </w:tr>
      <w:tr w14:paraId="3478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33" w:hRule="atLeast"/>
          <w:jc w:val="center"/>
        </w:trPr>
        <w:tc>
          <w:tcPr>
            <w:tcW w:w="1074" w:type="dxa"/>
            <w:vMerge w:val="restart"/>
            <w:tcBorders>
              <w:top w:val="single" w:color="auto" w:sz="4" w:space="0"/>
              <w:left w:val="single" w:color="auto" w:sz="4" w:space="0"/>
              <w:right w:val="single" w:color="auto" w:sz="4" w:space="0"/>
            </w:tcBorders>
            <w:vAlign w:val="center"/>
          </w:tcPr>
          <w:p w14:paraId="0FF8F73E">
            <w:pPr>
              <w:spacing w:line="40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技术标分（80分）</w:t>
            </w:r>
          </w:p>
        </w:tc>
        <w:tc>
          <w:tcPr>
            <w:tcW w:w="1074" w:type="dxa"/>
            <w:tcBorders>
              <w:top w:val="single" w:color="auto" w:sz="4" w:space="0"/>
              <w:left w:val="single" w:color="auto" w:sz="4" w:space="0"/>
              <w:right w:val="single" w:color="auto" w:sz="4" w:space="0"/>
            </w:tcBorders>
            <w:vAlign w:val="center"/>
          </w:tcPr>
          <w:p w14:paraId="27286EFA">
            <w:pPr>
              <w:widowControl/>
              <w:spacing w:line="400" w:lineRule="exact"/>
              <w:jc w:val="center"/>
              <w:rPr>
                <w:rFonts w:hint="eastAsia" w:ascii="宋体" w:hAnsi="宋体" w:cs="宋体"/>
                <w:bCs/>
                <w:sz w:val="24"/>
                <w:szCs w:val="24"/>
              </w:rPr>
            </w:pPr>
            <w:r>
              <w:rPr>
                <w:rFonts w:ascii="Times New Roman" w:hAnsi="Times New Roman"/>
                <w:sz w:val="24"/>
                <w:szCs w:val="24"/>
              </w:rPr>
              <w:t>体系认证</w:t>
            </w:r>
          </w:p>
        </w:tc>
        <w:tc>
          <w:tcPr>
            <w:tcW w:w="6778" w:type="dxa"/>
            <w:tcBorders>
              <w:top w:val="single" w:color="auto" w:sz="4" w:space="0"/>
              <w:left w:val="single" w:color="auto" w:sz="4" w:space="0"/>
              <w:right w:val="single" w:color="auto" w:sz="4" w:space="0"/>
            </w:tcBorders>
            <w:vAlign w:val="center"/>
          </w:tcPr>
          <w:p w14:paraId="14F52E80">
            <w:pPr>
              <w:widowControl/>
              <w:adjustRightInd w:val="0"/>
              <w:snapToGrid w:val="0"/>
              <w:spacing w:line="400" w:lineRule="exact"/>
              <w:rPr>
                <w:rFonts w:ascii="Times New Roman" w:hAnsi="Times New Roman"/>
                <w:sz w:val="24"/>
                <w:szCs w:val="24"/>
              </w:rPr>
            </w:pPr>
            <w:r>
              <w:rPr>
                <w:rFonts w:ascii="Times New Roman" w:hAnsi="Times New Roman"/>
                <w:sz w:val="24"/>
                <w:szCs w:val="24"/>
              </w:rPr>
              <w:t>1.具有ISO9001质量管理体系认证证书</w:t>
            </w:r>
            <w:r>
              <w:rPr>
                <w:rFonts w:hint="eastAsia" w:ascii="Times New Roman" w:hAnsi="Times New Roman"/>
                <w:sz w:val="24"/>
                <w:szCs w:val="24"/>
              </w:rPr>
              <w:t>且</w:t>
            </w:r>
            <w:r>
              <w:rPr>
                <w:rFonts w:ascii="Times New Roman" w:hAnsi="Times New Roman"/>
                <w:sz w:val="24"/>
                <w:szCs w:val="24"/>
              </w:rPr>
              <w:t>在有效期内</w:t>
            </w:r>
            <w:r>
              <w:rPr>
                <w:rFonts w:hint="eastAsia" w:ascii="Times New Roman" w:hAnsi="Times New Roman"/>
                <w:sz w:val="24"/>
                <w:szCs w:val="24"/>
              </w:rPr>
              <w:t>的</w:t>
            </w:r>
            <w:r>
              <w:rPr>
                <w:rFonts w:ascii="Times New Roman" w:hAnsi="Times New Roman"/>
                <w:sz w:val="24"/>
                <w:szCs w:val="24"/>
              </w:rPr>
              <w:t>，得2分。</w:t>
            </w:r>
          </w:p>
          <w:p w14:paraId="0D624C28">
            <w:pPr>
              <w:widowControl/>
              <w:adjustRightInd w:val="0"/>
              <w:snapToGrid w:val="0"/>
              <w:spacing w:line="400" w:lineRule="exact"/>
              <w:rPr>
                <w:rFonts w:ascii="Times New Roman" w:hAnsi="Times New Roman"/>
                <w:sz w:val="24"/>
                <w:szCs w:val="24"/>
              </w:rPr>
            </w:pPr>
            <w:r>
              <w:rPr>
                <w:rFonts w:ascii="Times New Roman" w:hAnsi="Times New Roman"/>
                <w:sz w:val="24"/>
                <w:szCs w:val="24"/>
              </w:rPr>
              <w:t>2.具有ISO14001环境管理体系认证证书且在有效期内</w:t>
            </w:r>
            <w:r>
              <w:rPr>
                <w:rFonts w:hint="eastAsia" w:ascii="Times New Roman" w:hAnsi="Times New Roman"/>
                <w:sz w:val="24"/>
                <w:szCs w:val="24"/>
              </w:rPr>
              <w:t>的</w:t>
            </w:r>
            <w:r>
              <w:rPr>
                <w:rFonts w:ascii="Times New Roman" w:hAnsi="Times New Roman"/>
                <w:sz w:val="24"/>
                <w:szCs w:val="24"/>
              </w:rPr>
              <w:t>，得2 分。</w:t>
            </w:r>
          </w:p>
          <w:p w14:paraId="7C26F9C8">
            <w:pPr>
              <w:widowControl/>
              <w:adjustRightInd w:val="0"/>
              <w:snapToGrid w:val="0"/>
              <w:spacing w:line="400" w:lineRule="exact"/>
              <w:rPr>
                <w:rFonts w:ascii="Times New Roman" w:hAnsi="Times New Roman"/>
                <w:sz w:val="24"/>
                <w:szCs w:val="24"/>
              </w:rPr>
            </w:pPr>
            <w:r>
              <w:rPr>
                <w:rFonts w:ascii="Times New Roman" w:hAnsi="Times New Roman"/>
                <w:sz w:val="24"/>
                <w:szCs w:val="24"/>
              </w:rPr>
              <w:t>3.具有ISO45001或OHSAS18001职业健康安全管理体系认证证书且在有效期内</w:t>
            </w:r>
            <w:r>
              <w:rPr>
                <w:rFonts w:hint="eastAsia" w:ascii="Times New Roman" w:hAnsi="Times New Roman"/>
                <w:sz w:val="24"/>
                <w:szCs w:val="24"/>
              </w:rPr>
              <w:t>的，</w:t>
            </w:r>
            <w:r>
              <w:rPr>
                <w:rFonts w:ascii="Times New Roman" w:hAnsi="Times New Roman"/>
                <w:sz w:val="24"/>
                <w:szCs w:val="24"/>
              </w:rPr>
              <w:t>得2分。</w:t>
            </w:r>
          </w:p>
          <w:p w14:paraId="32B22529">
            <w:pPr>
              <w:widowControl/>
              <w:adjustRightInd w:val="0"/>
              <w:snapToGrid w:val="0"/>
              <w:spacing w:line="400" w:lineRule="exact"/>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具有</w:t>
            </w:r>
            <w:r>
              <w:rPr>
                <w:rFonts w:ascii="Times New Roman" w:hAnsi="Times New Roman"/>
                <w:sz w:val="24"/>
                <w:szCs w:val="24"/>
              </w:rPr>
              <w:t>ISO22000食品安全管理体系认证证书且在有效期内</w:t>
            </w:r>
            <w:r>
              <w:rPr>
                <w:rFonts w:hint="eastAsia" w:ascii="Times New Roman" w:hAnsi="Times New Roman"/>
                <w:sz w:val="24"/>
                <w:szCs w:val="24"/>
              </w:rPr>
              <w:t>的或</w:t>
            </w:r>
            <w:r>
              <w:rPr>
                <w:rFonts w:ascii="Times New Roman" w:hAnsi="Times New Roman"/>
                <w:sz w:val="24"/>
                <w:szCs w:val="24"/>
              </w:rPr>
              <w:t>具有HACCP(危害分析与关键控制点) 管理体系认证证书且在有效期内</w:t>
            </w:r>
            <w:r>
              <w:rPr>
                <w:rFonts w:hint="eastAsia" w:ascii="Times New Roman" w:hAnsi="Times New Roman"/>
                <w:sz w:val="24"/>
                <w:szCs w:val="24"/>
              </w:rPr>
              <w:t>的或</w:t>
            </w:r>
            <w:r>
              <w:rPr>
                <w:rFonts w:ascii="Times New Roman" w:hAnsi="Times New Roman"/>
                <w:sz w:val="24"/>
                <w:szCs w:val="24"/>
              </w:rPr>
              <w:t>具有有效的ISO28000供应链安全管理体系认证证书</w:t>
            </w:r>
            <w:r>
              <w:rPr>
                <w:rFonts w:hint="eastAsia" w:ascii="Times New Roman" w:hAnsi="Times New Roman"/>
                <w:sz w:val="24"/>
                <w:szCs w:val="24"/>
              </w:rPr>
              <w:t>的</w:t>
            </w:r>
            <w:r>
              <w:rPr>
                <w:rFonts w:ascii="Times New Roman" w:hAnsi="Times New Roman"/>
                <w:sz w:val="24"/>
                <w:szCs w:val="24"/>
              </w:rPr>
              <w:t>，得2分。</w:t>
            </w:r>
          </w:p>
          <w:p w14:paraId="32083FFE">
            <w:pPr>
              <w:widowControl/>
              <w:adjustRightInd w:val="0"/>
              <w:snapToGrid w:val="0"/>
              <w:spacing w:line="400" w:lineRule="exact"/>
              <w:rPr>
                <w:rFonts w:cs="Calibri"/>
              </w:rPr>
            </w:pPr>
            <w:r>
              <w:rPr>
                <w:rFonts w:ascii="Times New Roman" w:hAnsi="Times New Roman"/>
                <w:b/>
                <w:bCs/>
                <w:sz w:val="24"/>
                <w:szCs w:val="24"/>
              </w:rPr>
              <w:t>注：1</w:t>
            </w:r>
            <w:r>
              <w:rPr>
                <w:rFonts w:hint="eastAsia" w:ascii="Times New Roman" w:hAnsi="Times New Roman"/>
                <w:b/>
                <w:bCs/>
                <w:sz w:val="24"/>
                <w:szCs w:val="24"/>
              </w:rPr>
              <w:t>－</w:t>
            </w:r>
            <w:r>
              <w:rPr>
                <w:rFonts w:ascii="Times New Roman" w:hAnsi="Times New Roman"/>
                <w:b/>
                <w:bCs/>
                <w:sz w:val="24"/>
                <w:szCs w:val="24"/>
              </w:rPr>
              <w:t>4项提供上述</w:t>
            </w:r>
            <w:r>
              <w:rPr>
                <w:rFonts w:hint="eastAsia" w:ascii="Times New Roman" w:hAnsi="Times New Roman"/>
                <w:b/>
                <w:bCs/>
                <w:sz w:val="24"/>
                <w:szCs w:val="24"/>
              </w:rPr>
              <w:t>证书</w:t>
            </w:r>
            <w:r>
              <w:rPr>
                <w:rFonts w:ascii="Times New Roman" w:hAnsi="Times New Roman"/>
                <w:b/>
                <w:bCs/>
                <w:sz w:val="24"/>
                <w:szCs w:val="24"/>
              </w:rPr>
              <w:t>有效原件的</w:t>
            </w:r>
            <w:r>
              <w:rPr>
                <w:rFonts w:hint="eastAsia" w:hAnsi="宋体"/>
                <w:b/>
                <w:bCs/>
                <w:sz w:val="24"/>
                <w:szCs w:val="28"/>
              </w:rPr>
              <w:t>扫描件</w:t>
            </w:r>
            <w:r>
              <w:rPr>
                <w:rFonts w:ascii="Times New Roman" w:hAnsi="Times New Roman"/>
                <w:b/>
                <w:bCs/>
                <w:sz w:val="24"/>
                <w:szCs w:val="24"/>
              </w:rPr>
              <w:t>以及全国认证认可信息公共服务平台（国家市场监督管理总局）网站证书查询截图，否则不得分。</w:t>
            </w:r>
          </w:p>
        </w:tc>
        <w:tc>
          <w:tcPr>
            <w:tcW w:w="653" w:type="dxa"/>
            <w:tcBorders>
              <w:top w:val="single" w:color="auto" w:sz="4" w:space="0"/>
              <w:left w:val="single" w:color="auto" w:sz="4" w:space="0"/>
              <w:right w:val="single" w:color="auto" w:sz="4" w:space="0"/>
            </w:tcBorders>
            <w:vAlign w:val="center"/>
          </w:tcPr>
          <w:p w14:paraId="100714A9">
            <w:pPr>
              <w:adjustRightInd w:val="0"/>
              <w:snapToGrid w:val="0"/>
              <w:spacing w:line="400" w:lineRule="exact"/>
              <w:jc w:val="center"/>
              <w:rPr>
                <w:rFonts w:hint="eastAsia" w:ascii="宋体" w:hAnsi="宋体" w:cs="宋体"/>
                <w:b/>
                <w:sz w:val="24"/>
                <w:szCs w:val="24"/>
              </w:rPr>
            </w:pPr>
            <w:r>
              <w:rPr>
                <w:rFonts w:ascii="Times New Roman" w:hAnsi="Times New Roman"/>
                <w:sz w:val="24"/>
                <w:szCs w:val="24"/>
              </w:rPr>
              <w:t>0-8</w:t>
            </w:r>
          </w:p>
        </w:tc>
      </w:tr>
      <w:tr w14:paraId="6265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55" w:hRule="atLeast"/>
          <w:jc w:val="center"/>
        </w:trPr>
        <w:tc>
          <w:tcPr>
            <w:tcW w:w="1074" w:type="dxa"/>
            <w:vMerge w:val="continue"/>
            <w:tcBorders>
              <w:left w:val="single" w:color="auto" w:sz="4" w:space="0"/>
              <w:right w:val="single" w:color="auto" w:sz="4" w:space="0"/>
            </w:tcBorders>
            <w:vAlign w:val="center"/>
          </w:tcPr>
          <w:p w14:paraId="7CD0C16E">
            <w:pPr>
              <w:spacing w:line="400" w:lineRule="exact"/>
              <w:jc w:val="center"/>
              <w:rPr>
                <w:rFonts w:hint="eastAsia" w:ascii="宋体" w:hAnsi="宋体" w:cs="宋体"/>
                <w:sz w:val="24"/>
                <w:szCs w:val="24"/>
              </w:rPr>
            </w:pPr>
          </w:p>
        </w:tc>
        <w:tc>
          <w:tcPr>
            <w:tcW w:w="1074" w:type="dxa"/>
            <w:tcBorders>
              <w:left w:val="single" w:color="auto" w:sz="4" w:space="0"/>
              <w:right w:val="single" w:color="auto" w:sz="4" w:space="0"/>
            </w:tcBorders>
            <w:vAlign w:val="center"/>
          </w:tcPr>
          <w:p w14:paraId="18A003AF">
            <w:pPr>
              <w:spacing w:line="400" w:lineRule="exact"/>
              <w:jc w:val="center"/>
              <w:rPr>
                <w:rFonts w:hint="eastAsia" w:ascii="宋体" w:hAnsi="宋体" w:cs="宋体"/>
                <w:sz w:val="24"/>
                <w:szCs w:val="24"/>
              </w:rPr>
            </w:pPr>
            <w:r>
              <w:rPr>
                <w:rFonts w:ascii="Times New Roman" w:hAnsi="Times New Roman"/>
                <w:sz w:val="24"/>
                <w:szCs w:val="24"/>
              </w:rPr>
              <w:t>企业荣誉</w:t>
            </w:r>
          </w:p>
        </w:tc>
        <w:tc>
          <w:tcPr>
            <w:tcW w:w="6778" w:type="dxa"/>
            <w:tcBorders>
              <w:top w:val="single" w:color="auto" w:sz="4" w:space="0"/>
              <w:left w:val="single" w:color="auto" w:sz="4" w:space="0"/>
              <w:bottom w:val="single" w:color="auto" w:sz="4" w:space="0"/>
              <w:right w:val="single" w:color="auto" w:sz="4" w:space="0"/>
            </w:tcBorders>
            <w:vAlign w:val="center"/>
          </w:tcPr>
          <w:p w14:paraId="2F79B88B">
            <w:pPr>
              <w:widowControl/>
              <w:adjustRightInd w:val="0"/>
              <w:snapToGrid w:val="0"/>
              <w:spacing w:line="400" w:lineRule="exact"/>
              <w:rPr>
                <w:rFonts w:cs="Calibri"/>
                <w:color w:val="333333"/>
                <w:szCs w:val="21"/>
              </w:rPr>
            </w:pPr>
            <w:r>
              <w:rPr>
                <w:rFonts w:hint="eastAsia" w:ascii="宋体" w:hAnsi="宋体"/>
                <w:sz w:val="24"/>
                <w:szCs w:val="24"/>
              </w:rPr>
              <w:t>投标人或投标人所运营的学校食堂获得政府部门【或国内依法登记注册的协会（学会）】颁发的餐饮类荣誉奖项的。其中，市级及以上颁发的，每个得4分；县区级颁发的，每个得2分。</w:t>
            </w:r>
          </w:p>
          <w:p w14:paraId="4911F62D">
            <w:pPr>
              <w:pStyle w:val="13"/>
              <w:spacing w:line="400" w:lineRule="exact"/>
              <w:ind w:right="-21" w:firstLine="542"/>
            </w:pPr>
            <w:r>
              <w:rPr>
                <w:rFonts w:hint="eastAsia" w:ascii="宋体" w:hAnsi="宋体" w:eastAsia="宋体" w:cs="宋体"/>
                <w:b/>
                <w:bCs/>
                <w:color w:val="000000"/>
                <w:szCs w:val="24"/>
                <w:lang w:val="zh-CN"/>
              </w:rPr>
              <w:t>注：以上须提供荣誉证书或获奖证书或获奖文件；若是提供投标供应商所经营管理的学校食堂获得荣誉证书或获奖证书或获奖文件，另需提供合同、业主证明材料的原件扫描件，否则不得分；协会（学会）颁发的餐饮类荣誉奖项需同时提供依法登记注册的协会（学会）相关证明材料；同一证书或荣誉若同时满足多个加分条件的，按高分计入，不累计重复计分；奖牌不予认可。</w:t>
            </w:r>
          </w:p>
        </w:tc>
        <w:tc>
          <w:tcPr>
            <w:tcW w:w="653" w:type="dxa"/>
            <w:tcBorders>
              <w:top w:val="single" w:color="auto" w:sz="4" w:space="0"/>
              <w:left w:val="single" w:color="auto" w:sz="4" w:space="0"/>
              <w:bottom w:val="single" w:color="auto" w:sz="4" w:space="0"/>
              <w:right w:val="single" w:color="auto" w:sz="4" w:space="0"/>
            </w:tcBorders>
            <w:vAlign w:val="center"/>
          </w:tcPr>
          <w:p w14:paraId="2FF847D3">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-10</w:t>
            </w:r>
          </w:p>
        </w:tc>
      </w:tr>
      <w:tr w14:paraId="7ACA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74" w:type="dxa"/>
            <w:vMerge w:val="continue"/>
            <w:tcBorders>
              <w:left w:val="single" w:color="auto" w:sz="4" w:space="0"/>
              <w:right w:val="single" w:color="auto" w:sz="4" w:space="0"/>
            </w:tcBorders>
            <w:vAlign w:val="center"/>
          </w:tcPr>
          <w:p w14:paraId="1F1B87E5">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6B35BE5F">
            <w:pPr>
              <w:spacing w:line="400" w:lineRule="exact"/>
              <w:jc w:val="center"/>
              <w:rPr>
                <w:rFonts w:hint="eastAsia" w:ascii="宋体" w:hAnsi="宋体" w:cs="宋体"/>
                <w:sz w:val="24"/>
                <w:szCs w:val="24"/>
              </w:rPr>
            </w:pPr>
            <w:r>
              <w:rPr>
                <w:rFonts w:ascii="Times New Roman" w:hAnsi="Times New Roman"/>
                <w:sz w:val="24"/>
                <w:szCs w:val="24"/>
              </w:rPr>
              <w:t>类似业绩</w:t>
            </w:r>
          </w:p>
        </w:tc>
        <w:tc>
          <w:tcPr>
            <w:tcW w:w="6778" w:type="dxa"/>
            <w:tcBorders>
              <w:top w:val="single" w:color="auto" w:sz="4" w:space="0"/>
              <w:left w:val="single" w:color="auto" w:sz="4" w:space="0"/>
              <w:bottom w:val="single" w:color="auto" w:sz="4" w:space="0"/>
              <w:right w:val="single" w:color="auto" w:sz="4" w:space="0"/>
            </w:tcBorders>
            <w:vAlign w:val="center"/>
          </w:tcPr>
          <w:p w14:paraId="1AFDF11E">
            <w:pPr>
              <w:adjustRightInd w:val="0"/>
              <w:snapToGrid w:val="0"/>
              <w:spacing w:line="400" w:lineRule="exact"/>
              <w:jc w:val="left"/>
            </w:pPr>
            <w:r>
              <w:rPr>
                <w:rFonts w:ascii="Times New Roman" w:hAnsi="Times New Roman"/>
                <w:sz w:val="24"/>
                <w:szCs w:val="24"/>
              </w:rPr>
              <w:t>投标供应商</w:t>
            </w:r>
            <w:r>
              <w:rPr>
                <w:rFonts w:hint="eastAsia" w:ascii="Times New Roman" w:hAnsi="Times New Roman"/>
                <w:sz w:val="24"/>
                <w:szCs w:val="24"/>
              </w:rPr>
              <w:t>提供学校配送餐</w:t>
            </w:r>
            <w:r>
              <w:rPr>
                <w:rFonts w:hint="eastAsia" w:ascii="Times New Roman" w:hAnsi="Times New Roman"/>
                <w:color w:val="auto"/>
                <w:sz w:val="24"/>
                <w:szCs w:val="24"/>
              </w:rPr>
              <w:t>或承包经营项</w:t>
            </w:r>
            <w:r>
              <w:rPr>
                <w:rFonts w:hint="eastAsia" w:ascii="Times New Roman" w:hAnsi="Times New Roman"/>
                <w:sz w:val="24"/>
                <w:szCs w:val="24"/>
              </w:rPr>
              <w:t>目</w:t>
            </w:r>
            <w:r>
              <w:rPr>
                <w:rFonts w:ascii="Times New Roman" w:hAnsi="Times New Roman"/>
                <w:sz w:val="24"/>
                <w:szCs w:val="24"/>
              </w:rPr>
              <w:t>业绩的</w:t>
            </w:r>
            <w:r>
              <w:rPr>
                <w:rFonts w:hint="eastAsia" w:ascii="Times New Roman" w:hAnsi="Times New Roman"/>
                <w:sz w:val="24"/>
                <w:szCs w:val="24"/>
              </w:rPr>
              <w:t>，</w:t>
            </w:r>
            <w:r>
              <w:rPr>
                <w:rFonts w:ascii="Times New Roman" w:hAnsi="Times New Roman"/>
                <w:sz w:val="24"/>
                <w:szCs w:val="24"/>
              </w:rPr>
              <w:t>每个得</w:t>
            </w:r>
            <w:r>
              <w:rPr>
                <w:rFonts w:hint="eastAsia" w:ascii="Times New Roman" w:hAnsi="Times New Roman"/>
                <w:sz w:val="24"/>
                <w:szCs w:val="24"/>
              </w:rPr>
              <w:t>5</w:t>
            </w:r>
            <w:r>
              <w:rPr>
                <w:rFonts w:ascii="Times New Roman" w:hAnsi="Times New Roman"/>
                <w:sz w:val="24"/>
                <w:szCs w:val="24"/>
              </w:rPr>
              <w:t xml:space="preserve">分。 </w:t>
            </w:r>
          </w:p>
          <w:p w14:paraId="1F1A3510">
            <w:pPr>
              <w:adjustRightInd w:val="0"/>
              <w:snapToGrid w:val="0"/>
              <w:spacing w:line="400" w:lineRule="exact"/>
              <w:jc w:val="left"/>
              <w:rPr>
                <w:rFonts w:ascii="Times New Roman" w:hAnsi="Times New Roman"/>
                <w:b/>
                <w:bCs/>
                <w:sz w:val="24"/>
                <w:szCs w:val="24"/>
              </w:rPr>
            </w:pPr>
            <w:r>
              <w:rPr>
                <w:rFonts w:ascii="Times New Roman" w:hAnsi="Times New Roman"/>
                <w:b/>
                <w:bCs/>
                <w:sz w:val="24"/>
                <w:szCs w:val="24"/>
              </w:rPr>
              <w:t>注：</w:t>
            </w:r>
            <w:r>
              <w:rPr>
                <w:rFonts w:hint="eastAsia" w:ascii="Times New Roman" w:hAnsi="Times New Roman"/>
                <w:b/>
                <w:bCs/>
                <w:sz w:val="24"/>
                <w:szCs w:val="24"/>
              </w:rPr>
              <w:t>（1）</w:t>
            </w:r>
            <w:r>
              <w:rPr>
                <w:rFonts w:ascii="Times New Roman" w:hAnsi="Times New Roman"/>
                <w:b/>
                <w:bCs/>
                <w:sz w:val="24"/>
                <w:szCs w:val="24"/>
              </w:rPr>
              <w:t>以上项需提供合同、中标（成交）通知书</w:t>
            </w:r>
            <w:r>
              <w:rPr>
                <w:rFonts w:hint="eastAsia" w:ascii="Times New Roman" w:hAnsi="Times New Roman"/>
                <w:b/>
                <w:bCs/>
                <w:sz w:val="24"/>
                <w:szCs w:val="24"/>
                <w:lang w:eastAsia="zh-CN"/>
              </w:rPr>
              <w:t>、</w:t>
            </w:r>
            <w:r>
              <w:rPr>
                <w:rFonts w:hint="eastAsia" w:ascii="宋体" w:hAnsi="宋体" w:cs="宋体"/>
                <w:b/>
                <w:bCs/>
                <w:color w:val="auto"/>
                <w:sz w:val="24"/>
                <w:szCs w:val="24"/>
                <w:highlight w:val="none"/>
                <w:lang w:val="en-US" w:eastAsia="zh-CN"/>
              </w:rPr>
              <w:t>招标项目网址链接、招标公告网上截图、中标（成交）结果公示网上截图</w:t>
            </w:r>
            <w:r>
              <w:rPr>
                <w:rFonts w:ascii="Times New Roman" w:hAnsi="Times New Roman"/>
                <w:b/>
                <w:bCs/>
                <w:sz w:val="24"/>
                <w:szCs w:val="24"/>
              </w:rPr>
              <w:t>和业主评价合格（盖公章）和学校</w:t>
            </w:r>
            <w:r>
              <w:rPr>
                <w:rFonts w:hint="eastAsia" w:ascii="Times New Roman" w:hAnsi="Times New Roman"/>
                <w:b/>
                <w:bCs/>
                <w:sz w:val="24"/>
                <w:szCs w:val="24"/>
              </w:rPr>
              <w:t>送</w:t>
            </w:r>
            <w:r>
              <w:rPr>
                <w:rFonts w:ascii="Times New Roman" w:hAnsi="Times New Roman"/>
                <w:b/>
                <w:bCs/>
                <w:sz w:val="24"/>
                <w:szCs w:val="24"/>
              </w:rPr>
              <w:t>餐人数证明（盖公章）的</w:t>
            </w:r>
            <w:r>
              <w:rPr>
                <w:rFonts w:hint="eastAsia" w:hAnsi="宋体"/>
                <w:b/>
                <w:bCs/>
                <w:sz w:val="24"/>
                <w:szCs w:val="28"/>
              </w:rPr>
              <w:t>原件扫描件</w:t>
            </w:r>
            <w:r>
              <w:rPr>
                <w:rFonts w:ascii="Times New Roman" w:hAnsi="Times New Roman"/>
                <w:b/>
                <w:bCs/>
                <w:sz w:val="24"/>
                <w:szCs w:val="24"/>
              </w:rPr>
              <w:t>，</w:t>
            </w:r>
            <w:r>
              <w:rPr>
                <w:rFonts w:hint="eastAsia" w:ascii="Times New Roman" w:hAnsi="Times New Roman"/>
                <w:b/>
                <w:bCs/>
                <w:sz w:val="24"/>
                <w:szCs w:val="24"/>
              </w:rPr>
              <w:t>未提供不得分</w:t>
            </w:r>
            <w:r>
              <w:rPr>
                <w:rFonts w:ascii="Times New Roman" w:hAnsi="Times New Roman"/>
                <w:b/>
                <w:bCs/>
                <w:sz w:val="24"/>
                <w:szCs w:val="24"/>
              </w:rPr>
              <w:t>。</w:t>
            </w:r>
            <w:r>
              <w:rPr>
                <w:rFonts w:hint="eastAsia" w:ascii="宋体" w:hAnsi="宋体" w:cs="宋体"/>
                <w:b/>
                <w:bCs/>
                <w:sz w:val="24"/>
                <w:szCs w:val="24"/>
              </w:rPr>
              <w:t>同一学校同一食堂不同年份的合同只按一份计入，同一学校不同食堂不同年份的合同可以分别计分。项目业绩若同时满足多个加分条件的，按高分计入，不累计重复计分。</w:t>
            </w:r>
          </w:p>
          <w:p w14:paraId="427CC231">
            <w:pPr>
              <w:adjustRightInd w:val="0"/>
              <w:snapToGrid w:val="0"/>
              <w:spacing w:line="400" w:lineRule="exact"/>
              <w:jc w:val="left"/>
              <w:rPr>
                <w:rFonts w:hint="eastAsia" w:ascii="宋体" w:hAnsi="宋体" w:cs="宋体"/>
                <w:b/>
                <w:bCs/>
                <w:sz w:val="24"/>
                <w:szCs w:val="24"/>
              </w:rPr>
            </w:pPr>
            <w:r>
              <w:rPr>
                <w:rFonts w:hint="eastAsia" w:ascii="Times New Roman" w:hAnsi="Times New Roman"/>
                <w:b/>
                <w:bCs/>
                <w:sz w:val="24"/>
                <w:szCs w:val="24"/>
              </w:rPr>
              <w:t>（2）</w:t>
            </w:r>
            <w:r>
              <w:rPr>
                <w:rFonts w:ascii="Times New Roman" w:hAnsi="Times New Roman"/>
                <w:b/>
                <w:bCs/>
                <w:sz w:val="24"/>
                <w:szCs w:val="24"/>
              </w:rPr>
              <w:t>此项累计最高得分15分。</w:t>
            </w:r>
          </w:p>
        </w:tc>
        <w:tc>
          <w:tcPr>
            <w:tcW w:w="653" w:type="dxa"/>
            <w:tcBorders>
              <w:top w:val="single" w:color="auto" w:sz="4" w:space="0"/>
              <w:left w:val="single" w:color="auto" w:sz="4" w:space="0"/>
              <w:bottom w:val="single" w:color="auto" w:sz="4" w:space="0"/>
              <w:right w:val="single" w:color="auto" w:sz="4" w:space="0"/>
            </w:tcBorders>
            <w:vAlign w:val="center"/>
          </w:tcPr>
          <w:p w14:paraId="3271BBB5">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6A66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74" w:type="dxa"/>
            <w:vMerge w:val="continue"/>
            <w:tcBorders>
              <w:left w:val="single" w:color="auto" w:sz="4" w:space="0"/>
              <w:right w:val="single" w:color="auto" w:sz="4" w:space="0"/>
            </w:tcBorders>
            <w:vAlign w:val="center"/>
          </w:tcPr>
          <w:p w14:paraId="33699BDE">
            <w:pPr>
              <w:spacing w:line="400" w:lineRule="exact"/>
              <w:jc w:val="center"/>
              <w:rPr>
                <w:rFonts w:hint="eastAsia" w:ascii="宋体" w:hAnsi="宋体" w:cs="宋体"/>
                <w:sz w:val="24"/>
                <w:szCs w:val="24"/>
                <w:lang w:val="en-US" w:eastAsia="zh-CN"/>
              </w:rPr>
            </w:pPr>
          </w:p>
        </w:tc>
        <w:tc>
          <w:tcPr>
            <w:tcW w:w="1074" w:type="dxa"/>
            <w:tcBorders>
              <w:left w:val="single" w:color="auto" w:sz="4" w:space="0"/>
              <w:bottom w:val="single" w:color="auto" w:sz="4" w:space="0"/>
              <w:right w:val="single" w:color="auto" w:sz="4" w:space="0"/>
            </w:tcBorders>
            <w:vAlign w:val="center"/>
          </w:tcPr>
          <w:p w14:paraId="39EBA0B4">
            <w:pPr>
              <w:spacing w:line="400" w:lineRule="exact"/>
              <w:jc w:val="center"/>
              <w:rPr>
                <w:rFonts w:hint="eastAsia" w:ascii="宋体" w:hAnsi="宋体" w:cs="宋体"/>
                <w:bCs/>
                <w:sz w:val="24"/>
                <w:szCs w:val="24"/>
              </w:rPr>
            </w:pPr>
            <w:r>
              <w:rPr>
                <w:rFonts w:ascii="Times New Roman" w:hAnsi="Times New Roman"/>
                <w:sz w:val="24"/>
                <w:szCs w:val="24"/>
              </w:rPr>
              <w:t>安全状况</w:t>
            </w:r>
          </w:p>
        </w:tc>
        <w:tc>
          <w:tcPr>
            <w:tcW w:w="6778" w:type="dxa"/>
            <w:tcBorders>
              <w:top w:val="single" w:color="auto" w:sz="4" w:space="0"/>
              <w:left w:val="single" w:color="auto" w:sz="4" w:space="0"/>
              <w:bottom w:val="single" w:color="auto" w:sz="4" w:space="0"/>
              <w:right w:val="single" w:color="auto" w:sz="4" w:space="0"/>
            </w:tcBorders>
            <w:vAlign w:val="center"/>
          </w:tcPr>
          <w:p w14:paraId="7CAC7FA0">
            <w:pPr>
              <w:spacing w:line="400" w:lineRule="exact"/>
              <w:jc w:val="left"/>
              <w:rPr>
                <w:rFonts w:ascii="Times New Roman" w:hAnsi="Times New Roman"/>
                <w:sz w:val="24"/>
                <w:szCs w:val="24"/>
              </w:rPr>
            </w:pPr>
            <w:r>
              <w:rPr>
                <w:rFonts w:ascii="Times New Roman" w:hAnsi="Times New Roman"/>
                <w:sz w:val="24"/>
                <w:szCs w:val="24"/>
              </w:rPr>
              <w:t>投标供应商</w:t>
            </w:r>
            <w:r>
              <w:rPr>
                <w:rFonts w:hint="eastAsia" w:ascii="Times New Roman" w:hAnsi="Times New Roman"/>
                <w:sz w:val="24"/>
                <w:szCs w:val="24"/>
              </w:rPr>
              <w:t>每</w:t>
            </w:r>
            <w:r>
              <w:rPr>
                <w:rFonts w:ascii="Times New Roman" w:hAnsi="Times New Roman"/>
                <w:sz w:val="24"/>
                <w:szCs w:val="24"/>
              </w:rPr>
              <w:t>提供1份经营的项目业绩从未出现食品安全事故证明的得3分，满分9分。</w:t>
            </w:r>
          </w:p>
          <w:p w14:paraId="03682B88">
            <w:pPr>
              <w:adjustRightInd w:val="0"/>
              <w:snapToGrid w:val="0"/>
              <w:spacing w:line="400" w:lineRule="exact"/>
              <w:jc w:val="left"/>
              <w:rPr>
                <w:rFonts w:hint="eastAsia"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注：</w:t>
            </w:r>
            <w:r>
              <w:rPr>
                <w:rFonts w:hint="eastAsia" w:ascii="Times New Roman" w:hAnsi="Times New Roman"/>
                <w:b/>
                <w:bCs/>
                <w:sz w:val="24"/>
                <w:szCs w:val="24"/>
                <w:lang w:eastAsia="zh-CN"/>
              </w:rPr>
              <w:t>（</w:t>
            </w:r>
            <w:r>
              <w:rPr>
                <w:rFonts w:hint="eastAsia" w:ascii="Times New Roman" w:hAnsi="Times New Roman"/>
                <w:b/>
                <w:bCs/>
                <w:sz w:val="24"/>
                <w:szCs w:val="24"/>
                <w:lang w:val="en-US" w:eastAsia="zh-CN"/>
              </w:rPr>
              <w:t>1）</w:t>
            </w:r>
            <w:r>
              <w:rPr>
                <w:rFonts w:ascii="Times New Roman" w:hAnsi="Times New Roman"/>
                <w:b/>
                <w:bCs/>
                <w:sz w:val="24"/>
                <w:szCs w:val="24"/>
              </w:rPr>
              <w:t>需</w:t>
            </w:r>
            <w:r>
              <w:rPr>
                <w:rFonts w:hint="eastAsia" w:ascii="Times New Roman" w:hAnsi="Times New Roman"/>
                <w:b/>
                <w:bCs/>
                <w:sz w:val="24"/>
                <w:szCs w:val="24"/>
              </w:rPr>
              <w:t>提供业绩食堂所在地（县或区级及以上）市场监管部门出具的证明材料原件的扫描件或国家企业信用信息公示系统截图、合作业主方出具的证明材料原件的扫描件。</w:t>
            </w:r>
          </w:p>
          <w:p w14:paraId="0C595DE8">
            <w:pPr>
              <w:adjustRightInd w:val="0"/>
              <w:snapToGrid w:val="0"/>
              <w:spacing w:line="400" w:lineRule="exact"/>
              <w:jc w:val="left"/>
              <w:rPr>
                <w:rFonts w:hint="eastAsia" w:ascii="Times New Roman" w:hAnsi="Times New Roman"/>
                <w:b/>
                <w:bCs/>
                <w:sz w:val="24"/>
                <w:szCs w:val="24"/>
              </w:rPr>
            </w:pPr>
            <w:r>
              <w:rPr>
                <w:rFonts w:hint="eastAsia"/>
                <w:b/>
                <w:bCs/>
                <w:sz w:val="24"/>
                <w:szCs w:val="24"/>
                <w:highlight w:val="none"/>
                <w:lang w:eastAsia="zh-CN"/>
              </w:rPr>
              <w:t>（</w:t>
            </w:r>
            <w:r>
              <w:rPr>
                <w:rFonts w:hint="eastAsia"/>
                <w:b/>
                <w:bCs/>
                <w:sz w:val="24"/>
                <w:szCs w:val="24"/>
                <w:highlight w:val="none"/>
                <w:lang w:val="en-US" w:eastAsia="zh-CN"/>
              </w:rPr>
              <w:t>2）供应商承诺近3年内未因食品安全问题受到行政处罚，承诺函格式自拟。</w:t>
            </w:r>
          </w:p>
        </w:tc>
        <w:tc>
          <w:tcPr>
            <w:tcW w:w="653" w:type="dxa"/>
            <w:tcBorders>
              <w:top w:val="single" w:color="auto" w:sz="4" w:space="0"/>
              <w:left w:val="single" w:color="auto" w:sz="4" w:space="0"/>
              <w:bottom w:val="single" w:color="auto" w:sz="4" w:space="0"/>
              <w:right w:val="single" w:color="auto" w:sz="4" w:space="0"/>
            </w:tcBorders>
            <w:vAlign w:val="center"/>
          </w:tcPr>
          <w:p w14:paraId="7177D377">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-9</w:t>
            </w:r>
          </w:p>
        </w:tc>
      </w:tr>
      <w:tr w14:paraId="71FA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74" w:type="dxa"/>
            <w:vMerge w:val="continue"/>
            <w:tcBorders>
              <w:left w:val="single" w:color="auto" w:sz="4" w:space="0"/>
              <w:right w:val="single" w:color="auto" w:sz="4" w:space="0"/>
            </w:tcBorders>
            <w:vAlign w:val="center"/>
          </w:tcPr>
          <w:p w14:paraId="2DA025FB">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034F96C">
            <w:pPr>
              <w:widowControl/>
              <w:spacing w:line="400" w:lineRule="exact"/>
              <w:jc w:val="center"/>
              <w:rPr>
                <w:rFonts w:hint="eastAsia" w:ascii="宋体" w:hAnsi="宋体" w:cs="宋体"/>
                <w:sz w:val="24"/>
                <w:szCs w:val="24"/>
              </w:rPr>
            </w:pPr>
            <w:r>
              <w:rPr>
                <w:rFonts w:ascii="Times New Roman" w:hAnsi="Times New Roman"/>
                <w:sz w:val="24"/>
                <w:szCs w:val="24"/>
              </w:rPr>
              <w:t>人员</w:t>
            </w:r>
            <w:r>
              <w:rPr>
                <w:rFonts w:hint="eastAsia" w:ascii="Times New Roman" w:hAnsi="Times New Roman"/>
                <w:sz w:val="24"/>
                <w:szCs w:val="24"/>
              </w:rPr>
              <w:t>及送餐车辆</w:t>
            </w:r>
            <w:r>
              <w:rPr>
                <w:rFonts w:ascii="Times New Roman" w:hAnsi="Times New Roman"/>
                <w:sz w:val="24"/>
                <w:szCs w:val="24"/>
              </w:rPr>
              <w:t>配备</w:t>
            </w:r>
          </w:p>
        </w:tc>
        <w:tc>
          <w:tcPr>
            <w:tcW w:w="6778" w:type="dxa"/>
            <w:tcBorders>
              <w:top w:val="single" w:color="auto" w:sz="4" w:space="0"/>
              <w:left w:val="single" w:color="auto" w:sz="4" w:space="0"/>
              <w:bottom w:val="single" w:color="auto" w:sz="4" w:space="0"/>
              <w:right w:val="single" w:color="auto" w:sz="4" w:space="0"/>
            </w:tcBorders>
            <w:vAlign w:val="center"/>
          </w:tcPr>
          <w:p w14:paraId="5AE663F3">
            <w:pPr>
              <w:spacing w:line="400" w:lineRule="exact"/>
              <w:rPr>
                <w:rFonts w:hint="eastAsia" w:ascii="宋体" w:hAnsi="宋体"/>
                <w:sz w:val="24"/>
                <w:szCs w:val="24"/>
              </w:rPr>
            </w:pPr>
            <w:r>
              <w:rPr>
                <w:rFonts w:hint="eastAsia" w:ascii="宋体" w:hAnsi="宋体"/>
                <w:sz w:val="24"/>
                <w:szCs w:val="24"/>
              </w:rPr>
              <w:t>各类岗位、人员、车辆配置齐全、科学：</w:t>
            </w:r>
          </w:p>
          <w:p w14:paraId="03D8A10F">
            <w:pPr>
              <w:spacing w:line="400" w:lineRule="exact"/>
              <w:rPr>
                <w:rFonts w:hint="eastAsia" w:ascii="宋体" w:hAnsi="宋体"/>
                <w:sz w:val="24"/>
                <w:szCs w:val="24"/>
              </w:rPr>
            </w:pPr>
            <w:r>
              <w:rPr>
                <w:rFonts w:hint="eastAsia" w:ascii="宋体" w:hAnsi="宋体"/>
                <w:sz w:val="24"/>
                <w:szCs w:val="24"/>
              </w:rPr>
              <w:t xml:space="preserve"> 1、投标供应商配备项目负责人，具有食品安全总监证书，得2分；此项最高得2分。证书颁发机构为中华人民共和国民政部“全国社会组织信用信息公示平台（试运行）”中查询为正常的社会组织颁发或县级及以上市场监管部门颁发。</w:t>
            </w:r>
          </w:p>
          <w:p w14:paraId="7F0242C7">
            <w:pPr>
              <w:spacing w:line="400" w:lineRule="exact"/>
              <w:rPr>
                <w:rFonts w:hint="eastAsia" w:ascii="宋体" w:hAnsi="宋体"/>
                <w:sz w:val="24"/>
                <w:szCs w:val="24"/>
              </w:rPr>
            </w:pPr>
            <w:r>
              <w:rPr>
                <w:rFonts w:hint="eastAsia" w:ascii="宋体" w:hAnsi="宋体"/>
                <w:sz w:val="24"/>
                <w:szCs w:val="24"/>
              </w:rPr>
              <w:t xml:space="preserve">2、投标供应商配备具有中式烹调（饪）师，每提供1名得1分；此项最高得3分。  </w:t>
            </w:r>
          </w:p>
          <w:p w14:paraId="03A9AE69">
            <w:pPr>
              <w:spacing w:line="400" w:lineRule="exact"/>
              <w:rPr>
                <w:rFonts w:hint="eastAsia" w:ascii="宋体" w:hAnsi="宋体"/>
                <w:sz w:val="24"/>
                <w:szCs w:val="24"/>
              </w:rPr>
            </w:pPr>
            <w:r>
              <w:rPr>
                <w:rFonts w:hint="eastAsia" w:ascii="宋体" w:hAnsi="宋体"/>
                <w:sz w:val="24"/>
                <w:szCs w:val="24"/>
              </w:rPr>
              <w:t>3、投标供应商配备具有中式面点师，每提供1名得1 分；此项最高得1分。</w:t>
            </w:r>
          </w:p>
          <w:p w14:paraId="6D704E11">
            <w:pPr>
              <w:spacing w:line="400" w:lineRule="exact"/>
              <w:rPr>
                <w:rFonts w:hint="eastAsia" w:ascii="宋体" w:hAnsi="宋体"/>
                <w:sz w:val="24"/>
                <w:szCs w:val="24"/>
              </w:rPr>
            </w:pPr>
            <w:r>
              <w:rPr>
                <w:rFonts w:hint="eastAsia" w:ascii="宋体" w:hAnsi="宋体"/>
                <w:sz w:val="24"/>
                <w:szCs w:val="24"/>
              </w:rPr>
              <w:t>4、投标供应商配备具有公共营养师或营养配餐师或美食营养师，每提供1名得1分；此项最高得1分。</w:t>
            </w:r>
          </w:p>
          <w:p w14:paraId="0C391E91">
            <w:pPr>
              <w:spacing w:line="400" w:lineRule="exact"/>
              <w:rPr>
                <w:rFonts w:hint="eastAsia" w:ascii="宋体" w:hAnsi="宋体"/>
                <w:sz w:val="24"/>
                <w:szCs w:val="24"/>
              </w:rPr>
            </w:pPr>
            <w:r>
              <w:rPr>
                <w:rFonts w:hint="eastAsia" w:ascii="宋体" w:hAnsi="宋体"/>
                <w:sz w:val="24"/>
                <w:szCs w:val="24"/>
              </w:rPr>
              <w:t>5、投标供应商提供通过年审的自有（或租赁）送餐车辆，每有一辆得3分；此项最高得6分，未提供不得分。投标文件中须提供自有（或租赁）配送车辆照片、车牌号码照片和行驶证原件扫描件；若为租赁，还须提供租赁使用承诺书、租赁合同的原件扫描件，其格式自拟。</w:t>
            </w:r>
          </w:p>
          <w:p w14:paraId="716FBDFA">
            <w:r>
              <w:rPr>
                <w:rFonts w:hint="eastAsia" w:ascii="宋体" w:hAnsi="宋体"/>
                <w:sz w:val="24"/>
                <w:szCs w:val="24"/>
              </w:rPr>
              <w:t>注：上述配备人员需提供人员证书以及与投标供应商签订的劳动合同、身份证、有效期内的健康证、</w:t>
            </w:r>
            <w:r>
              <w:rPr>
                <w:rFonts w:hint="eastAsia" w:ascii="宋体" w:hAnsi="宋体"/>
                <w:sz w:val="24"/>
                <w:szCs w:val="24"/>
                <w:highlight w:val="none"/>
                <w:lang w:val="en-US" w:eastAsia="zh-CN"/>
              </w:rPr>
              <w:t>近3个月内</w:t>
            </w:r>
            <w:r>
              <w:rPr>
                <w:rFonts w:hint="eastAsia" w:ascii="宋体" w:hAnsi="宋体"/>
                <w:sz w:val="24"/>
                <w:szCs w:val="24"/>
              </w:rPr>
              <w:t>任意一个月社保缴纳证明材料的原件的扫描件。</w:t>
            </w:r>
          </w:p>
        </w:tc>
        <w:tc>
          <w:tcPr>
            <w:tcW w:w="653" w:type="dxa"/>
            <w:tcBorders>
              <w:top w:val="single" w:color="auto" w:sz="4" w:space="0"/>
              <w:left w:val="single" w:color="auto" w:sz="4" w:space="0"/>
              <w:bottom w:val="single" w:color="auto" w:sz="4" w:space="0"/>
              <w:right w:val="single" w:color="auto" w:sz="4" w:space="0"/>
            </w:tcBorders>
            <w:vAlign w:val="center"/>
          </w:tcPr>
          <w:p w14:paraId="7DFFDDAE">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-13</w:t>
            </w:r>
          </w:p>
        </w:tc>
      </w:tr>
      <w:tr w14:paraId="3FED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74" w:type="dxa"/>
            <w:vMerge w:val="continue"/>
            <w:tcBorders>
              <w:left w:val="single" w:color="auto" w:sz="4" w:space="0"/>
              <w:right w:val="single" w:color="auto" w:sz="4" w:space="0"/>
            </w:tcBorders>
            <w:vAlign w:val="center"/>
          </w:tcPr>
          <w:p w14:paraId="42DEADC3">
            <w:pPr>
              <w:spacing w:line="400" w:lineRule="exact"/>
              <w:jc w:val="center"/>
              <w:rPr>
                <w:rFonts w:hint="eastAsia" w:ascii="宋体" w:hAnsi="宋体" w:cs="宋体"/>
                <w:sz w:val="24"/>
                <w:szCs w:val="24"/>
                <w:lang w:val="en-US" w:eastAsia="zh-CN"/>
              </w:rPr>
            </w:pPr>
          </w:p>
        </w:tc>
        <w:tc>
          <w:tcPr>
            <w:tcW w:w="1074" w:type="dxa"/>
            <w:tcBorders>
              <w:left w:val="single" w:color="auto" w:sz="4" w:space="0"/>
              <w:bottom w:val="single" w:color="auto" w:sz="4" w:space="0"/>
              <w:right w:val="single" w:color="auto" w:sz="4" w:space="0"/>
            </w:tcBorders>
            <w:vAlign w:val="center"/>
          </w:tcPr>
          <w:p w14:paraId="24324A48">
            <w:pPr>
              <w:widowControl/>
              <w:spacing w:line="400" w:lineRule="exact"/>
              <w:jc w:val="center"/>
              <w:rPr>
                <w:rFonts w:ascii="Times New Roman" w:hAnsi="Times New Roman"/>
                <w:sz w:val="24"/>
                <w:szCs w:val="24"/>
              </w:rPr>
            </w:pPr>
            <w:r>
              <w:rPr>
                <w:rFonts w:ascii="Times New Roman" w:hAnsi="Times New Roman"/>
                <w:sz w:val="24"/>
                <w:szCs w:val="24"/>
              </w:rPr>
              <w:t>应急处理</w:t>
            </w:r>
          </w:p>
          <w:p w14:paraId="7DB62848">
            <w:pPr>
              <w:widowControl/>
              <w:spacing w:line="400" w:lineRule="exact"/>
              <w:jc w:val="center"/>
              <w:rPr>
                <w:rFonts w:hint="eastAsia" w:ascii="宋体" w:hAnsi="宋体" w:cs="宋体"/>
                <w:sz w:val="24"/>
                <w:szCs w:val="24"/>
              </w:rPr>
            </w:pPr>
            <w:r>
              <w:rPr>
                <w:rFonts w:ascii="Times New Roman" w:hAnsi="Times New Roman"/>
                <w:sz w:val="24"/>
                <w:szCs w:val="24"/>
              </w:rPr>
              <w:t>方案</w:t>
            </w:r>
          </w:p>
        </w:tc>
        <w:tc>
          <w:tcPr>
            <w:tcW w:w="6778" w:type="dxa"/>
            <w:tcBorders>
              <w:top w:val="single" w:color="auto" w:sz="4" w:space="0"/>
              <w:left w:val="single" w:color="auto" w:sz="4" w:space="0"/>
              <w:bottom w:val="single" w:color="auto" w:sz="4" w:space="0"/>
              <w:right w:val="single" w:color="auto" w:sz="4" w:space="0"/>
            </w:tcBorders>
            <w:vAlign w:val="center"/>
          </w:tcPr>
          <w:p w14:paraId="7BF2898E">
            <w:pPr>
              <w:spacing w:line="400" w:lineRule="exact"/>
              <w:rPr>
                <w:rFonts w:hint="eastAsia" w:ascii="宋体" w:hAnsi="宋体"/>
                <w:sz w:val="24"/>
                <w:szCs w:val="24"/>
              </w:rPr>
            </w:pPr>
            <w:r>
              <w:rPr>
                <w:rFonts w:ascii="宋体" w:hAnsi="宋体"/>
                <w:sz w:val="24"/>
                <w:szCs w:val="24"/>
              </w:rPr>
              <w:t>投标供应商</w:t>
            </w:r>
            <w:r>
              <w:rPr>
                <w:rFonts w:hint="eastAsia" w:ascii="宋体" w:hAnsi="宋体"/>
                <w:sz w:val="24"/>
                <w:szCs w:val="24"/>
              </w:rPr>
              <w:t>建立配送餐服务意外事件</w:t>
            </w:r>
            <w:r>
              <w:rPr>
                <w:rFonts w:ascii="宋体" w:hAnsi="宋体"/>
                <w:sz w:val="24"/>
                <w:szCs w:val="24"/>
              </w:rPr>
              <w:t>等各种紧急情况</w:t>
            </w:r>
            <w:r>
              <w:rPr>
                <w:rFonts w:hint="eastAsia" w:ascii="宋体" w:hAnsi="宋体"/>
                <w:sz w:val="24"/>
                <w:szCs w:val="24"/>
              </w:rPr>
              <w:t>处置应急预案，根据应急预案的合理性</w:t>
            </w:r>
            <w:r>
              <w:rPr>
                <w:rFonts w:ascii="宋体" w:hAnsi="宋体"/>
                <w:sz w:val="24"/>
                <w:szCs w:val="24"/>
              </w:rPr>
              <w:t>制定切实可行应急方案</w:t>
            </w:r>
            <w:r>
              <w:rPr>
                <w:rFonts w:hint="eastAsia" w:ascii="宋体" w:hAnsi="宋体"/>
                <w:sz w:val="24"/>
                <w:szCs w:val="24"/>
              </w:rPr>
              <w:t>，</w:t>
            </w:r>
            <w:r>
              <w:rPr>
                <w:rFonts w:ascii="宋体" w:hAnsi="宋体"/>
                <w:sz w:val="24"/>
                <w:szCs w:val="24"/>
              </w:rPr>
              <w:t>进行综合评分</w:t>
            </w:r>
            <w:r>
              <w:rPr>
                <w:rFonts w:hint="eastAsia" w:ascii="宋体" w:hAnsi="宋体"/>
                <w:sz w:val="24"/>
                <w:szCs w:val="24"/>
              </w:rPr>
              <w:t>：</w:t>
            </w:r>
          </w:p>
          <w:p w14:paraId="20E476D1">
            <w:pPr>
              <w:spacing w:line="400" w:lineRule="exact"/>
              <w:rPr>
                <w:rFonts w:hint="eastAsia" w:ascii="宋体" w:hAnsi="宋体"/>
                <w:sz w:val="24"/>
                <w:szCs w:val="24"/>
              </w:rPr>
            </w:pPr>
            <w:r>
              <w:rPr>
                <w:rFonts w:hint="eastAsia" w:ascii="宋体" w:hAnsi="宋体"/>
                <w:sz w:val="24"/>
                <w:szCs w:val="24"/>
              </w:rPr>
              <w:t>（1）突发食品安全事故应急方案应实现学校食品安全“零事故”，安全管理制度化、规范化、有针对</w:t>
            </w:r>
            <w:r>
              <w:rPr>
                <w:rFonts w:ascii="宋体" w:hAnsi="宋体"/>
                <w:sz w:val="24"/>
                <w:szCs w:val="24"/>
              </w:rPr>
              <w:t>性</w:t>
            </w:r>
            <w:r>
              <w:rPr>
                <w:rFonts w:hint="eastAsia" w:ascii="宋体" w:hAnsi="宋体"/>
                <w:sz w:val="24"/>
                <w:szCs w:val="24"/>
              </w:rPr>
              <w:t>。方案内容具体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w:t>
            </w:r>
            <w:r>
              <w:rPr>
                <w:rFonts w:hint="eastAsia" w:ascii="宋体" w:hAnsi="宋体"/>
                <w:sz w:val="24"/>
                <w:szCs w:val="24"/>
              </w:rPr>
              <w:t>5</w:t>
            </w:r>
            <w:r>
              <w:rPr>
                <w:rFonts w:ascii="宋体" w:hAnsi="宋体"/>
                <w:sz w:val="24"/>
                <w:szCs w:val="24"/>
              </w:rPr>
              <w:t>分</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针对性的得3分；内容简单</w:t>
            </w:r>
            <w:r>
              <w:rPr>
                <w:rFonts w:ascii="宋体" w:hAnsi="宋体"/>
                <w:sz w:val="24"/>
                <w:szCs w:val="24"/>
              </w:rPr>
              <w:t>，针对性不强</w:t>
            </w:r>
            <w:r>
              <w:rPr>
                <w:rFonts w:hint="eastAsia" w:ascii="宋体" w:hAnsi="宋体"/>
                <w:sz w:val="24"/>
                <w:szCs w:val="24"/>
              </w:rPr>
              <w:t>的得1分；不提供不得分；</w:t>
            </w:r>
          </w:p>
          <w:p w14:paraId="6213FCB2">
            <w:pPr>
              <w:spacing w:line="400" w:lineRule="exact"/>
              <w:rPr>
                <w:rFonts w:hint="eastAsia" w:ascii="宋体" w:hAnsi="宋体"/>
                <w:sz w:val="24"/>
                <w:szCs w:val="24"/>
              </w:rPr>
            </w:pPr>
            <w:r>
              <w:rPr>
                <w:rFonts w:hint="eastAsia" w:ascii="宋体" w:hAnsi="宋体"/>
                <w:sz w:val="24"/>
                <w:szCs w:val="24"/>
              </w:rPr>
              <w:t>（2）传染性疾病防控应急方案应建立快速的应急、救援工作机制，及时采取科学有效的防控措施。防控措施满足项目需求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w:t>
            </w:r>
            <w:r>
              <w:rPr>
                <w:rFonts w:hint="eastAsia" w:ascii="宋体" w:hAnsi="宋体"/>
                <w:sz w:val="24"/>
                <w:szCs w:val="24"/>
              </w:rPr>
              <w:t>5</w:t>
            </w:r>
            <w:r>
              <w:rPr>
                <w:rFonts w:ascii="宋体" w:hAnsi="宋体"/>
                <w:sz w:val="24"/>
                <w:szCs w:val="24"/>
              </w:rPr>
              <w:t>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580A01DE">
            <w:pPr>
              <w:spacing w:line="400" w:lineRule="exact"/>
              <w:rPr>
                <w:rFonts w:hint="eastAsia" w:ascii="宋体" w:hAnsi="宋体"/>
                <w:sz w:val="24"/>
                <w:szCs w:val="24"/>
              </w:rPr>
            </w:pPr>
            <w:r>
              <w:rPr>
                <w:rFonts w:hint="eastAsia" w:ascii="宋体" w:hAnsi="宋体"/>
                <w:sz w:val="24"/>
                <w:szCs w:val="24"/>
              </w:rPr>
              <w:t>（3）为保证恶劣天气、突发情况下全校师生正常就餐，供应商应制定相应的应急方案，并针对送餐及时性做出承诺: 应急方案贴合项目实际需求，全面深入且有较强的针对性，得5分;方案笼统不详细，逻辑不清晰，得 3分;不提供不得分。(提供送达时间承诺函，格式自拟）</w:t>
            </w:r>
          </w:p>
          <w:p w14:paraId="71D82E8B">
            <w:pPr>
              <w:spacing w:line="400" w:lineRule="exact"/>
              <w:rPr>
                <w:rFonts w:ascii="Times New Roman" w:hAnsi="Times New Roman"/>
                <w:b/>
                <w:bCs/>
                <w:sz w:val="24"/>
                <w:szCs w:val="24"/>
              </w:rPr>
            </w:pPr>
            <w:r>
              <w:rPr>
                <w:rFonts w:hint="eastAsia" w:ascii="宋体" w:hAnsi="宋体"/>
                <w:sz w:val="24"/>
                <w:szCs w:val="24"/>
              </w:rPr>
              <w:t>注：</w:t>
            </w:r>
            <w:r>
              <w:rPr>
                <w:rFonts w:ascii="宋体" w:hAnsi="宋体"/>
                <w:sz w:val="24"/>
                <w:szCs w:val="24"/>
              </w:rPr>
              <w:t>此项累计最高得分15分。</w:t>
            </w:r>
          </w:p>
        </w:tc>
        <w:tc>
          <w:tcPr>
            <w:tcW w:w="653" w:type="dxa"/>
            <w:tcBorders>
              <w:top w:val="single" w:color="auto" w:sz="4" w:space="0"/>
              <w:left w:val="single" w:color="auto" w:sz="4" w:space="0"/>
              <w:bottom w:val="single" w:color="auto" w:sz="4" w:space="0"/>
              <w:right w:val="single" w:color="auto" w:sz="4" w:space="0"/>
            </w:tcBorders>
            <w:vAlign w:val="center"/>
          </w:tcPr>
          <w:p w14:paraId="6D5EE0B8">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65BA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74" w:type="dxa"/>
            <w:vMerge w:val="continue"/>
            <w:tcBorders>
              <w:left w:val="single" w:color="auto" w:sz="4" w:space="0"/>
              <w:right w:val="single" w:color="auto" w:sz="4" w:space="0"/>
            </w:tcBorders>
            <w:vAlign w:val="center"/>
          </w:tcPr>
          <w:p w14:paraId="6F24CBFB">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050D6F9C">
            <w:pPr>
              <w:widowControl/>
              <w:spacing w:line="400" w:lineRule="exact"/>
              <w:jc w:val="center"/>
              <w:rPr>
                <w:rFonts w:hint="eastAsia" w:ascii="宋体" w:hAnsi="宋体" w:cs="宋体"/>
                <w:sz w:val="24"/>
                <w:szCs w:val="24"/>
              </w:rPr>
            </w:pPr>
            <w:r>
              <w:rPr>
                <w:rFonts w:hint="eastAsia" w:ascii="Times New Roman" w:hAnsi="Times New Roman"/>
                <w:sz w:val="24"/>
                <w:szCs w:val="24"/>
              </w:rPr>
              <w:t>送餐服务方案</w:t>
            </w:r>
          </w:p>
        </w:tc>
        <w:tc>
          <w:tcPr>
            <w:tcW w:w="6778" w:type="dxa"/>
            <w:tcBorders>
              <w:top w:val="single" w:color="auto" w:sz="4" w:space="0"/>
              <w:left w:val="single" w:color="auto" w:sz="4" w:space="0"/>
              <w:bottom w:val="single" w:color="auto" w:sz="4" w:space="0"/>
              <w:right w:val="single" w:color="auto" w:sz="4" w:space="0"/>
            </w:tcBorders>
            <w:vAlign w:val="center"/>
          </w:tcPr>
          <w:p w14:paraId="55352EF9">
            <w:pPr>
              <w:spacing w:line="400" w:lineRule="exact"/>
              <w:rPr>
                <w:rFonts w:ascii="Times New Roman" w:hAnsi="Times New Roman"/>
                <w:sz w:val="24"/>
                <w:szCs w:val="24"/>
              </w:rPr>
            </w:pPr>
            <w:r>
              <w:rPr>
                <w:rFonts w:hint="eastAsia" w:ascii="Times New Roman" w:hAnsi="Times New Roman"/>
                <w:sz w:val="24"/>
                <w:szCs w:val="24"/>
              </w:rPr>
              <w:t xml:space="preserve">围绕供餐服务方案进行综合评分： </w:t>
            </w:r>
          </w:p>
          <w:p w14:paraId="5E60A0E0">
            <w:pPr>
              <w:spacing w:line="400" w:lineRule="exact"/>
              <w:rPr>
                <w:rFonts w:ascii="Times New Roman" w:hAnsi="Times New Roman"/>
                <w:sz w:val="24"/>
                <w:szCs w:val="24"/>
              </w:rPr>
            </w:pPr>
            <w:r>
              <w:rPr>
                <w:rFonts w:hint="eastAsia" w:ascii="Times New Roman" w:hAnsi="Times New Roman"/>
                <w:sz w:val="24"/>
                <w:szCs w:val="24"/>
              </w:rPr>
              <w:t>（1）服务方案切合实际，完全适应本项目需求，质量承诺内容齐全，措施规范全面，得5分；</w:t>
            </w:r>
          </w:p>
          <w:p w14:paraId="2190776B">
            <w:pPr>
              <w:spacing w:line="400" w:lineRule="exact"/>
              <w:rPr>
                <w:rFonts w:ascii="Times New Roman" w:hAnsi="Times New Roman"/>
                <w:sz w:val="24"/>
                <w:szCs w:val="24"/>
              </w:rPr>
            </w:pPr>
            <w:r>
              <w:rPr>
                <w:rFonts w:hint="eastAsia" w:ascii="Times New Roman" w:hAnsi="Times New Roman"/>
                <w:sz w:val="24"/>
                <w:szCs w:val="24"/>
              </w:rPr>
              <w:t>（2）送餐服务相应的支持、保证措施较完善新颖的，得3分；</w:t>
            </w:r>
          </w:p>
          <w:p w14:paraId="2688A52A">
            <w:pPr>
              <w:spacing w:line="400" w:lineRule="exact"/>
              <w:rPr>
                <w:rFonts w:ascii="Times New Roman" w:hAnsi="Times New Roman"/>
                <w:sz w:val="24"/>
                <w:szCs w:val="24"/>
              </w:rPr>
            </w:pPr>
            <w:r>
              <w:rPr>
                <w:rFonts w:hint="eastAsia" w:ascii="Times New Roman" w:hAnsi="Times New Roman"/>
                <w:sz w:val="24"/>
                <w:szCs w:val="24"/>
              </w:rPr>
              <w:t>（3）经营实施方案笼统，与项目实际需求有较大出入，措施缺失，得1分；</w:t>
            </w:r>
          </w:p>
          <w:p w14:paraId="1B7A7019">
            <w:pPr>
              <w:spacing w:line="400" w:lineRule="exact"/>
              <w:rPr>
                <w:rFonts w:hint="eastAsia" w:ascii="宋体" w:hAnsi="宋体" w:cs="宋体"/>
                <w:b/>
                <w:sz w:val="24"/>
                <w:szCs w:val="24"/>
              </w:rPr>
            </w:pPr>
            <w:r>
              <w:rPr>
                <w:rFonts w:hint="eastAsia" w:ascii="Times New Roman" w:hAnsi="Times New Roman"/>
                <w:sz w:val="24"/>
                <w:szCs w:val="24"/>
              </w:rPr>
              <w:t>（4）未提供方案不得分。</w:t>
            </w:r>
          </w:p>
        </w:tc>
        <w:tc>
          <w:tcPr>
            <w:tcW w:w="653" w:type="dxa"/>
            <w:tcBorders>
              <w:top w:val="single" w:color="auto" w:sz="4" w:space="0"/>
              <w:left w:val="single" w:color="auto" w:sz="4" w:space="0"/>
              <w:bottom w:val="single" w:color="auto" w:sz="4" w:space="0"/>
              <w:right w:val="single" w:color="auto" w:sz="4" w:space="0"/>
            </w:tcBorders>
            <w:vAlign w:val="center"/>
          </w:tcPr>
          <w:p w14:paraId="249DBD19">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-5</w:t>
            </w:r>
          </w:p>
        </w:tc>
      </w:tr>
      <w:tr w14:paraId="78E9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074" w:type="dxa"/>
            <w:vMerge w:val="continue"/>
            <w:tcBorders>
              <w:left w:val="single" w:color="auto" w:sz="4" w:space="0"/>
              <w:bottom w:val="single" w:color="auto" w:sz="4" w:space="0"/>
              <w:right w:val="single" w:color="auto" w:sz="4" w:space="0"/>
            </w:tcBorders>
            <w:vAlign w:val="center"/>
          </w:tcPr>
          <w:p w14:paraId="66CA5FF3">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2734E81">
            <w:pPr>
              <w:spacing w:line="400" w:lineRule="exact"/>
              <w:jc w:val="center"/>
              <w:rPr>
                <w:rFonts w:hint="eastAsia" w:ascii="宋体" w:hAnsi="宋体" w:cs="宋体"/>
                <w:bCs/>
                <w:sz w:val="24"/>
                <w:szCs w:val="24"/>
              </w:rPr>
            </w:pPr>
            <w:r>
              <w:rPr>
                <w:rFonts w:hint="eastAsia" w:ascii="Times New Roman" w:hAnsi="Times New Roman"/>
                <w:sz w:val="24"/>
                <w:szCs w:val="24"/>
              </w:rPr>
              <w:t>送餐整体设想及策划</w:t>
            </w:r>
          </w:p>
        </w:tc>
        <w:tc>
          <w:tcPr>
            <w:tcW w:w="6778" w:type="dxa"/>
            <w:tcBorders>
              <w:top w:val="single" w:color="auto" w:sz="4" w:space="0"/>
              <w:left w:val="single" w:color="auto" w:sz="4" w:space="0"/>
              <w:bottom w:val="single" w:color="auto" w:sz="4" w:space="0"/>
              <w:right w:val="single" w:color="auto" w:sz="4" w:space="0"/>
            </w:tcBorders>
            <w:vAlign w:val="center"/>
          </w:tcPr>
          <w:p w14:paraId="57D4514A">
            <w:pPr>
              <w:spacing w:line="400" w:lineRule="exact"/>
              <w:rPr>
                <w:rFonts w:ascii="Times New Roman" w:hAnsi="Times New Roman"/>
                <w:sz w:val="24"/>
                <w:szCs w:val="24"/>
              </w:rPr>
            </w:pPr>
            <w:r>
              <w:rPr>
                <w:rFonts w:hint="eastAsia" w:ascii="Times New Roman" w:hAnsi="Times New Roman"/>
                <w:sz w:val="24"/>
                <w:szCs w:val="24"/>
              </w:rPr>
              <w:t xml:space="preserve">根据供应商针对本项目整体设想及策划等进行综合评分： </w:t>
            </w:r>
          </w:p>
          <w:p w14:paraId="121315A6">
            <w:pPr>
              <w:spacing w:line="400" w:lineRule="exact"/>
              <w:rPr>
                <w:rFonts w:ascii="Times New Roman" w:hAnsi="Times New Roman"/>
                <w:sz w:val="24"/>
                <w:szCs w:val="24"/>
              </w:rPr>
            </w:pPr>
            <w:r>
              <w:rPr>
                <w:rFonts w:hint="eastAsia" w:ascii="Times New Roman" w:hAnsi="Times New Roman"/>
                <w:sz w:val="24"/>
                <w:szCs w:val="24"/>
              </w:rPr>
              <w:t>（1）思路清晰、合理，内容具体详细，针对性强的，得5分；</w:t>
            </w:r>
          </w:p>
          <w:p w14:paraId="0E08A79D">
            <w:pPr>
              <w:spacing w:line="400" w:lineRule="exact"/>
              <w:rPr>
                <w:rFonts w:ascii="Times New Roman" w:hAnsi="Times New Roman"/>
                <w:sz w:val="24"/>
                <w:szCs w:val="24"/>
              </w:rPr>
            </w:pPr>
            <w:r>
              <w:rPr>
                <w:rFonts w:hint="eastAsia" w:ascii="Times New Roman" w:hAnsi="Times New Roman"/>
                <w:sz w:val="24"/>
                <w:szCs w:val="24"/>
              </w:rPr>
              <w:t xml:space="preserve">（2）设想新颖、独特，内容具体，有一定的针对性的，得3分； </w:t>
            </w:r>
          </w:p>
          <w:p w14:paraId="448C6AA5">
            <w:pPr>
              <w:spacing w:line="400" w:lineRule="exact"/>
              <w:rPr>
                <w:rFonts w:ascii="Times New Roman" w:hAnsi="Times New Roman"/>
                <w:sz w:val="24"/>
                <w:szCs w:val="24"/>
              </w:rPr>
            </w:pPr>
            <w:r>
              <w:rPr>
                <w:rFonts w:hint="eastAsia" w:ascii="Times New Roman" w:hAnsi="Times New Roman"/>
                <w:sz w:val="24"/>
                <w:szCs w:val="24"/>
              </w:rPr>
              <w:t>（3）整体策划内容简单，针对性不强的，得1分；</w:t>
            </w:r>
          </w:p>
          <w:p w14:paraId="64CAE58D">
            <w:pPr>
              <w:spacing w:line="400" w:lineRule="exact"/>
            </w:pPr>
            <w:r>
              <w:rPr>
                <w:rFonts w:hint="eastAsia" w:ascii="Times New Roman" w:hAnsi="Times New Roman"/>
                <w:sz w:val="24"/>
                <w:szCs w:val="24"/>
              </w:rPr>
              <w:t>（4）未提供制度不得分。</w:t>
            </w:r>
          </w:p>
        </w:tc>
        <w:tc>
          <w:tcPr>
            <w:tcW w:w="653" w:type="dxa"/>
            <w:tcBorders>
              <w:top w:val="single" w:color="auto" w:sz="4" w:space="0"/>
              <w:left w:val="single" w:color="auto" w:sz="4" w:space="0"/>
              <w:bottom w:val="single" w:color="auto" w:sz="4" w:space="0"/>
              <w:right w:val="single" w:color="auto" w:sz="4" w:space="0"/>
            </w:tcBorders>
            <w:vAlign w:val="center"/>
          </w:tcPr>
          <w:p w14:paraId="4587CB49">
            <w:pPr>
              <w:spacing w:line="400" w:lineRule="exact"/>
              <w:jc w:val="center"/>
              <w:rPr>
                <w:rFonts w:hint="eastAsia" w:ascii="宋体" w:hAnsi="宋体" w:cs="宋体"/>
                <w:sz w:val="24"/>
                <w:szCs w:val="24"/>
              </w:rPr>
            </w:pPr>
            <w:r>
              <w:rPr>
                <w:rFonts w:ascii="Times New Roman" w:hAnsi="Times New Roman"/>
                <w:sz w:val="24"/>
                <w:szCs w:val="24"/>
              </w:rPr>
              <w:t>0-5</w:t>
            </w:r>
          </w:p>
        </w:tc>
      </w:tr>
      <w:tr w14:paraId="3413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119"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6BA35194">
            <w:pPr>
              <w:spacing w:line="40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价格分（20分）</w:t>
            </w:r>
          </w:p>
        </w:tc>
        <w:tc>
          <w:tcPr>
            <w:tcW w:w="8515" w:type="dxa"/>
            <w:gridSpan w:val="4"/>
            <w:tcBorders>
              <w:top w:val="single" w:color="auto" w:sz="4" w:space="0"/>
              <w:left w:val="single" w:color="auto" w:sz="4" w:space="0"/>
              <w:bottom w:val="single" w:color="auto" w:sz="4" w:space="0"/>
              <w:right w:val="single" w:color="auto" w:sz="4" w:space="0"/>
            </w:tcBorders>
            <w:vAlign w:val="center"/>
          </w:tcPr>
          <w:p w14:paraId="66F0AB4F">
            <w:pPr>
              <w:spacing w:after="120" w:line="500" w:lineRule="exact"/>
              <w:rPr>
                <w:rFonts w:hint="eastAsia" w:ascii="宋体" w:hAnsi="宋体" w:cs="宋体"/>
                <w:b/>
                <w:bCs/>
                <w:sz w:val="24"/>
                <w:szCs w:val="24"/>
              </w:rPr>
            </w:pPr>
            <w:r>
              <w:rPr>
                <w:rFonts w:hint="eastAsia" w:ascii="宋体" w:hAnsi="宋体" w:cs="宋体"/>
                <w:b/>
                <w:bCs/>
                <w:sz w:val="24"/>
                <w:szCs w:val="24"/>
              </w:rPr>
              <w:t>报价响应承诺（格式见附件）：</w:t>
            </w:r>
          </w:p>
          <w:p w14:paraId="1510A5A8">
            <w:pPr>
              <w:spacing w:after="120" w:line="500" w:lineRule="exact"/>
              <w:rPr>
                <w:rFonts w:hint="eastAsia" w:ascii="宋体" w:hAnsi="宋体" w:cs="宋体"/>
                <w:b/>
                <w:bCs/>
                <w:color w:val="auto"/>
                <w:sz w:val="24"/>
                <w:szCs w:val="24"/>
              </w:rPr>
            </w:pPr>
            <w:r>
              <w:rPr>
                <w:rFonts w:hint="eastAsia" w:ascii="宋体" w:hAnsi="宋体" w:cs="宋体"/>
                <w:b/>
                <w:bCs/>
                <w:color w:val="auto"/>
                <w:sz w:val="24"/>
                <w:szCs w:val="24"/>
              </w:rPr>
              <w:t>1、校外供餐企业严格遵守中小学校食堂公益性、非营利性原则，每学期食堂利润率不超过5%；2、餐费价格严格执行教育、发改、市场等部门要求，按备案价执行；3、为满足师生日常生活需求，实行套餐（菜品）品种多样化；4、米、面单价不低于“六安城区农贸市场价格</w:t>
            </w:r>
            <w:r>
              <w:rPr>
                <w:rFonts w:ascii="宋体" w:hAnsi="宋体" w:cs="宋体"/>
                <w:b/>
                <w:bCs/>
                <w:color w:val="auto"/>
                <w:sz w:val="24"/>
                <w:szCs w:val="24"/>
              </w:rPr>
              <w:t>”</w:t>
            </w:r>
            <w:r>
              <w:rPr>
                <w:rFonts w:hint="eastAsia" w:ascii="宋体" w:hAnsi="宋体" w:cs="宋体"/>
                <w:b/>
                <w:bCs/>
                <w:color w:val="auto"/>
                <w:sz w:val="24"/>
                <w:szCs w:val="24"/>
              </w:rPr>
              <w:t>同期价格，其他食材及辅材不高于“六安城区农贸市场价格</w:t>
            </w:r>
            <w:r>
              <w:rPr>
                <w:rFonts w:ascii="宋体" w:hAnsi="宋体" w:cs="宋体"/>
                <w:b/>
                <w:bCs/>
                <w:color w:val="auto"/>
                <w:sz w:val="24"/>
                <w:szCs w:val="24"/>
              </w:rPr>
              <w:t>”</w:t>
            </w:r>
            <w:r>
              <w:rPr>
                <w:rFonts w:hint="eastAsia" w:ascii="宋体" w:hAnsi="宋体" w:cs="宋体"/>
                <w:b/>
                <w:bCs/>
                <w:color w:val="auto"/>
                <w:sz w:val="24"/>
                <w:szCs w:val="24"/>
              </w:rPr>
              <w:t>同期价格；5、购买食品安全责任保险；6、定期接受相关部门对财务状况的监督检查和审计。</w:t>
            </w:r>
          </w:p>
          <w:p w14:paraId="2326050E">
            <w:pPr>
              <w:spacing w:line="400" w:lineRule="exact"/>
              <w:rPr>
                <w:rFonts w:ascii="Times New Roman" w:hAnsi="Times New Roman"/>
                <w:sz w:val="24"/>
              </w:rPr>
            </w:pPr>
            <w:r>
              <w:rPr>
                <w:rFonts w:hint="eastAsia" w:ascii="宋体" w:hAnsi="宋体" w:cs="宋体"/>
                <w:b/>
                <w:bCs/>
                <w:sz w:val="24"/>
                <w:szCs w:val="24"/>
              </w:rPr>
              <w:t>有此项承诺得20分。 无承诺或承诺不符合要求的得0分且不得推荐为中标供应商。</w:t>
            </w:r>
          </w:p>
        </w:tc>
      </w:tr>
    </w:tbl>
    <w:p w14:paraId="3879ABDB">
      <w:pPr>
        <w:spacing w:line="480" w:lineRule="exact"/>
        <w:ind w:firstLine="569" w:firstLineChars="236"/>
        <w:rPr>
          <w:rFonts w:hint="eastAsia" w:ascii="宋体" w:hAnsi="宋体"/>
          <w:b/>
          <w:bCs/>
          <w:sz w:val="24"/>
          <w:szCs w:val="24"/>
          <w:lang w:val="en-US" w:eastAsia="zh-CN"/>
        </w:rPr>
      </w:pPr>
      <w:r>
        <w:rPr>
          <w:rFonts w:hint="eastAsia" w:ascii="宋体" w:hAnsi="宋体"/>
          <w:b/>
          <w:bCs/>
          <w:sz w:val="24"/>
          <w:szCs w:val="24"/>
          <w:lang w:val="en-US" w:eastAsia="zh-CN"/>
        </w:rPr>
        <w:t>注：评分办法中“学校”是指中小学校（包含高中、幼儿园）。</w:t>
      </w:r>
    </w:p>
    <w:p w14:paraId="24EBB15B">
      <w:pPr>
        <w:spacing w:line="480" w:lineRule="exact"/>
        <w:ind w:firstLine="566" w:firstLineChars="236"/>
        <w:rPr>
          <w:rFonts w:hint="eastAsia" w:ascii="宋体" w:hAnsi="宋体"/>
          <w:sz w:val="24"/>
          <w:szCs w:val="24"/>
        </w:rPr>
      </w:pPr>
      <w:r>
        <w:rPr>
          <w:rFonts w:hint="eastAsia" w:ascii="宋体" w:hAnsi="宋体"/>
          <w:sz w:val="24"/>
          <w:szCs w:val="24"/>
        </w:rPr>
        <w:t>3、技术标分的汇总方法为：对某一投标供应商的技术标的每一个指标项得分，取各位评委评分之平均值，四舍五入保留至小数点后两位数，得到该投标供应商该指标项的得分。再将投标供应商每个技术标的指标项得分进行汇总，得到该投标供应商的技术标分之和。</w:t>
      </w:r>
    </w:p>
    <w:p w14:paraId="515BB214">
      <w:pPr>
        <w:spacing w:line="480" w:lineRule="exact"/>
        <w:ind w:firstLine="566" w:firstLineChars="236"/>
        <w:rPr>
          <w:rFonts w:hint="eastAsia" w:ascii="宋体" w:hAnsi="宋体"/>
          <w:sz w:val="24"/>
          <w:szCs w:val="24"/>
        </w:rPr>
      </w:pPr>
      <w:r>
        <w:rPr>
          <w:rFonts w:hint="eastAsia" w:ascii="宋体" w:hAnsi="宋体"/>
          <w:sz w:val="24"/>
          <w:szCs w:val="24"/>
        </w:rPr>
        <w:t>4、得分汇总</w:t>
      </w:r>
    </w:p>
    <w:p w14:paraId="6F59980B">
      <w:pPr>
        <w:pStyle w:val="6"/>
        <w:spacing w:line="480" w:lineRule="exact"/>
        <w:ind w:right="-11" w:firstLine="495"/>
        <w:rPr>
          <w:rFonts w:hint="eastAsia" w:ascii="宋体" w:hAnsi="宋体"/>
          <w:sz w:val="24"/>
          <w:szCs w:val="24"/>
        </w:rPr>
      </w:pPr>
      <w:r>
        <w:rPr>
          <w:rFonts w:hint="eastAsia" w:ascii="宋体" w:hAnsi="宋体"/>
          <w:sz w:val="24"/>
          <w:szCs w:val="24"/>
        </w:rPr>
        <w:t>（1）将每个有效投标供应商的技术标分之和加上根据上述标准计算出的价格分，即为该投标供应商的综合总得分。</w:t>
      </w:r>
    </w:p>
    <w:p w14:paraId="5FD7437D">
      <w:pPr>
        <w:pStyle w:val="6"/>
        <w:spacing w:line="560" w:lineRule="exact"/>
        <w:ind w:right="-11" w:firstLine="495"/>
        <w:rPr>
          <w:rFonts w:hint="eastAsia" w:ascii="宋体" w:hAnsi="宋体"/>
          <w:color w:val="auto"/>
          <w:sz w:val="24"/>
          <w:szCs w:val="24"/>
        </w:rPr>
      </w:pPr>
      <w:r>
        <w:rPr>
          <w:rFonts w:hint="eastAsia" w:ascii="宋体" w:hAnsi="宋体"/>
          <w:sz w:val="24"/>
          <w:szCs w:val="24"/>
        </w:rPr>
        <w:t>（2）按照有效投标供应商综合总得分由高到低依次排出中标供应商及中标候选供应商。</w:t>
      </w:r>
      <w:bookmarkStart w:id="8" w:name="_GoBack"/>
      <w:r>
        <w:rPr>
          <w:rFonts w:hint="eastAsia" w:ascii="宋体" w:hAnsi="宋体"/>
          <w:color w:val="auto"/>
          <w:sz w:val="24"/>
          <w:szCs w:val="24"/>
          <w:highlight w:val="none"/>
        </w:rPr>
        <w:t>综合得分相同时，采用</w:t>
      </w:r>
      <w:r>
        <w:rPr>
          <w:rFonts w:hint="eastAsia" w:ascii="宋体" w:hAnsi="宋体"/>
          <w:color w:val="auto"/>
          <w:sz w:val="24"/>
          <w:szCs w:val="24"/>
          <w:highlight w:val="none"/>
          <w:lang w:val="en-US" w:eastAsia="zh-CN"/>
        </w:rPr>
        <w:t>摇号</w:t>
      </w:r>
      <w:r>
        <w:rPr>
          <w:rFonts w:hint="eastAsia" w:ascii="宋体" w:hAnsi="宋体"/>
          <w:color w:val="auto"/>
          <w:sz w:val="24"/>
          <w:szCs w:val="24"/>
          <w:highlight w:val="none"/>
        </w:rPr>
        <w:t>方式确定排名顺序。</w:t>
      </w:r>
      <w:bookmarkEnd w:id="8"/>
    </w:p>
    <w:p w14:paraId="6837C895">
      <w:pPr>
        <w:pStyle w:val="13"/>
        <w:ind w:right="-21" w:firstLine="630"/>
        <w:rPr>
          <w:rFonts w:hint="eastAsia" w:ascii="宋体" w:hAnsi="宋体" w:eastAsia="宋体" w:cs="仿宋"/>
          <w:color w:val="auto"/>
          <w:kern w:val="2"/>
          <w:sz w:val="28"/>
          <w:szCs w:val="28"/>
        </w:rPr>
      </w:pPr>
    </w:p>
    <w:p w14:paraId="5AC6E722">
      <w:pPr>
        <w:pStyle w:val="13"/>
        <w:ind w:right="-21" w:firstLine="0" w:firstLineChars="0"/>
        <w:jc w:val="center"/>
        <w:rPr>
          <w:rFonts w:hint="eastAsia" w:ascii="宋体" w:hAnsi="宋体" w:eastAsia="宋体" w:cs="华文中宋"/>
          <w:b/>
          <w:bCs/>
          <w:sz w:val="32"/>
        </w:rPr>
      </w:pPr>
      <w:r>
        <w:rPr>
          <w:rFonts w:hint="eastAsia" w:ascii="宋体" w:hAnsi="宋体" w:eastAsia="宋体" w:cs="华文中宋"/>
          <w:b/>
          <w:bCs/>
          <w:sz w:val="32"/>
        </w:rPr>
        <w:t>第</w:t>
      </w:r>
      <w:r>
        <w:rPr>
          <w:rFonts w:ascii="宋体" w:hAnsi="宋体" w:eastAsia="宋体" w:cs="华文中宋"/>
          <w:b/>
          <w:bCs/>
          <w:sz w:val="32"/>
        </w:rPr>
        <w:t>三部分：发包需求</w:t>
      </w:r>
    </w:p>
    <w:p w14:paraId="5720D8CE">
      <w:pPr>
        <w:spacing w:line="480" w:lineRule="exact"/>
        <w:ind w:firstLine="569" w:firstLineChars="236"/>
        <w:rPr>
          <w:rFonts w:ascii="Times New Roman" w:hAnsi="Times New Roman"/>
          <w:b/>
          <w:bCs/>
          <w:sz w:val="24"/>
        </w:rPr>
      </w:pPr>
      <w:r>
        <w:rPr>
          <w:rFonts w:hint="eastAsia" w:ascii="Times New Roman" w:hAnsi="Times New Roman"/>
          <w:b/>
          <w:bCs/>
          <w:sz w:val="24"/>
        </w:rPr>
        <w:t>一、总体要求</w:t>
      </w:r>
    </w:p>
    <w:p w14:paraId="189CC803">
      <w:pPr>
        <w:spacing w:line="480" w:lineRule="exact"/>
        <w:ind w:firstLine="566" w:firstLineChars="236"/>
        <w:rPr>
          <w:rFonts w:ascii="Times New Roman" w:hAnsi="Times New Roman"/>
          <w:sz w:val="24"/>
          <w:szCs w:val="24"/>
        </w:rPr>
      </w:pPr>
      <w:r>
        <w:rPr>
          <w:rFonts w:hint="eastAsia" w:ascii="Times New Roman" w:hAnsi="Times New Roman"/>
          <w:sz w:val="24"/>
          <w:szCs w:val="24"/>
        </w:rPr>
        <w:t>(一)</w:t>
      </w:r>
      <w:r>
        <w:rPr>
          <w:rFonts w:ascii="Times New Roman" w:hAnsi="Times New Roman"/>
          <w:sz w:val="24"/>
          <w:szCs w:val="24"/>
        </w:rPr>
        <w:t xml:space="preserve"> </w:t>
      </w:r>
      <w:r>
        <w:rPr>
          <w:rFonts w:hint="eastAsia" w:ascii="Times New Roman" w:hAnsi="Times New Roman"/>
          <w:sz w:val="24"/>
          <w:szCs w:val="24"/>
        </w:rPr>
        <w:t>从业人员</w:t>
      </w:r>
    </w:p>
    <w:p w14:paraId="00DD1363">
      <w:pPr>
        <w:spacing w:line="480" w:lineRule="exact"/>
        <w:ind w:firstLine="566" w:firstLineChars="236"/>
        <w:rPr>
          <w:rFonts w:ascii="Times New Roman" w:hAnsi="Times New Roman"/>
          <w:sz w:val="24"/>
          <w:szCs w:val="24"/>
        </w:rPr>
      </w:pPr>
      <w:r>
        <w:rPr>
          <w:rFonts w:hint="eastAsia" w:ascii="Times New Roman" w:hAnsi="Times New Roman"/>
          <w:sz w:val="24"/>
          <w:szCs w:val="24"/>
        </w:rPr>
        <w:t>从业人员及要求：项目负责人（</w:t>
      </w:r>
      <w:r>
        <w:rPr>
          <w:rFonts w:ascii="Times New Roman" w:hAnsi="Times New Roman"/>
          <w:sz w:val="24"/>
          <w:szCs w:val="24"/>
        </w:rPr>
        <w:t>厨师长）</w:t>
      </w:r>
      <w:r>
        <w:rPr>
          <w:rFonts w:hint="eastAsia" w:ascii="Times New Roman" w:hAnsi="Times New Roman"/>
          <w:sz w:val="24"/>
          <w:szCs w:val="24"/>
        </w:rPr>
        <w:t>：***名</w:t>
      </w:r>
    </w:p>
    <w:p w14:paraId="5AEB9561">
      <w:pPr>
        <w:spacing w:line="480" w:lineRule="exact"/>
        <w:ind w:firstLine="566" w:firstLineChars="236"/>
        <w:rPr>
          <w:rFonts w:ascii="Times New Roman" w:hAnsi="Times New Roman"/>
          <w:sz w:val="24"/>
          <w:szCs w:val="24"/>
        </w:rPr>
      </w:pPr>
      <w:r>
        <w:rPr>
          <w:rFonts w:hint="eastAsia" w:ascii="Times New Roman" w:hAnsi="Times New Roman"/>
          <w:sz w:val="24"/>
          <w:szCs w:val="24"/>
        </w:rPr>
        <w:t>厨师：***名</w:t>
      </w:r>
    </w:p>
    <w:p w14:paraId="05187010">
      <w:pPr>
        <w:spacing w:line="480" w:lineRule="exact"/>
        <w:ind w:firstLine="566" w:firstLineChars="236"/>
        <w:rPr>
          <w:rFonts w:hint="eastAsia" w:ascii="宋体" w:hAnsi="宋体"/>
          <w:sz w:val="24"/>
          <w:szCs w:val="24"/>
        </w:rPr>
      </w:pPr>
      <w:r>
        <w:rPr>
          <w:rFonts w:hint="eastAsia" w:ascii="宋体" w:hAnsi="宋体"/>
          <w:sz w:val="24"/>
          <w:szCs w:val="24"/>
        </w:rPr>
        <w:t>面点师：*名</w:t>
      </w:r>
    </w:p>
    <w:p w14:paraId="1050B27E">
      <w:pPr>
        <w:spacing w:line="480" w:lineRule="exact"/>
        <w:ind w:firstLine="566" w:firstLineChars="236"/>
        <w:rPr>
          <w:rFonts w:hint="eastAsia" w:ascii="宋体" w:hAnsi="宋体"/>
          <w:sz w:val="24"/>
          <w:szCs w:val="24"/>
        </w:rPr>
      </w:pPr>
      <w:r>
        <w:rPr>
          <w:rFonts w:hint="eastAsia" w:ascii="宋体" w:hAnsi="宋体"/>
          <w:sz w:val="24"/>
          <w:szCs w:val="24"/>
        </w:rPr>
        <w:t>营养师：*名（持公共营养师或营养配餐师或美食营养师证书上岗，投标时需提供证书原件扫描）</w:t>
      </w:r>
    </w:p>
    <w:p w14:paraId="08FDDD30">
      <w:pPr>
        <w:spacing w:line="480" w:lineRule="exact"/>
        <w:ind w:firstLine="566" w:firstLineChars="236"/>
        <w:rPr>
          <w:rFonts w:hint="eastAsia" w:ascii="宋体" w:hAnsi="宋体"/>
          <w:sz w:val="24"/>
          <w:szCs w:val="24"/>
        </w:rPr>
      </w:pPr>
      <w:r>
        <w:rPr>
          <w:rFonts w:hint="eastAsia" w:ascii="宋体" w:hAnsi="宋体"/>
          <w:sz w:val="24"/>
          <w:szCs w:val="24"/>
        </w:rPr>
        <w:t>案板：*名</w:t>
      </w:r>
    </w:p>
    <w:p w14:paraId="643A594B">
      <w:pPr>
        <w:spacing w:line="480" w:lineRule="exact"/>
        <w:ind w:firstLine="566" w:firstLineChars="236"/>
        <w:rPr>
          <w:rFonts w:ascii="Times New Roman" w:hAnsi="Times New Roman"/>
          <w:sz w:val="24"/>
          <w:szCs w:val="24"/>
        </w:rPr>
      </w:pPr>
      <w:r>
        <w:rPr>
          <w:rFonts w:hint="eastAsia" w:ascii="Times New Roman" w:hAnsi="Times New Roman"/>
          <w:sz w:val="24"/>
          <w:szCs w:val="24"/>
        </w:rPr>
        <w:t>服务员：满足实际需要</w:t>
      </w:r>
    </w:p>
    <w:p w14:paraId="6D96E042">
      <w:pPr>
        <w:spacing w:line="480" w:lineRule="exact"/>
        <w:ind w:firstLine="566" w:firstLineChars="236"/>
        <w:rPr>
          <w:rFonts w:ascii="Times New Roman" w:hAnsi="Times New Roman"/>
          <w:sz w:val="24"/>
          <w:szCs w:val="24"/>
        </w:rPr>
      </w:pPr>
      <w:r>
        <w:rPr>
          <w:rFonts w:hint="eastAsia" w:ascii="Times New Roman" w:hAnsi="Times New Roman"/>
          <w:sz w:val="24"/>
          <w:szCs w:val="24"/>
        </w:rPr>
        <w:t>勤杂工：满足实际需要</w:t>
      </w:r>
    </w:p>
    <w:p w14:paraId="05C25522">
      <w:pPr>
        <w:spacing w:line="480" w:lineRule="exact"/>
        <w:ind w:firstLine="566" w:firstLineChars="236"/>
        <w:rPr>
          <w:rFonts w:ascii="Times New Roman" w:hAnsi="Times New Roman"/>
          <w:color w:val="auto"/>
          <w:sz w:val="24"/>
          <w:szCs w:val="24"/>
        </w:rPr>
      </w:pPr>
      <w:r>
        <w:rPr>
          <w:rFonts w:hint="eastAsia"/>
          <w:color w:val="auto"/>
          <w:sz w:val="24"/>
          <w:szCs w:val="24"/>
        </w:rPr>
        <w:t>履约过程中实际从业人员需与投标文件承诺人员一致。</w:t>
      </w:r>
    </w:p>
    <w:p w14:paraId="1173F23A">
      <w:pPr>
        <w:spacing w:line="480" w:lineRule="exact"/>
        <w:ind w:firstLine="566" w:firstLineChars="236"/>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三）</w:t>
      </w:r>
      <w:r>
        <w:rPr>
          <w:rFonts w:hint="eastAsia" w:ascii="Times New Roman" w:hAnsi="Times New Roman"/>
          <w:sz w:val="24"/>
          <w:szCs w:val="24"/>
        </w:rPr>
        <w:t>服务需求</w:t>
      </w:r>
    </w:p>
    <w:p w14:paraId="564C0DCE">
      <w:pPr>
        <w:spacing w:line="480" w:lineRule="exact"/>
        <w:ind w:firstLine="566" w:firstLineChars="236"/>
        <w:rPr>
          <w:rFonts w:ascii="Times New Roman" w:hAnsi="Times New Roman"/>
          <w:sz w:val="24"/>
          <w:szCs w:val="24"/>
        </w:rPr>
      </w:pPr>
      <w:r>
        <w:rPr>
          <w:rFonts w:hint="eastAsia" w:ascii="Times New Roman" w:hAnsi="Times New Roman"/>
          <w:sz w:val="24"/>
          <w:szCs w:val="24"/>
        </w:rPr>
        <w:t>供应商负责提供就餐服务所需经营场地、设备、餐具等，供应商负责开展本校送餐服务工作，主要包括菜品采购、烹饪、送餐等。</w:t>
      </w:r>
    </w:p>
    <w:p w14:paraId="7E839E9D">
      <w:pPr>
        <w:spacing w:line="480" w:lineRule="exact"/>
        <w:ind w:firstLine="566" w:firstLineChars="236"/>
        <w:rPr>
          <w:rFonts w:ascii="Times New Roman" w:hAnsi="Times New Roman"/>
          <w:sz w:val="24"/>
          <w:szCs w:val="24"/>
        </w:rPr>
      </w:pPr>
      <w:r>
        <w:rPr>
          <w:rFonts w:hint="eastAsia" w:ascii="Times New Roman" w:hAnsi="Times New Roman"/>
          <w:sz w:val="24"/>
          <w:szCs w:val="24"/>
        </w:rPr>
        <w:t>1．供应商食品安全要求严格执行《中华人民共和国食品安全法》和卫健部门关于食堂卫生安全管理及政府相关部门的有关规定。</w:t>
      </w:r>
    </w:p>
    <w:p w14:paraId="60D121A2">
      <w:pPr>
        <w:spacing w:line="480" w:lineRule="exact"/>
        <w:ind w:firstLine="566" w:firstLineChars="236"/>
        <w:rPr>
          <w:rFonts w:ascii="Times New Roman" w:hAnsi="Times New Roman"/>
          <w:sz w:val="24"/>
          <w:szCs w:val="24"/>
        </w:rPr>
      </w:pPr>
      <w:r>
        <w:rPr>
          <w:rFonts w:hint="eastAsia" w:ascii="Times New Roman" w:hAnsi="Times New Roman"/>
          <w:sz w:val="24"/>
          <w:szCs w:val="24"/>
        </w:rPr>
        <w:t>2．每日供餐数量根据校方所提供的数据，结合小学生需求意向调查情况，为学校有需求的学生提供中餐服务。</w:t>
      </w:r>
    </w:p>
    <w:p w14:paraId="213BE546">
      <w:pPr>
        <w:spacing w:line="480" w:lineRule="exact"/>
        <w:ind w:firstLine="566" w:firstLineChars="236"/>
        <w:rPr>
          <w:rFonts w:hint="eastAsia" w:ascii="Times New Roman" w:hAnsi="Times New Roman"/>
          <w:sz w:val="24"/>
          <w:szCs w:val="24"/>
        </w:rPr>
      </w:pPr>
      <w:r>
        <w:rPr>
          <w:rFonts w:hint="eastAsia" w:ascii="Times New Roman" w:hAnsi="Times New Roman"/>
          <w:sz w:val="24"/>
          <w:szCs w:val="24"/>
        </w:rPr>
        <w:t>3．供餐标准：具体供餐方式以学校需求为准。</w:t>
      </w:r>
    </w:p>
    <w:p w14:paraId="6947EB02">
      <w:pPr>
        <w:spacing w:line="480" w:lineRule="exact"/>
        <w:ind w:firstLine="566" w:firstLineChars="236"/>
        <w:rPr>
          <w:rFonts w:ascii="Times New Roman" w:hAnsi="Times New Roman"/>
          <w:sz w:val="24"/>
          <w:szCs w:val="24"/>
        </w:rPr>
      </w:pPr>
      <w:r>
        <w:rPr>
          <w:rFonts w:hint="eastAsia" w:ascii="Times New Roman" w:hAnsi="Times New Roman"/>
          <w:sz w:val="24"/>
          <w:szCs w:val="24"/>
        </w:rPr>
        <w:t>（1）****在校就餐人数约***人，进行</w:t>
      </w:r>
      <w:r>
        <w:rPr>
          <w:rFonts w:hint="eastAsia" w:ascii="Times New Roman" w:hAnsi="Times New Roman"/>
          <w:color w:val="auto"/>
          <w:sz w:val="24"/>
          <w:szCs w:val="24"/>
        </w:rPr>
        <w:t>中、晚</w:t>
      </w:r>
      <w:r>
        <w:rPr>
          <w:rFonts w:hint="eastAsia" w:ascii="Times New Roman" w:hAnsi="Times New Roman"/>
          <w:sz w:val="24"/>
          <w:szCs w:val="24"/>
        </w:rPr>
        <w:t>餐配送，供餐标准：2荤菜、2素菜、1份米饭。</w:t>
      </w:r>
    </w:p>
    <w:p w14:paraId="36E29FF3">
      <w:pPr>
        <w:spacing w:line="480" w:lineRule="exact"/>
        <w:ind w:firstLine="566" w:firstLineChars="236"/>
        <w:rPr>
          <w:rFonts w:ascii="Times New Roman" w:hAnsi="Times New Roman"/>
          <w:sz w:val="24"/>
          <w:szCs w:val="24"/>
        </w:rPr>
      </w:pPr>
      <w:r>
        <w:rPr>
          <w:rFonts w:hint="eastAsia" w:ascii="Times New Roman" w:hAnsi="Times New Roman"/>
          <w:sz w:val="24"/>
          <w:szCs w:val="24"/>
        </w:rPr>
        <w:t>（2）***幼儿园幼儿约***人（其中教职工***人），****幼儿***人（其中教职工**人）、****幼儿园幼儿***人（其中教职工***人），幼儿实行两餐两点；供餐标准如下：</w:t>
      </w:r>
    </w:p>
    <w:p w14:paraId="0CCDE94A">
      <w:pPr>
        <w:spacing w:line="480" w:lineRule="exact"/>
        <w:ind w:firstLine="566" w:firstLineChars="236"/>
        <w:rPr>
          <w:rFonts w:ascii="Times New Roman" w:hAnsi="Times New Roman"/>
          <w:sz w:val="24"/>
          <w:szCs w:val="24"/>
        </w:rPr>
      </w:pPr>
      <w:r>
        <w:rPr>
          <w:rFonts w:hint="eastAsia" w:ascii="宋体" w:hAnsi="宋体" w:cs="宋体"/>
          <w:sz w:val="24"/>
          <w:szCs w:val="24"/>
        </w:rPr>
        <w:t>①</w:t>
      </w:r>
      <w:r>
        <w:rPr>
          <w:rFonts w:hint="eastAsia" w:ascii="Times New Roman" w:hAnsi="Times New Roman"/>
          <w:sz w:val="24"/>
          <w:szCs w:val="24"/>
        </w:rPr>
        <w:t>早餐：牛奶+其他；</w:t>
      </w:r>
    </w:p>
    <w:p w14:paraId="2F9D8BD7">
      <w:pPr>
        <w:spacing w:line="480" w:lineRule="exact"/>
        <w:ind w:firstLine="566" w:firstLineChars="236"/>
        <w:rPr>
          <w:rFonts w:ascii="Times New Roman" w:hAnsi="Times New Roman"/>
          <w:sz w:val="24"/>
          <w:szCs w:val="24"/>
        </w:rPr>
      </w:pPr>
      <w:r>
        <w:rPr>
          <w:rFonts w:hint="eastAsia" w:ascii="宋体" w:hAnsi="宋体" w:cs="宋体"/>
          <w:sz w:val="24"/>
          <w:szCs w:val="24"/>
        </w:rPr>
        <w:t>②</w:t>
      </w:r>
      <w:r>
        <w:rPr>
          <w:rFonts w:hint="eastAsia" w:ascii="Times New Roman" w:hAnsi="Times New Roman"/>
          <w:sz w:val="24"/>
          <w:szCs w:val="24"/>
        </w:rPr>
        <w:t>中餐：2荤菜、1素菜、1份米饭、1份荤汤；</w:t>
      </w:r>
    </w:p>
    <w:p w14:paraId="494CE54E">
      <w:pPr>
        <w:spacing w:line="480" w:lineRule="exact"/>
        <w:ind w:firstLine="566" w:firstLineChars="236"/>
        <w:rPr>
          <w:rFonts w:ascii="Times New Roman" w:hAnsi="Times New Roman"/>
          <w:sz w:val="24"/>
          <w:szCs w:val="24"/>
          <w:highlight w:val="red"/>
        </w:rPr>
      </w:pPr>
      <w:r>
        <w:rPr>
          <w:rFonts w:hint="eastAsia" w:ascii="宋体" w:hAnsi="宋体" w:cs="宋体"/>
          <w:sz w:val="24"/>
          <w:szCs w:val="24"/>
        </w:rPr>
        <w:t>③上午点和下午</w:t>
      </w:r>
      <w:r>
        <w:rPr>
          <w:rFonts w:hint="eastAsia" w:ascii="Times New Roman" w:hAnsi="Times New Roman"/>
          <w:sz w:val="24"/>
          <w:szCs w:val="24"/>
        </w:rPr>
        <w:t>点心。</w:t>
      </w:r>
    </w:p>
    <w:p w14:paraId="18D295D7">
      <w:pPr>
        <w:spacing w:line="480" w:lineRule="exact"/>
        <w:ind w:firstLine="566" w:firstLineChars="236"/>
        <w:rPr>
          <w:rFonts w:ascii="Times New Roman" w:hAnsi="Times New Roman"/>
          <w:sz w:val="24"/>
          <w:szCs w:val="24"/>
          <w:highlight w:val="yellow"/>
        </w:rPr>
      </w:pPr>
      <w:r>
        <w:rPr>
          <w:rFonts w:hint="eastAsia" w:ascii="Times New Roman" w:hAnsi="Times New Roman"/>
          <w:sz w:val="24"/>
          <w:szCs w:val="24"/>
        </w:rPr>
        <w:t>（3）做到“饭菜温度热、米饭软、菜酥、口味清淡”，菜谱一周不重样；菜烧好后在1小时内送到指定地点，确保食用前膳食的中心温度不低于60度。</w:t>
      </w:r>
    </w:p>
    <w:p w14:paraId="33E359E9">
      <w:pPr>
        <w:spacing w:line="480" w:lineRule="exact"/>
        <w:ind w:firstLine="566" w:firstLineChars="236"/>
        <w:rPr>
          <w:rFonts w:ascii="Times New Roman" w:hAnsi="Times New Roman"/>
          <w:sz w:val="24"/>
          <w:szCs w:val="24"/>
        </w:rPr>
      </w:pPr>
      <w:r>
        <w:rPr>
          <w:rFonts w:hint="eastAsia" w:ascii="Times New Roman" w:hAnsi="Times New Roman"/>
          <w:sz w:val="24"/>
          <w:szCs w:val="24"/>
        </w:rPr>
        <w:t>4．厨房设备、餐具、保温桶由供应商提供（所有送餐器具要求全新）；就餐时间：合同另行</w:t>
      </w:r>
      <w:r>
        <w:rPr>
          <w:rFonts w:ascii="Times New Roman" w:hAnsi="Times New Roman"/>
          <w:sz w:val="24"/>
          <w:szCs w:val="24"/>
        </w:rPr>
        <w:t>约定。</w:t>
      </w:r>
    </w:p>
    <w:p w14:paraId="6EE21576">
      <w:pPr>
        <w:spacing w:line="480" w:lineRule="exact"/>
        <w:ind w:firstLine="566" w:firstLineChars="236"/>
        <w:rPr>
          <w:rFonts w:ascii="Times New Roman" w:hAnsi="Times New Roman"/>
          <w:sz w:val="24"/>
          <w:szCs w:val="24"/>
          <w:highlight w:val="none"/>
        </w:rPr>
      </w:pPr>
      <w:r>
        <w:rPr>
          <w:rFonts w:hint="eastAsia" w:ascii="Times New Roman" w:hAnsi="Times New Roman"/>
          <w:sz w:val="24"/>
          <w:szCs w:val="24"/>
          <w:highlight w:val="none"/>
        </w:rPr>
        <w:t>5．投标供应商配备的送餐人员必须进行健康检查及卫生培训，取得健康证。</w:t>
      </w:r>
    </w:p>
    <w:p w14:paraId="5377041D">
      <w:pPr>
        <w:spacing w:line="480" w:lineRule="exact"/>
        <w:ind w:firstLine="566" w:firstLineChars="236"/>
        <w:rPr>
          <w:rFonts w:ascii="Times New Roman" w:hAnsi="Times New Roman"/>
          <w:sz w:val="24"/>
          <w:szCs w:val="24"/>
          <w:highlight w:val="none"/>
        </w:rPr>
      </w:pPr>
      <w:r>
        <w:rPr>
          <w:rFonts w:ascii="Times New Roman" w:hAnsi="Times New Roman"/>
          <w:sz w:val="24"/>
          <w:szCs w:val="24"/>
          <w:highlight w:val="none"/>
        </w:rPr>
        <w:t>6</w:t>
      </w:r>
      <w:r>
        <w:rPr>
          <w:rFonts w:hint="eastAsia" w:ascii="Times New Roman" w:hAnsi="Times New Roman"/>
          <w:sz w:val="24"/>
          <w:szCs w:val="24"/>
          <w:highlight w:val="none"/>
        </w:rPr>
        <w:t>．送餐期间，服务人员必须穿戴洁净的工作衣帽、穿鞋，保持个人卫生清洁，配戴卫生口罩和一次性手套上岗。不得擅自使用提供给用餐人的物品。</w:t>
      </w:r>
    </w:p>
    <w:p w14:paraId="571181EA">
      <w:pPr>
        <w:spacing w:line="480" w:lineRule="exact"/>
        <w:ind w:firstLine="566" w:firstLineChars="236"/>
        <w:rPr>
          <w:rFonts w:ascii="Times New Roman" w:hAnsi="Times New Roman"/>
          <w:sz w:val="24"/>
          <w:szCs w:val="24"/>
          <w:highlight w:val="none"/>
        </w:rPr>
      </w:pPr>
      <w:r>
        <w:rPr>
          <w:rFonts w:ascii="Times New Roman" w:hAnsi="Times New Roman"/>
          <w:sz w:val="24"/>
          <w:szCs w:val="24"/>
          <w:highlight w:val="none"/>
        </w:rPr>
        <w:t>7</w:t>
      </w:r>
      <w:r>
        <w:rPr>
          <w:rFonts w:hint="eastAsia" w:ascii="Times New Roman" w:hAnsi="Times New Roman"/>
          <w:sz w:val="24"/>
          <w:szCs w:val="24"/>
          <w:highlight w:val="none"/>
        </w:rPr>
        <w:t>．投标供应商需</w:t>
      </w:r>
      <w:r>
        <w:rPr>
          <w:rFonts w:ascii="Times New Roman" w:hAnsi="Times New Roman"/>
          <w:sz w:val="24"/>
          <w:szCs w:val="24"/>
          <w:highlight w:val="none"/>
        </w:rPr>
        <w:t>购买食品安全</w:t>
      </w:r>
      <w:r>
        <w:rPr>
          <w:rFonts w:hint="eastAsia" w:ascii="Times New Roman" w:hAnsi="Times New Roman"/>
          <w:sz w:val="24"/>
          <w:szCs w:val="24"/>
          <w:highlight w:val="none"/>
        </w:rPr>
        <w:t>责任</w:t>
      </w:r>
      <w:r>
        <w:rPr>
          <w:rFonts w:ascii="Times New Roman" w:hAnsi="Times New Roman"/>
          <w:sz w:val="24"/>
          <w:szCs w:val="24"/>
          <w:highlight w:val="none"/>
        </w:rPr>
        <w:t>险。</w:t>
      </w:r>
      <w:r>
        <w:rPr>
          <w:rFonts w:hint="eastAsia" w:ascii="Times New Roman" w:hAnsi="Times New Roman"/>
          <w:sz w:val="24"/>
          <w:szCs w:val="24"/>
          <w:highlight w:val="none"/>
        </w:rPr>
        <w:t>配送的食物因质量问题引起食物中毒等事件，供应商应承担一切由此产生的法律责任和经济责任。</w:t>
      </w:r>
    </w:p>
    <w:p w14:paraId="7E54A2BB">
      <w:pPr>
        <w:spacing w:line="480" w:lineRule="exact"/>
        <w:ind w:firstLine="566" w:firstLineChars="236"/>
        <w:rPr>
          <w:rFonts w:ascii="Times New Roman" w:hAnsi="Times New Roman"/>
          <w:sz w:val="24"/>
          <w:szCs w:val="24"/>
          <w:highlight w:val="none"/>
        </w:rPr>
      </w:pPr>
      <w:r>
        <w:rPr>
          <w:rFonts w:ascii="Times New Roman" w:hAnsi="Times New Roman"/>
          <w:sz w:val="24"/>
          <w:szCs w:val="24"/>
          <w:highlight w:val="none"/>
        </w:rPr>
        <w:t>8</w:t>
      </w:r>
      <w:r>
        <w:rPr>
          <w:rFonts w:hint="eastAsia" w:ascii="Times New Roman" w:hAnsi="Times New Roman"/>
          <w:sz w:val="24"/>
          <w:szCs w:val="24"/>
          <w:highlight w:val="none"/>
        </w:rPr>
        <w:t>．送餐人员发生人身意外：在送餐期内，由供应商自行全权负责，及时为送餐人员投保意外险等，所有涉及的税费交纳均由供应商负责落实。</w:t>
      </w:r>
    </w:p>
    <w:p w14:paraId="110AA343">
      <w:pPr>
        <w:spacing w:line="480" w:lineRule="exact"/>
        <w:ind w:firstLine="566" w:firstLineChars="236"/>
        <w:rPr>
          <w:rFonts w:ascii="Times New Roman" w:hAnsi="Times New Roman"/>
          <w:sz w:val="24"/>
          <w:szCs w:val="24"/>
          <w:highlight w:val="none"/>
        </w:rPr>
      </w:pPr>
      <w:r>
        <w:rPr>
          <w:rFonts w:ascii="Times New Roman" w:hAnsi="Times New Roman"/>
          <w:sz w:val="24"/>
          <w:szCs w:val="24"/>
          <w:highlight w:val="none"/>
        </w:rPr>
        <w:t>9</w:t>
      </w:r>
      <w:r>
        <w:rPr>
          <w:rFonts w:hint="eastAsia" w:ascii="Times New Roman" w:hAnsi="Times New Roman"/>
          <w:sz w:val="24"/>
          <w:szCs w:val="24"/>
          <w:highlight w:val="none"/>
        </w:rPr>
        <w:t>．严格落实食品留样制度，学校提供场地供投标供应商存放食品留样保鲜柜，保鲜柜实行双人双锁，发包人和投标供应商各执不同钥匙。每次食品留样由学校随机从套餐中选取一份，将每样饭菜不少于125克存放于食品留样保鲜柜，留样时间不少于48小时。</w:t>
      </w:r>
    </w:p>
    <w:p w14:paraId="50810835">
      <w:pPr>
        <w:spacing w:line="480" w:lineRule="exact"/>
        <w:ind w:firstLine="566" w:firstLineChars="236"/>
        <w:rPr>
          <w:rFonts w:ascii="Times New Roman" w:hAnsi="Times New Roman"/>
          <w:sz w:val="24"/>
          <w:szCs w:val="24"/>
          <w:highlight w:val="yellow"/>
        </w:rPr>
      </w:pPr>
      <w:r>
        <w:rPr>
          <w:rFonts w:hint="eastAsia" w:ascii="Times New Roman" w:hAnsi="Times New Roman"/>
          <w:sz w:val="24"/>
          <w:szCs w:val="24"/>
          <w:highlight w:val="none"/>
        </w:rPr>
        <w:t>10.中标供应商需待学生就餐后，将就餐场</w:t>
      </w:r>
      <w:r>
        <w:rPr>
          <w:rFonts w:hint="eastAsia" w:ascii="Times New Roman" w:hAnsi="Times New Roman"/>
          <w:sz w:val="24"/>
          <w:szCs w:val="24"/>
          <w:highlight w:val="none"/>
          <w:lang w:val="en-US" w:eastAsia="zh-CN"/>
        </w:rPr>
        <w:t>地</w:t>
      </w:r>
      <w:r>
        <w:rPr>
          <w:rFonts w:hint="eastAsia" w:ascii="Times New Roman" w:hAnsi="Times New Roman"/>
          <w:sz w:val="24"/>
          <w:szCs w:val="24"/>
          <w:highlight w:val="none"/>
        </w:rPr>
        <w:t>打扫干净，并将厨余垃圾一并带离学校。</w:t>
      </w:r>
    </w:p>
    <w:p w14:paraId="55A3EEB0">
      <w:pPr>
        <w:spacing w:line="360" w:lineRule="auto"/>
        <w:ind w:firstLine="566" w:firstLineChars="236"/>
        <w:rPr>
          <w:color w:val="auto"/>
          <w:sz w:val="24"/>
          <w:szCs w:val="24"/>
        </w:rPr>
      </w:pPr>
      <w:r>
        <w:rPr>
          <w:rFonts w:hint="eastAsia" w:ascii="Times New Roman" w:hAnsi="Times New Roman"/>
          <w:color w:val="auto"/>
          <w:sz w:val="24"/>
          <w:szCs w:val="24"/>
        </w:rPr>
        <w:t>11.</w:t>
      </w:r>
      <w:r>
        <w:rPr>
          <w:rFonts w:hint="eastAsia" w:ascii="宋体" w:hAnsi="宋体"/>
          <w:color w:val="auto"/>
          <w:sz w:val="24"/>
          <w:szCs w:val="24"/>
        </w:rPr>
        <w:t>食堂财务管理</w:t>
      </w:r>
    </w:p>
    <w:p w14:paraId="0D08BD6B">
      <w:pPr>
        <w:spacing w:line="360" w:lineRule="auto"/>
        <w:ind w:firstLine="566" w:firstLineChars="236"/>
        <w:rPr>
          <w:color w:val="auto"/>
          <w:sz w:val="24"/>
          <w:szCs w:val="24"/>
        </w:rPr>
      </w:pPr>
      <w:r>
        <w:rPr>
          <w:rFonts w:hint="eastAsia" w:ascii="宋体" w:hAnsi="宋体"/>
          <w:color w:val="auto"/>
          <w:sz w:val="24"/>
          <w:szCs w:val="24"/>
        </w:rPr>
        <w:t>(1)中标人必须建立规范的财务管理制度，主动接受发包人的监督和检查。</w:t>
      </w:r>
    </w:p>
    <w:p w14:paraId="23575F6E">
      <w:pPr>
        <w:spacing w:line="360" w:lineRule="auto"/>
        <w:ind w:firstLine="566" w:firstLineChars="236"/>
        <w:rPr>
          <w:rFonts w:hint="eastAsia" w:ascii="宋体" w:hAnsi="宋体"/>
          <w:color w:val="auto"/>
          <w:sz w:val="24"/>
          <w:szCs w:val="24"/>
        </w:rPr>
      </w:pPr>
      <w:r>
        <w:rPr>
          <w:rFonts w:hint="eastAsia" w:ascii="宋体" w:hAnsi="宋体"/>
          <w:color w:val="auto"/>
          <w:sz w:val="24"/>
          <w:szCs w:val="24"/>
        </w:rPr>
        <w:t>(2)膳食经费由发包人管理。</w:t>
      </w:r>
    </w:p>
    <w:p w14:paraId="7DDDFE51">
      <w:pPr>
        <w:spacing w:line="360" w:lineRule="auto"/>
        <w:ind w:firstLine="566" w:firstLineChars="236"/>
        <w:rPr>
          <w:rFonts w:hint="eastAsia" w:ascii="宋体" w:hAnsi="宋体"/>
          <w:color w:val="auto"/>
          <w:sz w:val="24"/>
          <w:szCs w:val="24"/>
        </w:rPr>
      </w:pPr>
      <w:r>
        <w:rPr>
          <w:rFonts w:hint="eastAsia" w:ascii="宋体" w:hAnsi="宋体"/>
          <w:color w:val="auto"/>
          <w:sz w:val="24"/>
          <w:szCs w:val="24"/>
        </w:rPr>
        <w:t>(3)食堂财务账簿统一由</w:t>
      </w:r>
      <w:r>
        <w:rPr>
          <w:rFonts w:hint="eastAsia" w:ascii="宋体" w:hAnsi="宋体"/>
          <w:color w:val="auto"/>
          <w:sz w:val="24"/>
          <w:szCs w:val="24"/>
          <w:lang w:val="en-US" w:eastAsia="zh-CN"/>
        </w:rPr>
        <w:t>发包</w:t>
      </w:r>
      <w:r>
        <w:rPr>
          <w:rFonts w:hint="eastAsia" w:ascii="宋体" w:hAnsi="宋体"/>
          <w:color w:val="auto"/>
          <w:sz w:val="24"/>
          <w:szCs w:val="24"/>
        </w:rPr>
        <w:t>人存档。</w:t>
      </w:r>
    </w:p>
    <w:p w14:paraId="29EC5B68">
      <w:pPr>
        <w:spacing w:line="480" w:lineRule="exact"/>
        <w:ind w:firstLine="566" w:firstLineChars="236"/>
        <w:rPr>
          <w:rFonts w:ascii="Times New Roman" w:hAnsi="Times New Roman"/>
          <w:color w:val="auto"/>
          <w:sz w:val="24"/>
          <w:szCs w:val="24"/>
          <w:highlight w:val="red"/>
        </w:rPr>
      </w:pPr>
      <w:r>
        <w:rPr>
          <w:rFonts w:hint="eastAsia" w:ascii="Times New Roman" w:hAnsi="Times New Roman"/>
          <w:color w:val="auto"/>
          <w:sz w:val="24"/>
          <w:szCs w:val="24"/>
        </w:rPr>
        <w:t>12.发包人不得向中标人收取承包费、管理费、租赁费等费用。</w:t>
      </w:r>
    </w:p>
    <w:p w14:paraId="41AAFFBF">
      <w:pPr>
        <w:spacing w:line="480" w:lineRule="exact"/>
        <w:ind w:firstLine="569" w:firstLineChars="236"/>
        <w:rPr>
          <w:rFonts w:ascii="Times New Roman" w:hAnsi="Times New Roman"/>
          <w:b/>
          <w:bCs/>
          <w:color w:val="auto"/>
          <w:sz w:val="24"/>
          <w:szCs w:val="24"/>
        </w:rPr>
      </w:pPr>
      <w:r>
        <w:rPr>
          <w:rFonts w:hint="eastAsia" w:ascii="Times New Roman" w:hAnsi="Times New Roman"/>
          <w:b/>
          <w:bCs/>
          <w:color w:val="auto"/>
          <w:sz w:val="24"/>
          <w:szCs w:val="24"/>
        </w:rPr>
        <w:t>二、发包人监管事项</w:t>
      </w:r>
    </w:p>
    <w:p w14:paraId="32502939">
      <w:pPr>
        <w:spacing w:line="480" w:lineRule="exact"/>
        <w:ind w:firstLine="566" w:firstLineChars="236"/>
        <w:rPr>
          <w:rFonts w:hint="eastAsia" w:ascii="宋体" w:hAnsi="宋体"/>
          <w:color w:val="auto"/>
          <w:sz w:val="24"/>
          <w:szCs w:val="24"/>
        </w:rPr>
      </w:pPr>
      <w:r>
        <w:rPr>
          <w:rFonts w:hint="eastAsia" w:ascii="Times New Roman" w:hAnsi="Times New Roman"/>
          <w:color w:val="auto"/>
          <w:sz w:val="24"/>
        </w:rPr>
        <w:t>（1）主要内容：监管合同执行情况；履行考核职责；监督经营者是否存在分包、转包等现象；其它定期和不定期检查。</w:t>
      </w:r>
    </w:p>
    <w:p w14:paraId="40A6322A">
      <w:pPr>
        <w:spacing w:line="480" w:lineRule="exact"/>
        <w:ind w:firstLine="566" w:firstLineChars="236"/>
        <w:rPr>
          <w:rFonts w:hint="eastAsia" w:ascii="宋体" w:hAnsi="宋体"/>
          <w:color w:val="auto"/>
          <w:sz w:val="24"/>
          <w:szCs w:val="24"/>
        </w:rPr>
      </w:pPr>
      <w:r>
        <w:rPr>
          <w:rFonts w:hint="eastAsia" w:ascii="Times New Roman" w:hAnsi="Times New Roman"/>
          <w:color w:val="auto"/>
          <w:sz w:val="24"/>
        </w:rPr>
        <w:t>（2）发包人对中标人的服务质量进行监管和考核，中标人如果日常工作有不到位、不达标现象，发包人将依据合同约定和退出机制做出相应违约处理。</w:t>
      </w:r>
    </w:p>
    <w:p w14:paraId="4D75F7A5">
      <w:pPr>
        <w:spacing w:line="480" w:lineRule="exact"/>
        <w:ind w:firstLine="569" w:firstLineChars="236"/>
        <w:rPr>
          <w:rFonts w:hint="eastAsia" w:ascii="宋体" w:hAnsi="宋体"/>
          <w:color w:val="auto"/>
          <w:sz w:val="24"/>
          <w:szCs w:val="24"/>
        </w:rPr>
      </w:pPr>
      <w:r>
        <w:rPr>
          <w:rFonts w:hint="eastAsia" w:ascii="宋体" w:hAnsi="宋体"/>
          <w:b/>
          <w:bCs/>
          <w:color w:val="auto"/>
          <w:sz w:val="24"/>
          <w:szCs w:val="24"/>
        </w:rPr>
        <w:t>三、经营期限</w:t>
      </w:r>
      <w:r>
        <w:rPr>
          <w:rFonts w:hint="eastAsia" w:ascii="宋体" w:hAnsi="宋体"/>
          <w:color w:val="auto"/>
          <w:sz w:val="24"/>
          <w:szCs w:val="24"/>
        </w:rPr>
        <w:t>：</w:t>
      </w:r>
      <w:r>
        <w:rPr>
          <w:rFonts w:hint="eastAsia"/>
          <w:color w:val="auto"/>
          <w:sz w:val="24"/>
        </w:rPr>
        <w:t>服务期3年，采取1+1+1模式，合同1年1签，经学校考核合格报区教育局同意方可续签。</w:t>
      </w:r>
    </w:p>
    <w:p w14:paraId="049DE0FD">
      <w:pPr>
        <w:spacing w:line="480" w:lineRule="exact"/>
        <w:ind w:firstLine="569" w:firstLineChars="236"/>
        <w:rPr>
          <w:rFonts w:hint="eastAsia" w:ascii="宋体" w:hAnsi="宋体"/>
          <w:b/>
          <w:bCs/>
          <w:sz w:val="24"/>
          <w:szCs w:val="24"/>
        </w:rPr>
      </w:pPr>
      <w:r>
        <w:rPr>
          <w:rFonts w:hint="eastAsia" w:ascii="宋体" w:hAnsi="宋体"/>
          <w:b/>
          <w:bCs/>
          <w:sz w:val="24"/>
          <w:szCs w:val="24"/>
        </w:rPr>
        <w:t>四、其他</w:t>
      </w:r>
    </w:p>
    <w:p w14:paraId="50E45DD5">
      <w:pPr>
        <w:spacing w:line="480" w:lineRule="exact"/>
        <w:ind w:firstLine="566" w:firstLineChars="236"/>
        <w:rPr>
          <w:rFonts w:ascii="Times New Roman" w:hAnsi="Times New Roman"/>
          <w:sz w:val="24"/>
          <w:szCs w:val="21"/>
        </w:rPr>
      </w:pPr>
      <w:r>
        <w:rPr>
          <w:rFonts w:ascii="Times New Roman" w:hAnsi="Times New Roman"/>
          <w:sz w:val="24"/>
          <w:szCs w:val="21"/>
        </w:rPr>
        <w:t>1</w:t>
      </w:r>
      <w:r>
        <w:rPr>
          <w:rFonts w:hint="eastAsia" w:ascii="Times New Roman" w:hAnsi="Times New Roman"/>
          <w:sz w:val="24"/>
        </w:rPr>
        <w:t>.</w:t>
      </w:r>
      <w:r>
        <w:rPr>
          <w:rFonts w:hint="eastAsia" w:ascii="Times New Roman" w:hAnsi="Times New Roman"/>
          <w:sz w:val="24"/>
          <w:szCs w:val="21"/>
        </w:rPr>
        <w:t>投标供应商必须具备集体用餐配送单位资质，即由县区级（含县级市）及以上市场监督管理局颁发的食品经营许可证，主体业态为：餐饮服务经营者（集体用餐配送单位）。</w:t>
      </w:r>
    </w:p>
    <w:p w14:paraId="26D3641E">
      <w:pPr>
        <w:spacing w:line="480" w:lineRule="exact"/>
        <w:ind w:firstLine="566" w:firstLineChars="236"/>
        <w:rPr>
          <w:rFonts w:ascii="Times New Roman" w:hAnsi="Times New Roman"/>
          <w:sz w:val="24"/>
        </w:rPr>
      </w:pPr>
      <w:r>
        <w:rPr>
          <w:rFonts w:ascii="Times New Roman" w:hAnsi="Times New Roman"/>
          <w:sz w:val="24"/>
          <w:szCs w:val="21"/>
        </w:rPr>
        <w:t>2.</w:t>
      </w:r>
      <w:r>
        <w:rPr>
          <w:rFonts w:hint="eastAsia" w:ascii="Times New Roman" w:hAnsi="Times New Roman"/>
          <w:b/>
          <w:bCs/>
          <w:sz w:val="24"/>
          <w:szCs w:val="21"/>
        </w:rPr>
        <w:t>供应商须承诺在市区内有独立的</w:t>
      </w:r>
      <w:r>
        <w:rPr>
          <w:rFonts w:hint="eastAsia" w:ascii="Times New Roman" w:hAnsi="Times New Roman"/>
          <w:b/>
          <w:bCs/>
          <w:sz w:val="24"/>
          <w:szCs w:val="21"/>
          <w:highlight w:val="none"/>
        </w:rPr>
        <w:t>属下或租</w:t>
      </w:r>
      <w:r>
        <w:rPr>
          <w:rFonts w:hint="eastAsia" w:ascii="Times New Roman" w:hAnsi="Times New Roman"/>
          <w:b/>
          <w:bCs/>
          <w:sz w:val="24"/>
          <w:szCs w:val="21"/>
        </w:rPr>
        <w:t>赁的配</w:t>
      </w:r>
      <w:r>
        <w:rPr>
          <w:rFonts w:ascii="Times New Roman" w:hAnsi="Times New Roman"/>
          <w:b/>
          <w:bCs/>
          <w:sz w:val="24"/>
          <w:szCs w:val="21"/>
        </w:rPr>
        <w:t>餐中心</w:t>
      </w:r>
      <w:r>
        <w:rPr>
          <w:rFonts w:hint="eastAsia" w:ascii="Times New Roman" w:hAnsi="Times New Roman"/>
          <w:b/>
          <w:bCs/>
          <w:sz w:val="24"/>
          <w:szCs w:val="21"/>
        </w:rPr>
        <w:t>。配</w:t>
      </w:r>
      <w:r>
        <w:rPr>
          <w:rFonts w:ascii="Times New Roman" w:hAnsi="Times New Roman"/>
          <w:b/>
          <w:bCs/>
          <w:sz w:val="24"/>
          <w:szCs w:val="21"/>
        </w:rPr>
        <w:t>餐中心</w:t>
      </w:r>
      <w:r>
        <w:rPr>
          <w:rFonts w:hint="eastAsia" w:ascii="Times New Roman" w:hAnsi="Times New Roman"/>
          <w:b/>
          <w:bCs/>
          <w:sz w:val="24"/>
          <w:szCs w:val="21"/>
        </w:rPr>
        <w:t>若为租赁</w:t>
      </w:r>
      <w:r>
        <w:rPr>
          <w:rFonts w:hint="eastAsia" w:ascii="Times New Roman" w:hAnsi="Times New Roman"/>
          <w:b/>
          <w:bCs/>
          <w:sz w:val="24"/>
          <w:szCs w:val="24"/>
        </w:rPr>
        <w:t>，需提供租赁独立</w:t>
      </w:r>
      <w:r>
        <w:rPr>
          <w:rFonts w:ascii="Times New Roman" w:hAnsi="Times New Roman"/>
          <w:b/>
          <w:bCs/>
          <w:sz w:val="24"/>
          <w:szCs w:val="24"/>
        </w:rPr>
        <w:t>使用</w:t>
      </w:r>
      <w:r>
        <w:rPr>
          <w:rFonts w:hint="eastAsia" w:ascii="Times New Roman" w:hAnsi="Times New Roman"/>
          <w:b/>
          <w:bCs/>
          <w:sz w:val="24"/>
          <w:szCs w:val="24"/>
        </w:rPr>
        <w:t>承诺书和</w:t>
      </w:r>
      <w:r>
        <w:rPr>
          <w:rFonts w:ascii="Times New Roman" w:hAnsi="Times New Roman"/>
          <w:b/>
          <w:bCs/>
          <w:sz w:val="24"/>
          <w:szCs w:val="24"/>
        </w:rPr>
        <w:t>租赁合同</w:t>
      </w:r>
      <w:r>
        <w:rPr>
          <w:rFonts w:hint="eastAsia" w:ascii="Times New Roman" w:hAnsi="Times New Roman"/>
          <w:b/>
          <w:bCs/>
          <w:sz w:val="24"/>
          <w:szCs w:val="24"/>
        </w:rPr>
        <w:t>的原件扫描件。</w:t>
      </w:r>
      <w:r>
        <w:rPr>
          <w:rFonts w:hint="eastAsia" w:ascii="Times New Roman" w:hAnsi="Times New Roman"/>
          <w:b/>
          <w:bCs/>
          <w:sz w:val="24"/>
          <w:szCs w:val="21"/>
        </w:rPr>
        <w:t>（投标文件中提供承诺函等，格式自拟。）</w:t>
      </w:r>
    </w:p>
    <w:p w14:paraId="4A2126D8">
      <w:pPr>
        <w:spacing w:line="480" w:lineRule="exact"/>
        <w:ind w:firstLine="566" w:firstLineChars="236"/>
        <w:rPr>
          <w:rFonts w:hint="eastAsia" w:ascii="宋体" w:hAnsi="宋体"/>
          <w:sz w:val="24"/>
          <w:szCs w:val="24"/>
        </w:rPr>
      </w:pPr>
      <w:r>
        <w:rPr>
          <w:rFonts w:hint="eastAsia" w:ascii="Times New Roman" w:hAnsi="Times New Roman"/>
          <w:sz w:val="24"/>
        </w:rPr>
        <w:t>3.中标人为学校防食物中毒等安全责任人，对相应工作负有全部组织和管理责任。中标人必须自行做好安全、防盗、防火和食品卫生等工作，维护好消防设施，定期检查消防器材，如发生失窃、火灾、食物中毒等事故，造成的一切损失均由中标人自行承担。发现消防器材过期、失效等须及时更换。</w:t>
      </w:r>
    </w:p>
    <w:p w14:paraId="37DCDFAE">
      <w:pPr>
        <w:spacing w:line="480" w:lineRule="exact"/>
        <w:ind w:firstLine="566" w:firstLineChars="236"/>
        <w:rPr>
          <w:rFonts w:hint="eastAsia" w:ascii="宋体" w:hAnsi="宋体"/>
          <w:sz w:val="24"/>
          <w:szCs w:val="24"/>
        </w:rPr>
      </w:pPr>
      <w:r>
        <w:rPr>
          <w:rFonts w:ascii="Times New Roman" w:hAnsi="Times New Roman"/>
          <w:sz w:val="24"/>
        </w:rPr>
        <w:t>4.</w:t>
      </w:r>
      <w:r>
        <w:rPr>
          <w:rFonts w:hint="eastAsia" w:ascii="Times New Roman" w:hAnsi="Times New Roman"/>
          <w:sz w:val="24"/>
        </w:rPr>
        <w:t>严格执行《</w:t>
      </w:r>
      <w:r>
        <w:rPr>
          <w:rFonts w:hint="eastAsia" w:ascii="Times New Roman" w:hAnsi="Times New Roman"/>
          <w:sz w:val="24"/>
          <w:szCs w:val="24"/>
        </w:rPr>
        <w:t>中华人民共和国食品安全法</w:t>
      </w:r>
      <w:r>
        <w:rPr>
          <w:rFonts w:hint="eastAsia" w:ascii="Times New Roman" w:hAnsi="Times New Roman"/>
          <w:sz w:val="24"/>
        </w:rPr>
        <w:t>》，所有员工都要经过卫生防疫部门或定点医疗机构的体检、办理健康证才能上岗；按时到卫生防疫部门办理食堂卫生许可证的年检手续，接受卫生防疫部门的各类检查。</w:t>
      </w:r>
    </w:p>
    <w:p w14:paraId="7F77DB3D">
      <w:pPr>
        <w:spacing w:line="480" w:lineRule="exact"/>
        <w:ind w:firstLine="566" w:firstLineChars="236"/>
        <w:rPr>
          <w:rFonts w:ascii="Times New Roman" w:hAnsi="Times New Roman"/>
          <w:b/>
          <w:bCs/>
          <w:sz w:val="24"/>
        </w:rPr>
      </w:pPr>
      <w:r>
        <w:rPr>
          <w:rFonts w:ascii="宋体" w:hAnsi="宋体"/>
          <w:sz w:val="24"/>
          <w:szCs w:val="24"/>
        </w:rPr>
        <w:t>5.</w:t>
      </w:r>
      <w:r>
        <w:rPr>
          <w:rFonts w:hint="eastAsia" w:ascii="宋体" w:hAnsi="宋体"/>
          <w:sz w:val="24"/>
          <w:szCs w:val="24"/>
        </w:rPr>
        <w:t>中标人必须遵守食品原料采购制度，安排专人负责,大宗食品如米面油肉蛋奶、主要副食品等必须有各种索票索证制度；所购物料必须具备“三证”(卫生许可证、食品检验合格证、产地来源证)，按照发包人要求做好台账，建立档案，接受监督检查。</w:t>
      </w:r>
      <w:r>
        <w:rPr>
          <w:rFonts w:hint="eastAsia" w:ascii="Times New Roman" w:hAnsi="Times New Roman"/>
          <w:b/>
          <w:bCs/>
          <w:sz w:val="24"/>
        </w:rPr>
        <w:t>（采购食品原料需要查验供应商的营业执照、食品生产或经营许可证、产品合格证明等文件，采购畜禽肉类的，还需查验动物产品检疫检验合格证明，采购猪肉的，还应查验肉品品质检验合格证明。）</w:t>
      </w:r>
    </w:p>
    <w:p w14:paraId="65501FF3">
      <w:pPr>
        <w:pStyle w:val="13"/>
        <w:ind w:right="-21" w:firstLine="540"/>
        <w:rPr>
          <w:rFonts w:hint="eastAsia" w:ascii="宋体" w:hAnsi="宋体" w:eastAsia="宋体" w:cs="Times New Roman"/>
          <w:kern w:val="2"/>
          <w:szCs w:val="24"/>
        </w:rPr>
      </w:pPr>
      <w:r>
        <w:rPr>
          <w:rFonts w:ascii="宋体" w:hAnsi="宋体"/>
          <w:szCs w:val="24"/>
        </w:rPr>
        <w:t>6.</w:t>
      </w:r>
      <w:r>
        <w:rPr>
          <w:rFonts w:hint="eastAsia" w:ascii="宋体" w:hAnsi="宋体" w:eastAsia="宋体" w:cs="Times New Roman"/>
          <w:kern w:val="2"/>
          <w:szCs w:val="24"/>
        </w:rPr>
        <w:t>中标人对大宗食材供应商的确定。通过招标等方式确定大宗食材供应商，需定期在学校公示供货信息，接受监督，招标材料报教育局备案。</w:t>
      </w:r>
    </w:p>
    <w:p w14:paraId="4359428F">
      <w:pPr>
        <w:spacing w:line="500" w:lineRule="exact"/>
        <w:ind w:firstLine="566" w:firstLineChars="236"/>
        <w:rPr>
          <w:rFonts w:hint="eastAsia"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中标人必须接受发包人、政府相关职能部门的监督检查和管理，自觉接受对财务管理、食品采购、生产流程、卫生消毒、供应价格、服务规范等方面的全方位监管。异地公司中标后需在送餐前，办理好符合学校所在地政府相关职能部门的所有手续。由此造成的损失全部由中标人承担。</w:t>
      </w:r>
    </w:p>
    <w:p w14:paraId="09EAABEF">
      <w:pPr>
        <w:spacing w:line="500" w:lineRule="exact"/>
        <w:ind w:firstLine="566" w:firstLineChars="236"/>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中标人必须由该企业自营，不得转包。一经发现，视为违约，立即终止合同。由此造成的损失和责任由中标企业承担。</w:t>
      </w:r>
    </w:p>
    <w:p w14:paraId="1D03D87F">
      <w:pPr>
        <w:spacing w:line="480" w:lineRule="exact"/>
        <w:ind w:firstLine="566" w:firstLineChars="236"/>
        <w:rPr>
          <w:rFonts w:hint="eastAsia" w:ascii="宋体" w:hAnsi="宋体" w:cs="宋体"/>
          <w:sz w:val="24"/>
          <w:szCs w:val="24"/>
        </w:rPr>
      </w:pPr>
      <w:r>
        <w:rPr>
          <w:rFonts w:hint="eastAsia" w:ascii="宋体" w:hAnsi="宋体" w:cs="宋体"/>
          <w:sz w:val="24"/>
          <w:szCs w:val="24"/>
        </w:rPr>
        <w:t>9.日常管理要求</w:t>
      </w:r>
    </w:p>
    <w:p w14:paraId="3795533C">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①严格执行食品采购验收制度，食材正规渠道采购，索证索票并建立台账，杜绝使用过期、变质、不合格及来源不明的食材。</w:t>
      </w:r>
    </w:p>
    <w:p w14:paraId="76A6F4A1">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②规范食材储存，分类存放生熟食品，避免交叉污染，定期清理库存，确保食材新鲜。</w:t>
      </w:r>
    </w:p>
    <w:p w14:paraId="7E03C61C">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③严格遵守食品加工操作规程，生熟分开处理，烹饪过程彻底加热，餐具、厨具需按规定清洗消毒并做好记录。</w:t>
      </w:r>
    </w:p>
    <w:p w14:paraId="71D429AA">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④建立食品安全自查制度，定期排查安全隐患，配合招标人及相关部门的监督检查，若发生食品安全问题及时处理并承担责任。</w:t>
      </w:r>
    </w:p>
    <w:p w14:paraId="734F4495">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⑤丰富食谱多样性：拓展菜品的种类范围，涵盖谷物、蔬菜、水果、肉蛋、豆制品等多个类别，在保证营养搭配合理的基础上，引入更多适合幼儿或学生口味和消化的食材，如各类时令蔬菜、不同品种的鱼禽肉等。</w:t>
      </w:r>
    </w:p>
    <w:p w14:paraId="430702A3">
      <w:pPr>
        <w:pStyle w:val="13"/>
        <w:ind w:right="-21" w:firstLine="564" w:firstLineChars="235"/>
        <w:rPr>
          <w:rFonts w:hint="eastAsia" w:ascii="宋体" w:hAnsi="宋体" w:eastAsia="宋体" w:cs="Times New Roman"/>
          <w:kern w:val="2"/>
          <w:szCs w:val="24"/>
        </w:rPr>
      </w:pPr>
      <w:r>
        <w:rPr>
          <w:rFonts w:hint="eastAsia" w:eastAsia="宋体" w:cs="Times New Roman"/>
          <w:kern w:val="2"/>
          <w:szCs w:val="24"/>
        </w:rPr>
        <w:t>⑥</w:t>
      </w:r>
      <w:r>
        <w:rPr>
          <w:rFonts w:hint="eastAsia" w:ascii="宋体" w:hAnsi="宋体" w:eastAsia="宋体" w:cs="Times New Roman"/>
          <w:kern w:val="2"/>
          <w:szCs w:val="24"/>
        </w:rPr>
        <w:t>降低月内重复率：尽量控制同一菜品在一个月内的出现频次。可通过调整烹饪方式（如蒸、煮、炒等）和食材搭配，在保证营养的前提下，丰富多种多样的菜品组合。</w:t>
      </w:r>
    </w:p>
    <w:p w14:paraId="7EFD0073">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⑦食谱需包含谷物、蔬菜、水果、肉蛋、豆制品等各类营养素，做到荤素搭配、粗细结合。</w:t>
      </w:r>
    </w:p>
    <w:p w14:paraId="4B0748CB">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⑧菜品制作需符合幼儿或学生饮食习惯，少盐少糖少添加剂，避免辛辣、油炸等刺激性食物，食材切配大小适宜，便于食用。</w:t>
      </w:r>
    </w:p>
    <w:p w14:paraId="718067E3">
      <w:pPr>
        <w:pStyle w:val="13"/>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⑨每周提前向招标人提交食谱，经审核后公示，若需调整食谱需提前与招标人沟通并获同意。</w:t>
      </w:r>
    </w:p>
    <w:p w14:paraId="5BEC5463">
      <w:pPr>
        <w:spacing w:line="500" w:lineRule="exact"/>
        <w:ind w:firstLine="566" w:firstLineChars="236"/>
        <w:rPr>
          <w:rFonts w:hint="eastAsia" w:ascii="宋体" w:hAnsi="宋体"/>
          <w:sz w:val="24"/>
          <w:szCs w:val="24"/>
        </w:rPr>
      </w:pPr>
      <w:r>
        <w:rPr>
          <w:rFonts w:hint="eastAsia" w:ascii="宋体" w:hAnsi="宋体"/>
          <w:sz w:val="24"/>
          <w:szCs w:val="24"/>
        </w:rPr>
        <w:t>⑩保证餐食按时供应，数量充足，温度适宜，根据季节变化合理调整餐食温度（如冬季保温、夏季避免过凉）。尊重幼儿或学生饮食禁忌，针对幼儿园，有过敏史或特殊饮食需求的幼儿，需按幼儿园提供的信息进行针对性餐食安排。</w:t>
      </w:r>
    </w:p>
    <w:p w14:paraId="2E7D9667">
      <w:pPr>
        <w:spacing w:line="500" w:lineRule="exact"/>
        <w:ind w:firstLine="566" w:firstLineChars="236"/>
        <w:rPr>
          <w:rFonts w:hint="eastAsia" w:ascii="宋体" w:hAnsi="宋体"/>
          <w:sz w:val="24"/>
          <w:szCs w:val="24"/>
        </w:rPr>
      </w:pPr>
      <w:r>
        <w:rPr>
          <w:rFonts w:hint="eastAsia" w:ascii="宋体" w:hAnsi="宋体"/>
          <w:sz w:val="24"/>
          <w:szCs w:val="24"/>
        </w:rPr>
        <w:t>9.落实校园餐黑名单制度。学校每学期分期中</w:t>
      </w:r>
      <w:r>
        <w:rPr>
          <w:rFonts w:hint="eastAsia" w:ascii="宋体" w:hAnsi="宋体"/>
          <w:sz w:val="24"/>
          <w:szCs w:val="24"/>
          <w:lang w:eastAsia="zh-CN"/>
        </w:rPr>
        <w:t>、</w:t>
      </w:r>
      <w:r>
        <w:rPr>
          <w:rFonts w:hint="eastAsia" w:ascii="宋体" w:hAnsi="宋体"/>
          <w:sz w:val="24"/>
          <w:szCs w:val="24"/>
        </w:rPr>
        <w:t>期末两次对校园送餐企业进行问卷调查，每次调查问卷不少于就餐人数的50%，满意度低于80%记一次不良记录；</w:t>
      </w:r>
      <w:r>
        <w:rPr>
          <w:rFonts w:hint="eastAsia" w:ascii="宋体" w:hAnsi="宋体"/>
          <w:b/>
          <w:bCs/>
          <w:sz w:val="24"/>
          <w:szCs w:val="24"/>
        </w:rPr>
        <w:t>一年内出现两次不良记录，将列入金安区校园食堂经营黑名单。</w:t>
      </w:r>
      <w:r>
        <w:rPr>
          <w:rFonts w:hint="eastAsia" w:ascii="宋体" w:hAnsi="宋体"/>
          <w:sz w:val="24"/>
          <w:szCs w:val="24"/>
        </w:rPr>
        <w:t>对于进入黑名单的企业，按照退出机制进行处理，同时将限制其参与金安区教育系统的食堂投标活动。</w:t>
      </w:r>
    </w:p>
    <w:p w14:paraId="65533025">
      <w:pPr>
        <w:spacing w:line="360" w:lineRule="auto"/>
        <w:ind w:firstLine="566" w:firstLineChars="236"/>
        <w:rPr>
          <w:color w:val="auto"/>
          <w:szCs w:val="24"/>
        </w:rPr>
      </w:pPr>
      <w:r>
        <w:rPr>
          <w:rFonts w:hint="eastAsia" w:ascii="宋体" w:hAnsi="宋体"/>
          <w:color w:val="auto"/>
          <w:sz w:val="24"/>
          <w:szCs w:val="24"/>
        </w:rPr>
        <w:t>10.严格落实校外供餐企业评价和退出机制</w:t>
      </w:r>
    </w:p>
    <w:p w14:paraId="7AA6F9E6">
      <w:pPr>
        <w:spacing w:line="480" w:lineRule="exact"/>
        <w:ind w:firstLine="566" w:firstLineChars="236"/>
        <w:rPr>
          <w:rFonts w:hint="eastAsia" w:ascii="宋体" w:hAnsi="宋体"/>
          <w:color w:val="auto"/>
          <w:sz w:val="24"/>
          <w:szCs w:val="24"/>
        </w:rPr>
      </w:pPr>
      <w:r>
        <w:rPr>
          <w:rFonts w:hint="eastAsia" w:ascii="宋体" w:hAnsi="宋体"/>
          <w:color w:val="auto"/>
          <w:sz w:val="24"/>
          <w:szCs w:val="24"/>
        </w:rPr>
        <w:t>（1）学校要建立校外供餐企业评价和退出机制，每学期对校外供餐企业至少开展一次综合评价（或考核），对不符合质量和经营标准的，学校将启动退出机制。</w:t>
      </w:r>
    </w:p>
    <w:p w14:paraId="3FEB3298">
      <w:pPr>
        <w:pStyle w:val="13"/>
        <w:ind w:right="-21" w:firstLine="540"/>
        <w:rPr>
          <w:rFonts w:eastAsia="宋体" w:cs="Times New Roman"/>
          <w:kern w:val="2"/>
          <w:szCs w:val="24"/>
        </w:rPr>
      </w:pPr>
      <w:r>
        <w:rPr>
          <w:rFonts w:hint="eastAsia" w:eastAsia="宋体" w:cs="Times New Roman"/>
          <w:color w:val="auto"/>
          <w:kern w:val="2"/>
          <w:szCs w:val="24"/>
        </w:rPr>
        <w:t>（2）送餐企业存在以下违法违规行为的，由学校重新组织招标，在新的送餐企</w:t>
      </w:r>
      <w:r>
        <w:rPr>
          <w:rFonts w:hint="eastAsia" w:eastAsia="宋体" w:cs="Times New Roman"/>
          <w:kern w:val="2"/>
          <w:szCs w:val="24"/>
        </w:rPr>
        <w:t>业未进场之前，仍由原送餐企业负责师生供餐。待学校确定新的送餐企业后，立即取消原送餐企业供餐资格，并终止送餐行为。</w:t>
      </w:r>
    </w:p>
    <w:p w14:paraId="31C9E1E2">
      <w:pPr>
        <w:pStyle w:val="13"/>
        <w:ind w:right="-21" w:firstLine="540"/>
        <w:rPr>
          <w:rFonts w:eastAsia="宋体" w:cs="Times New Roman"/>
          <w:kern w:val="2"/>
          <w:szCs w:val="24"/>
        </w:rPr>
      </w:pPr>
      <w:r>
        <w:rPr>
          <w:rFonts w:hint="eastAsia" w:ascii="宋体" w:hAnsi="宋体" w:eastAsia="宋体" w:cs="Times New Roman"/>
          <w:kern w:val="2"/>
          <w:szCs w:val="24"/>
        </w:rPr>
        <w:t>①</w:t>
      </w:r>
      <w:r>
        <w:rPr>
          <w:rFonts w:hint="eastAsia" w:eastAsia="宋体" w:cs="Times New Roman"/>
          <w:kern w:val="2"/>
          <w:szCs w:val="24"/>
        </w:rPr>
        <w:t>以弄虚作假等欺诈手段获得准入资格，或经营情况发生变化不符合准入条件的；</w:t>
      </w:r>
    </w:p>
    <w:p w14:paraId="3EA95C02">
      <w:pPr>
        <w:pStyle w:val="13"/>
        <w:ind w:right="-21" w:firstLine="540"/>
        <w:rPr>
          <w:rFonts w:eastAsia="宋体" w:cs="Times New Roman"/>
          <w:kern w:val="2"/>
          <w:szCs w:val="24"/>
        </w:rPr>
      </w:pPr>
      <w:r>
        <w:rPr>
          <w:rFonts w:hint="eastAsia" w:ascii="宋体" w:hAnsi="宋体" w:eastAsia="宋体" w:cs="Times New Roman"/>
          <w:kern w:val="2"/>
          <w:szCs w:val="24"/>
        </w:rPr>
        <w:t>②</w:t>
      </w:r>
      <w:r>
        <w:rPr>
          <w:rFonts w:hint="eastAsia" w:eastAsia="宋体" w:cs="Times New Roman"/>
          <w:kern w:val="2"/>
          <w:szCs w:val="24"/>
        </w:rPr>
        <w:t>违反相关法律法规，被市场监管部门吊销食品经营许可证、营业执照的，或一年内受到市场监管部门2次以上行政处罚的;</w:t>
      </w:r>
    </w:p>
    <w:p w14:paraId="29F5752B">
      <w:pPr>
        <w:pStyle w:val="13"/>
        <w:ind w:right="-21" w:firstLine="540"/>
        <w:rPr>
          <w:rFonts w:eastAsia="宋体" w:cs="Times New Roman"/>
          <w:kern w:val="2"/>
          <w:szCs w:val="24"/>
        </w:rPr>
      </w:pPr>
      <w:r>
        <w:rPr>
          <w:rFonts w:hint="eastAsia" w:ascii="宋体" w:hAnsi="宋体" w:eastAsia="宋体" w:cs="Times New Roman"/>
          <w:kern w:val="2"/>
          <w:szCs w:val="24"/>
        </w:rPr>
        <w:t>③</w:t>
      </w:r>
      <w:r>
        <w:rPr>
          <w:rFonts w:hint="eastAsia" w:eastAsia="宋体" w:cs="Times New Roman"/>
          <w:kern w:val="2"/>
          <w:szCs w:val="24"/>
        </w:rPr>
        <w:t>准入后不具备送餐条件或不服从学校管理，师生满意度不高，屡次出现问题，整改不彻底的；</w:t>
      </w:r>
    </w:p>
    <w:p w14:paraId="57B6056D">
      <w:pPr>
        <w:pStyle w:val="13"/>
        <w:ind w:right="-21" w:firstLine="540"/>
        <w:rPr>
          <w:rFonts w:eastAsia="宋体" w:cs="Times New Roman"/>
          <w:kern w:val="2"/>
          <w:szCs w:val="24"/>
        </w:rPr>
      </w:pPr>
      <w:r>
        <w:rPr>
          <w:rFonts w:hint="eastAsia" w:ascii="宋体" w:hAnsi="宋体" w:eastAsia="宋体" w:cs="Times New Roman"/>
          <w:kern w:val="2"/>
          <w:szCs w:val="24"/>
        </w:rPr>
        <w:t>④</w:t>
      </w:r>
      <w:r>
        <w:rPr>
          <w:rFonts w:hint="eastAsia" w:eastAsia="宋体" w:cs="Times New Roman"/>
          <w:kern w:val="2"/>
          <w:szCs w:val="24"/>
        </w:rPr>
        <w:t>在合同期内经营期间发生食品安全事件造成后果的，存在食品安全问题且拒不整改或连续整改不到位的；</w:t>
      </w:r>
    </w:p>
    <w:p w14:paraId="4F7BF5FA">
      <w:pPr>
        <w:pStyle w:val="13"/>
        <w:ind w:right="-21" w:firstLine="540"/>
        <w:rPr>
          <w:rFonts w:eastAsia="宋体" w:cs="Times New Roman"/>
          <w:kern w:val="2"/>
          <w:szCs w:val="24"/>
        </w:rPr>
      </w:pPr>
      <w:r>
        <w:rPr>
          <w:rFonts w:hint="eastAsia" w:ascii="宋体" w:hAnsi="宋体" w:eastAsia="宋体" w:cs="Times New Roman"/>
          <w:kern w:val="2"/>
          <w:szCs w:val="24"/>
        </w:rPr>
        <w:t>⑤</w:t>
      </w:r>
      <w:r>
        <w:rPr>
          <w:rFonts w:hint="eastAsia" w:eastAsia="宋体" w:cs="Times New Roman"/>
          <w:kern w:val="2"/>
          <w:szCs w:val="24"/>
        </w:rPr>
        <w:t>存在加工销售法律法规禁止生产经营的食品、使用非食用物质、滥用食品添加剂、降低食品安全保障条件等食品安全问题的；</w:t>
      </w:r>
    </w:p>
    <w:p w14:paraId="43369479">
      <w:pPr>
        <w:pStyle w:val="13"/>
        <w:ind w:right="-21" w:firstLine="540"/>
        <w:rPr>
          <w:rFonts w:eastAsia="宋体" w:cs="Times New Roman"/>
          <w:kern w:val="2"/>
          <w:szCs w:val="24"/>
        </w:rPr>
      </w:pPr>
      <w:r>
        <w:rPr>
          <w:rFonts w:hint="eastAsia" w:eastAsia="宋体" w:cs="Times New Roman"/>
          <w:kern w:val="2"/>
          <w:szCs w:val="24"/>
        </w:rPr>
        <w:t>⑥转包、分包供餐业务等违约行为；</w:t>
      </w:r>
    </w:p>
    <w:p w14:paraId="67C81A4F">
      <w:pPr>
        <w:pStyle w:val="13"/>
        <w:ind w:right="-21" w:firstLine="540"/>
        <w:rPr>
          <w:rFonts w:eastAsia="宋体" w:cs="Times New Roman"/>
          <w:kern w:val="2"/>
          <w:szCs w:val="24"/>
        </w:rPr>
      </w:pPr>
      <w:r>
        <w:rPr>
          <w:rFonts w:hint="eastAsia" w:ascii="宋体" w:hAnsi="宋体" w:eastAsia="宋体" w:cs="Times New Roman"/>
          <w:kern w:val="2"/>
          <w:szCs w:val="24"/>
        </w:rPr>
        <w:t>⑦</w:t>
      </w:r>
      <w:r>
        <w:rPr>
          <w:rFonts w:hint="eastAsia" w:eastAsia="宋体" w:cs="Times New Roman"/>
          <w:kern w:val="2"/>
          <w:szCs w:val="24"/>
        </w:rPr>
        <w:t>拒不接受、配合相关职能部门监督管理的；</w:t>
      </w:r>
    </w:p>
    <w:p w14:paraId="29204A13">
      <w:pPr>
        <w:pStyle w:val="13"/>
        <w:ind w:right="-21" w:firstLine="540"/>
        <w:rPr>
          <w:rFonts w:eastAsia="宋体" w:cs="Times New Roman"/>
          <w:kern w:val="2"/>
          <w:szCs w:val="24"/>
        </w:rPr>
      </w:pPr>
      <w:r>
        <w:rPr>
          <w:rFonts w:hint="eastAsia" w:ascii="宋体" w:hAnsi="宋体" w:eastAsia="宋体" w:cs="Times New Roman"/>
          <w:kern w:val="2"/>
          <w:szCs w:val="24"/>
        </w:rPr>
        <w:t>⑧</w:t>
      </w:r>
      <w:r>
        <w:rPr>
          <w:rFonts w:hint="eastAsia" w:eastAsia="宋体" w:cs="Times New Roman"/>
          <w:kern w:val="2"/>
          <w:szCs w:val="24"/>
        </w:rPr>
        <w:t>在市场监管部门组织的食品安全监督抽检中，一年内出现2批次以上食品抽检不合格；</w:t>
      </w:r>
    </w:p>
    <w:p w14:paraId="56950E85">
      <w:pPr>
        <w:pStyle w:val="13"/>
        <w:ind w:right="-21" w:firstLine="540"/>
        <w:rPr>
          <w:rFonts w:eastAsia="宋体" w:cs="Times New Roman"/>
          <w:kern w:val="2"/>
          <w:szCs w:val="24"/>
        </w:rPr>
      </w:pPr>
      <w:r>
        <w:rPr>
          <w:rFonts w:hint="eastAsia" w:ascii="宋体" w:hAnsi="宋体" w:eastAsia="宋体" w:cs="Times New Roman"/>
          <w:kern w:val="2"/>
          <w:szCs w:val="24"/>
        </w:rPr>
        <w:t>⑨</w:t>
      </w:r>
      <w:r>
        <w:rPr>
          <w:rFonts w:hint="eastAsia" w:eastAsia="宋体" w:cs="Times New Roman"/>
          <w:kern w:val="2"/>
          <w:szCs w:val="24"/>
        </w:rPr>
        <w:t>评价结果为不合格的企业；</w:t>
      </w:r>
    </w:p>
    <w:p w14:paraId="3E255F76">
      <w:pPr>
        <w:pStyle w:val="13"/>
        <w:ind w:right="-21" w:firstLine="540"/>
        <w:rPr>
          <w:rFonts w:hint="eastAsia" w:ascii="宋体" w:hAnsi="宋体"/>
          <w:szCs w:val="24"/>
        </w:rPr>
      </w:pPr>
      <w:r>
        <w:rPr>
          <w:rFonts w:hint="eastAsia" w:ascii="宋体" w:hAnsi="宋体" w:eastAsia="宋体" w:cs="Times New Roman"/>
          <w:kern w:val="2"/>
          <w:szCs w:val="24"/>
        </w:rPr>
        <w:t>⑩</w:t>
      </w:r>
      <w:r>
        <w:rPr>
          <w:rFonts w:hint="eastAsia" w:eastAsia="宋体" w:cs="Times New Roman"/>
          <w:kern w:val="2"/>
          <w:szCs w:val="24"/>
        </w:rPr>
        <w:t>其他违反法律法规及有关规定的情形。</w:t>
      </w:r>
    </w:p>
    <w:p w14:paraId="29AD5995">
      <w:pPr>
        <w:spacing w:line="480" w:lineRule="exact"/>
        <w:ind w:firstLine="566" w:firstLineChars="236"/>
        <w:rPr>
          <w:rFonts w:hint="eastAsia" w:ascii="宋体" w:hAnsi="宋体"/>
          <w:color w:val="auto"/>
          <w:sz w:val="24"/>
          <w:szCs w:val="24"/>
        </w:rPr>
      </w:pPr>
      <w:r>
        <w:rPr>
          <w:rFonts w:hint="eastAsia" w:ascii="宋体" w:hAnsi="宋体"/>
          <w:color w:val="auto"/>
          <w:sz w:val="24"/>
          <w:szCs w:val="24"/>
        </w:rPr>
        <w:t>11、食堂经营承包企业承诺从利润中拿出部分资金，用于农村低保家庭、特困救助供养等家庭困难学生在校就餐伙食费补贴。</w:t>
      </w:r>
    </w:p>
    <w:p w14:paraId="460CCDA3">
      <w:pPr>
        <w:spacing w:line="480" w:lineRule="exact"/>
        <w:ind w:firstLine="566" w:firstLineChars="236"/>
        <w:rPr>
          <w:rFonts w:hint="eastAsia" w:ascii="宋体" w:hAnsi="宋体" w:cs="宋体"/>
          <w:sz w:val="24"/>
          <w:szCs w:val="24"/>
        </w:rPr>
      </w:pPr>
      <w:r>
        <w:rPr>
          <w:rFonts w:hint="eastAsia" w:ascii="宋体" w:hAnsi="宋体" w:cs="宋体"/>
          <w:sz w:val="24"/>
          <w:szCs w:val="24"/>
        </w:rPr>
        <w:t>12.</w:t>
      </w:r>
      <w:r>
        <w:rPr>
          <w:rFonts w:hint="eastAsia" w:ascii="宋体" w:hAnsi="宋体"/>
          <w:sz w:val="24"/>
          <w:szCs w:val="24"/>
        </w:rPr>
        <w:t>由于受国家政策、区域规划、办学形</w:t>
      </w:r>
      <w:r>
        <w:rPr>
          <w:rFonts w:hint="eastAsia" w:ascii="宋体" w:hAnsi="宋体" w:cs="宋体"/>
          <w:sz w:val="24"/>
          <w:szCs w:val="24"/>
        </w:rPr>
        <w:t>式多样化等因素，发包人对经营环境、就餐人数、经营时间、饭</w:t>
      </w:r>
      <w:r>
        <w:rPr>
          <w:rFonts w:ascii="宋体" w:hAnsi="宋体" w:cs="宋体"/>
          <w:sz w:val="24"/>
          <w:szCs w:val="24"/>
        </w:rPr>
        <w:t>菜价格</w:t>
      </w:r>
      <w:r>
        <w:rPr>
          <w:rFonts w:hint="eastAsia" w:ascii="宋体" w:hAnsi="宋体" w:cs="宋体"/>
          <w:sz w:val="24"/>
          <w:szCs w:val="24"/>
        </w:rPr>
        <w:t>、服务期限等不作任何承诺。其他未尽事宜，由发包人与中标人在合同约定。</w:t>
      </w:r>
    </w:p>
    <w:p w14:paraId="459399C8">
      <w:pPr>
        <w:spacing w:line="48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注：因各类型学校幼儿园就（配）餐人数和配就（配）标准要求不同，在发包时发包人可以根据实际情况对供应商类似业绩、配备人员及送餐车辆、配餐标准、管理要求等进行调整。</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AEEF8E-92AE-42F9-BABC-F3E0C29E41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C2871E8-8954-4E1C-B695-E1E28EBA20A1}"/>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19B4A49E-8E29-4F1D-90BC-C6B4D96563C6}"/>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4" w:fontKey="{4845DA38-0C5A-4E31-BFB1-067CC9BE72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E12F5"/>
    <w:multiLevelType w:val="singleLevel"/>
    <w:tmpl w:val="EB2E12F5"/>
    <w:lvl w:ilvl="0" w:tentative="0">
      <w:start w:val="2"/>
      <w:numFmt w:val="decimal"/>
      <w:suff w:val="nothing"/>
      <w:lvlText w:val="%1、"/>
      <w:lvlJc w:val="left"/>
    </w:lvl>
  </w:abstractNum>
  <w:abstractNum w:abstractNumId="1">
    <w:nsid w:val="1852F60B"/>
    <w:multiLevelType w:val="singleLevel"/>
    <w:tmpl w:val="1852F60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59"/>
    <w:rsid w:val="0001625E"/>
    <w:rsid w:val="000B501C"/>
    <w:rsid w:val="000E0A61"/>
    <w:rsid w:val="001A6533"/>
    <w:rsid w:val="001D18E1"/>
    <w:rsid w:val="0022161F"/>
    <w:rsid w:val="002B161B"/>
    <w:rsid w:val="00301459"/>
    <w:rsid w:val="00357D44"/>
    <w:rsid w:val="003B18CF"/>
    <w:rsid w:val="003D5204"/>
    <w:rsid w:val="00482DB2"/>
    <w:rsid w:val="004910F4"/>
    <w:rsid w:val="004D674A"/>
    <w:rsid w:val="00521C0D"/>
    <w:rsid w:val="00524DA7"/>
    <w:rsid w:val="005961E0"/>
    <w:rsid w:val="005A2D20"/>
    <w:rsid w:val="005F77E7"/>
    <w:rsid w:val="0062446E"/>
    <w:rsid w:val="00633872"/>
    <w:rsid w:val="00664EB4"/>
    <w:rsid w:val="006779B6"/>
    <w:rsid w:val="006B79CE"/>
    <w:rsid w:val="00714538"/>
    <w:rsid w:val="00733E26"/>
    <w:rsid w:val="00734B5F"/>
    <w:rsid w:val="007462ED"/>
    <w:rsid w:val="007E3C9E"/>
    <w:rsid w:val="008758AF"/>
    <w:rsid w:val="008A280E"/>
    <w:rsid w:val="008D27E0"/>
    <w:rsid w:val="008F09CE"/>
    <w:rsid w:val="0096042F"/>
    <w:rsid w:val="009850B4"/>
    <w:rsid w:val="009C0007"/>
    <w:rsid w:val="009F5FCF"/>
    <w:rsid w:val="00A156C0"/>
    <w:rsid w:val="00A86803"/>
    <w:rsid w:val="00AA378F"/>
    <w:rsid w:val="00AE52A0"/>
    <w:rsid w:val="00B1526B"/>
    <w:rsid w:val="00B16F61"/>
    <w:rsid w:val="00B17E2F"/>
    <w:rsid w:val="00B428DB"/>
    <w:rsid w:val="00BE54EA"/>
    <w:rsid w:val="00BE76F0"/>
    <w:rsid w:val="00BF1A1E"/>
    <w:rsid w:val="00C219A9"/>
    <w:rsid w:val="00C4299C"/>
    <w:rsid w:val="00C83CC6"/>
    <w:rsid w:val="00D451D0"/>
    <w:rsid w:val="00DB5098"/>
    <w:rsid w:val="00F01768"/>
    <w:rsid w:val="00FF1602"/>
    <w:rsid w:val="01A00C4B"/>
    <w:rsid w:val="035F6338"/>
    <w:rsid w:val="03DA4C67"/>
    <w:rsid w:val="04567292"/>
    <w:rsid w:val="04B21366"/>
    <w:rsid w:val="052D6C51"/>
    <w:rsid w:val="0560706F"/>
    <w:rsid w:val="064A3188"/>
    <w:rsid w:val="07070EA5"/>
    <w:rsid w:val="07683DDD"/>
    <w:rsid w:val="07972AF0"/>
    <w:rsid w:val="08766BA9"/>
    <w:rsid w:val="08DA2C94"/>
    <w:rsid w:val="08F301FA"/>
    <w:rsid w:val="08FC781B"/>
    <w:rsid w:val="09F61AD0"/>
    <w:rsid w:val="0B0A4B64"/>
    <w:rsid w:val="0B15391A"/>
    <w:rsid w:val="0C3703FE"/>
    <w:rsid w:val="0E4C63CB"/>
    <w:rsid w:val="106575C3"/>
    <w:rsid w:val="10E751CB"/>
    <w:rsid w:val="120E7E53"/>
    <w:rsid w:val="134358DA"/>
    <w:rsid w:val="15175F34"/>
    <w:rsid w:val="15457E76"/>
    <w:rsid w:val="15510782"/>
    <w:rsid w:val="15915022"/>
    <w:rsid w:val="175E5F1E"/>
    <w:rsid w:val="176127D3"/>
    <w:rsid w:val="192D6E10"/>
    <w:rsid w:val="196A3BC0"/>
    <w:rsid w:val="19F65437"/>
    <w:rsid w:val="1A3B778C"/>
    <w:rsid w:val="1A4C125C"/>
    <w:rsid w:val="1A700CC5"/>
    <w:rsid w:val="1AD23364"/>
    <w:rsid w:val="1C654B13"/>
    <w:rsid w:val="1D3C5874"/>
    <w:rsid w:val="1D501C9D"/>
    <w:rsid w:val="1E1E141D"/>
    <w:rsid w:val="1E403142"/>
    <w:rsid w:val="1E8F40C9"/>
    <w:rsid w:val="1EB61656"/>
    <w:rsid w:val="1EFA59E6"/>
    <w:rsid w:val="1F250058"/>
    <w:rsid w:val="20B90CD6"/>
    <w:rsid w:val="21B378FE"/>
    <w:rsid w:val="21BC38A4"/>
    <w:rsid w:val="22415187"/>
    <w:rsid w:val="226C110E"/>
    <w:rsid w:val="22AC6FF8"/>
    <w:rsid w:val="22F866E1"/>
    <w:rsid w:val="276703C3"/>
    <w:rsid w:val="278247CB"/>
    <w:rsid w:val="27B85D13"/>
    <w:rsid w:val="2A5F01E9"/>
    <w:rsid w:val="2B20072F"/>
    <w:rsid w:val="2D9E60D7"/>
    <w:rsid w:val="2E195C95"/>
    <w:rsid w:val="2F032695"/>
    <w:rsid w:val="2F2B450C"/>
    <w:rsid w:val="2F321DB9"/>
    <w:rsid w:val="2F432A92"/>
    <w:rsid w:val="2F972DDE"/>
    <w:rsid w:val="30000983"/>
    <w:rsid w:val="309F02FE"/>
    <w:rsid w:val="30A8059A"/>
    <w:rsid w:val="338B0149"/>
    <w:rsid w:val="33B717D2"/>
    <w:rsid w:val="34684D49"/>
    <w:rsid w:val="346D2E99"/>
    <w:rsid w:val="34F12F90"/>
    <w:rsid w:val="35C12B12"/>
    <w:rsid w:val="36392E40"/>
    <w:rsid w:val="36C71C60"/>
    <w:rsid w:val="36F45184"/>
    <w:rsid w:val="375A306E"/>
    <w:rsid w:val="38C420A7"/>
    <w:rsid w:val="39A1345D"/>
    <w:rsid w:val="3BB70A8F"/>
    <w:rsid w:val="3CAD59EE"/>
    <w:rsid w:val="3CFD6976"/>
    <w:rsid w:val="3F204B9E"/>
    <w:rsid w:val="3F945C8B"/>
    <w:rsid w:val="40185875"/>
    <w:rsid w:val="4070745F"/>
    <w:rsid w:val="40F41E3E"/>
    <w:rsid w:val="4162324B"/>
    <w:rsid w:val="454809AA"/>
    <w:rsid w:val="45CA13BF"/>
    <w:rsid w:val="46F019CE"/>
    <w:rsid w:val="474927B8"/>
    <w:rsid w:val="481B05F8"/>
    <w:rsid w:val="4B5C51AF"/>
    <w:rsid w:val="4C9269AF"/>
    <w:rsid w:val="4D3637DE"/>
    <w:rsid w:val="50504BB7"/>
    <w:rsid w:val="550146D2"/>
    <w:rsid w:val="56892BD1"/>
    <w:rsid w:val="56BD756C"/>
    <w:rsid w:val="572648C3"/>
    <w:rsid w:val="575B631B"/>
    <w:rsid w:val="58D17B32"/>
    <w:rsid w:val="5B1A029B"/>
    <w:rsid w:val="5B8F0C89"/>
    <w:rsid w:val="5BF154A0"/>
    <w:rsid w:val="5C386667"/>
    <w:rsid w:val="5C841E77"/>
    <w:rsid w:val="5CF12AA1"/>
    <w:rsid w:val="5D142F08"/>
    <w:rsid w:val="5D7C348F"/>
    <w:rsid w:val="5DB03139"/>
    <w:rsid w:val="5F610B8F"/>
    <w:rsid w:val="60820DBC"/>
    <w:rsid w:val="608E59B3"/>
    <w:rsid w:val="61354081"/>
    <w:rsid w:val="615252BF"/>
    <w:rsid w:val="6293001C"/>
    <w:rsid w:val="63604CB9"/>
    <w:rsid w:val="63B34FF9"/>
    <w:rsid w:val="644B50A3"/>
    <w:rsid w:val="69A52001"/>
    <w:rsid w:val="69EE1271"/>
    <w:rsid w:val="6B495361"/>
    <w:rsid w:val="6C3118E9"/>
    <w:rsid w:val="6C9E1130"/>
    <w:rsid w:val="6CFB281E"/>
    <w:rsid w:val="6DEC7532"/>
    <w:rsid w:val="6EB8009F"/>
    <w:rsid w:val="705D2CAC"/>
    <w:rsid w:val="714F52AF"/>
    <w:rsid w:val="71FB277D"/>
    <w:rsid w:val="73C3551C"/>
    <w:rsid w:val="76CC46E8"/>
    <w:rsid w:val="76F6623C"/>
    <w:rsid w:val="76FF7B6B"/>
    <w:rsid w:val="77787398"/>
    <w:rsid w:val="77813D88"/>
    <w:rsid w:val="77E85551"/>
    <w:rsid w:val="79420C91"/>
    <w:rsid w:val="797B41A3"/>
    <w:rsid w:val="7A3423C3"/>
    <w:rsid w:val="7B072192"/>
    <w:rsid w:val="7B672C31"/>
    <w:rsid w:val="7CE02C9B"/>
    <w:rsid w:val="7D133070"/>
    <w:rsid w:val="7E5A6DFA"/>
    <w:rsid w:val="7FE0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20"/>
    <w:semiHidden/>
    <w:unhideWhenUsed/>
    <w:qFormat/>
    <w:uiPriority w:val="99"/>
    <w:pPr>
      <w:spacing w:after="120"/>
    </w:p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Body Text Indent"/>
    <w:basedOn w:val="1"/>
    <w:next w:val="7"/>
    <w:link w:val="23"/>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alloon Text"/>
    <w:basedOn w:val="1"/>
    <w:link w:val="26"/>
    <w:semiHidden/>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Body Text First Indent"/>
    <w:basedOn w:val="4"/>
    <w:next w:val="14"/>
    <w:link w:val="21"/>
    <w:qFormat/>
    <w:uiPriority w:val="0"/>
    <w:pPr>
      <w:autoSpaceDE w:val="0"/>
      <w:autoSpaceDN w:val="0"/>
      <w:adjustRightInd w:val="0"/>
      <w:spacing w:after="0" w:line="360" w:lineRule="auto"/>
      <w:ind w:right="-24" w:rightChars="-10" w:firstLine="425" w:firstLineChars="225"/>
    </w:pPr>
    <w:rPr>
      <w:rFonts w:ascii="Arial" w:hAnsi="Arial" w:eastAsia="仿宋_GB2312" w:cs="Arial"/>
      <w:kern w:val="0"/>
      <w:sz w:val="24"/>
      <w:szCs w:val="32"/>
    </w:rPr>
  </w:style>
  <w:style w:type="paragraph" w:styleId="14">
    <w:name w:val="Body Text First Indent 2"/>
    <w:basedOn w:val="6"/>
    <w:next w:val="15"/>
    <w:unhideWhenUsed/>
    <w:qFormat/>
    <w:uiPriority w:val="99"/>
    <w:pPr>
      <w:ind w:firstLine="420" w:firstLineChars="200"/>
    </w:pPr>
  </w:style>
  <w:style w:type="paragraph" w:customStyle="1" w:styleId="15">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character" w:styleId="18">
    <w:name w:val="Hyperlink"/>
    <w:qFormat/>
    <w:uiPriority w:val="99"/>
    <w:rPr>
      <w:color w:val="0000FF"/>
      <w:u w:val="single"/>
    </w:rPr>
  </w:style>
  <w:style w:type="character" w:customStyle="1" w:styleId="19">
    <w:name w:val="标题 2 字符"/>
    <w:basedOn w:val="17"/>
    <w:semiHidden/>
    <w:qFormat/>
    <w:uiPriority w:val="9"/>
    <w:rPr>
      <w:rFonts w:asciiTheme="majorHAnsi" w:hAnsiTheme="majorHAnsi" w:eastAsiaTheme="majorEastAsia" w:cstheme="majorBidi"/>
      <w:b/>
      <w:bCs/>
      <w:sz w:val="32"/>
      <w:szCs w:val="32"/>
    </w:rPr>
  </w:style>
  <w:style w:type="character" w:customStyle="1" w:styleId="20">
    <w:name w:val="正文文本 字符"/>
    <w:basedOn w:val="17"/>
    <w:link w:val="4"/>
    <w:semiHidden/>
    <w:qFormat/>
    <w:uiPriority w:val="99"/>
    <w:rPr>
      <w:rFonts w:ascii="Calibri" w:hAnsi="Calibri" w:eastAsia="宋体" w:cs="Times New Roman"/>
      <w:szCs w:val="20"/>
    </w:rPr>
  </w:style>
  <w:style w:type="character" w:customStyle="1" w:styleId="21">
    <w:name w:val="正文文本首行缩进 字符"/>
    <w:basedOn w:val="20"/>
    <w:link w:val="13"/>
    <w:qFormat/>
    <w:uiPriority w:val="0"/>
    <w:rPr>
      <w:rFonts w:ascii="Arial" w:hAnsi="Arial" w:eastAsia="仿宋_GB2312" w:cs="Arial"/>
      <w:kern w:val="0"/>
      <w:sz w:val="24"/>
      <w:szCs w:val="32"/>
    </w:rPr>
  </w:style>
  <w:style w:type="character" w:customStyle="1" w:styleId="22">
    <w:name w:val="标题 2 字符1"/>
    <w:link w:val="3"/>
    <w:qFormat/>
    <w:uiPriority w:val="0"/>
    <w:rPr>
      <w:rFonts w:ascii="Arial" w:hAnsi="Arial" w:eastAsia="黑体" w:cs="Times New Roman"/>
      <w:b/>
      <w:bCs/>
      <w:sz w:val="32"/>
      <w:szCs w:val="32"/>
    </w:rPr>
  </w:style>
  <w:style w:type="character" w:customStyle="1" w:styleId="23">
    <w:name w:val="正文文本缩进 字符"/>
    <w:basedOn w:val="17"/>
    <w:link w:val="6"/>
    <w:qFormat/>
    <w:uiPriority w:val="99"/>
    <w:rPr>
      <w:rFonts w:ascii="Calibri" w:hAnsi="Calibri" w:eastAsia="宋体" w:cs="Times New Roman"/>
      <w:szCs w:val="20"/>
    </w:rPr>
  </w:style>
  <w:style w:type="character" w:customStyle="1" w:styleId="24">
    <w:name w:val="标题 1 Char1"/>
    <w:basedOn w:val="17"/>
    <w:qFormat/>
    <w:uiPriority w:val="9"/>
    <w:rPr>
      <w:rFonts w:ascii="Calibri" w:hAnsi="Calibri" w:eastAsia="宋体" w:cs="Times New Roman"/>
      <w:b/>
      <w:bCs/>
      <w:kern w:val="44"/>
      <w:sz w:val="44"/>
      <w:szCs w:val="44"/>
    </w:rPr>
  </w:style>
  <w:style w:type="character" w:customStyle="1" w:styleId="25">
    <w:name w:val="标题 1 Char"/>
    <w:qFormat/>
    <w:uiPriority w:val="0"/>
    <w:rPr>
      <w:b/>
      <w:bCs/>
      <w:kern w:val="44"/>
      <w:sz w:val="30"/>
      <w:szCs w:val="44"/>
    </w:rPr>
  </w:style>
  <w:style w:type="character" w:customStyle="1" w:styleId="26">
    <w:name w:val="批注框文本 字符"/>
    <w:basedOn w:val="17"/>
    <w:link w:val="8"/>
    <w:semiHidden/>
    <w:qFormat/>
    <w:uiPriority w:val="99"/>
    <w:rPr>
      <w:rFonts w:ascii="Calibri" w:hAnsi="Calibri" w:eastAsia="宋体" w:cs="Times New Roman"/>
      <w:sz w:val="18"/>
      <w:szCs w:val="18"/>
    </w:rPr>
  </w:style>
  <w:style w:type="character" w:customStyle="1" w:styleId="27">
    <w:name w:val="页眉 字符"/>
    <w:basedOn w:val="17"/>
    <w:link w:val="10"/>
    <w:qFormat/>
    <w:uiPriority w:val="99"/>
    <w:rPr>
      <w:rFonts w:ascii="Calibri" w:hAnsi="Calibri" w:eastAsia="宋体" w:cs="Times New Roman"/>
      <w:sz w:val="18"/>
      <w:szCs w:val="18"/>
    </w:rPr>
  </w:style>
  <w:style w:type="character" w:customStyle="1" w:styleId="28">
    <w:name w:val="页脚 字符"/>
    <w:basedOn w:val="17"/>
    <w:link w:val="9"/>
    <w:qFormat/>
    <w:uiPriority w:val="99"/>
    <w:rPr>
      <w:rFonts w:ascii="Calibri" w:hAnsi="Calibri" w:eastAsia="宋体" w:cs="Times New Roman"/>
      <w:sz w:val="18"/>
      <w:szCs w:val="18"/>
    </w:rPr>
  </w:style>
  <w:style w:type="paragraph" w:customStyle="1" w:styleId="29">
    <w:name w:val="paragraphindent"/>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30">
    <w:name w:val="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
    <w:name w:val="p"/>
    <w:basedOn w:val="1"/>
    <w:qFormat/>
    <w:uiPriority w:val="0"/>
    <w:pPr>
      <w:widowControl/>
      <w:spacing w:before="100" w:beforeAutospacing="1" w:after="100" w:afterAutospacing="1"/>
      <w:jc w:val="left"/>
    </w:pPr>
    <w:rPr>
      <w:kern w:val="0"/>
      <w:sz w:val="24"/>
    </w:rPr>
  </w:style>
  <w:style w:type="character" w:customStyle="1" w:styleId="32">
    <w:name w:val="标题 1 字符"/>
    <w:link w:val="2"/>
    <w:qFormat/>
    <w:uiPriority w:val="0"/>
    <w:rPr>
      <w:b/>
      <w:bCs/>
      <w:kern w:val="44"/>
      <w:sz w:val="30"/>
      <w:szCs w:val="44"/>
    </w:rPr>
  </w:style>
  <w:style w:type="paragraph" w:customStyle="1" w:styleId="33">
    <w:name w:val="D&amp;L"/>
    <w:basedOn w:val="10"/>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34">
    <w:name w:val="样式 样式 左侧:  2 字符 + 左侧:  0.85 厘米 首行缩进:  2 字符1"/>
    <w:basedOn w:val="1"/>
    <w:qFormat/>
    <w:uiPriority w:val="99"/>
    <w:pPr>
      <w:ind w:left="482"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20</Pages>
  <Words>14095</Words>
  <Characters>14380</Characters>
  <Lines>451</Lines>
  <Paragraphs>454</Paragraphs>
  <TotalTime>45</TotalTime>
  <ScaleCrop>false</ScaleCrop>
  <LinksUpToDate>false</LinksUpToDate>
  <CharactersWithSpaces>14437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2023-06-06T09:55:00Z</dcterms:created>
  <dc:creator>尹思林</dc:creator>
  <cp:lastModifiedBy>℡可乐雪碧</cp:lastModifiedBy>
  <cp:lastPrinted>2026-06-03T08:46:57Z</cp:lastPrinted>
  <dcterms:modified xsi:type="dcterms:W3CDTF">2026-06-03T09:34:08Z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eyJoZGlkIjoiZDI4NGU0OGMzNDQ5ZGY0YzNiMTUyNzAxYmNjNDJhNGUiLCJ1c2VySWQiOiI1NjU5NzEwMzQifQ==</vt:lpwstr>
  </property>
  <property fmtid="{D5CDD505-2E9C-101B-9397-08002B2CF9AE}" pid="4" name="ICV">
    <vt:lpwstr>5642BD719EC94480AB651381F5D8B016_13</vt:lpwstr>
  </property>
</Properties>
</file>