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161"/>
        <w:gridCol w:w="5440"/>
        <w:gridCol w:w="991"/>
      </w:tblGrid>
      <w:tr w14:paraId="36B5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5" w:hRule="atLeast"/>
          <w:jc w:val="center"/>
        </w:trPr>
        <w:tc>
          <w:tcPr>
            <w:tcW w:w="998" w:type="dxa"/>
            <w:noWrap w:val="0"/>
            <w:vAlign w:val="center"/>
          </w:tcPr>
          <w:p w14:paraId="2F537013">
            <w:pPr>
              <w:pageBreakBefore w:val="0"/>
              <w:kinsoku/>
              <w:wordWrap/>
              <w:overflowPunct/>
              <w:topLinePunct w:val="0"/>
              <w:bidi w:val="0"/>
              <w:spacing w:line="288" w:lineRule="auto"/>
              <w:ind w:left="0" w:right="0" w:right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类别</w:t>
            </w:r>
          </w:p>
        </w:tc>
        <w:tc>
          <w:tcPr>
            <w:tcW w:w="1228" w:type="dxa"/>
            <w:noWrap w:val="0"/>
            <w:vAlign w:val="center"/>
          </w:tcPr>
          <w:p w14:paraId="0F1CF2AC">
            <w:pPr>
              <w:pageBreakBefore w:val="0"/>
              <w:kinsoku/>
              <w:wordWrap/>
              <w:overflowPunct/>
              <w:topLinePunct w:val="0"/>
              <w:bidi w:val="0"/>
              <w:spacing w:line="288" w:lineRule="auto"/>
              <w:ind w:left="0" w:right="0" w:right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评分内容</w:t>
            </w:r>
          </w:p>
        </w:tc>
        <w:tc>
          <w:tcPr>
            <w:tcW w:w="5759" w:type="dxa"/>
            <w:noWrap w:val="0"/>
            <w:vAlign w:val="center"/>
          </w:tcPr>
          <w:p w14:paraId="0FEE135B">
            <w:pPr>
              <w:pageBreakBefore w:val="0"/>
              <w:kinsoku/>
              <w:wordWrap/>
              <w:overflowPunct/>
              <w:topLinePunct w:val="0"/>
              <w:bidi w:val="0"/>
              <w:spacing w:line="288" w:lineRule="auto"/>
              <w:ind w:left="0" w:right="0" w:right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评分标准</w:t>
            </w:r>
          </w:p>
        </w:tc>
        <w:tc>
          <w:tcPr>
            <w:tcW w:w="1033" w:type="dxa"/>
            <w:noWrap w:val="0"/>
            <w:vAlign w:val="center"/>
          </w:tcPr>
          <w:p w14:paraId="3ECCCD3D">
            <w:pPr>
              <w:pageBreakBefore w:val="0"/>
              <w:kinsoku/>
              <w:wordWrap/>
              <w:overflowPunct/>
              <w:topLinePunct w:val="0"/>
              <w:bidi w:val="0"/>
              <w:spacing w:line="288" w:lineRule="auto"/>
              <w:ind w:left="0" w:right="0" w:right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分值</w:t>
            </w:r>
          </w:p>
          <w:p w14:paraId="6D14F73F">
            <w:pPr>
              <w:pageBreakBefore w:val="0"/>
              <w:kinsoku/>
              <w:wordWrap/>
              <w:overflowPunct/>
              <w:topLinePunct w:val="0"/>
              <w:bidi w:val="0"/>
              <w:spacing w:line="288" w:lineRule="auto"/>
              <w:ind w:left="0" w:right="0" w:right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范围</w:t>
            </w:r>
          </w:p>
        </w:tc>
      </w:tr>
      <w:tr w14:paraId="3A89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9" w:hRule="atLeast"/>
          <w:tblHeader/>
          <w:jc w:val="center"/>
        </w:trPr>
        <w:tc>
          <w:tcPr>
            <w:tcW w:w="998" w:type="dxa"/>
            <w:vMerge w:val="restart"/>
            <w:noWrap w:val="0"/>
            <w:vAlign w:val="center"/>
          </w:tcPr>
          <w:p w14:paraId="29100C6F">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w:t>
            </w:r>
          </w:p>
          <w:p w14:paraId="06CD4E3B">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术</w:t>
            </w:r>
          </w:p>
          <w:p w14:paraId="6986564E">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资</w:t>
            </w:r>
          </w:p>
          <w:p w14:paraId="44E4588A">
            <w:pPr>
              <w:pageBreakBefore w:val="0"/>
              <w:kinsoku/>
              <w:wordWrap/>
              <w:overflowPunct/>
              <w:topLinePunct w:val="0"/>
              <w:bidi w:val="0"/>
              <w:spacing w:line="288" w:lineRule="auto"/>
              <w:ind w:left="0" w:right="0" w:rightChars="0"/>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信</w:t>
            </w:r>
          </w:p>
          <w:p w14:paraId="3D4AD837">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w:t>
            </w:r>
          </w:p>
          <w:p w14:paraId="68F2E13E">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90分</w:t>
            </w:r>
          </w:p>
        </w:tc>
        <w:tc>
          <w:tcPr>
            <w:tcW w:w="1228" w:type="dxa"/>
            <w:noWrap w:val="0"/>
            <w:vAlign w:val="center"/>
          </w:tcPr>
          <w:p w14:paraId="0C853ABA">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体系认证</w:t>
            </w:r>
          </w:p>
        </w:tc>
        <w:tc>
          <w:tcPr>
            <w:tcW w:w="5759" w:type="dxa"/>
            <w:noWrap w:val="0"/>
            <w:vAlign w:val="center"/>
          </w:tcPr>
          <w:p w14:paraId="3658FCBC">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供应商具有经中国国家认证认可监督管理委员会认证机构颁发的有效期内的:</w:t>
            </w:r>
          </w:p>
          <w:p w14:paraId="759D699E">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质量管理体系认证证书，得</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分；</w:t>
            </w:r>
          </w:p>
          <w:p w14:paraId="53D71C30">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环境管理体系认证证书，得</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分；</w:t>
            </w:r>
          </w:p>
          <w:p w14:paraId="2DA5B59B">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职业健康安全管理体系认证证书，得</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分；</w:t>
            </w:r>
          </w:p>
          <w:p w14:paraId="59C45EAC">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b/>
                <w:bCs/>
                <w:sz w:val="24"/>
                <w:szCs w:val="24"/>
                <w:highlight w:val="none"/>
              </w:rPr>
              <w:t>注：响应文件中提供证书清晰扫描件，及全国认证认可信息公共服务平台网站证书信息查询截图，未提供不得分。</w:t>
            </w:r>
          </w:p>
        </w:tc>
        <w:tc>
          <w:tcPr>
            <w:tcW w:w="1033" w:type="dxa"/>
            <w:noWrap w:val="0"/>
            <w:vAlign w:val="center"/>
          </w:tcPr>
          <w:p w14:paraId="5667E4FF">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0-</w:t>
            </w:r>
            <w:r>
              <w:rPr>
                <w:rFonts w:hint="eastAsia" w:ascii="仿宋" w:hAnsi="仿宋" w:eastAsia="仿宋" w:cs="仿宋"/>
                <w:sz w:val="24"/>
                <w:szCs w:val="24"/>
                <w:highlight w:val="none"/>
                <w:lang w:val="en-US" w:eastAsia="zh-CN"/>
              </w:rPr>
              <w:t>24</w:t>
            </w:r>
            <w:r>
              <w:rPr>
                <w:rFonts w:hint="eastAsia" w:ascii="仿宋" w:hAnsi="仿宋" w:eastAsia="仿宋" w:cs="仿宋"/>
                <w:sz w:val="24"/>
                <w:szCs w:val="24"/>
                <w:highlight w:val="none"/>
              </w:rPr>
              <w:t>分</w:t>
            </w:r>
          </w:p>
        </w:tc>
      </w:tr>
      <w:tr w14:paraId="6EDD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blHeader/>
          <w:jc w:val="center"/>
        </w:trPr>
        <w:tc>
          <w:tcPr>
            <w:tcW w:w="998" w:type="dxa"/>
            <w:vMerge w:val="continue"/>
            <w:noWrap w:val="0"/>
            <w:vAlign w:val="top"/>
          </w:tcPr>
          <w:p w14:paraId="744EE040">
            <w:pPr>
              <w:pageBreakBefore w:val="0"/>
              <w:kinsoku/>
              <w:wordWrap/>
              <w:overflowPunct/>
              <w:topLinePunct w:val="0"/>
              <w:bidi w:val="0"/>
              <w:spacing w:line="288" w:lineRule="auto"/>
              <w:ind w:left="0" w:right="0" w:rightChars="0"/>
              <w:rPr>
                <w:rFonts w:hint="eastAsia" w:ascii="仿宋" w:hAnsi="仿宋" w:eastAsia="仿宋" w:cs="仿宋"/>
                <w:sz w:val="24"/>
                <w:szCs w:val="24"/>
                <w:highlight w:val="none"/>
              </w:rPr>
            </w:pPr>
          </w:p>
        </w:tc>
        <w:tc>
          <w:tcPr>
            <w:tcW w:w="1228" w:type="dxa"/>
            <w:noWrap w:val="0"/>
            <w:vAlign w:val="center"/>
          </w:tcPr>
          <w:p w14:paraId="7360E296">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企业业绩</w:t>
            </w:r>
          </w:p>
        </w:tc>
        <w:tc>
          <w:tcPr>
            <w:tcW w:w="5759" w:type="dxa"/>
            <w:noWrap w:val="0"/>
            <w:vAlign w:val="center"/>
          </w:tcPr>
          <w:p w14:paraId="426B0843">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供应商具</w:t>
            </w:r>
            <w:r>
              <w:rPr>
                <w:rFonts w:hint="eastAsia" w:ascii="仿宋" w:hAnsi="仿宋" w:eastAsia="仿宋" w:cs="仿宋"/>
                <w:color w:val="auto"/>
                <w:sz w:val="24"/>
                <w:szCs w:val="24"/>
                <w:highlight w:val="none"/>
              </w:rPr>
              <w:t>有</w:t>
            </w:r>
            <w:r>
              <w:rPr>
                <w:rFonts w:hint="eastAsia" w:ascii="仿宋" w:hAnsi="仿宋" w:eastAsia="仿宋" w:cs="仿宋"/>
                <w:color w:val="auto"/>
                <w:sz w:val="24"/>
                <w:szCs w:val="24"/>
                <w:highlight w:val="none"/>
                <w:lang w:val="en-US" w:eastAsia="zh-CN"/>
              </w:rPr>
              <w:t>类似</w:t>
            </w:r>
            <w:r>
              <w:rPr>
                <w:rFonts w:hint="eastAsia" w:ascii="仿宋" w:hAnsi="仿宋" w:eastAsia="仿宋" w:cs="仿宋"/>
                <w:color w:val="auto"/>
                <w:sz w:val="24"/>
                <w:szCs w:val="24"/>
                <w:highlight w:val="none"/>
              </w:rPr>
              <w:t>业绩的，每提供一份得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分，本项最高得</w:t>
            </w:r>
            <w:r>
              <w:rPr>
                <w:rFonts w:hint="eastAsia" w:ascii="仿宋" w:hAnsi="仿宋" w:eastAsia="仿宋" w:cs="仿宋"/>
                <w:color w:val="auto"/>
                <w:sz w:val="24"/>
                <w:szCs w:val="24"/>
                <w:highlight w:val="none"/>
                <w:lang w:val="en-US" w:eastAsia="zh-CN"/>
              </w:rPr>
              <w:t>24</w:t>
            </w:r>
            <w:r>
              <w:rPr>
                <w:rFonts w:hint="eastAsia" w:ascii="仿宋" w:hAnsi="仿宋" w:eastAsia="仿宋" w:cs="仿宋"/>
                <w:color w:val="auto"/>
                <w:sz w:val="24"/>
                <w:szCs w:val="24"/>
                <w:highlight w:val="none"/>
              </w:rPr>
              <w:t>分。</w:t>
            </w:r>
          </w:p>
          <w:p w14:paraId="2AC169DD">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注：（1）响应文件中提供业绩合同扫描件，如合同材料不能体现服务内容等关键评审因素的，须另提供加盖有业主单位公章的证明材料，否则不予认可。</w:t>
            </w:r>
            <w:bookmarkStart w:id="0" w:name="_GoBack"/>
            <w:bookmarkEnd w:id="0"/>
          </w:p>
          <w:p w14:paraId="0539CD76">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（2）同一采购人一招多年分期签订合同的项目业绩不重复计分。</w:t>
            </w:r>
          </w:p>
        </w:tc>
        <w:tc>
          <w:tcPr>
            <w:tcW w:w="1033" w:type="dxa"/>
            <w:noWrap w:val="0"/>
            <w:vAlign w:val="center"/>
          </w:tcPr>
          <w:p w14:paraId="459E0266">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0-</w:t>
            </w:r>
            <w:r>
              <w:rPr>
                <w:rFonts w:hint="eastAsia" w:ascii="仿宋" w:hAnsi="仿宋" w:eastAsia="仿宋" w:cs="仿宋"/>
                <w:sz w:val="24"/>
                <w:szCs w:val="24"/>
                <w:highlight w:val="none"/>
                <w:lang w:val="en-US" w:eastAsia="zh-CN"/>
              </w:rPr>
              <w:t>24</w:t>
            </w:r>
            <w:r>
              <w:rPr>
                <w:rFonts w:hint="eastAsia" w:ascii="仿宋" w:hAnsi="仿宋" w:eastAsia="仿宋" w:cs="仿宋"/>
                <w:sz w:val="24"/>
                <w:szCs w:val="24"/>
                <w:highlight w:val="none"/>
              </w:rPr>
              <w:t>分</w:t>
            </w:r>
          </w:p>
        </w:tc>
      </w:tr>
      <w:tr w14:paraId="080A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998" w:type="dxa"/>
            <w:vMerge w:val="continue"/>
            <w:shd w:val="clear" w:color="auto" w:fill="auto"/>
            <w:noWrap w:val="0"/>
            <w:vAlign w:val="top"/>
          </w:tcPr>
          <w:p w14:paraId="1C8888C6">
            <w:pPr>
              <w:pageBreakBefore w:val="0"/>
              <w:kinsoku/>
              <w:wordWrap/>
              <w:overflowPunct/>
              <w:topLinePunct w:val="0"/>
              <w:bidi w:val="0"/>
              <w:spacing w:line="288" w:lineRule="auto"/>
              <w:ind w:left="0" w:right="0" w:rightChars="0"/>
              <w:rPr>
                <w:rFonts w:hint="eastAsia" w:ascii="仿宋" w:hAnsi="仿宋" w:eastAsia="仿宋" w:cs="仿宋"/>
                <w:sz w:val="24"/>
                <w:szCs w:val="24"/>
                <w:highlight w:val="none"/>
              </w:rPr>
            </w:pPr>
          </w:p>
        </w:tc>
        <w:tc>
          <w:tcPr>
            <w:tcW w:w="1228" w:type="dxa"/>
            <w:shd w:val="clear" w:color="auto" w:fill="auto"/>
            <w:noWrap w:val="0"/>
            <w:vAlign w:val="center"/>
          </w:tcPr>
          <w:p w14:paraId="40223CCC">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项目团队</w:t>
            </w:r>
          </w:p>
        </w:tc>
        <w:tc>
          <w:tcPr>
            <w:tcW w:w="5759" w:type="dxa"/>
            <w:shd w:val="clear" w:color="auto" w:fill="auto"/>
            <w:noWrap w:val="0"/>
            <w:vAlign w:val="center"/>
          </w:tcPr>
          <w:p w14:paraId="38D6D958">
            <w:pPr>
              <w:pageBreakBefore w:val="0"/>
              <w:shd w:val="clear" w:color="auto"/>
              <w:kinsoku/>
              <w:wordWrap/>
              <w:overflowPunct/>
              <w:topLinePunct w:val="0"/>
              <w:bidi w:val="0"/>
              <w:spacing w:line="288" w:lineRule="auto"/>
              <w:ind w:left="0" w:right="0" w:rightChars="0"/>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1、项目经理（1人）（本小项最高得</w:t>
            </w:r>
            <w:r>
              <w:rPr>
                <w:rFonts w:hint="eastAsia" w:ascii="仿宋" w:hAnsi="仿宋" w:eastAsia="仿宋" w:cs="仿宋"/>
                <w:color w:val="000000"/>
                <w:sz w:val="24"/>
                <w:szCs w:val="24"/>
                <w:highlight w:val="none"/>
                <w:lang w:val="en-US" w:eastAsia="zh-CN"/>
              </w:rPr>
              <w:t>12</w:t>
            </w:r>
            <w:r>
              <w:rPr>
                <w:rFonts w:hint="eastAsia" w:ascii="仿宋" w:hAnsi="仿宋" w:eastAsia="仿宋" w:cs="仿宋"/>
                <w:color w:val="000000"/>
                <w:sz w:val="24"/>
                <w:szCs w:val="24"/>
                <w:highlight w:val="none"/>
              </w:rPr>
              <w:t>分）</w:t>
            </w:r>
          </w:p>
          <w:p w14:paraId="4F8C6F9F">
            <w:pPr>
              <w:pageBreakBefore w:val="0"/>
              <w:shd w:val="clear" w:color="auto"/>
              <w:kinsoku/>
              <w:wordWrap/>
              <w:overflowPunct/>
              <w:topLinePunct w:val="0"/>
              <w:bidi w:val="0"/>
              <w:spacing w:line="288" w:lineRule="auto"/>
              <w:ind w:right="0" w:rightChars="0"/>
              <w:jc w:val="both"/>
              <w:rPr>
                <w:rFonts w:hint="default" w:ascii="仿宋" w:hAnsi="仿宋" w:eastAsia="仿宋" w:cs="仿宋"/>
                <w:color w:val="000000"/>
                <w:sz w:val="24"/>
                <w:szCs w:val="24"/>
                <w:highlight w:val="none"/>
                <w:lang w:val="en-US" w:eastAsia="zh-CN"/>
              </w:rPr>
            </w:pPr>
            <w:r>
              <w:rPr>
                <w:rFonts w:hint="eastAsia" w:ascii="仿宋" w:hAnsi="仿宋" w:eastAsia="仿宋" w:cs="仿宋"/>
                <w:strike w:val="0"/>
                <w:dstrike w:val="0"/>
                <w:color w:val="000000"/>
                <w:sz w:val="24"/>
                <w:szCs w:val="24"/>
                <w:highlight w:val="none"/>
              </w:rPr>
              <w:t>①</w:t>
            </w:r>
            <w:r>
              <w:rPr>
                <w:rFonts w:hint="eastAsia" w:ascii="仿宋" w:hAnsi="仿宋" w:eastAsia="仿宋" w:cs="仿宋"/>
                <w:color w:val="000000"/>
                <w:sz w:val="24"/>
                <w:szCs w:val="24"/>
                <w:highlight w:val="none"/>
              </w:rPr>
              <w:t>具有</w:t>
            </w:r>
            <w:r>
              <w:rPr>
                <w:rFonts w:hint="eastAsia" w:ascii="仿宋" w:hAnsi="仿宋" w:eastAsia="仿宋" w:cs="仿宋"/>
                <w:color w:val="000000"/>
                <w:kern w:val="2"/>
                <w:sz w:val="24"/>
                <w:szCs w:val="24"/>
                <w:highlight w:val="none"/>
                <w:lang w:val="en-US" w:eastAsia="zh-CN" w:bidi="ar-SA"/>
              </w:rPr>
              <w:t>物业管理员职业资格证书或物业管理师职业技能等级证书或企业人力资源管理师职业资格证书或企业人力资源管理师职业技能等级证书</w:t>
            </w:r>
            <w:r>
              <w:rPr>
                <w:rFonts w:hint="eastAsia" w:ascii="仿宋" w:hAnsi="仿宋" w:eastAsia="仿宋" w:cs="仿宋"/>
                <w:color w:val="000000"/>
                <w:sz w:val="24"/>
                <w:szCs w:val="24"/>
                <w:highlight w:val="none"/>
                <w:lang w:val="en-US" w:eastAsia="zh-CN"/>
              </w:rPr>
              <w:t>得6分，最高得6分。</w:t>
            </w:r>
          </w:p>
          <w:p w14:paraId="0151994B">
            <w:pPr>
              <w:pageBreakBefore w:val="0"/>
              <w:shd w:val="clear" w:color="auto"/>
              <w:kinsoku/>
              <w:wordWrap/>
              <w:overflowPunct/>
              <w:topLinePunct w:val="0"/>
              <w:bidi w:val="0"/>
              <w:spacing w:line="288" w:lineRule="auto"/>
              <w:ind w:right="0" w:rightChars="0"/>
              <w:jc w:val="both"/>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②</w:t>
            </w:r>
            <w:r>
              <w:rPr>
                <w:rFonts w:hint="eastAsia" w:ascii="仿宋" w:hAnsi="仿宋" w:eastAsia="仿宋" w:cs="仿宋"/>
                <w:color w:val="000000"/>
                <w:sz w:val="24"/>
                <w:szCs w:val="24"/>
                <w:highlight w:val="none"/>
                <w:lang w:val="en-US" w:eastAsia="zh-CN"/>
              </w:rPr>
              <w:t>具有</w:t>
            </w:r>
            <w:r>
              <w:rPr>
                <w:rFonts w:hint="default" w:ascii="仿宋" w:hAnsi="仿宋" w:eastAsia="仿宋" w:cs="仿宋"/>
                <w:color w:val="000000"/>
                <w:sz w:val="24"/>
                <w:szCs w:val="24"/>
                <w:highlight w:val="none"/>
                <w:lang w:eastAsia="zh-CN"/>
              </w:rPr>
              <w:t>工程师中级及以上职称证书</w:t>
            </w:r>
            <w:r>
              <w:rPr>
                <w:rFonts w:hint="eastAsia" w:ascii="仿宋" w:hAnsi="仿宋" w:eastAsia="仿宋" w:cs="仿宋"/>
                <w:color w:val="000000"/>
                <w:sz w:val="24"/>
                <w:szCs w:val="24"/>
                <w:highlight w:val="none"/>
                <w:lang w:val="en-US" w:eastAsia="zh-CN"/>
              </w:rPr>
              <w:t>得6分，项最高得6分。</w:t>
            </w:r>
          </w:p>
          <w:p w14:paraId="06E59663">
            <w:pPr>
              <w:pageBreakBefore w:val="0"/>
              <w:numPr>
                <w:ilvl w:val="0"/>
                <w:numId w:val="0"/>
              </w:numPr>
              <w:shd w:val="clear" w:color="auto"/>
              <w:kinsoku/>
              <w:wordWrap/>
              <w:overflowPunct/>
              <w:topLinePunct w:val="0"/>
              <w:bidi w:val="0"/>
              <w:spacing w:line="288" w:lineRule="auto"/>
              <w:ind w:right="0" w:rightChars="0"/>
              <w:jc w:val="both"/>
              <w:rPr>
                <w:rFonts w:hint="eastAsia" w:ascii="仿宋" w:hAnsi="仿宋" w:eastAsia="仿宋" w:cs="仿宋"/>
                <w:strike w:val="0"/>
                <w:dstrike w:val="0"/>
                <w:color w:val="000000"/>
                <w:sz w:val="24"/>
                <w:szCs w:val="24"/>
                <w:highlight w:val="none"/>
                <w:lang w:val="en-US" w:eastAsia="zh-CN"/>
              </w:rPr>
            </w:pPr>
            <w:r>
              <w:rPr>
                <w:rFonts w:hint="eastAsia" w:ascii="仿宋" w:hAnsi="仿宋" w:eastAsia="仿宋" w:cs="仿宋"/>
                <w:strike w:val="0"/>
                <w:dstrike w:val="0"/>
                <w:color w:val="000000"/>
                <w:sz w:val="24"/>
                <w:szCs w:val="24"/>
                <w:highlight w:val="none"/>
                <w:lang w:val="en-US" w:eastAsia="zh-CN"/>
              </w:rPr>
              <w:t>2、拟派其他人员中（项目经理除外）（本项最高得分6分）</w:t>
            </w:r>
          </w:p>
          <w:p w14:paraId="1AF3BF72">
            <w:pPr>
              <w:pStyle w:val="2"/>
              <w:shd w:val="clear" w:color="auto"/>
              <w:rPr>
                <w:rFonts w:hint="default" w:ascii="仿宋" w:hAnsi="仿宋" w:eastAsia="仿宋" w:cs="仿宋"/>
                <w:color w:val="000000"/>
                <w:sz w:val="24"/>
                <w:szCs w:val="24"/>
                <w:highlight w:val="none"/>
                <w:lang w:val="en-US" w:eastAsia="zh-CN"/>
              </w:rPr>
            </w:pPr>
            <w:r>
              <w:rPr>
                <w:rFonts w:hint="eastAsia" w:ascii="仿宋" w:hAnsi="仿宋" w:eastAsia="仿宋" w:cs="仿宋"/>
                <w:strike w:val="0"/>
                <w:dstrike w:val="0"/>
                <w:color w:val="000000"/>
                <w:sz w:val="24"/>
                <w:szCs w:val="24"/>
                <w:highlight w:val="none"/>
              </w:rPr>
              <w:t>①</w:t>
            </w:r>
            <w:r>
              <w:rPr>
                <w:rFonts w:hint="eastAsia" w:ascii="仿宋" w:hAnsi="仿宋" w:eastAsia="仿宋" w:cs="仿宋"/>
                <w:color w:val="000000"/>
                <w:sz w:val="24"/>
                <w:szCs w:val="24"/>
                <w:highlight w:val="none"/>
              </w:rPr>
              <w:t>具有</w:t>
            </w:r>
            <w:r>
              <w:rPr>
                <w:rFonts w:hint="eastAsia" w:ascii="仿宋" w:hAnsi="仿宋" w:eastAsia="仿宋" w:cs="仿宋"/>
                <w:color w:val="000000"/>
                <w:sz w:val="24"/>
                <w:szCs w:val="24"/>
                <w:highlight w:val="none"/>
                <w:lang w:val="en-US" w:eastAsia="zh-CN"/>
              </w:rPr>
              <w:t>园林绿化工职业资格证书或园林绿化工职业技能等级证书得3分，最高得3分；</w:t>
            </w:r>
          </w:p>
          <w:p w14:paraId="52DF7145">
            <w:pPr>
              <w:pStyle w:val="2"/>
              <w:shd w:val="clear" w:color="auto"/>
              <w:rPr>
                <w:rFonts w:hint="eastAsia" w:ascii="仿宋" w:hAnsi="仿宋" w:eastAsia="仿宋" w:cs="仿宋"/>
                <w:strike w:val="0"/>
                <w:dstrike w:val="0"/>
                <w:color w:val="000000"/>
                <w:sz w:val="24"/>
                <w:szCs w:val="24"/>
                <w:highlight w:val="none"/>
                <w:lang w:val="en-US" w:eastAsia="zh-CN"/>
              </w:rPr>
            </w:pPr>
            <w:r>
              <w:rPr>
                <w:rFonts w:hint="eastAsia" w:ascii="仿宋" w:hAnsi="仿宋" w:eastAsia="仿宋" w:cs="仿宋"/>
                <w:strike w:val="0"/>
                <w:dstrike w:val="0"/>
                <w:color w:val="000000"/>
                <w:sz w:val="24"/>
                <w:szCs w:val="24"/>
                <w:highlight w:val="none"/>
              </w:rPr>
              <w:t>②具有</w:t>
            </w:r>
            <w:r>
              <w:rPr>
                <w:rFonts w:hint="eastAsia" w:ascii="仿宋" w:hAnsi="仿宋" w:eastAsia="仿宋" w:cs="仿宋"/>
                <w:strike w:val="0"/>
                <w:dstrike w:val="0"/>
                <w:color w:val="000000"/>
                <w:sz w:val="24"/>
                <w:szCs w:val="24"/>
                <w:highlight w:val="none"/>
                <w:lang w:val="en-US" w:eastAsia="zh-CN"/>
              </w:rPr>
              <w:t>保洁员职业资格证书或保洁员职业技能等</w:t>
            </w:r>
            <w:r>
              <w:rPr>
                <w:rFonts w:hint="eastAsia" w:ascii="仿宋" w:hAnsi="仿宋" w:eastAsia="仿宋" w:cs="仿宋"/>
                <w:strike w:val="0"/>
                <w:dstrike w:val="0"/>
                <w:color w:val="000000"/>
                <w:sz w:val="24"/>
                <w:szCs w:val="24"/>
                <w:highlight w:val="none"/>
              </w:rPr>
              <w:t>证书</w:t>
            </w:r>
            <w:r>
              <w:rPr>
                <w:rFonts w:hint="eastAsia" w:ascii="仿宋" w:hAnsi="仿宋" w:eastAsia="仿宋" w:cs="仿宋"/>
                <w:color w:val="000000"/>
                <w:sz w:val="24"/>
                <w:szCs w:val="24"/>
                <w:highlight w:val="none"/>
                <w:lang w:val="en-US" w:eastAsia="zh-CN"/>
              </w:rPr>
              <w:t>得3分，最高得3分</w:t>
            </w:r>
            <w:r>
              <w:rPr>
                <w:rFonts w:hint="eastAsia" w:ascii="仿宋" w:hAnsi="仿宋" w:eastAsia="仿宋" w:cs="仿宋"/>
                <w:strike w:val="0"/>
                <w:dstrike w:val="0"/>
                <w:color w:val="000000"/>
                <w:sz w:val="24"/>
                <w:szCs w:val="24"/>
                <w:highlight w:val="none"/>
                <w:lang w:val="en-US" w:eastAsia="zh-CN"/>
              </w:rPr>
              <w:t>。</w:t>
            </w:r>
          </w:p>
          <w:p w14:paraId="59E71E19">
            <w:pPr>
              <w:pageBreakBefore w:val="0"/>
              <w:shd w:val="clear"/>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（1）响应文件中同时提供证书扫描件（或影印件）及供应商需提供承诺函，承诺以上人员为本单位的在职员工并在本项服务期内专职服务本项目。</w:t>
            </w:r>
          </w:p>
          <w:p w14:paraId="15682F70">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w:t>
            </w:r>
            <w:r>
              <w:rPr>
                <w:rFonts w:hint="eastAsia" w:ascii="仿宋" w:hAnsi="仿宋" w:eastAsia="仿宋" w:cs="仿宋"/>
                <w:color w:val="000000"/>
                <w:sz w:val="24"/>
                <w:szCs w:val="24"/>
                <w:highlight w:val="none"/>
              </w:rPr>
              <w:t>2）职业资格证书（或职业技能等级证书），响应文件中同时提供全国联网技能人才评价证书全国联网查询https://jndj.osta.org.cn/的查询结果截图</w:t>
            </w:r>
            <w:r>
              <w:rPr>
                <w:rFonts w:hint="eastAsia" w:ascii="仿宋" w:hAnsi="仿宋" w:eastAsia="仿宋" w:cs="仿宋"/>
                <w:color w:val="000000"/>
                <w:sz w:val="24"/>
                <w:szCs w:val="24"/>
                <w:highlight w:val="none"/>
                <w:lang w:eastAsia="zh-CN"/>
              </w:rPr>
              <w:t>。</w:t>
            </w:r>
          </w:p>
        </w:tc>
        <w:tc>
          <w:tcPr>
            <w:tcW w:w="1033" w:type="dxa"/>
            <w:shd w:val="clear" w:color="auto" w:fill="auto"/>
            <w:noWrap w:val="0"/>
            <w:vAlign w:val="center"/>
          </w:tcPr>
          <w:p w14:paraId="0DE9D1D5">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0-</w:t>
            </w:r>
            <w:r>
              <w:rPr>
                <w:rFonts w:hint="eastAsia" w:ascii="仿宋" w:hAnsi="仿宋" w:eastAsia="仿宋" w:cs="仿宋"/>
                <w:sz w:val="24"/>
                <w:szCs w:val="24"/>
                <w:highlight w:val="none"/>
                <w:lang w:val="en-US" w:eastAsia="zh-CN"/>
              </w:rPr>
              <w:t>18</w:t>
            </w:r>
            <w:r>
              <w:rPr>
                <w:rFonts w:hint="eastAsia" w:ascii="仿宋" w:hAnsi="仿宋" w:eastAsia="仿宋" w:cs="仿宋"/>
                <w:sz w:val="24"/>
                <w:szCs w:val="24"/>
                <w:highlight w:val="none"/>
              </w:rPr>
              <w:t>分</w:t>
            </w:r>
          </w:p>
        </w:tc>
      </w:tr>
      <w:tr w14:paraId="3252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blHeader/>
          <w:jc w:val="center"/>
        </w:trPr>
        <w:tc>
          <w:tcPr>
            <w:tcW w:w="998" w:type="dxa"/>
            <w:vMerge w:val="continue"/>
            <w:noWrap w:val="0"/>
            <w:vAlign w:val="top"/>
          </w:tcPr>
          <w:p w14:paraId="63B1755A">
            <w:pPr>
              <w:pageBreakBefore w:val="0"/>
              <w:kinsoku/>
              <w:wordWrap/>
              <w:overflowPunct/>
              <w:topLinePunct w:val="0"/>
              <w:bidi w:val="0"/>
              <w:spacing w:line="288" w:lineRule="auto"/>
              <w:ind w:left="0" w:right="0" w:rightChars="0"/>
              <w:rPr>
                <w:rFonts w:hint="eastAsia" w:ascii="仿宋" w:hAnsi="仿宋" w:eastAsia="仿宋" w:cs="仿宋"/>
                <w:sz w:val="24"/>
                <w:szCs w:val="24"/>
                <w:highlight w:val="none"/>
              </w:rPr>
            </w:pPr>
          </w:p>
        </w:tc>
        <w:tc>
          <w:tcPr>
            <w:tcW w:w="1228" w:type="dxa"/>
            <w:noWrap w:val="0"/>
            <w:vAlign w:val="center"/>
          </w:tcPr>
          <w:p w14:paraId="3A3D5A7F">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整体设想及策划</w:t>
            </w:r>
          </w:p>
        </w:tc>
        <w:tc>
          <w:tcPr>
            <w:tcW w:w="5759" w:type="dxa"/>
            <w:noWrap w:val="0"/>
            <w:vAlign w:val="center"/>
          </w:tcPr>
          <w:p w14:paraId="67F6A207">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根据采购文件要求及学校现场实际结合供应商提供的整体设想及策划情况，进行综合评分，至少包含下列内容：</w:t>
            </w:r>
          </w:p>
          <w:p w14:paraId="06651371">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①本项目环境的熟悉程度及物业服务特点分析；</w:t>
            </w:r>
          </w:p>
          <w:p w14:paraId="26909CCD">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②高标准、高水平管理的措施；</w:t>
            </w:r>
          </w:p>
          <w:p w14:paraId="6A1BA3F6">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③智慧物业的规划及使用；</w:t>
            </w:r>
          </w:p>
          <w:p w14:paraId="7B41B394">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④创造优美舒适、安全文明、洁净环境的设想。</w:t>
            </w:r>
          </w:p>
          <w:p w14:paraId="09E9D100">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注：（1）方案中该小项内容贴合项目实际需求，逻辑清晰，措施规范全面的，该小项得5分；</w:t>
            </w:r>
          </w:p>
          <w:p w14:paraId="13F00B03">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（2）方案中该小项内容与项目实际需求有出入，逻辑不清晰，措施缺失的，该小项得3分；</w:t>
            </w:r>
          </w:p>
          <w:p w14:paraId="57D62987">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（3）方案中该小项内容与项目实际需求出入较大，措施缺失较多的，该小项得1分；</w:t>
            </w:r>
          </w:p>
          <w:p w14:paraId="06C78690">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（4）未提供方案或未体现该小项内容的，该小项不得分。</w:t>
            </w:r>
          </w:p>
          <w:p w14:paraId="2D6F5EB4">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本项最高得5分。</w:t>
            </w:r>
          </w:p>
        </w:tc>
        <w:tc>
          <w:tcPr>
            <w:tcW w:w="1033" w:type="dxa"/>
            <w:noWrap w:val="0"/>
            <w:vAlign w:val="center"/>
          </w:tcPr>
          <w:p w14:paraId="135ADB02">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0-5分</w:t>
            </w:r>
          </w:p>
        </w:tc>
      </w:tr>
      <w:tr w14:paraId="25CD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9" w:hRule="atLeast"/>
          <w:tblHeader/>
          <w:jc w:val="center"/>
        </w:trPr>
        <w:tc>
          <w:tcPr>
            <w:tcW w:w="998" w:type="dxa"/>
            <w:vMerge w:val="continue"/>
            <w:noWrap w:val="0"/>
            <w:vAlign w:val="top"/>
          </w:tcPr>
          <w:p w14:paraId="691A0975">
            <w:pPr>
              <w:pageBreakBefore w:val="0"/>
              <w:kinsoku/>
              <w:wordWrap/>
              <w:overflowPunct/>
              <w:topLinePunct w:val="0"/>
              <w:bidi w:val="0"/>
              <w:spacing w:line="288" w:lineRule="auto"/>
              <w:ind w:left="0" w:right="0" w:rightChars="0"/>
              <w:rPr>
                <w:rFonts w:hint="eastAsia" w:ascii="仿宋" w:hAnsi="仿宋" w:eastAsia="仿宋" w:cs="仿宋"/>
                <w:sz w:val="24"/>
                <w:szCs w:val="24"/>
                <w:highlight w:val="none"/>
              </w:rPr>
            </w:pPr>
          </w:p>
        </w:tc>
        <w:tc>
          <w:tcPr>
            <w:tcW w:w="1228" w:type="dxa"/>
            <w:noWrap w:val="0"/>
            <w:vAlign w:val="center"/>
          </w:tcPr>
          <w:p w14:paraId="7F1E1CC0">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物业承接方案及服务目标、定位</w:t>
            </w:r>
          </w:p>
        </w:tc>
        <w:tc>
          <w:tcPr>
            <w:tcW w:w="5759" w:type="dxa"/>
            <w:noWrap w:val="0"/>
            <w:vAlign w:val="center"/>
          </w:tcPr>
          <w:p w14:paraId="4B058538">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根据采购文件要求及学校现场实际结合供应商提供的物业承接方</w:t>
            </w:r>
          </w:p>
          <w:p w14:paraId="5106C249">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案及服务目标、定位情况，进行综合评分，至少包含下列内容：</w:t>
            </w:r>
          </w:p>
          <w:p w14:paraId="72E07094">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①物业承接方案；</w:t>
            </w:r>
          </w:p>
          <w:p w14:paraId="5125B98B">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②项目服务目标；</w:t>
            </w:r>
          </w:p>
          <w:p w14:paraId="474C6A0C">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③项目服务定位。</w:t>
            </w:r>
          </w:p>
          <w:p w14:paraId="261BF6ED">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注：（1）方案中该小项内容贴合项目实际需求，逻辑清晰，措施规范全面的，该小项得5分；</w:t>
            </w:r>
          </w:p>
          <w:p w14:paraId="528D0CB7">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（2）方案中该小项内容与项目实际需求有出入，逻辑不清晰，措施缺失的，该小项得3分；</w:t>
            </w:r>
          </w:p>
          <w:p w14:paraId="79AC34A4">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（3）方案中该小项内容与项目实际需求出入较大，措施缺失较多的，该小项得1分；</w:t>
            </w:r>
          </w:p>
          <w:p w14:paraId="7AA774D5">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（4）未提供方案或未体现该小项内容的，该小项不得分。</w:t>
            </w:r>
          </w:p>
          <w:p w14:paraId="6E2CD56B">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本项最高得5分。</w:t>
            </w:r>
          </w:p>
        </w:tc>
        <w:tc>
          <w:tcPr>
            <w:tcW w:w="1033" w:type="dxa"/>
            <w:noWrap w:val="0"/>
            <w:vAlign w:val="center"/>
          </w:tcPr>
          <w:p w14:paraId="7D5096FD">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0-5分</w:t>
            </w:r>
          </w:p>
        </w:tc>
      </w:tr>
      <w:tr w14:paraId="1B72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9" w:hRule="atLeast"/>
          <w:tblHeader/>
          <w:jc w:val="center"/>
        </w:trPr>
        <w:tc>
          <w:tcPr>
            <w:tcW w:w="998" w:type="dxa"/>
            <w:vMerge w:val="continue"/>
            <w:noWrap w:val="0"/>
            <w:vAlign w:val="top"/>
          </w:tcPr>
          <w:p w14:paraId="084A1CAD">
            <w:pPr>
              <w:pageBreakBefore w:val="0"/>
              <w:kinsoku/>
              <w:wordWrap/>
              <w:overflowPunct/>
              <w:topLinePunct w:val="0"/>
              <w:bidi w:val="0"/>
              <w:spacing w:line="288" w:lineRule="auto"/>
              <w:ind w:left="0" w:right="0" w:rightChars="0"/>
              <w:rPr>
                <w:rFonts w:hint="eastAsia" w:ascii="仿宋" w:hAnsi="仿宋" w:eastAsia="仿宋" w:cs="仿宋"/>
                <w:sz w:val="24"/>
                <w:szCs w:val="24"/>
                <w:highlight w:val="none"/>
              </w:rPr>
            </w:pPr>
          </w:p>
        </w:tc>
        <w:tc>
          <w:tcPr>
            <w:tcW w:w="1228" w:type="dxa"/>
            <w:noWrap w:val="0"/>
            <w:vAlign w:val="center"/>
          </w:tcPr>
          <w:p w14:paraId="74268554">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日常物业管理方案</w:t>
            </w:r>
          </w:p>
        </w:tc>
        <w:tc>
          <w:tcPr>
            <w:tcW w:w="5759" w:type="dxa"/>
            <w:noWrap w:val="0"/>
            <w:vAlign w:val="center"/>
          </w:tcPr>
          <w:p w14:paraId="2B07C976">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根据采购文件要求及学校现场实际结合供应商提供的日常物业管理方案情况，进行综合评分，至少包含下列内容：</w:t>
            </w:r>
          </w:p>
          <w:p w14:paraId="75F09D32">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①工作目标及计划；</w:t>
            </w:r>
          </w:p>
          <w:p w14:paraId="0139C908">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②保洁管理方案；</w:t>
            </w:r>
          </w:p>
          <w:p w14:paraId="37A1570F">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③学生寝室管理方案；</w:t>
            </w:r>
          </w:p>
          <w:p w14:paraId="48250B46">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④水电、零星维修管理方案；</w:t>
            </w:r>
          </w:p>
          <w:p w14:paraId="506659F6">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⑤绿化维护方案。</w:t>
            </w:r>
          </w:p>
          <w:p w14:paraId="5B316F32">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注：（1）方案中该小项内容贴合项目实际需求，逻辑清晰，措施规范全面的，该小项得5分；</w:t>
            </w:r>
          </w:p>
          <w:p w14:paraId="16FF3751">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（2）方案中该小项内容与项目实际需求有出入，逻辑不清晰，措施缺失的，该小项得3分；</w:t>
            </w:r>
          </w:p>
          <w:p w14:paraId="610CC89D">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（3）方案中该小项内容与项目实际需求出入较大，措施缺失较多的，该小项得1分；</w:t>
            </w:r>
          </w:p>
          <w:p w14:paraId="4BF3FE46">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（4）未提供方案或未体现该小项内容的，该小项不得分。</w:t>
            </w:r>
          </w:p>
          <w:p w14:paraId="54753B7C">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本项最高得5分。</w:t>
            </w:r>
          </w:p>
        </w:tc>
        <w:tc>
          <w:tcPr>
            <w:tcW w:w="1033" w:type="dxa"/>
            <w:noWrap w:val="0"/>
            <w:vAlign w:val="center"/>
          </w:tcPr>
          <w:p w14:paraId="0C30F68A">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0-5分</w:t>
            </w:r>
          </w:p>
        </w:tc>
      </w:tr>
      <w:tr w14:paraId="3DFF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6" w:hRule="atLeast"/>
          <w:tblHeader/>
          <w:jc w:val="center"/>
        </w:trPr>
        <w:tc>
          <w:tcPr>
            <w:tcW w:w="998" w:type="dxa"/>
            <w:vMerge w:val="continue"/>
            <w:noWrap w:val="0"/>
            <w:vAlign w:val="top"/>
          </w:tcPr>
          <w:p w14:paraId="26F9EAB1">
            <w:pPr>
              <w:pageBreakBefore w:val="0"/>
              <w:kinsoku/>
              <w:wordWrap/>
              <w:overflowPunct/>
              <w:topLinePunct w:val="0"/>
              <w:bidi w:val="0"/>
              <w:spacing w:line="288" w:lineRule="auto"/>
              <w:ind w:left="0" w:right="0" w:rightChars="0"/>
              <w:rPr>
                <w:rFonts w:hint="eastAsia" w:ascii="仿宋" w:hAnsi="仿宋" w:eastAsia="仿宋" w:cs="仿宋"/>
                <w:sz w:val="24"/>
                <w:szCs w:val="24"/>
                <w:highlight w:val="none"/>
              </w:rPr>
            </w:pPr>
          </w:p>
        </w:tc>
        <w:tc>
          <w:tcPr>
            <w:tcW w:w="1228" w:type="dxa"/>
            <w:noWrap w:val="0"/>
            <w:vAlign w:val="center"/>
          </w:tcPr>
          <w:p w14:paraId="556C858F">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组织机构及管理制度</w:t>
            </w:r>
          </w:p>
        </w:tc>
        <w:tc>
          <w:tcPr>
            <w:tcW w:w="5759" w:type="dxa"/>
            <w:noWrap w:val="0"/>
            <w:vAlign w:val="center"/>
          </w:tcPr>
          <w:p w14:paraId="5CF8ABFA">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磋商小组根据采购文件要求及学校现场实际结合供应商提供的组织机构及管理制度情况，进行综合评分，至少包含下列内容：</w:t>
            </w:r>
          </w:p>
          <w:p w14:paraId="577BDB14">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①人员配置及管理、培训，管理人员考核制度及标准；</w:t>
            </w:r>
          </w:p>
          <w:p w14:paraId="64D1A9CF">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②管理维护运作制度及标准；</w:t>
            </w:r>
          </w:p>
          <w:p w14:paraId="749C9730">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③物业档案及管理资料归档保存安排。</w:t>
            </w:r>
          </w:p>
          <w:p w14:paraId="37AEB627">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注：（1）方案中该小项内容贴合项目实际需求，逻辑清晰，措施规范全面的，该小项得5分；</w:t>
            </w:r>
          </w:p>
          <w:p w14:paraId="320C118F">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（2）方案中该小项内容与项目实际需求有出入，逻辑不清晰，措施缺失的，该小项得3分；</w:t>
            </w:r>
          </w:p>
          <w:p w14:paraId="5AD4CB9E">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（3）方案中该小项内容与项目实际需求出入较大，措施缺失较多的，该小项得1分；</w:t>
            </w:r>
          </w:p>
          <w:p w14:paraId="147939D9">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（4）未提供方案或未体现该小项内容的，该小项不得分。</w:t>
            </w:r>
          </w:p>
          <w:p w14:paraId="0CE13C37">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本项最高得5分。</w:t>
            </w:r>
          </w:p>
        </w:tc>
        <w:tc>
          <w:tcPr>
            <w:tcW w:w="1033" w:type="dxa"/>
            <w:noWrap w:val="0"/>
            <w:vAlign w:val="center"/>
          </w:tcPr>
          <w:p w14:paraId="6D2392B5">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0-5分</w:t>
            </w:r>
          </w:p>
        </w:tc>
      </w:tr>
      <w:tr w14:paraId="304A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tblHeader/>
          <w:jc w:val="center"/>
        </w:trPr>
        <w:tc>
          <w:tcPr>
            <w:tcW w:w="998" w:type="dxa"/>
            <w:vMerge w:val="continue"/>
            <w:noWrap w:val="0"/>
            <w:vAlign w:val="top"/>
          </w:tcPr>
          <w:p w14:paraId="2E9D88A5">
            <w:pPr>
              <w:pageBreakBefore w:val="0"/>
              <w:kinsoku/>
              <w:wordWrap/>
              <w:overflowPunct/>
              <w:topLinePunct w:val="0"/>
              <w:bidi w:val="0"/>
              <w:spacing w:line="288" w:lineRule="auto"/>
              <w:ind w:left="0" w:right="0" w:rightChars="0"/>
              <w:rPr>
                <w:rFonts w:hint="eastAsia" w:ascii="仿宋" w:hAnsi="仿宋" w:eastAsia="仿宋" w:cs="仿宋"/>
                <w:sz w:val="24"/>
                <w:szCs w:val="24"/>
                <w:highlight w:val="none"/>
              </w:rPr>
            </w:pPr>
          </w:p>
        </w:tc>
        <w:tc>
          <w:tcPr>
            <w:tcW w:w="1228" w:type="dxa"/>
            <w:noWrap w:val="0"/>
            <w:vAlign w:val="center"/>
          </w:tcPr>
          <w:p w14:paraId="58F39971">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应急预案</w:t>
            </w:r>
          </w:p>
        </w:tc>
        <w:tc>
          <w:tcPr>
            <w:tcW w:w="5759" w:type="dxa"/>
            <w:noWrap w:val="0"/>
            <w:vAlign w:val="center"/>
          </w:tcPr>
          <w:p w14:paraId="3B0ED4FE">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根据采购文件要求及学校现场实际结合供应商提供的应急预案情况，进行综合评分，至少包含下列内容：</w:t>
            </w:r>
          </w:p>
          <w:p w14:paraId="011D0B4A">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①公共安全突发事件处置；</w:t>
            </w:r>
          </w:p>
          <w:p w14:paraId="509B20DD">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②自然灾害（如地震、台风、暴雨（雪）、火灾等）突发事件处置；</w:t>
            </w:r>
          </w:p>
          <w:p w14:paraId="516D807B">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③其它突发事件处置。</w:t>
            </w:r>
          </w:p>
          <w:p w14:paraId="1472A50E">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注：（1）方案中该小项内容贴合项目实际需求，逻辑清晰，措施规范全面的，该小项得</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分；</w:t>
            </w:r>
          </w:p>
          <w:p w14:paraId="7B861C99">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（2）方案中该小项内容与项目实际需求有出入，逻辑不清晰，措施缺失的，该小项得</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分；</w:t>
            </w:r>
          </w:p>
          <w:p w14:paraId="5F37564A">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（3）方案中该小项内容与项目实际需求出入较大，措施缺失较多的，该小项得</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分；</w:t>
            </w:r>
          </w:p>
          <w:p w14:paraId="2911FBE0">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（4）未提供方案或未体现该小项内容的，该小项不得分。</w:t>
            </w:r>
          </w:p>
          <w:p w14:paraId="4F43B4CC">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本项最高得</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分。</w:t>
            </w:r>
          </w:p>
        </w:tc>
        <w:tc>
          <w:tcPr>
            <w:tcW w:w="1033" w:type="dxa"/>
            <w:noWrap w:val="0"/>
            <w:vAlign w:val="center"/>
          </w:tcPr>
          <w:p w14:paraId="48B6F391">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0-</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分</w:t>
            </w:r>
          </w:p>
        </w:tc>
      </w:tr>
      <w:tr w14:paraId="531F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2226" w:type="dxa"/>
            <w:gridSpan w:val="2"/>
            <w:noWrap w:val="0"/>
            <w:vAlign w:val="center"/>
          </w:tcPr>
          <w:p w14:paraId="1367775B">
            <w:pPr>
              <w:pageBreakBefore w:val="0"/>
              <w:kinsoku/>
              <w:wordWrap/>
              <w:overflowPunct/>
              <w:topLinePunct w:val="0"/>
              <w:bidi w:val="0"/>
              <w:spacing w:line="288" w:lineRule="auto"/>
              <w:ind w:left="0" w:right="0" w:right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价格分</w:t>
            </w:r>
          </w:p>
          <w:p w14:paraId="0EA101CC">
            <w:pPr>
              <w:pageBreakBefore w:val="0"/>
              <w:kinsoku/>
              <w:wordWrap/>
              <w:overflowPunct/>
              <w:topLinePunct w:val="0"/>
              <w:bidi w:val="0"/>
              <w:spacing w:line="288" w:lineRule="auto"/>
              <w:ind w:left="0" w:right="0" w:rightChars="0"/>
              <w:jc w:val="center"/>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w:t>
            </w:r>
            <w:r>
              <w:rPr>
                <w:rFonts w:hint="default" w:ascii="仿宋" w:hAnsi="仿宋" w:eastAsia="仿宋" w:cs="仿宋"/>
                <w:sz w:val="24"/>
                <w:szCs w:val="24"/>
                <w:highlight w:val="none"/>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分）</w:t>
            </w:r>
          </w:p>
        </w:tc>
        <w:tc>
          <w:tcPr>
            <w:tcW w:w="6792" w:type="dxa"/>
            <w:gridSpan w:val="2"/>
            <w:noWrap w:val="0"/>
            <w:vAlign w:val="center"/>
          </w:tcPr>
          <w:p w14:paraId="54406019">
            <w:pPr>
              <w:pageBreakBefore w:val="0"/>
              <w:kinsoku/>
              <w:wordWrap/>
              <w:overflowPunct/>
              <w:topLinePunct w:val="0"/>
              <w:bidi w:val="0"/>
              <w:spacing w:line="288" w:lineRule="auto"/>
              <w:ind w:left="0" w:right="0" w:right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价格分统一采用低价优先法，即满足磋商文件要求且最后报价最低的供应商的价格为磋商基准价，其价格分为满分</w:t>
            </w:r>
            <w:r>
              <w:rPr>
                <w:rFonts w:hint="default" w:ascii="仿宋" w:hAnsi="仿宋" w:eastAsia="仿宋" w:cs="仿宋"/>
                <w:sz w:val="24"/>
                <w:szCs w:val="24"/>
                <w:highlight w:val="none"/>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分。其他供应商的价格分统一按照下列公式计算：</w:t>
            </w:r>
          </w:p>
          <w:p w14:paraId="77BEA790">
            <w:pPr>
              <w:pageBreakBefore w:val="0"/>
              <w:kinsoku/>
              <w:wordWrap/>
              <w:overflowPunct/>
              <w:topLinePunct w:val="0"/>
              <w:bidi w:val="0"/>
              <w:spacing w:line="288" w:lineRule="auto"/>
              <w:ind w:left="0" w:right="0" w:rightChars="0"/>
              <w:jc w:val="both"/>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磋商报价得分＝（磋商基准价/最后磋商报价）×</w:t>
            </w:r>
            <w:r>
              <w:rPr>
                <w:rFonts w:hint="default" w:ascii="仿宋" w:hAnsi="仿宋" w:eastAsia="仿宋" w:cs="仿宋"/>
                <w:sz w:val="24"/>
                <w:szCs w:val="24"/>
                <w:highlight w:val="none"/>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％×100</w:t>
            </w:r>
          </w:p>
        </w:tc>
      </w:tr>
    </w:tbl>
    <w:p w14:paraId="0E536C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兰米雅宋">
    <w:altName w:val="宋体"/>
    <w:panose1 w:val="02000503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KSOFE8859BCF">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603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方正仿宋_GB2312" w:hAnsi="方正仿宋_GB2312" w:eastAsia="方正仿宋_GB2312" w:cs="方正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兰米雅宋" w:hAnsi="兰米雅宋" w:eastAsia="兰米雅宋" w:cs="兰米雅宋"/>
      <w:szCs w:val="24"/>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2026-08-06T03:10:35Z</dcterms:created>
  <dc:creator>Administrator</dc:creator>
  <cp:lastModifiedBy>东盛</cp:lastModifiedBy>
  <dcterms:modified xsi:type="dcterms:W3CDTF">2026-08-06T03:11:35Z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eyJoZGlkIjoiMDFhNWE1MzE1YTQ0Y2RmMjliMjgyYzUxNGZiMjY0NjEiLCJ1c2VySWQiOiIyMzQzNzUzMCJ9</vt:lpwstr>
  </property>
  <property fmtid="{D5CDD505-2E9C-101B-9397-08002B2CF9AE}" pid="4" name="ICV">
    <vt:lpwstr>AE69B705CEB340F3B7D78E9624505149_12</vt:lpwstr>
  </property>
</Properties>
</file>