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7F5D4">
      <w:p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采购需求</w:t>
      </w:r>
    </w:p>
    <w:p w14:paraId="65E96CA7">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00E80A51">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1.本采购需求中提出的服务方案仅为参考，如无明确限制，供应商可以进行优化，提供满足采购人实际需要的更优（或者性能实质上不低于的）服务方案，且此方案须经磋商小组评审认可。</w:t>
      </w:r>
    </w:p>
    <w:p w14:paraId="5BC84048">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2.下列采购需求中</w:t>
      </w:r>
      <w:r>
        <w:rPr>
          <w:rFonts w:ascii="宋体" w:hAnsi="宋体" w:eastAsia="宋体" w:cs="宋体"/>
          <w:color w:val="auto"/>
          <w:sz w:val="24"/>
          <w:szCs w:val="24"/>
          <w:highlight w:val="none"/>
        </w:rPr>
        <w:t>（包括但不限于下列具体政策要求</w:t>
      </w:r>
      <w:r>
        <w:rPr>
          <w:rFonts w:hint="eastAsia" w:ascii="宋体" w:hAnsi="宋体" w:eastAsia="宋体" w:cs="宋体"/>
          <w:color w:val="auto"/>
          <w:sz w:val="24"/>
          <w:szCs w:val="24"/>
          <w:highlight w:val="none"/>
        </w:rPr>
        <w:t>）</w:t>
      </w:r>
      <w:r>
        <w:rPr>
          <w:rFonts w:hint="eastAsia" w:ascii="宋体" w:hAnsi="宋体" w:eastAsia="宋体"/>
          <w:color w:val="auto"/>
          <w:sz w:val="24"/>
          <w:szCs w:val="18"/>
          <w:highlight w:val="none"/>
        </w:rPr>
        <w:t>：</w:t>
      </w:r>
    </w:p>
    <w:p w14:paraId="43B89559">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供应商所投产品须具有市场监管总局公布的《参与实施政府采购节能产品认证机构目录》中的认证机构出具的、处于有效期内的节能产品认证证书。</w:t>
      </w:r>
    </w:p>
    <w:p w14:paraId="6643BF8A">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供应商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0672717B">
      <w:pPr>
        <w:spacing w:line="360" w:lineRule="auto"/>
        <w:ind w:firstLine="435"/>
        <w:rPr>
          <w:rFonts w:asciiTheme="minorEastAsia" w:hAnsiTheme="minorEastAsia" w:eastAsiaTheme="minorEastAsia"/>
          <w:color w:val="auto"/>
          <w:sz w:val="24"/>
          <w:highlight w:val="none"/>
        </w:rPr>
      </w:pPr>
      <w:r>
        <w:rPr>
          <w:rFonts w:hint="eastAsia" w:ascii="宋体" w:hAnsi="宋体" w:eastAsia="宋体"/>
          <w:color w:val="auto"/>
          <w:sz w:val="24"/>
          <w:szCs w:val="18"/>
          <w:highlight w:val="none"/>
        </w:rPr>
        <w:t>3.如采购人允许采用分包方式履行合同的，应当明确可以分包履行的相关内容。</w:t>
      </w:r>
    </w:p>
    <w:p w14:paraId="11F08B21">
      <w:pPr>
        <w:spacing w:line="360" w:lineRule="auto"/>
        <w:ind w:firstLine="437"/>
        <w:outlineLvl w:val="1"/>
        <w:rPr>
          <w:rFonts w:ascii="宋体" w:hAnsi="宋体" w:eastAsia="宋体"/>
          <w:b/>
          <w:color w:val="auto"/>
          <w:sz w:val="24"/>
          <w:szCs w:val="18"/>
          <w:highlight w:val="none"/>
        </w:rPr>
      </w:pPr>
      <w:bookmarkStart w:id="0" w:name="_Toc7805"/>
      <w:bookmarkStart w:id="1" w:name="_Toc26349"/>
      <w:bookmarkStart w:id="2" w:name="_Toc7699"/>
      <w:bookmarkStart w:id="3" w:name="_Toc1479"/>
      <w:r>
        <w:rPr>
          <w:rFonts w:hint="eastAsia" w:ascii="宋体" w:hAnsi="宋体" w:eastAsia="宋体"/>
          <w:b/>
          <w:color w:val="auto"/>
          <w:sz w:val="24"/>
          <w:szCs w:val="18"/>
          <w:highlight w:val="none"/>
        </w:rPr>
        <w:t>一、采购需求前附表</w:t>
      </w:r>
      <w:bookmarkEnd w:id="0"/>
      <w:bookmarkEnd w:id="1"/>
      <w:bookmarkEnd w:id="2"/>
      <w:bookmarkEnd w:id="3"/>
    </w:p>
    <w:tbl>
      <w:tblPr>
        <w:tblStyle w:val="6"/>
        <w:tblW w:w="50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9" w:type="dxa"/>
          <w:bottom w:w="0" w:type="dxa"/>
          <w:right w:w="79" w:type="dxa"/>
        </w:tblCellMar>
      </w:tblPr>
      <w:tblGrid>
        <w:gridCol w:w="645"/>
        <w:gridCol w:w="1307"/>
        <w:gridCol w:w="6628"/>
      </w:tblGrid>
      <w:tr w14:paraId="6627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87" w:hRule="atLeast"/>
          <w:jc w:val="center"/>
        </w:trPr>
        <w:tc>
          <w:tcPr>
            <w:tcW w:w="703" w:type="dxa"/>
            <w:vAlign w:val="center"/>
          </w:tcPr>
          <w:p w14:paraId="03C661D3">
            <w:pPr>
              <w:pStyle w:val="8"/>
              <w:keepNext w:val="0"/>
              <w:keepLines w:val="0"/>
              <w:pageBreakBefore w:val="0"/>
              <w:widowControl w:val="0"/>
              <w:pBdr>
                <w:bottom w:val="none" w:color="auto" w:sz="0" w:space="0"/>
              </w:pBdr>
              <w:kinsoku/>
              <w:wordWrap/>
              <w:overflowPunct/>
              <w:topLinePunct w:val="0"/>
              <w:autoSpaceDE/>
              <w:autoSpaceDN/>
              <w:bidi w:val="0"/>
              <w:adjustRightInd/>
              <w:snapToGrid/>
              <w:spacing w:line="440" w:lineRule="exact"/>
              <w:textAlignment w:val="auto"/>
              <w:rPr>
                <w:rFonts w:ascii="宋体" w:hAnsi="宋体" w:eastAsia="宋体"/>
                <w:b/>
                <w:color w:val="auto"/>
                <w:kern w:val="2"/>
                <w:highlight w:val="none"/>
              </w:rPr>
            </w:pPr>
            <w:bookmarkStart w:id="4" w:name="_Hlk16461016"/>
            <w:r>
              <w:rPr>
                <w:rFonts w:hint="eastAsia" w:ascii="宋体" w:hAnsi="宋体" w:eastAsia="宋体"/>
                <w:b/>
                <w:color w:val="auto"/>
                <w:kern w:val="2"/>
                <w:highlight w:val="none"/>
              </w:rPr>
              <w:t>序号</w:t>
            </w:r>
          </w:p>
        </w:tc>
        <w:tc>
          <w:tcPr>
            <w:tcW w:w="1425" w:type="dxa"/>
            <w:vAlign w:val="center"/>
          </w:tcPr>
          <w:p w14:paraId="69ECE453">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textAlignment w:val="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7229" w:type="dxa"/>
            <w:vAlign w:val="center"/>
          </w:tcPr>
          <w:p w14:paraId="0E1BC04F">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jc w:val="center"/>
              <w:textAlignment w:val="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553CA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703" w:type="dxa"/>
            <w:vAlign w:val="center"/>
          </w:tcPr>
          <w:p w14:paraId="56F32089">
            <w:pPr>
              <w:pStyle w:val="8"/>
              <w:keepNext w:val="0"/>
              <w:keepLines w:val="0"/>
              <w:pageBreakBefore w:val="0"/>
              <w:widowControl w:val="0"/>
              <w:pBdr>
                <w:bottom w:val="none" w:color="auto" w:sz="0" w:space="0"/>
              </w:pBdr>
              <w:kinsoku/>
              <w:wordWrap/>
              <w:overflowPunct/>
              <w:topLinePunct w:val="0"/>
              <w:autoSpaceDE/>
              <w:autoSpaceDN/>
              <w:bidi w:val="0"/>
              <w:adjustRightInd/>
              <w:snapToGrid/>
              <w:spacing w:line="440" w:lineRule="exact"/>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425" w:type="dxa"/>
            <w:vAlign w:val="center"/>
          </w:tcPr>
          <w:p w14:paraId="623028D9">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7229" w:type="dxa"/>
            <w:vAlign w:val="center"/>
          </w:tcPr>
          <w:p w14:paraId="0DF502E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⑴对供应商为大型企业的项目或者以人工投入为主且实行按月定期 </w:t>
            </w:r>
          </w:p>
          <w:p w14:paraId="6DEB1CE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结算支付款项的项目，采购人确定预付款为合同金额的</w:t>
            </w:r>
            <w:r>
              <w:rPr>
                <w:rFonts w:hint="eastAsia" w:asciiTheme="minorEastAsia" w:hAnsiTheme="minorEastAsia" w:eastAsiaTheme="minorEastAsia"/>
                <w:color w:val="auto"/>
                <w:sz w:val="24"/>
                <w:highlight w:val="none"/>
                <w:u w:val="single"/>
              </w:rPr>
              <w:t xml:space="preserve"> / </w:t>
            </w:r>
            <w:r>
              <w:rPr>
                <w:rFonts w:hint="eastAsia" w:asciiTheme="minorEastAsia" w:hAnsiTheme="minorEastAsia" w:eastAsiaTheme="minorEastAsia"/>
                <w:color w:val="auto"/>
                <w:sz w:val="24"/>
                <w:highlight w:val="none"/>
              </w:rPr>
              <w:t xml:space="preserve">（0-70%）； </w:t>
            </w:r>
          </w:p>
          <w:p w14:paraId="5D24D9D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⑵中小企业合同，采购人确定预付款为合同金额的</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40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 xml:space="preserve">（40%-70%）； </w:t>
            </w:r>
          </w:p>
          <w:p w14:paraId="3A3A146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⑶分年度安排预算的项目，采购人确定每年预付款为当年合同金额的</w:t>
            </w:r>
            <w:r>
              <w:rPr>
                <w:rFonts w:hint="eastAsia" w:asciiTheme="minorEastAsia" w:hAnsiTheme="minorEastAsia" w:eastAsiaTheme="minorEastAsia"/>
                <w:color w:val="auto"/>
                <w:sz w:val="24"/>
                <w:highlight w:val="none"/>
                <w:u w:val="single"/>
              </w:rPr>
              <w:t xml:space="preserve"> / </w:t>
            </w:r>
            <w:r>
              <w:rPr>
                <w:rFonts w:hint="eastAsia" w:asciiTheme="minorEastAsia" w:hAnsiTheme="minorEastAsia" w:eastAsiaTheme="minorEastAsia"/>
                <w:color w:val="auto"/>
                <w:sz w:val="24"/>
                <w:highlight w:val="none"/>
              </w:rPr>
              <w:t>（40%-70%）。</w:t>
            </w:r>
          </w:p>
          <w:p w14:paraId="5A5885F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预付款支付方式：采购人可根据项目特点、供应商诚信等因素，要求供应商提交银行、保险公司、担保公司等金融机构出具的预付款保函或其他担保措施。政府采购预付款在合同、担保措施生效以及具备实施条件后5个工作日内支付。</w:t>
            </w:r>
          </w:p>
          <w:p w14:paraId="19EB5EE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剩余款支付方式：</w:t>
            </w:r>
            <w:r>
              <w:rPr>
                <w:rFonts w:hint="eastAsia" w:asciiTheme="minorEastAsia" w:hAnsiTheme="minorEastAsia" w:eastAsiaTheme="minorEastAsia"/>
                <w:color w:val="auto"/>
                <w:sz w:val="24"/>
                <w:highlight w:val="none"/>
                <w:lang w:val="en-US" w:eastAsia="zh-CN"/>
              </w:rPr>
              <w:t>县档案馆组织开展的档案实体验收、数据成果抽检、数据成果移交，项目验收合格后，采购人收到发票后 7 个工作日内将资金支付到合同约定的供应商账户。</w:t>
            </w:r>
          </w:p>
          <w:p w14:paraId="4ACFDFA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（供应商提交的响应文件中如有关于付款条件的表述与磋商文件规定不符，将被视为实质性不响应，将导致响应无效）</w:t>
            </w:r>
          </w:p>
        </w:tc>
      </w:tr>
      <w:tr w14:paraId="2781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88" w:hRule="atLeast"/>
          <w:jc w:val="center"/>
        </w:trPr>
        <w:tc>
          <w:tcPr>
            <w:tcW w:w="703" w:type="dxa"/>
            <w:vAlign w:val="center"/>
          </w:tcPr>
          <w:p w14:paraId="5609AE7A">
            <w:pPr>
              <w:pStyle w:val="8"/>
              <w:keepNext w:val="0"/>
              <w:keepLines w:val="0"/>
              <w:pageBreakBefore w:val="0"/>
              <w:widowControl w:val="0"/>
              <w:pBdr>
                <w:bottom w:val="none" w:color="auto" w:sz="0" w:space="0"/>
              </w:pBdr>
              <w:kinsoku/>
              <w:wordWrap/>
              <w:overflowPunct/>
              <w:topLinePunct w:val="0"/>
              <w:autoSpaceDE/>
              <w:autoSpaceDN/>
              <w:bidi w:val="0"/>
              <w:adjustRightInd/>
              <w:snapToGrid/>
              <w:spacing w:line="440" w:lineRule="exact"/>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425" w:type="dxa"/>
            <w:vAlign w:val="center"/>
          </w:tcPr>
          <w:p w14:paraId="279D87D4">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服务地点</w:t>
            </w:r>
          </w:p>
        </w:tc>
        <w:tc>
          <w:tcPr>
            <w:tcW w:w="7229" w:type="dxa"/>
            <w:vAlign w:val="center"/>
          </w:tcPr>
          <w:p w14:paraId="0DB6A6B5">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jc w:val="both"/>
              <w:textAlignment w:val="auto"/>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霍邱县境内</w:t>
            </w:r>
          </w:p>
        </w:tc>
      </w:tr>
      <w:tr w14:paraId="673CD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61" w:hRule="atLeast"/>
          <w:jc w:val="center"/>
        </w:trPr>
        <w:tc>
          <w:tcPr>
            <w:tcW w:w="703" w:type="dxa"/>
            <w:vAlign w:val="center"/>
          </w:tcPr>
          <w:p w14:paraId="644BD5D9">
            <w:pPr>
              <w:pStyle w:val="8"/>
              <w:keepNext w:val="0"/>
              <w:keepLines w:val="0"/>
              <w:pageBreakBefore w:val="0"/>
              <w:widowControl w:val="0"/>
              <w:pBdr>
                <w:bottom w:val="none" w:color="auto" w:sz="0" w:space="0"/>
              </w:pBdr>
              <w:kinsoku/>
              <w:wordWrap/>
              <w:overflowPunct/>
              <w:topLinePunct w:val="0"/>
              <w:autoSpaceDE/>
              <w:autoSpaceDN/>
              <w:bidi w:val="0"/>
              <w:adjustRightInd/>
              <w:snapToGrid/>
              <w:spacing w:line="440" w:lineRule="exact"/>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425" w:type="dxa"/>
            <w:vAlign w:val="center"/>
          </w:tcPr>
          <w:p w14:paraId="228044B2">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服务期限</w:t>
            </w:r>
          </w:p>
        </w:tc>
        <w:tc>
          <w:tcPr>
            <w:tcW w:w="7229" w:type="dxa"/>
            <w:vAlign w:val="center"/>
          </w:tcPr>
          <w:p w14:paraId="4C754497">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lang w:val="en-US" w:eastAsia="zh-CN"/>
              </w:rPr>
              <w:t>合同签订之日起120个日历天完成。</w:t>
            </w:r>
          </w:p>
        </w:tc>
      </w:tr>
      <w:tr w14:paraId="7C849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703" w:type="dxa"/>
            <w:vAlign w:val="center"/>
          </w:tcPr>
          <w:p w14:paraId="7E64B323">
            <w:pPr>
              <w:pStyle w:val="8"/>
              <w:keepNext w:val="0"/>
              <w:keepLines w:val="0"/>
              <w:pageBreakBefore w:val="0"/>
              <w:widowControl w:val="0"/>
              <w:pBdr>
                <w:bottom w:val="none" w:color="auto" w:sz="0" w:space="0"/>
              </w:pBdr>
              <w:kinsoku/>
              <w:wordWrap/>
              <w:overflowPunct/>
              <w:topLinePunct w:val="0"/>
              <w:autoSpaceDE/>
              <w:autoSpaceDN/>
              <w:bidi w:val="0"/>
              <w:adjustRightInd/>
              <w:snapToGrid/>
              <w:spacing w:line="440" w:lineRule="exact"/>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425" w:type="dxa"/>
            <w:vAlign w:val="center"/>
          </w:tcPr>
          <w:p w14:paraId="493AD88F">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本项目采购标的名称及所属行业</w:t>
            </w:r>
          </w:p>
        </w:tc>
        <w:tc>
          <w:tcPr>
            <w:tcW w:w="7229" w:type="dxa"/>
            <w:vAlign w:val="center"/>
          </w:tcPr>
          <w:p w14:paraId="3A3BC1D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标的名称：</w:t>
            </w:r>
            <w:r>
              <w:rPr>
                <w:rFonts w:hint="eastAsia" w:asciiTheme="minorEastAsia" w:hAnsiTheme="minorEastAsia" w:eastAsiaTheme="minorEastAsia"/>
                <w:color w:val="auto"/>
                <w:sz w:val="24"/>
                <w:highlight w:val="none"/>
                <w:lang w:eastAsia="zh-CN"/>
              </w:rPr>
              <w:t>霍邱县档案馆档案数字化项目（五期）</w:t>
            </w:r>
          </w:p>
          <w:p w14:paraId="61FEF40D">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ascii="宋体" w:hAnsi="宋体" w:eastAsia="宋体"/>
                <w:b w:val="0"/>
                <w:color w:val="auto"/>
                <w:sz w:val="24"/>
                <w:highlight w:val="none"/>
                <w:u w:val="single"/>
              </w:rPr>
            </w:pPr>
            <w:r>
              <w:rPr>
                <w:rFonts w:hint="eastAsia" w:asciiTheme="minorEastAsia" w:hAnsiTheme="minorEastAsia" w:eastAsiaTheme="minorEastAsia"/>
                <w:color w:val="auto"/>
                <w:sz w:val="24"/>
                <w:highlight w:val="none"/>
              </w:rPr>
              <w:t>所属行业：服务业</w:t>
            </w:r>
          </w:p>
        </w:tc>
      </w:tr>
    </w:tbl>
    <w:p w14:paraId="50172156">
      <w:pPr>
        <w:spacing w:line="240" w:lineRule="auto"/>
        <w:ind w:firstLine="437"/>
        <w:outlineLvl w:val="1"/>
        <w:rPr>
          <w:rFonts w:hint="eastAsia" w:ascii="宋体" w:hAnsi="宋体" w:eastAsia="宋体"/>
          <w:b/>
          <w:color w:val="auto"/>
          <w:sz w:val="24"/>
          <w:szCs w:val="18"/>
          <w:highlight w:val="none"/>
        </w:rPr>
      </w:pPr>
      <w:bookmarkStart w:id="5" w:name="_Toc23116"/>
      <w:bookmarkStart w:id="6" w:name="_Toc8308"/>
      <w:bookmarkStart w:id="7" w:name="_Toc25144"/>
    </w:p>
    <w:bookmarkEnd w:id="4"/>
    <w:bookmarkEnd w:id="5"/>
    <w:bookmarkEnd w:id="6"/>
    <w:bookmarkEnd w:id="7"/>
    <w:p w14:paraId="17517C8A">
      <w:pPr>
        <w:numPr>
          <w:ilvl w:val="0"/>
          <w:numId w:val="0"/>
        </w:numPr>
        <w:spacing w:line="360" w:lineRule="auto"/>
        <w:outlineLvl w:val="1"/>
        <w:rPr>
          <w:rFonts w:hint="eastAsia" w:asciiTheme="minorEastAsia" w:hAnsiTheme="minorEastAsia" w:eastAsiaTheme="minorEastAsia"/>
          <w:b/>
          <w:bCs/>
          <w:color w:val="auto"/>
          <w:sz w:val="24"/>
          <w:highlight w:val="none"/>
        </w:rPr>
      </w:pPr>
      <w:bookmarkStart w:id="8" w:name="_Toc3257"/>
      <w:r>
        <w:rPr>
          <w:rFonts w:hint="eastAsia" w:asciiTheme="minorEastAsia" w:hAnsiTheme="minorEastAsia" w:eastAsiaTheme="minorEastAsia"/>
          <w:b/>
          <w:bCs/>
          <w:color w:val="auto"/>
          <w:sz w:val="24"/>
          <w:highlight w:val="none"/>
          <w:lang w:val="en-US" w:eastAsia="zh-CN"/>
        </w:rPr>
        <w:t>二</w:t>
      </w:r>
      <w:r>
        <w:rPr>
          <w:rFonts w:hint="eastAsia" w:asciiTheme="minorEastAsia" w:hAnsiTheme="minorEastAsia" w:eastAsiaTheme="minorEastAsia"/>
          <w:b/>
          <w:bCs/>
          <w:color w:val="auto"/>
          <w:sz w:val="24"/>
          <w:highlight w:val="none"/>
        </w:rPr>
        <w:t>、项目概况</w:t>
      </w:r>
      <w:bookmarkEnd w:id="8"/>
    </w:p>
    <w:p w14:paraId="416ACFD1">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 xml:space="preserve">霍邱县档案馆馆藏的部分纸质档案数字化加工服务项目，包括但不限于调档交接、档案规范化整理、档案扫描、图像处理、图像存贮、双机条目著录与核改、数据挂接、后期整理装订、质量自检和申验、实体档案归还、数据备份、纸质目录打印装订和移交等环节和内容。本次数字化加工总页数约142万页&lt;A4幅面单页&gt;，目录总条数约42万条，页数和条数均为预估数量，具体加工数量和费用结算根据项目结束验收后的实际数量进行结算。采购预算为：665400.00元； </w:t>
      </w:r>
    </w:p>
    <w:p w14:paraId="0A4C16BF">
      <w:pPr>
        <w:numPr>
          <w:ilvl w:val="0"/>
          <w:numId w:val="0"/>
        </w:numPr>
        <w:spacing w:line="360" w:lineRule="auto"/>
        <w:outlineLvl w:val="1"/>
        <w:rPr>
          <w:rFonts w:hint="eastAsia" w:asciiTheme="minorEastAsia" w:hAnsiTheme="minorEastAsia" w:eastAsiaTheme="minorEastAsia"/>
          <w:b/>
          <w:bCs/>
          <w:color w:val="auto"/>
          <w:sz w:val="24"/>
          <w:highlight w:val="none"/>
          <w:lang w:val="en-US" w:eastAsia="zh-CN"/>
        </w:rPr>
      </w:pPr>
      <w:bookmarkStart w:id="9" w:name="_Toc16068"/>
      <w:bookmarkStart w:id="10" w:name="_Toc17736"/>
      <w:bookmarkStart w:id="11" w:name="_Toc8586"/>
      <w:bookmarkStart w:id="12" w:name="_Toc21757"/>
      <w:r>
        <w:rPr>
          <w:rFonts w:hint="eastAsia" w:asciiTheme="minorEastAsia" w:hAnsiTheme="minorEastAsia" w:eastAsiaTheme="minorEastAsia"/>
          <w:b/>
          <w:bCs/>
          <w:color w:val="auto"/>
          <w:sz w:val="24"/>
          <w:highlight w:val="none"/>
          <w:lang w:val="en-US" w:eastAsia="zh-CN"/>
        </w:rPr>
        <w:t>三、服务需求</w:t>
      </w:r>
      <w:bookmarkEnd w:id="9"/>
      <w:bookmarkEnd w:id="10"/>
      <w:bookmarkEnd w:id="11"/>
      <w:bookmarkEnd w:id="12"/>
    </w:p>
    <w:p w14:paraId="139716E1">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（1）、加工环节要求</w:t>
      </w:r>
    </w:p>
    <w:p w14:paraId="08CEF2F4">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1）调档交接</w:t>
      </w:r>
    </w:p>
    <w:p w14:paraId="3AD52E2A">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成交供应商应指定专人按照与霍邱县档案馆共同制订的计划分批次对需要进行数字化加工的档案进行调档，并与档案馆指定的专人一起做好档案清点交接和移交记录。</w:t>
      </w:r>
    </w:p>
    <w:p w14:paraId="18800D2A">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 xml:space="preserve"> 2）档案规范整理：成交供应商必须按照《归档文件整理规则》（DA/T22—2015）等有关业务规定及霍邱县档案馆有关要求，逐件对拟数字化的档案的涉密性、完整性、有序性、档案整理的规范性等进行检查、纠正，并做好扫描准备工作。</w:t>
      </w:r>
    </w:p>
    <w:p w14:paraId="4916A2BB">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①察看拟扫描的档案有无破损、残缺情况，以及排序混乱、缺页、倒页、漏号、重号、错号等整理不规范现象。如有，应进行登记，并根据有关规定和档案实际情况，进行适当规范化处理。</w:t>
      </w:r>
    </w:p>
    <w:p w14:paraId="7F0514AF">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②在不去除装订物情况下，影响扫描工作进行的档案，应拆除装订物。拆除装订物时应注意保护档案不受损害，不允许裁切档案纸张。</w:t>
      </w:r>
    </w:p>
    <w:p w14:paraId="22C70AB7">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③按要求把扫描件和非扫描件区分开，不扫描的档案应与扫描档案一同著录归档文件目录，并做出相应标识，保持在档案中的原有位置，同扫描档案一同编号、排序。对存在严重破损、污染和字迹褪变等情况的档案，应按照霍邱县档案馆要求采取必要的修补、去污处理和复印等补救措施，并在《档案扫描登记表》中予以标注说明。</w:t>
      </w:r>
    </w:p>
    <w:p w14:paraId="31077985">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④制作并填写纸质档案数字化加工过程交接登记表单，详细记录档案前处理后每份文件的起始页号和页数等情况。</w:t>
      </w:r>
    </w:p>
    <w:p w14:paraId="413E86D9">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⑤对霉变、破损、折皱不平的档案，应当进行技术处理再扫描，档案除霉、托裱、展平等技术处理应符合国家规定，且不得损害档案。</w:t>
      </w:r>
    </w:p>
    <w:p w14:paraId="6EFE27D5">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3）档案扫描</w:t>
      </w:r>
    </w:p>
    <w:p w14:paraId="62A334E5">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①扫描方式：根据档案幅面大小选择相应的扫描设备和方式，主要采用平板扫描方式。对于档案中的“筒子页”，一般应平摊开后进行整幅扫描。大幅页面可分页扫描后，拼接成一页。避免纸张褶皱、撕裂、破损等情况的发生，保证档案不受损。</w:t>
      </w:r>
    </w:p>
    <w:p w14:paraId="3042B3C3">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②扫描色彩模式：档案扫描图像采用24 位真彩式。</w:t>
      </w:r>
    </w:p>
    <w:p w14:paraId="3A15F083">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③扫描分辨率：扫描分辨率一般为 300dpi，对于案卷中出现字迹较小、模糊、较密集等情况，分辨率提高到 600dpi。扫描后的图像应清晰、不失真、完整、不影响图像的利用效果和打印后的效果，扫描图像的打印效果不能低于对应的复印效果。</w:t>
      </w:r>
    </w:p>
    <w:p w14:paraId="689AD986">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④扫描登记：认真填写加工流水表单，登记扫描的页数，核对每份文件的实际扫描页数与档案前处理时填写的文件页数是否一致，不一致时应注明具体原因和处理方法。并提交霍邱县档案馆审核同意后，进行处理。</w:t>
      </w:r>
    </w:p>
    <w:p w14:paraId="08848DBB">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⑤扫描要求：扫描时应认真核对实际扫描页码、页数与前处理时填写的页码、页数是否一致，不一致时应注明具体原因和处理方法。扫描时要保证放纸端正、不压边、不漏扫、错扫，严格确保图像质量，漏扫、压边的要及时补全、补正。图像顺序要与原档案中页码顺序一致，不可颠倒错乱，不可出现多页、重复页或漏页现象。</w:t>
      </w:r>
    </w:p>
    <w:p w14:paraId="0D3BA4DE">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4）图像处理：图像处理后保证图像信息与原档案内容完全一致，不删除页面任何有用信息，包括正文内容、页眉、页脚、手写注释和印鉴等，不裁切纸张部分。不准出现页面内容残缺或将其它页面信息扫入本页的现象。</w:t>
      </w:r>
    </w:p>
    <w:p w14:paraId="099F7E42">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①纠偏：扫描的页面内容基本居中显示，不出现明显偏左或偏右现象。对出现偏斜的图像应进行纠偏处理，图像偏度不得大于1度，视觉上基本无偏差；对方向不正确的图像进行旋转还原，以符合阅读习惯。</w:t>
      </w:r>
    </w:p>
    <w:p w14:paraId="62C742A2">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②去污：对图像页面中出现的影响图像质量的杂质如黑点、黑线、黑框、黑边等要进行去污处理，必要时重新扫描。处理过程中要遵循在不影响可读性和可理解性的前提下展现档案原貌的原则。由于档案本身因陈旧、破损或不洁等造成页面上有污点的，如果在页面视图下无法看清，或该污点嵌在文本行中无法清除，可不予清除。</w:t>
      </w:r>
    </w:p>
    <w:p w14:paraId="618805AC">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③图像拼接：对大幅面档案进行分区扫描形成的多幅图像，要进行拼接处理，合并为一个完整的图像，以保证档案数字化图像的整体性，不能缺少任何信息。</w:t>
      </w:r>
    </w:p>
    <w:p w14:paraId="69DFBC15">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④裁边处理：为节省存储空间，应对图像进行裁边处理，去除多余白边。</w:t>
      </w:r>
    </w:p>
    <w:p w14:paraId="7BD8AC06">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⑤清晰度处理：保证扫描图像字迹清晰、颜色恰当，不宜过浅或过深，不出现字迹笔画残缺或字迹笔画叠合而影响阅读的情况。档案原件存在斑迹变质、颜色过浅、过深或深浅不一致时，保证档案原件能辨认的扫描图像也必须可以辨认。纸张太薄或字体颜色过浓，扫描时倒映反面文字，文字上的污点无法去污时，采取措施保证正文文字可以看清楚。</w:t>
      </w:r>
    </w:p>
    <w:p w14:paraId="7AEB7CFD">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5）图像存储</w:t>
      </w:r>
    </w:p>
    <w:p w14:paraId="16014579">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①存储格式：采用JPG和双层PDF格式存储保存。</w:t>
      </w:r>
    </w:p>
    <w:p w14:paraId="34E98ED3">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②图像文件的命名：存储时应分级建文件夹存储（具体要求由霍邱县档案馆制定）。</w:t>
      </w:r>
    </w:p>
    <w:p w14:paraId="6AC92149">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 xml:space="preserve">    ③文件夹命名：每件档案与其图像文件通过档号加序号和图像文件名的一致性，建立起一一对应关系，为实现档案目录数据与图像文件的对接提供条件。（具体要求由霍邱县档案馆制定）。</w:t>
      </w:r>
    </w:p>
    <w:p w14:paraId="08926CB9">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6）条目著录与核改：参照《档案著录规则》（DA/T18-2022）、《档号编制规则》（DA/T13-2022），结合霍邱县档案馆要求。对档案目录数据进行著录。在录入数据同时做好校对、质检工作，核对著录项目是否完整、著录内容是否规范、准确，发现不合格数据时须进行修改或重录，确保合格率达到100%，并按照采购方要求进行目录的排版、打印，建立档案目录数据库。</w:t>
      </w:r>
    </w:p>
    <w:p w14:paraId="4D75B239">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7）图像数据挂接</w:t>
      </w:r>
    </w:p>
    <w:p w14:paraId="6DC3414B">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①档案数字化转换过程中形成的目录数据库与图像数据库，通过质检环节确认为“合格”后，通过网络及时加载到数据服务器端汇总。通过编制程序或借助相应软件，可实现目录数据对相关联的数字图像的自动搜索、加入对应的电子地址信息等，实现批量、快速挂接。</w:t>
      </w:r>
    </w:p>
    <w:p w14:paraId="25E9C824">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②以纸质档案目录数据库为依据，将每一份纸质档案文件扫描所得的一个或多个图像存储为一份图像文件。将图像文件存储到相应文件夹时，要认真核查每一份图像文件的名称与档案目录数据库中该份文件的档号是否相同，图像文件的页数与档案目录数据库中该份文件的页数是否一致，图像文件的总数与目录数据库中文件的总数是否相同等。通过每一份图像文件的文件名与档案目录数据库中该份文件的档号的一致性和唯一性，建立起一一对应的关联关系，为实现档案目录数据库与图像文件的批量挂接提供条件。</w:t>
      </w:r>
    </w:p>
    <w:p w14:paraId="27F15FB4">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③认真填写纸质档案数字化转换过程交接登记表单，记录数据关联后的页数，核对每一份文件关联后的页数与档案整理、扫描时填写的页数是否一致，不一致时应注明具体原因和处理办法。</w:t>
      </w:r>
    </w:p>
    <w:p w14:paraId="3F4DB3A6">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8）后期档案整理装订</w:t>
      </w:r>
    </w:p>
    <w:p w14:paraId="12D402DD">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在完成扫描后，拆除过装订物的档案应按档案保管的要求重新装订。恢复装订时，要保持档案的排列顺序不变，不得漏页、错页，不压字，装订牢固、不掉页，做到安全、准确、无遗漏。装订不能损害档案原件。装订时应尽量按原有顺序原孔装订，不掉页，右边和底边整齐，左侧不及装订线的要加装订边。</w:t>
      </w:r>
    </w:p>
    <w:p w14:paraId="35B0C381">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9）质量自检和申验</w:t>
      </w:r>
    </w:p>
    <w:p w14:paraId="358C6FD9">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为保证项目总体实施质量，成交供应商在每个全宗的档案数字化加工完成后，对档案实体、数字化各环节和所有数字化成果进行全面检查并形成自检记录，自检合格后提请霍邱县档案馆组织验收。</w:t>
      </w:r>
    </w:p>
    <w:p w14:paraId="01957C34">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10）实体档案归还：</w:t>
      </w:r>
    </w:p>
    <w:p w14:paraId="540C60AC">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成交人应在对需要归还的档案实体逐件、逐盒清点，按数量、状况、顺序等进行检查后向霍邱县档案馆交还。在对实体档案进行自检的过程中如发现丢失、损坏、圈划或涂改等应报霍邱县档案馆进行处理；顺序错误、卷间文件颠倒等情况，要求重新进行处理，合格率要求100%。成交供应商负责所归还档案的回库、上架工作。</w:t>
      </w:r>
    </w:p>
    <w:p w14:paraId="74D59682">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11）纸质目录打印和装订：</w:t>
      </w:r>
    </w:p>
    <w:p w14:paraId="37476AE7">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成交人应对所有数字化加工成果的目录数据进行打印装订成册，并注明全宗、年度、保管期限、题名、文号等要素。</w:t>
      </w:r>
    </w:p>
    <w:p w14:paraId="26A16484">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12）数据成果备份和移交：</w:t>
      </w:r>
    </w:p>
    <w:p w14:paraId="32BAC7C4">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①备份、移交范围：经霍邱县档案馆组织验收合格的完整数据。</w:t>
      </w:r>
    </w:p>
    <w:p w14:paraId="39857DC3">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②备份方式：为保证数据安全，成交供应商须将所有数字化加工数据成果刻录在移动硬盘（刻录叁份）和档案级DVD光盘（刻录叁份）上进行备份，并移交给霍邱县档案馆。数据分别刻录为原始JPG、修正后JPG和双层PDF格式，并刻录相应的说明。</w:t>
      </w:r>
    </w:p>
    <w:p w14:paraId="038F0403">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③备份数据自检：对备份数据进行全面检验，内容主要包括备份数据能否打开、数据信息是否完整、文件数量是否准确等。</w:t>
      </w:r>
    </w:p>
    <w:p w14:paraId="6EB8CC91">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④备份标记：数据备份后应在相应的备份介质上做好标签，以便查找和管理。</w:t>
      </w:r>
    </w:p>
    <w:p w14:paraId="03EE988B">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⑤备份登记：填写纸质档案数字化备份管理登记表单。</w:t>
      </w:r>
    </w:p>
    <w:p w14:paraId="137CE709">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成交供应商应将目录和全文数据向霍邱县档案馆数据库迁移；档案数字化过程中形成的日志、记录等原始记录材料要同步移交，作为项目档案内容进行管理。</w:t>
      </w:r>
    </w:p>
    <w:p w14:paraId="2B2AF619">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13）数字化成果管理：应加强对数字化成果的管理，确保其安全、完整和长期可用。</w:t>
      </w:r>
    </w:p>
    <w:p w14:paraId="694F7AB4">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（2）、加工设备、软件及人员要求</w:t>
      </w:r>
    </w:p>
    <w:p w14:paraId="6FB651E8">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档案前整理所需的档案盒、卷皮，档案数字化加工所需的场地、办公家具、数字化专用服务器（配套数据库）由霍邱县档案馆提供，其他为完成此次采购的所有采购内容所需的一切人员、软硬件设施设备（含大幅图纸扫描仪）、移动硬盘、DVD光盘相关耗材等均由成交供应商提供。</w:t>
      </w:r>
    </w:p>
    <w:p w14:paraId="4E4F7174">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成交供应商在签订合同时成立项目组，成员由具有与本项目类似经验和专业技能的技术骨干组成，包括项目经理（技术经理、实施经理）、程序员、实施工程师、培训售后工程师等相关人员，其管理人员必须进驻现场，全程陪同开展具体工作，负责项目全过程的管理和技术保障，确保项目质量。项目工作人员必须具备一定的档案业务知识和档案整理操作能力及档案数字化加工的实际操作经验。项目工作人员应穿统一工作制服挂牌上岗，人员保持相对稳定，中途不得随意更换。</w:t>
      </w:r>
    </w:p>
    <w:p w14:paraId="1B0020A7">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3）成交供应商方面的人员的交通、食宿和其他方面由成交供应商自行解决。</w:t>
      </w:r>
    </w:p>
    <w:p w14:paraId="051286C4">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4）成交供应商在合同签订后，于规定时间前（具体按照合同要求），将有关设备、人员、材料等总体配备完毕。</w:t>
      </w:r>
    </w:p>
    <w:p w14:paraId="703C101C">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5）档案数字化任务完成后，成交供应商要会同霍邱县档案馆拆除其自带加工设备中的硬盘等存储介质，并将其与数字化过程中使用过的其他移动存储介质一起移交给霍邱县档案馆，并办理相关移交手续。</w:t>
      </w:r>
    </w:p>
    <w:p w14:paraId="56988B57">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（3）、安全管理要求</w:t>
      </w:r>
    </w:p>
    <w:p w14:paraId="5863AAB7">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为确保项目过程中档案实体和信息安全，根据国家有关规定和标准，霍邱县档案馆对成交供应商提出具体安全管理要求如下：</w:t>
      </w:r>
    </w:p>
    <w:p w14:paraId="66D54AC4">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1）制度要求：</w:t>
      </w:r>
    </w:p>
    <w:p w14:paraId="07E04B0A">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①建立档案数字化安全保密制度和保密措施。成交供应商应对工作人员进行安全保密教育和必要的上岗培训，加强管理，并与工作人员签订保密协议，明确规定工作人员安全保密责任、义务，杜绝阅读、摘抄、复制、外泄档案内容。安全保密协议应报送霍邱县档案馆备案。</w:t>
      </w:r>
    </w:p>
    <w:p w14:paraId="19AF59C5">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②制定档案实体交接、数字化加工过程管理、数字化成果验收与交接、存储介质管理、档案实体保护等设计各工种和环节的操作规程或管理制度。</w:t>
      </w:r>
    </w:p>
    <w:p w14:paraId="4F8CD255">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③建立项目管理档案，记录实施档案数字化外包项目的全过程。</w:t>
      </w:r>
    </w:p>
    <w:p w14:paraId="5B6A9C51">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④建立监管机制，杜绝档案实体受损、丢失，杜绝成交供应商擅自复制、留存、使用档案信息的行为。</w:t>
      </w:r>
    </w:p>
    <w:p w14:paraId="1716CBE3">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⑤成交供应商应建立安全岗位责任制，配备专人负责安全保密工作。</w:t>
      </w:r>
    </w:p>
    <w:p w14:paraId="35F53DD7">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⑥成交供应商必须积极支持、配合霍邱县档案馆的安全保密检查。</w:t>
      </w:r>
    </w:p>
    <w:p w14:paraId="04BC054E">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2）场所场地要求：</w:t>
      </w:r>
    </w:p>
    <w:p w14:paraId="0329C8AC">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①档案扫描工作必须在霍邱县档案馆指定的场所内进行，由霍邱县档案馆配备满足安全管理需要的视频监控设备，确保档案暂存处、数字化加工工位、服务器、数据导出端及门窗等无监控死角；视频监控数据自产生之日起保存不少于6个月；霍邱县档案馆定期对视频监控数据进行回放检查。</w:t>
      </w:r>
    </w:p>
    <w:p w14:paraId="130CA0B2">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②数字化加工场所须封断所有档案数字化加工设备的无线网络功能，并定期进行相关检测。</w:t>
      </w:r>
    </w:p>
    <w:p w14:paraId="1559E622">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③数字化工作人员存放随身物品要有专用储物箱柜，并与档案装具分区放置；数字化加工场所不得有非工作需要的私人物品，包括照相机、摄像机、手机、录音机、笔记本电脑、平板电脑等各类电子设备和各类移动存储介质；严禁擅自将数字化加工场所内的物品带离现场。</w:t>
      </w:r>
    </w:p>
    <w:p w14:paraId="76153B5C">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④工作人员要挂牌上岗，接受身份核查登记和安全检查，严禁无关人员进入数字化加工场所。</w:t>
      </w:r>
    </w:p>
    <w:p w14:paraId="242A67B4">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⑤工作人员不得在数字化加工场所内从事与数字化无关的活动，严禁在数字化加工区内喝水、进食、吸烟等，严禁携带火种进入数字化加工场所。</w:t>
      </w:r>
    </w:p>
    <w:p w14:paraId="73BC1645">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⑥成交供应商应指定有关人员经常对数字化加工场所进行巡查，确保有关数字化加工和管理的各项规章制度和操作规范得到切实贯彻和执行。</w:t>
      </w:r>
    </w:p>
    <w:p w14:paraId="0E745500">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⑦不得在工作场所使用与工作无关的任何电器设备。</w:t>
      </w:r>
    </w:p>
    <w:p w14:paraId="20E25060">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3）设备环境要求：</w:t>
      </w:r>
    </w:p>
    <w:p w14:paraId="53417BF9">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①成交供应商应当对项目设备进行必要的安全检查。档案数字化加工使用的计算机、扫描仪等设备，必须采用技术手段或专业物理设备封闭所有不必要的信息输出装置或端口，如 USB 接口、红外线、蓝牙、SCSI 接口、光驱接口等，封闭的装置或端口要定期进行检查。</w:t>
      </w:r>
    </w:p>
    <w:p w14:paraId="3E20BEAA">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②档案数字化加工过程中使用正版软件。除必要的操作系统、杀毒软件、加工软件和第三方安全管理软件外，档案数字化加工计算机不允许安装任何与加工无关的软件。</w:t>
      </w:r>
    </w:p>
    <w:p w14:paraId="444666E8">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③档案数字化加工网络要与其他网络物理隔离，禁止使用无线网卡、无线键盘、无线鼠标等设备。</w:t>
      </w:r>
    </w:p>
    <w:p w14:paraId="0DBF6F41">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④档案数字化加工网络环境中应配备具有权限管理、设备管理、端口管理、日志管理和安全审计等功能的数字化加工安全保护系统，准确记录授权用户的访问行为、设备接入和电子档案信息流向等信息。各操作均有日志记录：用户登录操作日志；用户文件传输操作日志；系统管理员操作日志；刻录光盘日志；文件上传日志；网络访问日志等。</w:t>
      </w:r>
    </w:p>
    <w:p w14:paraId="29E5DA0A">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⑤档案数字化加工系统应具备流程定义、任务分配、过程跟踪、质量检测、成品制作、数据验收、数据备份管理等功能，并分别设置管理员、保密员、审计员，实行“三员分离”。</w:t>
      </w:r>
    </w:p>
    <w:p w14:paraId="6EDCCF13">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⑥档案数字化加工过程中，成交供应商原则上不得使用霍邱县档案馆提供的移动硬盘之外的移动存储介质，如不得不使用，需经霍邱县档案馆同意，并逐一进行检查、登记。数字化工作完成后，使用的所有移动存储介质必须交由霍邱县档案馆统一保管或销毁，严禁擅自带走。霍邱县档案馆将对成交供应商所用的自带设备进行检查，以确保其设备中无信息留存。凡存有信息的，必须作清除信息的安全处理。分批验收进行数据移交时，工作站上的数据必须在霍邱县档案馆工作人员的现场监督下销毁。</w:t>
      </w:r>
    </w:p>
    <w:p w14:paraId="4EF7030E">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⑦用于档案数字化加工的设备和存储介质严禁与其他设备和存储介质交叉使用，非数字化专用的设备和存储介质严禁带入数字化加工场所。</w:t>
      </w:r>
    </w:p>
    <w:p w14:paraId="0DEF3602">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⑧档案数字化过程中使用的移动存储介质和刻录设备应指定专人保管，并对使用情况进行记录。档案数字化成果的拷贝和刻录应相对集中。应指定专人负责移动存储介质数量的清点，成交供应商完成拷贝或刻录的数据介质（包括损坏的数据介质）应及时交接给霍邱县档案馆指定的人员，并办理交接手续。</w:t>
      </w:r>
    </w:p>
    <w:p w14:paraId="711DCB03">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⑨档案数字化设备和存储介质不得擅自送外维修，必须送外维修的应办理书面审批手续，并由霍邱县档案馆人员现场监督。</w:t>
      </w:r>
    </w:p>
    <w:p w14:paraId="394AD167">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4）档案实体管理要求：</w:t>
      </w:r>
    </w:p>
    <w:p w14:paraId="109CD8A8">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①成交供应商应按照工作计划分批调档，并进行清点、核对，与霍邱县档案馆确认准确无误后填写档案交接清单一式两份，注明交接档案的内容、数量、状况、交接时间和经办人等。</w:t>
      </w:r>
    </w:p>
    <w:p w14:paraId="5E697D8C">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②成交供应商在数字化加工生产过程中，必须确保所有档案实体安全，确保所有档案不被损伤、销毁、丢失、窃取、删除、更改、摘抄、公布、出版，不被未经档案馆同意或授权的组织或个人接触、复制和使用，出现以上情形的，将依照有关规定追究有关人员责任。</w:t>
      </w:r>
    </w:p>
    <w:p w14:paraId="5F41735B">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③档案数字化过程中要建立档案流程单，流程单包括档号、加工工序、设备编号、数量、经手人、加工时间等，数字化加工过程中档案流程单应与档案实体同步流转。</w:t>
      </w:r>
    </w:p>
    <w:p w14:paraId="2A152B8A">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④正在进行数字化加工的档案必须每天入库（柜），不得在加工工位上留存过夜。</w:t>
      </w:r>
    </w:p>
    <w:p w14:paraId="4D63A787">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⑤数字化档案要专人专柜保管，数字化加工完毕的档案要及时归还入库、上架。</w:t>
      </w:r>
    </w:p>
    <w:p w14:paraId="138B4075">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⑥整理过程中剔出的文件材料应在验收合格后进行登记并全部移交霍邱县档案馆，成交供应商不得藏匿、丢弃和擅自销毁。</w:t>
      </w:r>
    </w:p>
    <w:p w14:paraId="3F1CF339">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（4）、验收要求</w:t>
      </w:r>
    </w:p>
    <w:p w14:paraId="50880571">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项目验收主要包括县档案馆组织开展的档案实体验收、数据成果抽检、数据成果移交和项目验收等。</w:t>
      </w:r>
    </w:p>
    <w:p w14:paraId="38E06910">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1）档案实体验收：</w:t>
      </w:r>
    </w:p>
    <w:p w14:paraId="03A32D21">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成交供应商应在每个全宗档案的数字化加工和自检全部完成后，向霍邱县档案馆归还交接档案，归交采取逐件交接的方式进行。</w:t>
      </w:r>
    </w:p>
    <w:p w14:paraId="49E52F3F">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①数量核查：要求数量准确无误。</w:t>
      </w:r>
    </w:p>
    <w:p w14:paraId="39F97BC6">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②档案前处理和还原质量检查：要求档案拆除装订物后需按原位置装订，件与件的顺序、件内顺序按原页码排列，页面无损毁，涂改、破损、丢失，对破损、模糊材料采取了补救措施。档案前处理和还原质量如有问题，应及时返工进行补救。</w:t>
      </w:r>
    </w:p>
    <w:p w14:paraId="614CC06E">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档案实体验收过程中如发现档案丢失、损坏、圈划或涂改等将追究法律责任；顺序错误、装订不符要求、件内文件材料颠倒等作为差错，合格率达到100%方予以验收通过。验收不通过的档案应返回整改直至合格。</w:t>
      </w:r>
    </w:p>
    <w:p w14:paraId="05F30219">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数据成果抽检:</w:t>
      </w:r>
    </w:p>
    <w:p w14:paraId="385423E2">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成交供应商以全宗单位向霍邱县档案馆提交已完成数字化的档案数据（目录数据、图像文件及数据挂接等），提交验收必须以成交供应商自检合格为前提。霍邱县档案馆根据成交方验收申请，组织专业人员按照《霍邱县档案馆纸质档案数字化加工验收标准》，对提交的档案数字化成果通过数量、完整性、准确性、可用性和安全性等检测。验收按照不低于10%的比例进行检查，具体质检目标如下：</w:t>
      </w:r>
    </w:p>
    <w:p w14:paraId="7CD4605B">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目录核对：合格率达到100%。</w:t>
      </w:r>
    </w:p>
    <w:p w14:paraId="668F3C85">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扫描图像：漏扫率、重扫率为0，合格率达到 100%以上。</w:t>
      </w:r>
    </w:p>
    <w:p w14:paraId="0A69042A">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档号、控制符、目录与图像的挂接：挂接正确率达到 100%。</w:t>
      </w:r>
    </w:p>
    <w:p w14:paraId="321EC27B">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其他：合格率达到98%以上（含98%）。</w:t>
      </w:r>
    </w:p>
    <w:p w14:paraId="7CE6D930">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验收过程中填写《纸质档案数字化验收登记表》，做好验收记录。验收通过的，可进入移交环节。检查不合格，抽检批次内档案全部返回重新加工。成交供应商应及时对返回的产品无偿予以纠正，并在自检合格后，提交霍邱县档案馆进行复验，同一批数据的复验只组织一次。对于复验仍不通过的，霍邱县档案馆有权根据合同规定追究成交供应商违约责任。</w:t>
      </w:r>
    </w:p>
    <w:p w14:paraId="0CE28D17">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预作样品及据样验收:成交供应商应先期完成至少2000件且不少于 5 万页档案数字化加工样品，并将样品数据交由霍邱县档案馆预检，若预检合格，则固定样品数据，之后所有档案数字化加工成品按照样品标准验收。若预检不合格，按合同规定执行。</w:t>
      </w:r>
    </w:p>
    <w:p w14:paraId="74D076DC">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3）数据移交：验收通过后，成交供应商以全宗为单位按照本标书“加工环节要求”中“数据备份和移交”的要求完成此次采购所有内容的备份和移交工作。</w:t>
      </w:r>
    </w:p>
    <w:p w14:paraId="41659DDB">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rPr>
      </w:pPr>
    </w:p>
    <w:p w14:paraId="049FC4E0">
      <w:pPr>
        <w:numPr>
          <w:ilvl w:val="0"/>
          <w:numId w:val="0"/>
        </w:numPr>
        <w:spacing w:line="360" w:lineRule="auto"/>
        <w:outlineLvl w:val="1"/>
        <w:rPr>
          <w:rFonts w:hint="eastAsia" w:asciiTheme="minorEastAsia" w:hAnsiTheme="minorEastAsia" w:eastAsiaTheme="minorEastAsia"/>
          <w:b/>
          <w:bCs/>
          <w:color w:val="auto"/>
          <w:sz w:val="24"/>
          <w:highlight w:val="none"/>
          <w:lang w:val="en-US" w:eastAsia="zh-CN"/>
        </w:rPr>
      </w:pPr>
      <w:bookmarkStart w:id="13" w:name="_Toc18052"/>
      <w:bookmarkStart w:id="14" w:name="_Toc21334"/>
      <w:bookmarkStart w:id="15" w:name="_Toc32239"/>
      <w:bookmarkStart w:id="16" w:name="_Toc12910"/>
      <w:r>
        <w:rPr>
          <w:rFonts w:hint="eastAsia" w:asciiTheme="minorEastAsia" w:hAnsiTheme="minorEastAsia" w:eastAsiaTheme="minorEastAsia"/>
          <w:b/>
          <w:bCs/>
          <w:color w:val="auto"/>
          <w:sz w:val="24"/>
          <w:highlight w:val="none"/>
          <w:lang w:val="en-US" w:eastAsia="zh-CN"/>
        </w:rPr>
        <w:t>四、报价要求</w:t>
      </w:r>
      <w:bookmarkEnd w:id="13"/>
      <w:bookmarkEnd w:id="14"/>
      <w:bookmarkEnd w:id="15"/>
      <w:bookmarkEnd w:id="16"/>
    </w:p>
    <w:p w14:paraId="27D790C4">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bookmarkStart w:id="17" w:name="_Toc3530"/>
      <w:bookmarkStart w:id="18" w:name="_Toc32125"/>
      <w:bookmarkStart w:id="19" w:name="_Toc23590"/>
      <w:r>
        <w:rPr>
          <w:rFonts w:hint="eastAsia" w:asciiTheme="minorEastAsia" w:hAnsiTheme="minorEastAsia" w:eastAsiaTheme="minorEastAsia"/>
          <w:color w:val="auto"/>
          <w:sz w:val="24"/>
          <w:highlight w:val="none"/>
          <w:lang w:val="en-US" w:eastAsia="zh-CN"/>
        </w:rPr>
        <w:t>本项目报总价不得高于本项目最高限价，报价为完成本项目所须一切费用，成交后采购人不再调整费用。</w:t>
      </w:r>
    </w:p>
    <w:p w14:paraId="6425034A">
      <w:pPr>
        <w:numPr>
          <w:ilvl w:val="0"/>
          <w:numId w:val="0"/>
        </w:numPr>
        <w:spacing w:line="360" w:lineRule="auto"/>
        <w:outlineLvl w:val="1"/>
        <w:rPr>
          <w:rFonts w:hint="eastAsia" w:asciiTheme="minorEastAsia" w:hAnsiTheme="minorEastAsia" w:eastAsiaTheme="minorEastAsia"/>
          <w:b/>
          <w:bCs/>
          <w:color w:val="auto"/>
          <w:sz w:val="24"/>
          <w:highlight w:val="none"/>
          <w:lang w:val="en-US" w:eastAsia="zh-CN"/>
        </w:rPr>
      </w:pPr>
      <w:bookmarkStart w:id="20" w:name="_Toc700"/>
      <w:r>
        <w:rPr>
          <w:rFonts w:hint="eastAsia" w:asciiTheme="minorEastAsia" w:hAnsiTheme="minorEastAsia" w:eastAsiaTheme="minorEastAsia"/>
          <w:b/>
          <w:bCs/>
          <w:color w:val="auto"/>
          <w:sz w:val="24"/>
          <w:highlight w:val="none"/>
          <w:lang w:val="en-US" w:eastAsia="zh-CN"/>
        </w:rPr>
        <w:t>五、其他要求</w:t>
      </w:r>
      <w:bookmarkEnd w:id="17"/>
      <w:bookmarkEnd w:id="18"/>
      <w:bookmarkEnd w:id="19"/>
      <w:bookmarkEnd w:id="20"/>
    </w:p>
    <w:p w14:paraId="6702552F">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1）本项目所有技术要求和标准，以合同规定为最后依据；霍邱县档案馆有权根据实际情况调整档案整理及前处理的方法和标准；</w:t>
      </w:r>
    </w:p>
    <w:p w14:paraId="0D9F12BE">
      <w:pPr>
        <w:numPr>
          <w:ilvl w:val="0"/>
          <w:numId w:val="0"/>
        </w:numPr>
        <w:spacing w:line="360" w:lineRule="auto"/>
        <w:ind w:firstLine="480" w:firstLineChars="200"/>
        <w:outlineLvl w:val="1"/>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2）项目付款金额，以验收合格后实际加工的档案实际数量计算。</w:t>
      </w:r>
    </w:p>
    <w:p w14:paraId="0B95757E">
      <w:bookmarkStart w:id="21" w:name="_GoBack"/>
      <w:bookmarkEnd w:id="2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15415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w:basedOn w:val="3"/>
    <w:next w:val="1"/>
    <w:unhideWhenUsed/>
    <w:qFormat/>
    <w:uiPriority w:val="99"/>
    <w:pPr>
      <w:ind w:firstLine="420" w:firstLineChars="100"/>
    </w:pPr>
  </w:style>
  <w:style w:type="paragraph" w:styleId="3">
    <w:name w:val="Body Text"/>
    <w:basedOn w:val="1"/>
    <w:next w:val="4"/>
    <w:qFormat/>
    <w:uiPriority w:val="0"/>
    <w:pPr>
      <w:spacing w:after="120"/>
    </w:pPr>
    <w:rPr>
      <w:rFonts w:ascii="@微软简标宋" w:hAnsi="@微软简标宋" w:eastAsia="@微软简标宋" w:cs="@微软简标宋"/>
      <w:szCs w:val="24"/>
      <w:lang w:val="zh-CN"/>
    </w:rPr>
  </w:style>
  <w:style w:type="paragraph" w:customStyle="1" w:styleId="4">
    <w:name w:val="目录 71"/>
    <w:basedOn w:val="1"/>
    <w:next w:val="1"/>
    <w:qFormat/>
    <w:uiPriority w:val="0"/>
    <w:pPr>
      <w:ind w:left="2520"/>
    </w:pPr>
    <w:rPr>
      <w:rFonts w:ascii="Calibri"/>
    </w:rPr>
  </w:style>
  <w:style w:type="paragraph" w:styleId="5">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customStyle="1" w:styleId="8">
    <w:name w:val="D&amp;L"/>
    <w:basedOn w:val="5"/>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9">
    <w:name w:val="xl31"/>
    <w:basedOn w:val="1"/>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2026-08-12T09:07:43Z</dcterms:created>
  <dc:creator>Administrator</dc:creator>
  <cp:lastModifiedBy>Administrator</cp:lastModifiedBy>
  <dcterms:modified xsi:type="dcterms:W3CDTF">2026-08-12T09:08:53Z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eyJoZGlkIjoiZjJmZTYxNzFkM2Q1MDA2YWViNzA2ZGRmOWUwNmRhOTkiLCJ1c2VySWQiOiIzODA5NDA0NDUifQ==</vt:lpwstr>
  </property>
  <property fmtid="{D5CDD505-2E9C-101B-9397-08002B2CF9AE}" pid="4" name="ICV">
    <vt:lpwstr>B62D92F26D144975882DB5AC5B8C69A1_12</vt:lpwstr>
  </property>
</Properties>
</file>