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C6A3E">
      <w:pPr>
        <w:spacing w:line="360" w:lineRule="auto"/>
        <w:ind w:firstLine="435"/>
        <w:outlineLvl w:val="2"/>
        <w:rPr>
          <w:rFonts w:asciiTheme="minorEastAsia" w:hAnsiTheme="minorEastAsia" w:eastAsiaTheme="minorEastAsia"/>
          <w:b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b/>
          <w:color w:val="auto"/>
          <w:sz w:val="24"/>
          <w:highlight w:val="none"/>
        </w:rPr>
        <w:t>2.2综合评分</w:t>
      </w:r>
    </w:p>
    <w:p w14:paraId="09E4560A">
      <w:pPr>
        <w:spacing w:line="360" w:lineRule="auto"/>
        <w:ind w:firstLine="435"/>
        <w:rPr>
          <w:rFonts w:asciiTheme="minorEastAsia" w:hAnsiTheme="minorEastAsia" w:eastAsia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.1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磋商小组按照下表对</w:t>
      </w:r>
      <w:r>
        <w:rPr>
          <w:rFonts w:hint="eastAsia" w:ascii="宋体" w:hAnsi="宋体" w:eastAsia="宋体"/>
          <w:color w:val="auto"/>
          <w:sz w:val="24"/>
          <w:highlight w:val="none"/>
        </w:rPr>
        <w:t>进入综合评分的所有供应商的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响应文件进行综合评分。</w:t>
      </w:r>
    </w:p>
    <w:p w14:paraId="7BFE94AF">
      <w:pPr>
        <w:spacing w:line="360" w:lineRule="auto"/>
        <w:ind w:firstLine="435"/>
        <w:rPr>
          <w:color w:val="auto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.2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本项目综合评分满分为1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00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分，其中：技术资信分值占总分值的权重为</w:t>
      </w:r>
      <w:r>
        <w:rPr>
          <w:rFonts w:asciiTheme="minorEastAsia" w:hAnsiTheme="minorEastAsia" w:eastAsiaTheme="minorEastAsia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90</w:t>
      </w:r>
      <w:r>
        <w:rPr>
          <w:rFonts w:asciiTheme="minorEastAsia" w:hAnsiTheme="minorEastAsia" w:eastAsiaTheme="minorEastAsia"/>
          <w:color w:val="auto"/>
          <w:sz w:val="24"/>
          <w:highlight w:val="none"/>
          <w:u w:val="single"/>
        </w:rPr>
        <w:t xml:space="preserve"> 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%，价格分值占总分值的权重为</w:t>
      </w:r>
      <w:r>
        <w:rPr>
          <w:rFonts w:asciiTheme="minorEastAsia" w:hAnsiTheme="minorEastAsia" w:eastAsiaTheme="minorEastAsia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  <w:u w:val="single"/>
          <w:lang w:val="en-US" w:eastAsia="zh-CN"/>
        </w:rPr>
        <w:t>10</w:t>
      </w:r>
      <w:r>
        <w:rPr>
          <w:rFonts w:asciiTheme="minorEastAsia" w:hAnsiTheme="minorEastAsia" w:eastAsiaTheme="minorEastAsia"/>
          <w:color w:val="auto"/>
          <w:sz w:val="24"/>
          <w:highlight w:val="none"/>
          <w:u w:val="single"/>
        </w:rPr>
        <w:t xml:space="preserve"> 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%。具体评分细则如下：</w:t>
      </w:r>
    </w:p>
    <w:tbl>
      <w:tblPr>
        <w:tblStyle w:val="5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1" w:type="dxa"/>
          <w:bottom w:w="28" w:type="dxa"/>
          <w:right w:w="51" w:type="dxa"/>
        </w:tblCellMar>
      </w:tblPr>
      <w:tblGrid>
        <w:gridCol w:w="1183"/>
        <w:gridCol w:w="1074"/>
        <w:gridCol w:w="6369"/>
        <w:gridCol w:w="747"/>
      </w:tblGrid>
      <w:tr w14:paraId="0EAF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789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DF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6890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评分内容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A501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评分标准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8989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分值范围</w:t>
            </w:r>
          </w:p>
        </w:tc>
      </w:tr>
      <w:tr w14:paraId="01A2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433" w:hRule="atLeast"/>
          <w:jc w:val="center"/>
        </w:trPr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40DA4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技术标分</w:t>
            </w:r>
          </w:p>
          <w:p w14:paraId="153EAC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>90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128AB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业绩经验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24812B">
            <w:pPr>
              <w:pStyle w:val="2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供应商具有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业绩，每提供1个业绩合同得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分，满分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  <w:p w14:paraId="2145B8A5">
            <w:pPr>
              <w:pStyle w:val="2"/>
              <w:ind w:firstLine="0" w:firstLineChars="0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业绩须结合本项目需求“纸质档案数字化加工服务项目”来认定；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响应文件中提供合同及项目验收报告扫描件，扫描件应能清晰反映合同双方单位名称、公章信息，签订时间，否则不得分</w:t>
            </w: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。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2E8A36"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3CA2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455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AF47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835FF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企业实力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0B4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供应商具有有效的质量管理体系认证证书、环境管理体系认证证书、职业健康安全管理体系认证证书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每提供一项认证得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分，满分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  <w:p w14:paraId="22F9EF3C">
            <w:pPr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注：须提供证书原件扫描件，并附全国认证认可信息公共服务平台网站查询截图，否则不得分。</w:t>
            </w:r>
          </w:p>
          <w:p w14:paraId="63C1594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2、供应商具有有助于本项目顺利实施的软件产品。每提供一个得2分，满分10分。</w:t>
            </w:r>
          </w:p>
          <w:p w14:paraId="503B74EB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注：软件产品为自有或购买均可，但必须具备在档案数字化加工环节中的辅助功能，如图像批量处理及自动纠偏等。如为自有，响应文件中提供自有的相关证明材料；若为购买所得，则响应文件中提供购买发票或其他证明材料。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7668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3EC9E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425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AF93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251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人员配备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86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1、供应商拟为本项目配备的项目经理（1人）：具有人社部颁发的档案类中级及以上职称的，得5分；具有类似业绩的，每提供一个得3分，满分9分；本项满分14分。</w:t>
            </w:r>
          </w:p>
          <w:p w14:paraId="0C79CB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2、供应商拟为本项目配备的技术负责人（1人）具有人力资源和社会保障部颁发的档案专业中级及以上职称证书的，得3分；具有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计算机技术与软件专业技术初级及以上资格的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，得2分；本项满分5分。</w:t>
            </w:r>
          </w:p>
          <w:p w14:paraId="3B9899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3、供应商拟为本项目配备的项目团队成员（不含项目经理、项目技术负责人）具有档案专业技术人员继续教育培训证书，每提供1人得2分，本项满分12分。</w:t>
            </w:r>
          </w:p>
          <w:p w14:paraId="314C96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注：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项目经理业绩须结合本项目需求“纸质档案数字化加工服务项目”来认定；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响应文件中须提供项目团队成员名单，拟派上述人员相关证书的清晰扫描件。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、以上证书的人员不能重复使用，同一人员只计一次得分。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.响应文件中须提供供应商与项目经理、技术负责人签订的劳动合同，否则对应分不得。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68B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2B335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41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D636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A062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安全保密</w:t>
            </w:r>
          </w:p>
          <w:p w14:paraId="66BFC8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措施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2F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供应商根据项目实际需求，制定的安全保密措施至少包含下列内容：</w:t>
            </w:r>
          </w:p>
          <w:p w14:paraId="144256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①场地部署方案；</w:t>
            </w:r>
          </w:p>
          <w:p w14:paraId="6C9A89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②保密管理制度；</w:t>
            </w:r>
          </w:p>
          <w:p w14:paraId="1BD3E5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③数字化成果管理制度；</w:t>
            </w:r>
          </w:p>
          <w:p w14:paraId="0360D2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④企业内部管理制度；</w:t>
            </w:r>
          </w:p>
          <w:p w14:paraId="17DAA6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⑤人员安全教育及培训方案；</w:t>
            </w:r>
          </w:p>
          <w:p w14:paraId="3D5199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根据供应商提供的方案中针对上述各小项内容的体现情况，由磋商小组按顺序分别进行评审：</w:t>
            </w:r>
          </w:p>
          <w:p w14:paraId="614AB3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（1）方案中该小项内容贴合项目实际需求，完整详细，可行性、实用性、针对性强，得1分；</w:t>
            </w:r>
          </w:p>
          <w:p w14:paraId="38AA3B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（2）方案中该小项内容与项目实际需求有待改进提升，可行性、实用性、针对性有待改善，得0.5分；</w:t>
            </w:r>
          </w:p>
          <w:p w14:paraId="41FCD2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(3)方案不可行或者未提供得0分。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9B690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1F60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41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ABBEC3">
            <w:pPr>
              <w:spacing w:line="36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A6E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档案管理方案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9F1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供应商应深入理解本项目业务内容,根据项目实际需求，提出项目档案管理方案至少包含下列内容：①项目实施难点及相应解决方案；</w:t>
            </w:r>
          </w:p>
          <w:p w14:paraId="7CEDCFE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②项目管理人员配备，责任分工；</w:t>
            </w:r>
          </w:p>
          <w:p w14:paraId="104CE6B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③整体加工服务流程及整体工作部署；</w:t>
            </w:r>
          </w:p>
          <w:p w14:paraId="5CF29D8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④数字化加工技术方案：包括档案整理及数字化扫描前处理、档案扫描、图像处理、图像存储、档案著录数据录入、数据挂接、索引建立、数据质检、数字化成果管理、数据提交等环节；</w:t>
            </w:r>
          </w:p>
          <w:p w14:paraId="7705D97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⑤质量控制以及差错率防范措施；</w:t>
            </w:r>
          </w:p>
          <w:p w14:paraId="1598F04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根据供应商提供的方案中针对上述各小项内容的体现情况，由磋商小组按顺序分别进行评审：</w:t>
            </w:r>
          </w:p>
          <w:p w14:paraId="66FCE18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（1）方案中该小项内容贴合项目实际需求，完整详细，可行性、实用性、针对性强，得1分；</w:t>
            </w:r>
          </w:p>
          <w:p w14:paraId="38DD2CC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（2）方案中该小项内容与项目实际需求有待改进提升，可行性、实用性、针对性有待改善，得0.5分；</w:t>
            </w:r>
          </w:p>
          <w:p w14:paraId="7C1E502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（3）方案不可行或者未提供得0分。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00F32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1C778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41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2F8B0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1A2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质量保障措施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B83C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供应商根据项目实际需求，制定的质量保障措施至少包含下列内容：</w:t>
            </w:r>
          </w:p>
          <w:p w14:paraId="357ECFE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①项目实施进度保障措施</w:t>
            </w:r>
          </w:p>
          <w:p w14:paraId="088860B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②项目质检保障措施</w:t>
            </w:r>
          </w:p>
          <w:p w14:paraId="05A576E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③管理制度保障措施</w:t>
            </w:r>
          </w:p>
          <w:p w14:paraId="4342EAD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④人员设备保障措施</w:t>
            </w:r>
          </w:p>
          <w:p w14:paraId="10F94C2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⑤实体档案保护保障措施</w:t>
            </w:r>
          </w:p>
          <w:p w14:paraId="2601D8C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根据供应商提供的方案中针对上述各小项内容的体现情况，由磋商小组按顺序分别进行评审：</w:t>
            </w:r>
          </w:p>
          <w:p w14:paraId="3B1F094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（1）方案中该小项内容贴合项目实际需求，完整详细，可行性、实用性、针对性强，得1分；</w:t>
            </w:r>
          </w:p>
          <w:p w14:paraId="6030DAA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（2）方案中该小项内容与项目实际需求有待改进提升，可行性、实用性、针对性有待改善，得0.5分；</w:t>
            </w:r>
          </w:p>
          <w:p w14:paraId="7CCC2D1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（3）方案不可行或者未提供得0分。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BA28D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0DDB0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41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14BAA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BC0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人员管理方案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CAC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供应商根据项目实际需求，制定的人员管理方案至少包含下列内容：</w:t>
            </w:r>
          </w:p>
          <w:p w14:paraId="78EE070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①人员配备方案</w:t>
            </w:r>
          </w:p>
          <w:p w14:paraId="128DAD0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②人员从业经验</w:t>
            </w:r>
          </w:p>
          <w:p w14:paraId="35BAC36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③人员技术条件</w:t>
            </w:r>
          </w:p>
          <w:p w14:paraId="096E7EA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④人员管理规章制度</w:t>
            </w:r>
          </w:p>
          <w:p w14:paraId="6CB7689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⑤人员培训方案</w:t>
            </w:r>
          </w:p>
          <w:p w14:paraId="7D7E098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根据供应商提供的方案中针对上述各小项内容的体现情况，由磋商小组按顺序分别进行评审：</w:t>
            </w:r>
          </w:p>
          <w:p w14:paraId="53B2C3F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（1）方案中该小项内容贴合项目实际需求，完整详细，可行性、实用性、针对性强，得1分；</w:t>
            </w:r>
          </w:p>
          <w:p w14:paraId="4687476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（2）方案中该小项内容与项目实际需求有待改进提升，可行性、实用性、针对性有待改善，得0.5分；</w:t>
            </w:r>
          </w:p>
          <w:p w14:paraId="7C50531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（3）方案不可行或者未提供得0分。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A37B1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1508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41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9E031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6FDB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售后服务</w:t>
            </w:r>
          </w:p>
          <w:p w14:paraId="11AEB38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方案</w:t>
            </w:r>
          </w:p>
        </w:tc>
        <w:tc>
          <w:tcPr>
            <w:tcW w:w="6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EB2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供应商根据项目实际需求，制定的售后服务方案至少包含下列内容：</w:t>
            </w:r>
          </w:p>
          <w:p w14:paraId="7D0CE2A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①售后服务响应时间</w:t>
            </w:r>
          </w:p>
          <w:p w14:paraId="136C742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②质保期服务承诺</w:t>
            </w:r>
          </w:p>
          <w:p w14:paraId="3C36FAC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③售后服务（培训）体系</w:t>
            </w:r>
          </w:p>
          <w:p w14:paraId="7AB5132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④售后违约承诺</w:t>
            </w:r>
          </w:p>
          <w:p w14:paraId="6E1F1FE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⑤售后培训体系</w:t>
            </w:r>
          </w:p>
          <w:p w14:paraId="1CEB9FC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根据供应商提供的方案中针对上述各小项内容的体现情况，由磋商小组按顺序分别进行评审：</w:t>
            </w:r>
          </w:p>
          <w:p w14:paraId="2755AD8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（1）方案中该小项内容贴合项目实际需求，完整详细，可行性、实用性、针对性强，得1分；</w:t>
            </w:r>
          </w:p>
          <w:p w14:paraId="6D722CE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（2）方案中该小项内容与项目实际需求有待改进提升，可行性、实用性、针对性有待改善，得0.5分；</w:t>
            </w:r>
          </w:p>
          <w:p w14:paraId="631A47F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（3）方案不可行或者未提供得0分。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192F4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</w:t>
            </w:r>
          </w:p>
        </w:tc>
      </w:tr>
      <w:tr w14:paraId="22A49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1" w:type="dxa"/>
            <w:bottom w:w="28" w:type="dxa"/>
            <w:right w:w="51" w:type="dxa"/>
          </w:tblCellMar>
        </w:tblPrEx>
        <w:trPr>
          <w:trHeight w:val="1526" w:hRule="atLeast"/>
          <w:jc w:val="center"/>
        </w:trPr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C03A0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价格分</w:t>
            </w:r>
          </w:p>
          <w:p w14:paraId="5054637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8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8893B">
            <w:pPr>
              <w:spacing w:line="400" w:lineRule="exac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 xml:space="preserve">价格分统一采用低价优先法，即满足磋商文件要求且最后报价最低的供应商的价格为磋商基准价，其价格分为满分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 xml:space="preserve"> 分。其他供应商的价格分统一按照下列公式计算：</w:t>
            </w:r>
          </w:p>
          <w:p w14:paraId="285FEC8E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 xml:space="preserve">磋商报价得分＝（磋商基准价/最后磋商报价）×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 xml:space="preserve"> ％×100</w:t>
            </w:r>
          </w:p>
        </w:tc>
      </w:tr>
    </w:tbl>
    <w:p w14:paraId="075B7328">
      <w:pPr>
        <w:spacing w:line="360" w:lineRule="auto"/>
        <w:rPr>
          <w:color w:val="FF0000"/>
          <w:highlight w:val="none"/>
        </w:rPr>
      </w:pPr>
    </w:p>
    <w:p w14:paraId="393D0F28">
      <w:pPr>
        <w:spacing w:line="360" w:lineRule="auto"/>
        <w:ind w:firstLine="435"/>
        <w:rPr>
          <w:rFonts w:asciiTheme="minorEastAsia" w:hAnsiTheme="minorEastAsia" w:eastAsia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2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.3</w:t>
      </w: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分值汇总</w:t>
      </w:r>
    </w:p>
    <w:p w14:paraId="5CEDDEEB">
      <w:pPr>
        <w:spacing w:line="360" w:lineRule="auto"/>
        <w:ind w:firstLine="435"/>
        <w:rPr>
          <w:rFonts w:asciiTheme="minorEastAsia" w:hAnsiTheme="minorEastAsia" w:eastAsiaTheme="minorEastAsia"/>
          <w:color w:val="auto"/>
          <w:sz w:val="24"/>
          <w:highlight w:val="none"/>
        </w:rPr>
      </w:pPr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（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1）磋商小组各成员应当独立对每个有效响应的文件进行评价、打分，然后汇总每个供应商每项评分因素的得分，再取各位评委评分之平均值，四舍五入保留至小数点后两位数，得到该供应商的技术资信分。</w:t>
      </w:r>
    </w:p>
    <w:p w14:paraId="12308F81">
      <w:r>
        <w:rPr>
          <w:rFonts w:hint="eastAsia" w:asciiTheme="minorEastAsia" w:hAnsiTheme="minorEastAsia" w:eastAsiaTheme="minorEastAsia"/>
          <w:color w:val="auto"/>
          <w:sz w:val="24"/>
          <w:highlight w:val="none"/>
        </w:rPr>
        <w:t>（</w:t>
      </w:r>
      <w:r>
        <w:rPr>
          <w:rFonts w:asciiTheme="minorEastAsia" w:hAnsiTheme="minorEastAsia" w:eastAsiaTheme="minorEastAsia"/>
          <w:color w:val="auto"/>
          <w:sz w:val="24"/>
          <w:highlight w:val="none"/>
        </w:rPr>
        <w:t>2）将每个供应商的技术资信分加上根据上述标准计算出的价格分，即为该供应商的综合总得分。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微软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2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customStyle="1" w:styleId="4">
    <w:name w:val="目录 71"/>
    <w:basedOn w:val="1"/>
    <w:next w:val="1"/>
    <w:qFormat/>
    <w:uiPriority w:val="0"/>
    <w:pPr>
      <w:ind w:left="2520"/>
    </w:pPr>
    <w:rPr>
      <w:rFonts w:asci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2026-08-12T09:07:35Z</dcterms:created>
  <dc:creator>Administrator</dc:creator>
  <cp:lastModifiedBy>Administrator</cp:lastModifiedBy>
  <dcterms:modified xsi:type="dcterms:W3CDTF">2026-08-12T09:08:52Z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eyJoZGlkIjoiZjJmZTYxNzFkM2Q1MDA2YWViNzA2ZGRmOWUwNmRhOTkiLCJ1c2VySWQiOiIzODA5NDA0NDUifQ==</vt:lpwstr>
  </property>
  <property fmtid="{D5CDD505-2E9C-101B-9397-08002B2CF9AE}" pid="4" name="ICV">
    <vt:lpwstr>340248E7BB8748BEAA4FE0032C62212A_12</vt:lpwstr>
  </property>
</Properties>
</file>