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12ACE">
      <w:pPr>
        <w:spacing w:line="360" w:lineRule="auto"/>
        <w:jc w:val="center"/>
        <w:outlineLvl w:val="0"/>
        <w:rPr>
          <w:rFonts w:hint="eastAsia" w:ascii="宋体" w:hAnsi="宋体" w:eastAsia="宋体" w:cs="宋体"/>
          <w:b/>
          <w:color w:val="auto"/>
          <w:sz w:val="28"/>
          <w:highlight w:val="none"/>
        </w:rPr>
      </w:pPr>
      <w:bookmarkStart w:id="0" w:name="_Toc25461"/>
      <w:r>
        <w:rPr>
          <w:rFonts w:hint="eastAsia" w:ascii="宋体" w:hAnsi="宋体" w:eastAsia="宋体" w:cs="宋体"/>
          <w:b/>
          <w:color w:val="auto"/>
          <w:sz w:val="28"/>
          <w:highlight w:val="none"/>
          <w:lang w:val="en-US" w:eastAsia="zh-CN"/>
        </w:rPr>
        <w:t>六安市人民医院高频手术设备采购项目-</w:t>
      </w:r>
      <w:r>
        <w:rPr>
          <w:rFonts w:hint="eastAsia" w:ascii="宋体" w:hAnsi="宋体" w:eastAsia="宋体" w:cs="宋体"/>
          <w:b/>
          <w:color w:val="auto"/>
          <w:sz w:val="28"/>
          <w:highlight w:val="none"/>
        </w:rPr>
        <w:t>采购需求</w:t>
      </w:r>
      <w:bookmarkEnd w:id="0"/>
    </w:p>
    <w:p w14:paraId="0E44B2F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前注：</w:t>
      </w:r>
    </w:p>
    <w:p w14:paraId="4B78C6FC">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政府采购进口产品管理办法》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7C00ABF">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9DDEE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434DC37">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3E273CA">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18"/>
          <w:highlight w:val="none"/>
        </w:rPr>
        <w:t>如采购人允许采用分包方式履行合同的，应当明确可以分包履行的相关内容。</w:t>
      </w:r>
    </w:p>
    <w:p w14:paraId="6DCF4720">
      <w:pPr>
        <w:spacing w:line="360" w:lineRule="auto"/>
        <w:ind w:firstLine="437"/>
        <w:outlineLvl w:val="1"/>
        <w:rPr>
          <w:rFonts w:hint="eastAsia" w:ascii="宋体" w:hAnsi="宋体" w:eastAsia="宋体" w:cs="宋体"/>
          <w:color w:val="auto"/>
          <w:sz w:val="24"/>
          <w:szCs w:val="18"/>
          <w:highlight w:val="none"/>
          <w:lang w:val="en-US" w:eastAsia="zh-CN"/>
        </w:rPr>
      </w:pPr>
      <w:bookmarkStart w:id="1" w:name="_Toc26457"/>
      <w:bookmarkStart w:id="2" w:name="_Toc20480"/>
      <w:r>
        <w:rPr>
          <w:rFonts w:hint="eastAsia" w:ascii="宋体" w:hAnsi="宋体" w:eastAsia="宋体" w:cs="宋体"/>
          <w:color w:val="auto"/>
          <w:sz w:val="24"/>
          <w:szCs w:val="18"/>
          <w:highlight w:val="none"/>
          <w:lang w:val="en-US" w:eastAsia="zh-CN"/>
        </w:rPr>
        <w:t>4.所有标★条款均须满足谈判文件要求，</w:t>
      </w:r>
      <w:r>
        <w:rPr>
          <w:rFonts w:hint="eastAsia" w:ascii="宋体" w:hAnsi="宋体" w:eastAsia="宋体" w:cs="宋体"/>
          <w:b w:val="0"/>
          <w:bCs w:val="0"/>
          <w:color w:val="auto"/>
          <w:sz w:val="24"/>
          <w:szCs w:val="18"/>
          <w:highlight w:val="none"/>
          <w:lang w:val="en-US" w:eastAsia="zh-CN"/>
        </w:rPr>
        <w:t>否则</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color w:val="auto"/>
          <w:sz w:val="24"/>
          <w:szCs w:val="18"/>
          <w:highlight w:val="none"/>
          <w:lang w:val="en-US" w:eastAsia="zh-CN"/>
        </w:rPr>
        <w:t>；非★条款</w:t>
      </w:r>
      <w:r>
        <w:rPr>
          <w:rFonts w:hint="eastAsia" w:ascii="宋体" w:hAnsi="宋体" w:eastAsia="宋体" w:cs="宋体"/>
          <w:color w:val="auto"/>
          <w:sz w:val="24"/>
          <w:szCs w:val="18"/>
          <w:highlight w:val="none"/>
          <w:u w:val="single"/>
          <w:lang w:val="en-US" w:eastAsia="zh-CN"/>
        </w:rPr>
        <w:t xml:space="preserve"> 1 </w:t>
      </w:r>
      <w:r>
        <w:rPr>
          <w:rFonts w:hint="eastAsia" w:ascii="宋体" w:hAnsi="宋体" w:eastAsia="宋体" w:cs="宋体"/>
          <w:color w:val="auto"/>
          <w:sz w:val="24"/>
          <w:szCs w:val="18"/>
          <w:highlight w:val="none"/>
          <w:lang w:val="en-US" w:eastAsia="zh-CN"/>
        </w:rPr>
        <w:t>条及以上未满足的，</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b w:val="0"/>
          <w:bCs w:val="0"/>
          <w:color w:val="auto"/>
          <w:sz w:val="24"/>
          <w:szCs w:val="18"/>
          <w:highlight w:val="none"/>
          <w:lang w:val="en-US" w:eastAsia="zh-CN"/>
        </w:rPr>
        <w:t>。</w:t>
      </w:r>
    </w:p>
    <w:p w14:paraId="3E374219">
      <w:pPr>
        <w:spacing w:line="360" w:lineRule="auto"/>
        <w:ind w:firstLine="437"/>
        <w:outlineLvl w:val="1"/>
        <w:rPr>
          <w:rFonts w:hint="eastAsia" w:ascii="宋体" w:hAnsi="宋体" w:eastAsia="宋体" w:cs="宋体"/>
          <w:b/>
          <w:color w:val="auto"/>
          <w:sz w:val="24"/>
          <w:szCs w:val="18"/>
          <w:highlight w:val="none"/>
        </w:rPr>
      </w:pPr>
      <w:r>
        <w:rPr>
          <w:rFonts w:hint="eastAsia" w:ascii="宋体" w:hAnsi="宋体" w:eastAsia="宋体" w:cs="宋体"/>
          <w:b/>
          <w:color w:val="auto"/>
          <w:sz w:val="24"/>
          <w:szCs w:val="18"/>
          <w:highlight w:val="none"/>
        </w:rPr>
        <w:t>一、采购需求前附表</w:t>
      </w:r>
      <w:bookmarkEnd w:id="1"/>
      <w:bookmarkEnd w:id="2"/>
    </w:p>
    <w:tbl>
      <w:tblPr>
        <w:tblStyle w:val="3"/>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19"/>
        <w:gridCol w:w="7206"/>
      </w:tblGrid>
      <w:tr w14:paraId="45EE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C3ED6F9">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
                <w:color w:val="auto"/>
                <w:kern w:val="2"/>
                <w:highlight w:val="none"/>
              </w:rPr>
            </w:pPr>
            <w:bookmarkStart w:id="3" w:name="_Toc25805"/>
            <w:bookmarkStart w:id="4" w:name="_Toc8981"/>
            <w:r>
              <w:rPr>
                <w:rFonts w:hint="eastAsia" w:ascii="宋体" w:hAnsi="宋体" w:eastAsia="宋体" w:cs="宋体"/>
                <w:b/>
                <w:color w:val="auto"/>
                <w:kern w:val="2"/>
                <w:highlight w:val="none"/>
              </w:rPr>
              <w:t>序号</w:t>
            </w:r>
          </w:p>
        </w:tc>
        <w:tc>
          <w:tcPr>
            <w:tcW w:w="1419" w:type="dxa"/>
            <w:noWrap w:val="0"/>
            <w:vAlign w:val="center"/>
          </w:tcPr>
          <w:p w14:paraId="6C75699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7206" w:type="dxa"/>
            <w:noWrap w:val="0"/>
            <w:vAlign w:val="center"/>
          </w:tcPr>
          <w:p w14:paraId="0220CFF0">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613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3ADC7BC">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419" w:type="dxa"/>
            <w:noWrap w:val="0"/>
            <w:vAlign w:val="center"/>
          </w:tcPr>
          <w:p w14:paraId="15E6474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7206" w:type="dxa"/>
            <w:noWrap w:val="0"/>
            <w:vAlign w:val="center"/>
          </w:tcPr>
          <w:p w14:paraId="093939E9">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⑴对供应商为大型企业的项目或者以人工投入为主且实行按月定期结算支付款项的项目，采购人确定预付款为合同金额的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rPr>
              <w:t>（0-70%）；</w:t>
            </w:r>
          </w:p>
          <w:p w14:paraId="7892B93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⑵中小企业合同，采购人确定预付款为合同金额的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40%</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none"/>
              </w:rPr>
              <w:t>（40%-70%）；</w:t>
            </w:r>
          </w:p>
          <w:p w14:paraId="6AFC74A0">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⑶分年度安排预算的项目，采购人确定每年预付款为当年合同金额的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rPr>
              <w:t>（40%-70%）。</w:t>
            </w:r>
          </w:p>
          <w:p w14:paraId="3F43FC18">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lang w:val="en-US" w:eastAsia="zh-CN"/>
              </w:rPr>
            </w:pPr>
            <w:r>
              <w:rPr>
                <w:rFonts w:hint="eastAsia" w:ascii="宋体" w:hAnsi="宋体" w:eastAsia="宋体" w:cs="宋体"/>
                <w:b/>
                <w:bCs w:val="0"/>
                <w:color w:val="auto"/>
                <w:sz w:val="24"/>
                <w:highlight w:val="none"/>
                <w:u w:val="none"/>
                <w:lang w:val="en-US" w:eastAsia="zh-CN"/>
              </w:rPr>
              <w:t>注：</w:t>
            </w:r>
            <w:r>
              <w:rPr>
                <w:rFonts w:hint="eastAsia" w:ascii="宋体" w:hAnsi="宋体" w:eastAsia="宋体" w:cs="宋体"/>
                <w:b w:val="0"/>
                <w:color w:val="auto"/>
                <w:sz w:val="24"/>
                <w:highlight w:val="none"/>
                <w:u w:val="none"/>
                <w:lang w:val="en-US" w:eastAsia="zh-CN"/>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5030BDF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bCs w:val="0"/>
                <w:color w:val="auto"/>
                <w:sz w:val="24"/>
                <w:highlight w:val="none"/>
                <w:u w:val="none"/>
              </w:rPr>
              <w:t>剩余款支付方式</w:t>
            </w:r>
            <w:r>
              <w:rPr>
                <w:rFonts w:hint="eastAsia" w:ascii="宋体" w:hAnsi="宋体" w:eastAsia="宋体" w:cs="宋体"/>
                <w:b w:val="0"/>
                <w:color w:val="auto"/>
                <w:sz w:val="24"/>
                <w:highlight w:val="none"/>
                <w:u w:val="none"/>
              </w:rPr>
              <w:t>：设备安装完毕经调试验收合格后一次性付清。</w:t>
            </w:r>
          </w:p>
          <w:p w14:paraId="703642D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u w:val="none"/>
              </w:rPr>
              <w:t>（供应商提交的响应文件中如有关于付款条件的表述与</w:t>
            </w:r>
            <w:r>
              <w:rPr>
                <w:rFonts w:hint="eastAsia" w:ascii="宋体" w:hAnsi="宋体" w:eastAsia="宋体" w:cs="宋体"/>
                <w:b w:val="0"/>
                <w:color w:val="auto"/>
                <w:sz w:val="24"/>
                <w:highlight w:val="none"/>
                <w:lang w:eastAsia="zh-CN"/>
              </w:rPr>
              <w:t>谈判</w:t>
            </w:r>
            <w:r>
              <w:rPr>
                <w:rFonts w:hint="eastAsia" w:ascii="宋体" w:hAnsi="宋体" w:eastAsia="宋体" w:cs="宋体"/>
                <w:b w:val="0"/>
                <w:color w:val="auto"/>
                <w:sz w:val="24"/>
                <w:highlight w:val="none"/>
                <w:u w:val="none"/>
              </w:rPr>
              <w:t>文件规定不符，将被视为实质性不响应，将导致</w:t>
            </w:r>
            <w:r>
              <w:rPr>
                <w:rFonts w:hint="eastAsia" w:ascii="宋体" w:hAnsi="宋体" w:eastAsia="宋体" w:cs="宋体"/>
                <w:b/>
                <w:bCs w:val="0"/>
                <w:color w:val="auto"/>
                <w:sz w:val="24"/>
                <w:highlight w:val="none"/>
                <w:u w:val="none"/>
              </w:rPr>
              <w:t>响应无效</w:t>
            </w:r>
            <w:r>
              <w:rPr>
                <w:rFonts w:hint="eastAsia" w:ascii="宋体" w:hAnsi="宋体" w:eastAsia="宋体" w:cs="宋体"/>
                <w:b w:val="0"/>
                <w:color w:val="auto"/>
                <w:sz w:val="24"/>
                <w:highlight w:val="none"/>
                <w:u w:val="none"/>
              </w:rPr>
              <w:t>）</w:t>
            </w:r>
          </w:p>
        </w:tc>
      </w:tr>
      <w:tr w14:paraId="18DC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AC07C68">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419" w:type="dxa"/>
            <w:noWrap w:val="0"/>
            <w:vAlign w:val="center"/>
          </w:tcPr>
          <w:p w14:paraId="7F0F78D3">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7206" w:type="dxa"/>
            <w:noWrap w:val="0"/>
            <w:vAlign w:val="center"/>
          </w:tcPr>
          <w:p w14:paraId="1180581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六安市人民医院</w:t>
            </w:r>
          </w:p>
        </w:tc>
      </w:tr>
      <w:tr w14:paraId="3D0A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0B5D77D3">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419" w:type="dxa"/>
            <w:noWrap w:val="0"/>
            <w:vAlign w:val="center"/>
          </w:tcPr>
          <w:p w14:paraId="215A8607">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7206" w:type="dxa"/>
            <w:noWrap w:val="0"/>
            <w:vAlign w:val="center"/>
          </w:tcPr>
          <w:p w14:paraId="43F425AB">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合同签订后</w:t>
            </w:r>
            <w:r>
              <w:rPr>
                <w:rFonts w:hint="eastAsia" w:ascii="宋体" w:hAnsi="宋体" w:eastAsia="宋体" w:cs="宋体"/>
                <w:b w:val="0"/>
                <w:color w:val="auto"/>
                <w:sz w:val="24"/>
                <w:highlight w:val="none"/>
                <w:lang w:val="en-US" w:eastAsia="zh-CN"/>
              </w:rPr>
              <w:t>30</w:t>
            </w:r>
            <w:r>
              <w:rPr>
                <w:rFonts w:hint="eastAsia" w:ascii="宋体" w:hAnsi="宋体" w:eastAsia="宋体" w:cs="宋体"/>
                <w:b w:val="0"/>
                <w:color w:val="auto"/>
                <w:sz w:val="24"/>
                <w:highlight w:val="none"/>
              </w:rPr>
              <w:t>日历天</w:t>
            </w:r>
            <w:r>
              <w:rPr>
                <w:rFonts w:hint="eastAsia" w:ascii="宋体" w:hAnsi="宋体" w:eastAsia="宋体" w:cs="宋体"/>
                <w:b w:val="0"/>
                <w:color w:val="auto"/>
                <w:sz w:val="24"/>
                <w:highlight w:val="none"/>
                <w:lang w:val="en-US" w:eastAsia="zh-CN"/>
              </w:rPr>
              <w:t>内</w:t>
            </w:r>
            <w:r>
              <w:rPr>
                <w:rFonts w:hint="eastAsia" w:ascii="宋体" w:hAnsi="宋体" w:eastAsia="宋体" w:cs="宋体"/>
                <w:b w:val="0"/>
                <w:color w:val="auto"/>
                <w:sz w:val="24"/>
                <w:highlight w:val="none"/>
              </w:rPr>
              <w:t>完成供货、安装、调试。</w:t>
            </w:r>
          </w:p>
        </w:tc>
      </w:tr>
      <w:tr w14:paraId="404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543375E6">
            <w:pPr>
              <w:pStyle w:val="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419" w:type="dxa"/>
            <w:noWrap w:val="0"/>
            <w:vAlign w:val="center"/>
          </w:tcPr>
          <w:p w14:paraId="4309F57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7206" w:type="dxa"/>
            <w:noWrap w:val="0"/>
            <w:vAlign w:val="center"/>
          </w:tcPr>
          <w:p w14:paraId="3AAE5F3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r>
              <w:rPr>
                <w:rFonts w:ascii="宋体" w:hAnsi="宋体" w:eastAsia="宋体" w:cs="宋体"/>
                <w:color w:val="auto"/>
                <w:spacing w:val="-1"/>
                <w:sz w:val="24"/>
                <w:szCs w:val="24"/>
                <w:highlight w:val="none"/>
              </w:rPr>
              <w:t>整机质保</w:t>
            </w:r>
            <w:r>
              <w:rPr>
                <w:rFonts w:hint="eastAsia" w:ascii="宋体" w:hAnsi="宋体" w:eastAsia="宋体" w:cs="宋体"/>
                <w:color w:val="auto"/>
                <w:spacing w:val="-1"/>
                <w:sz w:val="24"/>
                <w:szCs w:val="24"/>
                <w:highlight w:val="none"/>
                <w:lang w:val="en-US" w:eastAsia="zh-CN"/>
              </w:rPr>
              <w:t>3</w:t>
            </w:r>
            <w:r>
              <w:rPr>
                <w:rFonts w:ascii="宋体" w:hAnsi="宋体" w:eastAsia="宋体" w:cs="宋体"/>
                <w:color w:val="auto"/>
                <w:spacing w:val="-1"/>
                <w:sz w:val="24"/>
                <w:szCs w:val="24"/>
                <w:highlight w:val="none"/>
              </w:rPr>
              <w:t>年</w:t>
            </w:r>
            <w:r>
              <w:rPr>
                <w:rFonts w:hint="eastAsia" w:ascii="宋体" w:hAnsi="宋体" w:eastAsia="宋体" w:cs="宋体"/>
                <w:color w:val="auto"/>
                <w:spacing w:val="-1"/>
                <w:sz w:val="24"/>
                <w:szCs w:val="24"/>
                <w:highlight w:val="none"/>
                <w:lang w:eastAsia="zh-CN"/>
              </w:rPr>
              <w:t>。</w:t>
            </w:r>
          </w:p>
        </w:tc>
      </w:tr>
    </w:tbl>
    <w:p w14:paraId="352A9E8F">
      <w:pPr>
        <w:spacing w:line="360" w:lineRule="auto"/>
        <w:ind w:firstLine="437"/>
        <w:outlineLvl w:val="1"/>
        <w:rPr>
          <w:rFonts w:hint="eastAsia" w:ascii="宋体" w:hAnsi="宋体" w:eastAsia="宋体" w:cs="宋体"/>
          <w:b/>
          <w:bCs/>
          <w:color w:val="auto"/>
          <w:sz w:val="24"/>
          <w:szCs w:val="18"/>
          <w:highlight w:val="none"/>
        </w:rPr>
      </w:pPr>
      <w:bookmarkStart w:id="9" w:name="_GoBack"/>
      <w:bookmarkEnd w:id="9"/>
      <w:r>
        <w:rPr>
          <w:rFonts w:hint="eastAsia" w:ascii="宋体" w:hAnsi="宋体" w:eastAsia="宋体" w:cs="宋体"/>
          <w:b/>
          <w:bCs/>
          <w:color w:val="auto"/>
          <w:sz w:val="24"/>
          <w:szCs w:val="18"/>
          <w:highlight w:val="none"/>
        </w:rPr>
        <w:t>二、货物需求</w:t>
      </w:r>
      <w:bookmarkEnd w:id="3"/>
      <w:bookmarkEnd w:id="4"/>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b w:val="0"/>
          <w:bCs w:val="0"/>
          <w:color w:val="auto"/>
          <w:sz w:val="24"/>
          <w:szCs w:val="18"/>
          <w:highlight w:val="none"/>
          <w:lang w:val="en-US" w:eastAsia="zh-CN"/>
        </w:rPr>
      </w:pPr>
      <w:bookmarkStart w:id="5" w:name="_Toc18135"/>
      <w:bookmarkStart w:id="6" w:name="_Toc16712"/>
      <w:r>
        <w:rPr>
          <w:rFonts w:hint="eastAsia" w:ascii="宋体" w:hAnsi="宋体" w:eastAsia="宋体" w:cs="宋体"/>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响应文件中可不填写所属行业，不作为《中小企业声明函》的标的物，也不对其生产厂商作出要求。</w:t>
      </w:r>
    </w:p>
    <w:p w14:paraId="600237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lang w:val="en-US" w:eastAsia="zh-CN"/>
        </w:rPr>
        <w:t>一</w:t>
      </w: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lang w:val="en-US" w:eastAsia="zh-CN"/>
        </w:rPr>
        <w:t>主要标的物</w:t>
      </w:r>
    </w:p>
    <w:tbl>
      <w:tblPr>
        <w:tblStyle w:val="3"/>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20"/>
        <w:gridCol w:w="984"/>
        <w:gridCol w:w="3875"/>
        <w:gridCol w:w="917"/>
        <w:gridCol w:w="687"/>
        <w:gridCol w:w="870"/>
        <w:gridCol w:w="633"/>
      </w:tblGrid>
      <w:tr w14:paraId="5B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61" w:type="pct"/>
            <w:vAlign w:val="center"/>
          </w:tcPr>
          <w:p w14:paraId="42F07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573" w:type="pct"/>
            <w:vAlign w:val="center"/>
          </w:tcPr>
          <w:p w14:paraId="47150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2256" w:type="pct"/>
            <w:vAlign w:val="center"/>
          </w:tcPr>
          <w:p w14:paraId="1183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534" w:type="pct"/>
            <w:vAlign w:val="center"/>
          </w:tcPr>
          <w:p w14:paraId="6D027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数量</w:t>
            </w:r>
          </w:p>
          <w:p w14:paraId="00796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（单位）</w:t>
            </w:r>
          </w:p>
        </w:tc>
        <w:tc>
          <w:tcPr>
            <w:tcW w:w="400" w:type="pct"/>
            <w:vAlign w:val="center"/>
          </w:tcPr>
          <w:p w14:paraId="51329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048AF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506" w:type="pct"/>
            <w:vAlign w:val="center"/>
          </w:tcPr>
          <w:p w14:paraId="5C34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c>
          <w:tcPr>
            <w:tcW w:w="368" w:type="pct"/>
            <w:vAlign w:val="center"/>
          </w:tcPr>
          <w:p w14:paraId="19E6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备注</w:t>
            </w:r>
          </w:p>
        </w:tc>
      </w:tr>
      <w:tr w14:paraId="71D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90" w:hRule="atLeast"/>
          <w:jc w:val="center"/>
        </w:trPr>
        <w:tc>
          <w:tcPr>
            <w:tcW w:w="361" w:type="pct"/>
            <w:vAlign w:val="center"/>
          </w:tcPr>
          <w:p w14:paraId="7D12D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p w14:paraId="5CC77A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lang w:val="en-US" w:eastAsia="zh-CN"/>
              </w:rPr>
            </w:pPr>
          </w:p>
        </w:tc>
        <w:tc>
          <w:tcPr>
            <w:tcW w:w="573" w:type="pct"/>
            <w:vAlign w:val="center"/>
          </w:tcPr>
          <w:p w14:paraId="01892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普外科高频手术设备</w:t>
            </w:r>
          </w:p>
        </w:tc>
        <w:tc>
          <w:tcPr>
            <w:tcW w:w="2256" w:type="pct"/>
            <w:vAlign w:val="center"/>
          </w:tcPr>
          <w:p w14:paraId="442E11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sz w:val="24"/>
                <w:szCs w:val="18"/>
                <w:highlight w:val="none"/>
              </w:rPr>
            </w:pPr>
            <w:r>
              <w:rPr>
                <w:rFonts w:hint="eastAsia" w:ascii="宋体" w:hAnsi="宋体" w:eastAsia="宋体" w:cs="宋体"/>
                <w:b/>
                <w:bCs w:val="0"/>
                <w:color w:val="auto"/>
                <w:sz w:val="24"/>
                <w:szCs w:val="18"/>
                <w:highlight w:val="none"/>
              </w:rPr>
              <w:t>1、系统/发生器</w:t>
            </w:r>
          </w:p>
          <w:p w14:paraId="3B051B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1.1、发生器获三类医疗器械注册证，可安全处理 7mm 及以下直径血管。</w:t>
            </w:r>
          </w:p>
          <w:p w14:paraId="1B9C5F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仿宋_GB2312" w:cs="宋体"/>
                <w:bCs/>
                <w:color w:val="auto"/>
                <w:sz w:val="24"/>
                <w:szCs w:val="18"/>
                <w:highlight w:val="none"/>
              </w:rPr>
            </w:pPr>
            <w:r>
              <w:rPr>
                <w:rFonts w:hint="eastAsia" w:ascii="宋体" w:hAnsi="宋体" w:eastAsia="宋体" w:cs="宋体"/>
                <w:bCs/>
                <w:color w:val="auto"/>
                <w:sz w:val="24"/>
                <w:szCs w:val="18"/>
                <w:highlight w:val="none"/>
              </w:rPr>
              <w:t>1.2、主机输入电源：AC 220V±22V，频率 50/60Hz，最大功率</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1000VA</w:t>
            </w:r>
            <w:r>
              <w:rPr>
                <w:rFonts w:hint="eastAsia" w:ascii="宋体" w:hAnsi="宋体" w:eastAsia="宋体" w:cs="宋体"/>
                <w:bCs/>
                <w:color w:val="auto"/>
                <w:sz w:val="24"/>
                <w:szCs w:val="18"/>
                <w:highlight w:val="none"/>
                <w:lang w:eastAsia="zh-CN"/>
              </w:rPr>
              <w:t>。</w:t>
            </w:r>
          </w:p>
          <w:p w14:paraId="62041B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3</w:t>
            </w:r>
            <w:r>
              <w:rPr>
                <w:rFonts w:hint="eastAsia" w:ascii="宋体" w:hAnsi="宋体" w:eastAsia="宋体" w:cs="宋体"/>
                <w:bCs/>
                <w:color w:val="auto"/>
                <w:sz w:val="24"/>
                <w:szCs w:val="18"/>
                <w:highlight w:val="none"/>
              </w:rPr>
              <w:t>、可同时连接</w:t>
            </w:r>
            <w:r>
              <w:rPr>
                <w:rFonts w:hint="eastAsia" w:ascii="宋体" w:hAnsi="宋体" w:eastAsia="宋体" w:cs="宋体"/>
                <w:bCs/>
                <w:color w:val="auto"/>
                <w:sz w:val="24"/>
                <w:szCs w:val="18"/>
                <w:highlight w:val="none"/>
                <w:lang w:val="en-US" w:eastAsia="zh-CN"/>
              </w:rPr>
              <w:t>不少于：</w:t>
            </w:r>
            <w:r>
              <w:rPr>
                <w:rFonts w:hint="eastAsia" w:ascii="宋体" w:hAnsi="宋体" w:eastAsia="宋体" w:cs="宋体"/>
                <w:bCs/>
                <w:color w:val="auto"/>
                <w:sz w:val="24"/>
                <w:szCs w:val="18"/>
                <w:highlight w:val="none"/>
              </w:rPr>
              <w:t xml:space="preserve"> 1 把</w:t>
            </w: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器械、2 把单极器械、1 把双极器械。</w:t>
            </w:r>
          </w:p>
          <w:p w14:paraId="0D7E21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4</w:t>
            </w:r>
            <w:r>
              <w:rPr>
                <w:rFonts w:hint="eastAsia" w:ascii="宋体" w:hAnsi="宋体" w:eastAsia="宋体" w:cs="宋体"/>
                <w:bCs/>
                <w:color w:val="auto"/>
                <w:sz w:val="24"/>
                <w:szCs w:val="18"/>
                <w:highlight w:val="none"/>
              </w:rPr>
              <w:t xml:space="preserve">、功能: 单双极具有切割、凝血功能； </w:t>
            </w: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具有血管闭合和组织剪切功能。 单极电刀输出：</w:t>
            </w:r>
          </w:p>
          <w:p w14:paraId="5DA997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①输出：激励频率：≥450kHz；</w:t>
            </w:r>
          </w:p>
          <w:p w14:paraId="503A19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②最大电功率：纯切：</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300W；混切：</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200W；软凝</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120W；面凝</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120W；高级面凝</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120W双极电刀输出：</w:t>
            </w:r>
          </w:p>
          <w:p w14:paraId="3D8B1C0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①具有普通双极和自动双极两种激发模式；</w:t>
            </w:r>
          </w:p>
          <w:p w14:paraId="7A8381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②输出：激励频率：≥450kHz；</w:t>
            </w:r>
          </w:p>
          <w:p w14:paraId="4E9CD9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③最大电功率：</w:t>
            </w:r>
            <w:r>
              <w:rPr>
                <w:rFonts w:hint="eastAsia" w:ascii="宋体" w:hAnsi="宋体" w:eastAsia="宋体" w:cs="宋体"/>
                <w:bCs/>
                <w:color w:val="auto"/>
                <w:sz w:val="24"/>
                <w:szCs w:val="18"/>
                <w:highlight w:val="none"/>
                <w:lang w:val="en-US" w:eastAsia="zh-CN"/>
              </w:rPr>
              <w:t>≤</w:t>
            </w:r>
            <w:r>
              <w:rPr>
                <w:rFonts w:hint="eastAsia" w:ascii="宋体" w:hAnsi="宋体" w:eastAsia="宋体" w:cs="宋体"/>
                <w:bCs/>
                <w:color w:val="auto"/>
                <w:sz w:val="24"/>
                <w:szCs w:val="18"/>
                <w:highlight w:val="none"/>
              </w:rPr>
              <w:t>95W</w:t>
            </w:r>
          </w:p>
          <w:p w14:paraId="7053DC1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电刀输出：</w:t>
            </w:r>
          </w:p>
          <w:p w14:paraId="00E527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①闭合直径不超过 7mm（含 7mm）的血管、淋巴管及适合钳口大小的组织束，闭合完成自动停止能量输出；</w:t>
            </w:r>
          </w:p>
          <w:p w14:paraId="4BD048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②输出：激励频率：≥450kHz；</w:t>
            </w:r>
          </w:p>
          <w:p w14:paraId="0DD3DB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③最大电功率：≥3</w:t>
            </w:r>
            <w:r>
              <w:rPr>
                <w:rFonts w:hint="eastAsia" w:ascii="宋体" w:hAnsi="宋体" w:eastAsia="宋体" w:cs="宋体"/>
                <w:bCs/>
                <w:color w:val="auto"/>
                <w:sz w:val="24"/>
                <w:szCs w:val="18"/>
                <w:highlight w:val="none"/>
                <w:lang w:val="en-US" w:eastAsia="zh-CN"/>
              </w:rPr>
              <w:t>0</w:t>
            </w:r>
            <w:r>
              <w:rPr>
                <w:rFonts w:hint="eastAsia" w:ascii="宋体" w:hAnsi="宋体" w:eastAsia="宋体" w:cs="宋体"/>
                <w:bCs/>
                <w:color w:val="auto"/>
                <w:sz w:val="24"/>
                <w:szCs w:val="18"/>
                <w:highlight w:val="none"/>
              </w:rPr>
              <w:t xml:space="preserve">0W                   </w:t>
            </w:r>
          </w:p>
          <w:p w14:paraId="144F12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5</w:t>
            </w:r>
            <w:r>
              <w:rPr>
                <w:rFonts w:hint="eastAsia" w:ascii="宋体" w:hAnsi="宋体" w:eastAsia="宋体" w:cs="宋体"/>
                <w:bCs/>
                <w:color w:val="auto"/>
                <w:sz w:val="24"/>
                <w:szCs w:val="18"/>
                <w:highlight w:val="none"/>
              </w:rPr>
              <w:t>、主机界面和交互：</w:t>
            </w:r>
          </w:p>
          <w:p w14:paraId="3F7600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①界面四象限显示，两个单极象限可设置切割和凝血子模式，并设置相应输出功率；双极象限可设置输出功率和进行普通双极和自动双极切换；</w:t>
            </w: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象限简捷，无需设置参数。</w:t>
            </w:r>
          </w:p>
          <w:p w14:paraId="523AB9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②能量输出时相应象限界面高亮，并伴有手术音提示。</w:t>
            </w:r>
          </w:p>
          <w:p w14:paraId="1DF1A6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③</w:t>
            </w: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输出对于负载短路、开路或其他异常情形给出界面和声音警示。</w:t>
            </w:r>
          </w:p>
          <w:p w14:paraId="398DD3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6</w:t>
            </w:r>
            <w:r>
              <w:rPr>
                <w:rFonts w:hint="eastAsia" w:ascii="宋体" w:hAnsi="宋体" w:eastAsia="宋体" w:cs="宋体"/>
                <w:bCs/>
                <w:color w:val="auto"/>
                <w:sz w:val="24"/>
                <w:szCs w:val="18"/>
                <w:highlight w:val="none"/>
              </w:rPr>
              <w:t>、</w:t>
            </w:r>
            <w:r>
              <w:rPr>
                <w:rFonts w:hint="eastAsia" w:ascii="宋体" w:hAnsi="宋体" w:eastAsia="宋体" w:cs="宋体"/>
                <w:bCs/>
                <w:color w:val="auto"/>
                <w:sz w:val="24"/>
                <w:szCs w:val="18"/>
                <w:highlight w:val="none"/>
                <w:lang w:val="en-US" w:eastAsia="zh-CN"/>
              </w:rPr>
              <w:t>大血管闭合</w:t>
            </w:r>
            <w:r>
              <w:rPr>
                <w:rFonts w:hint="eastAsia" w:ascii="宋体" w:hAnsi="宋体" w:eastAsia="宋体" w:cs="宋体"/>
                <w:bCs/>
                <w:color w:val="auto"/>
                <w:sz w:val="24"/>
                <w:szCs w:val="18"/>
                <w:highlight w:val="none"/>
              </w:rPr>
              <w:t>模式采用自适应技术，其算法根据血管组织阻抗、闭合进程等自动调整能量输出，每秒钟数据采样≥468000次。</w:t>
            </w:r>
          </w:p>
          <w:p w14:paraId="461659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7</w:t>
            </w:r>
            <w:r>
              <w:rPr>
                <w:rFonts w:hint="eastAsia" w:ascii="宋体" w:hAnsi="宋体" w:eastAsia="宋体" w:cs="宋体"/>
                <w:bCs/>
                <w:color w:val="auto"/>
                <w:sz w:val="24"/>
                <w:szCs w:val="18"/>
                <w:highlight w:val="none"/>
              </w:rPr>
              <w:t>、设备具备系统诊断功能，可以检测设备自身的工作状态和配套耗材的连接及工作状态， 当有问题发生时，以图片和文字的形式对故障发出警示，便于操作者发现并排除故障。</w:t>
            </w:r>
          </w:p>
          <w:p w14:paraId="093829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8</w:t>
            </w:r>
            <w:r>
              <w:rPr>
                <w:rFonts w:hint="eastAsia" w:ascii="宋体" w:hAnsi="宋体" w:eastAsia="宋体" w:cs="宋体"/>
                <w:bCs/>
                <w:color w:val="auto"/>
                <w:sz w:val="24"/>
                <w:szCs w:val="18"/>
                <w:highlight w:val="none"/>
              </w:rPr>
              <w:t>、具备全彩 LCD 触摸屏，可以通过触摸屏进行设备、耗材及系统的设置与检测。</w:t>
            </w:r>
          </w:p>
          <w:p w14:paraId="04FF17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w:t>
            </w:r>
            <w:r>
              <w:rPr>
                <w:rFonts w:hint="eastAsia" w:ascii="宋体" w:hAnsi="宋体" w:eastAsia="宋体" w:cs="宋体"/>
                <w:bCs/>
                <w:color w:val="auto"/>
                <w:sz w:val="24"/>
                <w:szCs w:val="18"/>
                <w:highlight w:val="none"/>
                <w:lang w:val="en-US" w:eastAsia="zh-CN"/>
              </w:rPr>
              <w:t>9</w:t>
            </w:r>
            <w:r>
              <w:rPr>
                <w:rFonts w:hint="eastAsia" w:ascii="宋体" w:hAnsi="宋体" w:eastAsia="宋体" w:cs="宋体"/>
                <w:bCs/>
                <w:color w:val="auto"/>
                <w:sz w:val="24"/>
                <w:szCs w:val="18"/>
                <w:highlight w:val="none"/>
              </w:rPr>
              <w:t>、设备使用时，即可提供手控功能，又可提供脚控功能。</w:t>
            </w:r>
          </w:p>
          <w:p w14:paraId="22B2F1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1.1</w:t>
            </w:r>
            <w:r>
              <w:rPr>
                <w:rFonts w:hint="eastAsia" w:ascii="宋体" w:hAnsi="宋体" w:eastAsia="宋体" w:cs="宋体"/>
                <w:bCs/>
                <w:color w:val="auto"/>
                <w:sz w:val="24"/>
                <w:szCs w:val="18"/>
                <w:highlight w:val="none"/>
                <w:lang w:val="en-US" w:eastAsia="zh-CN"/>
              </w:rPr>
              <w:t>0</w:t>
            </w:r>
            <w:r>
              <w:rPr>
                <w:rFonts w:hint="eastAsia" w:ascii="宋体" w:hAnsi="宋体" w:eastAsia="宋体" w:cs="宋体"/>
                <w:bCs/>
                <w:color w:val="auto"/>
                <w:sz w:val="24"/>
                <w:szCs w:val="18"/>
                <w:highlight w:val="none"/>
              </w:rPr>
              <w:t>、发生器重量≤14kg。</w:t>
            </w:r>
          </w:p>
          <w:p w14:paraId="406157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1.1</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rPr>
              <w:t>、可远程通过网口进行系统升级及维护。可远程调取主机使用数据,极大便利了主机 维保等服务。</w:t>
            </w:r>
          </w:p>
          <w:p w14:paraId="6409EB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rPr>
              <w:t>1.1</w:t>
            </w:r>
            <w:r>
              <w:rPr>
                <w:rFonts w:hint="eastAsia" w:ascii="宋体" w:hAnsi="宋体" w:eastAsia="宋体" w:cs="宋体"/>
                <w:bCs/>
                <w:color w:val="auto"/>
                <w:sz w:val="24"/>
                <w:szCs w:val="18"/>
                <w:highlight w:val="none"/>
                <w:lang w:val="en-US" w:eastAsia="zh-CN"/>
              </w:rPr>
              <w:t>2</w:t>
            </w:r>
            <w:r>
              <w:rPr>
                <w:rFonts w:hint="eastAsia" w:ascii="宋体" w:hAnsi="宋体" w:eastAsia="宋体" w:cs="宋体"/>
                <w:bCs/>
                <w:color w:val="auto"/>
                <w:sz w:val="24"/>
                <w:szCs w:val="18"/>
                <w:highlight w:val="none"/>
              </w:rPr>
              <w:t>、以太网：对设备执行维修操作</w:t>
            </w:r>
            <w:r>
              <w:rPr>
                <w:rFonts w:hint="eastAsia" w:ascii="宋体" w:hAnsi="宋体" w:eastAsia="宋体" w:cs="宋体"/>
                <w:bCs/>
                <w:color w:val="auto"/>
                <w:sz w:val="24"/>
                <w:szCs w:val="18"/>
                <w:highlight w:val="none"/>
                <w:lang w:eastAsia="zh-CN"/>
              </w:rPr>
              <w:t>。</w:t>
            </w:r>
          </w:p>
          <w:p w14:paraId="03B5B5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1.1</w:t>
            </w:r>
            <w:r>
              <w:rPr>
                <w:rFonts w:hint="eastAsia" w:ascii="宋体" w:hAnsi="宋体" w:eastAsia="宋体" w:cs="宋体"/>
                <w:bCs/>
                <w:color w:val="auto"/>
                <w:sz w:val="24"/>
                <w:szCs w:val="18"/>
                <w:highlight w:val="none"/>
                <w:lang w:val="en-US" w:eastAsia="zh-CN"/>
              </w:rPr>
              <w:t>3</w:t>
            </w:r>
            <w:r>
              <w:rPr>
                <w:rFonts w:hint="eastAsia" w:ascii="宋体" w:hAnsi="宋体" w:eastAsia="宋体" w:cs="宋体"/>
                <w:bCs/>
                <w:color w:val="auto"/>
                <w:sz w:val="24"/>
                <w:szCs w:val="18"/>
                <w:highlight w:val="none"/>
              </w:rPr>
              <w:t>、配备专用台车，提升转运效率，方便设备管理。</w:t>
            </w:r>
          </w:p>
          <w:p w14:paraId="2CA96C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sz w:val="24"/>
                <w:szCs w:val="18"/>
                <w:highlight w:val="none"/>
              </w:rPr>
            </w:pPr>
            <w:r>
              <w:rPr>
                <w:rFonts w:hint="eastAsia" w:ascii="宋体" w:hAnsi="宋体" w:eastAsia="宋体" w:cs="宋体"/>
                <w:b/>
                <w:bCs w:val="0"/>
                <w:color w:val="auto"/>
                <w:sz w:val="24"/>
                <w:szCs w:val="18"/>
                <w:highlight w:val="none"/>
              </w:rPr>
              <w:t>2、电刀器械功能</w:t>
            </w:r>
          </w:p>
          <w:p w14:paraId="667DD6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2.1、获批闭合血管直径≥7mm的一次性使用闭合切割手术器械三类注册证。</w:t>
            </w:r>
          </w:p>
          <w:p w14:paraId="251988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2.2、器械型号≥72 个，有枪式和剪刀式、大钳口等多种类型器械，根据医生习惯多种选择，人性化设计。</w:t>
            </w:r>
          </w:p>
          <w:p w14:paraId="106B62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2.3、一次性使用闭合切割手术器械在使用时直接与发生器连接使用，术中操作便捷。</w:t>
            </w:r>
          </w:p>
          <w:p w14:paraId="004A3A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2.4、具有涂层款和非涂层款；弯头器械有效闭合长度为≥21mm，切割长度≥19mm，大钳口器械有效闭合长度≥39mm，切割长度≥37mm。器械具有涂层款式，减少术中粘连。</w:t>
            </w:r>
          </w:p>
        </w:tc>
        <w:tc>
          <w:tcPr>
            <w:tcW w:w="534" w:type="pct"/>
            <w:vAlign w:val="center"/>
          </w:tcPr>
          <w:p w14:paraId="17882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w:t>
            </w:r>
          </w:p>
        </w:tc>
        <w:tc>
          <w:tcPr>
            <w:tcW w:w="400" w:type="pct"/>
            <w:vAlign w:val="center"/>
          </w:tcPr>
          <w:p w14:paraId="266D7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506" w:type="pct"/>
            <w:vAlign w:val="center"/>
          </w:tcPr>
          <w:p w14:paraId="5BFD58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是</w:t>
            </w:r>
          </w:p>
        </w:tc>
        <w:tc>
          <w:tcPr>
            <w:tcW w:w="368" w:type="pct"/>
            <w:vAlign w:val="center"/>
          </w:tcPr>
          <w:p w14:paraId="713C5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bl>
    <w:p w14:paraId="202089F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（二）与主要标的物配套的辅材、辅料、辅助设备等</w:t>
      </w:r>
    </w:p>
    <w:tbl>
      <w:tblPr>
        <w:tblStyle w:val="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3"/>
        <w:gridCol w:w="1098"/>
        <w:gridCol w:w="4705"/>
        <w:gridCol w:w="992"/>
        <w:gridCol w:w="903"/>
      </w:tblGrid>
      <w:tr w14:paraId="7124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104AD3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653" w:type="pct"/>
            <w:vAlign w:val="center"/>
          </w:tcPr>
          <w:p w14:paraId="3D7EE5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2799" w:type="pct"/>
            <w:vAlign w:val="center"/>
          </w:tcPr>
          <w:p w14:paraId="09E3A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590" w:type="pct"/>
            <w:vAlign w:val="center"/>
          </w:tcPr>
          <w:p w14:paraId="4EF43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数量</w:t>
            </w:r>
          </w:p>
          <w:p w14:paraId="711270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rPr>
              <w:t>（单位）</w:t>
            </w:r>
          </w:p>
        </w:tc>
        <w:tc>
          <w:tcPr>
            <w:tcW w:w="537" w:type="pct"/>
            <w:vAlign w:val="center"/>
          </w:tcPr>
          <w:p w14:paraId="1B7176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备注</w:t>
            </w:r>
          </w:p>
        </w:tc>
      </w:tr>
      <w:tr w14:paraId="3DCC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6F6D3B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653" w:type="pct"/>
            <w:vAlign w:val="center"/>
          </w:tcPr>
          <w:p w14:paraId="17746D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2799" w:type="pct"/>
            <w:vAlign w:val="center"/>
          </w:tcPr>
          <w:p w14:paraId="1E7442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90" w:type="pct"/>
            <w:vAlign w:val="center"/>
          </w:tcPr>
          <w:p w14:paraId="693CD3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37" w:type="pct"/>
            <w:vAlign w:val="center"/>
          </w:tcPr>
          <w:p w14:paraId="13B922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r>
      <w:tr w14:paraId="28C3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50C48F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653" w:type="pct"/>
            <w:vAlign w:val="center"/>
          </w:tcPr>
          <w:p w14:paraId="1E45F1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2799" w:type="pct"/>
            <w:vAlign w:val="center"/>
          </w:tcPr>
          <w:p w14:paraId="276175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90" w:type="pct"/>
            <w:vAlign w:val="center"/>
          </w:tcPr>
          <w:p w14:paraId="213685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37" w:type="pct"/>
            <w:vAlign w:val="center"/>
          </w:tcPr>
          <w:p w14:paraId="3F9C90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r>
      <w:tr w14:paraId="2ED1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vAlign w:val="center"/>
          </w:tcPr>
          <w:p w14:paraId="013E0D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w:t>
            </w:r>
          </w:p>
        </w:tc>
        <w:tc>
          <w:tcPr>
            <w:tcW w:w="653" w:type="pct"/>
            <w:vAlign w:val="center"/>
          </w:tcPr>
          <w:p w14:paraId="545442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2799" w:type="pct"/>
            <w:vAlign w:val="center"/>
          </w:tcPr>
          <w:p w14:paraId="59641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90" w:type="pct"/>
            <w:vAlign w:val="center"/>
          </w:tcPr>
          <w:p w14:paraId="4BA500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37" w:type="pct"/>
            <w:vAlign w:val="center"/>
          </w:tcPr>
          <w:p w14:paraId="41BA5F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r>
      <w:tr w14:paraId="542B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3B87A5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w:t>
            </w:r>
          </w:p>
        </w:tc>
        <w:tc>
          <w:tcPr>
            <w:tcW w:w="653" w:type="pct"/>
            <w:vAlign w:val="center"/>
          </w:tcPr>
          <w:p w14:paraId="449CD3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2799" w:type="pct"/>
            <w:vAlign w:val="center"/>
          </w:tcPr>
          <w:p w14:paraId="5DD464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90" w:type="pct"/>
            <w:vAlign w:val="center"/>
          </w:tcPr>
          <w:p w14:paraId="3C1EF6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c>
          <w:tcPr>
            <w:tcW w:w="537" w:type="pct"/>
            <w:vAlign w:val="center"/>
          </w:tcPr>
          <w:p w14:paraId="3AE614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w:t>
            </w:r>
          </w:p>
        </w:tc>
      </w:tr>
    </w:tbl>
    <w:p w14:paraId="5DE48A15">
      <w:pPr>
        <w:spacing w:line="360" w:lineRule="auto"/>
        <w:ind w:firstLine="437"/>
        <w:outlineLvl w:val="1"/>
        <w:rPr>
          <w:rFonts w:hint="eastAsia" w:ascii="宋体" w:hAnsi="宋体" w:eastAsia="宋体" w:cs="宋体"/>
          <w:b/>
          <w:bCs/>
          <w:color w:val="auto"/>
          <w:sz w:val="24"/>
          <w:szCs w:val="18"/>
          <w:highlight w:val="none"/>
        </w:rPr>
      </w:pPr>
    </w:p>
    <w:p w14:paraId="3F527F28">
      <w:pPr>
        <w:spacing w:line="360" w:lineRule="auto"/>
        <w:ind w:firstLine="437"/>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三、报价要求</w:t>
      </w:r>
      <w:bookmarkEnd w:id="5"/>
      <w:bookmarkEnd w:id="6"/>
    </w:p>
    <w:p w14:paraId="3AE0DAB2">
      <w:pPr>
        <w:spacing w:line="360" w:lineRule="auto"/>
        <w:ind w:firstLine="437"/>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rPr>
        <w:t xml:space="preserve">3.1 本项目须对主要标的物报价，包含所涉及的所有费用（含设备运输、吊装、调 试、培训等） </w:t>
      </w:r>
      <w:r>
        <w:rPr>
          <w:rFonts w:hint="eastAsia" w:ascii="宋体" w:hAnsi="宋体" w:eastAsia="宋体" w:cs="宋体"/>
          <w:bCs/>
          <w:color w:val="auto"/>
          <w:sz w:val="24"/>
          <w:szCs w:val="18"/>
          <w:highlight w:val="none"/>
          <w:lang w:eastAsia="zh-CN"/>
        </w:rPr>
        <w:t>；</w:t>
      </w:r>
    </w:p>
    <w:p w14:paraId="26188D50">
      <w:pPr>
        <w:spacing w:line="360" w:lineRule="auto"/>
        <w:ind w:firstLine="437"/>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rPr>
        <w:t>3.2 其余报价要求见“第六章 响应文件格式”中的“十四、报价表”以及“十五、 分项报价明细表”</w:t>
      </w:r>
      <w:r>
        <w:rPr>
          <w:rFonts w:hint="eastAsia" w:ascii="宋体" w:hAnsi="宋体" w:eastAsia="宋体" w:cs="宋体"/>
          <w:bCs/>
          <w:color w:val="auto"/>
          <w:sz w:val="24"/>
          <w:szCs w:val="18"/>
          <w:highlight w:val="none"/>
          <w:lang w:eastAsia="zh-CN"/>
        </w:rPr>
        <w:t>。</w:t>
      </w:r>
    </w:p>
    <w:p w14:paraId="3A48F503">
      <w:pPr>
        <w:spacing w:line="360" w:lineRule="auto"/>
        <w:ind w:firstLine="437"/>
        <w:outlineLvl w:val="1"/>
        <w:rPr>
          <w:rFonts w:hint="eastAsia" w:ascii="宋体" w:hAnsi="宋体" w:eastAsia="宋体" w:cs="宋体"/>
          <w:b/>
          <w:bCs/>
          <w:color w:val="auto"/>
          <w:sz w:val="24"/>
          <w:szCs w:val="18"/>
          <w:highlight w:val="none"/>
        </w:rPr>
      </w:pPr>
      <w:bookmarkStart w:id="7" w:name="_Toc3878"/>
      <w:bookmarkStart w:id="8" w:name="_Toc18721"/>
      <w:r>
        <w:rPr>
          <w:rFonts w:hint="eastAsia" w:ascii="宋体" w:hAnsi="宋体" w:eastAsia="宋体" w:cs="宋体"/>
          <w:b/>
          <w:bCs/>
          <w:color w:val="auto"/>
          <w:sz w:val="24"/>
          <w:szCs w:val="18"/>
          <w:highlight w:val="none"/>
        </w:rPr>
        <w:t>四、其他要求</w:t>
      </w:r>
      <w:bookmarkEnd w:id="7"/>
      <w:bookmarkEnd w:id="8"/>
    </w:p>
    <w:p w14:paraId="2252BD8E">
      <w:pPr>
        <w:spacing w:line="360" w:lineRule="auto"/>
        <w:ind w:firstLine="480" w:firstLineChars="200"/>
      </w:pPr>
      <w:r>
        <w:rPr>
          <w:rFonts w:hint="eastAsia" w:ascii="宋体" w:hAnsi="宋体" w:eastAsia="宋体" w:cs="宋体"/>
          <w:bCs/>
          <w:color w:val="auto"/>
          <w:sz w:val="24"/>
          <w:szCs w:val="18"/>
          <w:highlight w:val="none"/>
        </w:rPr>
        <w:t>4.1 供应商须在响应文件中提供所投产品对应且有效的医疗器械注册证或供货前提供备案凭证。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CE2F9E"/>
    <w:rsid w:val="363F1909"/>
    <w:rsid w:val="57830E8D"/>
    <w:rsid w:val="68AE2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2026-08-24T09:20:04Z</dcterms:created>
  <dc:creator>Admin</dc:creator>
  <cp:lastModifiedBy>HR</cp:lastModifiedBy>
  <dcterms:modified xsi:type="dcterms:W3CDTF">2026-08-24T09:21:57Z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eyJoZGlkIjoiMjliODY0NDM3MDNjNTc2M2E2MmQxZGRkYzBjNzI0ZjUiLCJ1c2VySWQiOiIxMTUxMTc4MjY5In0=</vt:lpwstr>
  </property>
  <property fmtid="{D5CDD505-2E9C-101B-9397-08002B2CF9AE}" pid="4" name="ICV">
    <vt:lpwstr>91FFACCA793245339A7587908DCA1A58_12</vt:lpwstr>
  </property>
</Properties>
</file>