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AE7CB">
      <w:pPr>
        <w:pStyle w:val="6"/>
        <w:keepNext w:val="0"/>
        <w:keepLines w:val="0"/>
        <w:pageBreakBefore w:val="0"/>
        <w:widowControl/>
        <w:suppressLineNumbers w:val="0"/>
        <w:kinsoku/>
        <w:wordWrap/>
        <w:overflowPunct/>
        <w:topLinePunct w:val="0"/>
        <w:autoSpaceDE/>
        <w:autoSpaceDN/>
        <w:bidi w:val="0"/>
        <w:adjustRightInd/>
        <w:snapToGrid/>
        <w:spacing w:line="400" w:lineRule="exact"/>
        <w:ind w:left="0" w:firstLine="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8"/>
          <w:highlight w:val="none"/>
          <w:lang w:val="en-US" w:eastAsia="zh-CN" w:bidi="ar-SA"/>
        </w:rPr>
        <w:t>项目名称：</w:t>
      </w:r>
      <w:r>
        <w:rPr>
          <w:rFonts w:hint="eastAsia" w:ascii="宋体" w:hAnsi="宋体" w:eastAsia="宋体" w:cs="宋体"/>
          <w:color w:val="auto"/>
          <w:kern w:val="2"/>
          <w:sz w:val="28"/>
          <w:szCs w:val="28"/>
          <w:highlight w:val="none"/>
          <w:lang w:val="en-US" w:eastAsia="zh-CN" w:bidi="ar-SA"/>
        </w:rPr>
        <w:t>安徽省霍邱县四平山冶金用白云岩、熔剂用灰岩、水泥用灰岩矿勘探报告编制工作采购项目</w:t>
      </w:r>
    </w:p>
    <w:p w14:paraId="49012E9E">
      <w:pPr>
        <w:pStyle w:val="6"/>
        <w:keepNext w:val="0"/>
        <w:keepLines w:val="0"/>
        <w:pageBreakBefore w:val="0"/>
        <w:widowControl/>
        <w:suppressLineNumbers w:val="0"/>
        <w:kinsoku/>
        <w:wordWrap/>
        <w:overflowPunct/>
        <w:topLinePunct w:val="0"/>
        <w:autoSpaceDE/>
        <w:autoSpaceDN/>
        <w:bidi w:val="0"/>
        <w:adjustRightInd/>
        <w:snapToGrid/>
        <w:spacing w:line="400" w:lineRule="exact"/>
        <w:ind w:left="0" w:firstLine="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color w:val="auto"/>
          <w:kern w:val="2"/>
          <w:sz w:val="28"/>
          <w:highlight w:val="none"/>
          <w:lang w:val="en-US" w:eastAsia="zh-CN" w:bidi="ar-SA"/>
        </w:rPr>
        <w:t>采购单位：</w:t>
      </w:r>
      <w:r>
        <w:rPr>
          <w:rFonts w:hint="eastAsia" w:ascii="宋体" w:hAnsi="宋体" w:eastAsia="宋体" w:cs="宋体"/>
          <w:b w:val="0"/>
          <w:bCs/>
          <w:color w:val="auto"/>
          <w:kern w:val="2"/>
          <w:sz w:val="28"/>
          <w:highlight w:val="none"/>
          <w:lang w:val="en-US" w:eastAsia="zh-CN" w:bidi="ar-SA"/>
        </w:rPr>
        <w:t>霍邱县自然资源和规划局</w:t>
      </w:r>
    </w:p>
    <w:p w14:paraId="08F7BE47">
      <w:pPr>
        <w:pStyle w:val="6"/>
        <w:keepNext w:val="0"/>
        <w:keepLines w:val="0"/>
        <w:pageBreakBefore w:val="0"/>
        <w:widowControl/>
        <w:suppressLineNumbers w:val="0"/>
        <w:kinsoku/>
        <w:wordWrap/>
        <w:overflowPunct/>
        <w:topLinePunct w:val="0"/>
        <w:autoSpaceDE/>
        <w:autoSpaceDN/>
        <w:bidi w:val="0"/>
        <w:adjustRightInd/>
        <w:snapToGrid/>
        <w:spacing w:line="400" w:lineRule="exact"/>
        <w:ind w:left="0" w:firstLine="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8"/>
          <w:highlight w:val="none"/>
          <w:lang w:val="en-US" w:eastAsia="zh-CN" w:bidi="ar-SA"/>
        </w:rPr>
        <w:t>项目预算：</w:t>
      </w:r>
      <w:r>
        <w:rPr>
          <w:rFonts w:hint="eastAsia" w:ascii="宋体" w:hAnsi="宋体" w:eastAsia="宋体" w:cs="宋体"/>
          <w:color w:val="auto"/>
          <w:kern w:val="2"/>
          <w:sz w:val="28"/>
          <w:szCs w:val="28"/>
          <w:highlight w:val="none"/>
          <w:lang w:val="en-US" w:eastAsia="zh-CN" w:bidi="ar-SA"/>
        </w:rPr>
        <w:t>566万元</w:t>
      </w:r>
    </w:p>
    <w:p w14:paraId="330B48C7">
      <w:pPr>
        <w:pStyle w:val="6"/>
        <w:keepNext w:val="0"/>
        <w:keepLines w:val="0"/>
        <w:pageBreakBefore w:val="0"/>
        <w:widowControl/>
        <w:suppressLineNumbers w:val="0"/>
        <w:kinsoku/>
        <w:wordWrap/>
        <w:overflowPunct/>
        <w:topLinePunct w:val="0"/>
        <w:autoSpaceDE/>
        <w:autoSpaceDN/>
        <w:bidi w:val="0"/>
        <w:adjustRightInd/>
        <w:snapToGrid/>
        <w:spacing w:line="400" w:lineRule="exact"/>
        <w:ind w:left="0" w:firstLine="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8"/>
          <w:highlight w:val="none"/>
          <w:lang w:val="en-US" w:eastAsia="zh-CN" w:bidi="ar-SA"/>
        </w:rPr>
        <w:t>公示时间：</w:t>
      </w:r>
      <w:r>
        <w:rPr>
          <w:rFonts w:hint="eastAsia" w:ascii="宋体" w:hAnsi="宋体" w:eastAsia="宋体" w:cs="宋体"/>
          <w:color w:val="auto"/>
          <w:kern w:val="2"/>
          <w:sz w:val="28"/>
          <w:szCs w:val="28"/>
          <w:highlight w:val="none"/>
          <w:lang w:val="en-US" w:eastAsia="zh-CN" w:bidi="ar-SA"/>
        </w:rPr>
        <w:t>2026年9月17日</w:t>
      </w:r>
    </w:p>
    <w:p w14:paraId="3347A149">
      <w:pPr>
        <w:numPr>
          <w:ilvl w:val="0"/>
          <w:numId w:val="1"/>
        </w:numPr>
        <w:spacing w:line="360" w:lineRule="auto"/>
        <w:jc w:val="center"/>
        <w:outlineLvl w:val="0"/>
        <w:rPr>
          <w:rFonts w:hint="eastAsia" w:ascii="宋体" w:hAnsi="宋体" w:eastAsia="宋体" w:cs="宋体"/>
          <w:b/>
          <w:color w:val="auto"/>
          <w:sz w:val="28"/>
          <w:highlight w:val="none"/>
          <w:lang w:eastAsia="zh-CN"/>
        </w:rPr>
      </w:pPr>
      <w:r>
        <w:rPr>
          <w:rFonts w:hint="eastAsia" w:ascii="宋体" w:hAnsi="宋体" w:eastAsia="宋体" w:cs="宋体"/>
          <w:b/>
          <w:color w:val="auto"/>
          <w:sz w:val="28"/>
          <w:highlight w:val="none"/>
        </w:rPr>
        <w:t xml:space="preserve"> </w:t>
      </w:r>
      <w:bookmarkStart w:id="0" w:name="_Toc22605"/>
      <w:r>
        <w:rPr>
          <w:rFonts w:hint="eastAsia" w:ascii="宋体" w:hAnsi="宋体" w:eastAsia="宋体" w:cs="宋体"/>
          <w:b/>
          <w:color w:val="auto"/>
          <w:sz w:val="28"/>
          <w:highlight w:val="none"/>
        </w:rPr>
        <w:t>采购需求</w:t>
      </w:r>
      <w:bookmarkEnd w:id="0"/>
    </w:p>
    <w:p w14:paraId="79B78BA5">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前注：</w:t>
      </w:r>
    </w:p>
    <w:p w14:paraId="421541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0E91D2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2BFB54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60F7B3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4A482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3.如采购人允许采用分包方式履行合同的，应当明确可以分包履行的相关内容。</w:t>
      </w:r>
    </w:p>
    <w:p w14:paraId="005D350F">
      <w:pPr>
        <w:spacing w:line="360" w:lineRule="auto"/>
        <w:ind w:firstLine="437"/>
        <w:outlineLvl w:val="1"/>
        <w:rPr>
          <w:rFonts w:hint="eastAsia" w:ascii="宋体" w:hAnsi="宋体" w:eastAsia="宋体" w:cs="宋体"/>
          <w:b/>
          <w:color w:val="auto"/>
          <w:sz w:val="24"/>
          <w:szCs w:val="18"/>
          <w:highlight w:val="none"/>
        </w:rPr>
      </w:pPr>
      <w:bookmarkStart w:id="1" w:name="_Toc4148"/>
      <w:bookmarkStart w:id="2" w:name="_Toc21798"/>
      <w:bookmarkStart w:id="3" w:name="_Hlk23621890"/>
      <w:r>
        <w:rPr>
          <w:rFonts w:hint="eastAsia" w:ascii="宋体" w:hAnsi="宋体" w:eastAsia="宋体" w:cs="宋体"/>
          <w:b/>
          <w:color w:val="auto"/>
          <w:sz w:val="24"/>
          <w:szCs w:val="18"/>
          <w:highlight w:val="none"/>
        </w:rPr>
        <w:t>一、采购需求前附表</w:t>
      </w:r>
      <w:bookmarkEnd w:id="1"/>
      <w:bookmarkEnd w:id="2"/>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95"/>
        <w:gridCol w:w="7185"/>
      </w:tblGrid>
      <w:tr w14:paraId="7127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2FA61CC1">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697" w:type="pct"/>
            <w:vAlign w:val="center"/>
          </w:tcPr>
          <w:p w14:paraId="66670EB3">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866" w:type="pct"/>
            <w:vAlign w:val="center"/>
          </w:tcPr>
          <w:p w14:paraId="3AD4EC48">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531F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263BFA58">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697" w:type="pct"/>
            <w:vAlign w:val="center"/>
          </w:tcPr>
          <w:p w14:paraId="5E9F1D6B">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866" w:type="pct"/>
            <w:vAlign w:val="center"/>
          </w:tcPr>
          <w:p w14:paraId="01DF08C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⑴对</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为大型企业的项目或者以人工投入为主且实行按月定期结算支付款项的项目，采购人确定预付款为合同金额的</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rPr>
              <w:t>（0-70%）；</w:t>
            </w:r>
          </w:p>
          <w:p w14:paraId="040BC35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⑵中小企业合同，采购人确定预付款为合同金额的</w:t>
            </w:r>
            <w:r>
              <w:rPr>
                <w:rFonts w:hint="eastAsia" w:ascii="宋体" w:hAnsi="宋体" w:eastAsia="宋体" w:cs="宋体"/>
                <w:color w:val="auto"/>
                <w:sz w:val="24"/>
                <w:highlight w:val="none"/>
                <w:u w:val="single"/>
                <w:lang w:val="en-US" w:eastAsia="zh-CN"/>
              </w:rPr>
              <w:t>40%</w:t>
            </w:r>
            <w:r>
              <w:rPr>
                <w:rFonts w:hint="eastAsia" w:ascii="宋体" w:hAnsi="宋体" w:eastAsia="宋体" w:cs="宋体"/>
                <w:color w:val="auto"/>
                <w:sz w:val="24"/>
                <w:highlight w:val="none"/>
              </w:rPr>
              <w:t>（40%-70%）；</w:t>
            </w:r>
          </w:p>
          <w:p w14:paraId="7B2C8AD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⑶分年度安排预算的项目，采购人确定每年预付款为当年合同金额的</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rPr>
              <w:t>（40%-70%）。</w:t>
            </w:r>
          </w:p>
          <w:p w14:paraId="77A222D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注</w:t>
            </w:r>
            <w:r>
              <w:rPr>
                <w:rFonts w:hint="eastAsia" w:ascii="宋体" w:hAnsi="宋体" w:eastAsia="宋体" w:cs="宋体"/>
                <w:b/>
                <w:bCs/>
                <w:color w:val="auto"/>
                <w:sz w:val="24"/>
                <w:highlight w:val="none"/>
              </w:rPr>
              <w:t>：</w:t>
            </w:r>
            <w:r>
              <w:rPr>
                <w:rFonts w:hint="eastAsia" w:ascii="宋体" w:hAnsi="宋体" w:eastAsia="宋体" w:cs="宋体"/>
                <w:color w:val="auto"/>
                <w:sz w:val="24"/>
                <w:highlight w:val="none"/>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5E2436C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剩余款支付方式</w:t>
            </w:r>
            <w:r>
              <w:rPr>
                <w:rFonts w:hint="eastAsia" w:ascii="宋体" w:hAnsi="宋体" w:eastAsia="宋体" w:cs="宋体"/>
                <w:color w:val="auto"/>
                <w:sz w:val="24"/>
                <w:highlight w:val="none"/>
              </w:rPr>
              <w:t>：</w:t>
            </w:r>
            <w:r>
              <w:rPr>
                <w:rFonts w:hint="eastAsia" w:cs="宋体"/>
                <w:b/>
                <w:bCs/>
                <w:color w:val="000000"/>
                <w:sz w:val="24"/>
                <w:highlight w:val="none"/>
              </w:rPr>
              <w:t>完成全部服务并提交经评审通过后的成果报告，采购人在收到发票后7个工作日内将资金支付到合同约定的供应商账户。</w:t>
            </w:r>
          </w:p>
          <w:p w14:paraId="17A01F49">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u w:val="singl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eastAsia="zh-CN"/>
              </w:rPr>
              <w:t>投标人</w:t>
            </w:r>
            <w:r>
              <w:rPr>
                <w:rFonts w:hint="eastAsia" w:ascii="宋体" w:hAnsi="宋体" w:eastAsia="宋体" w:cs="宋体"/>
                <w:b w:val="0"/>
                <w:bCs w:val="0"/>
                <w:color w:val="auto"/>
                <w:sz w:val="24"/>
                <w:highlight w:val="none"/>
              </w:rPr>
              <w:t>提交的</w:t>
            </w:r>
            <w:r>
              <w:rPr>
                <w:rFonts w:hint="eastAsia" w:ascii="宋体" w:hAnsi="宋体" w:eastAsia="宋体" w:cs="宋体"/>
                <w:b w:val="0"/>
                <w:bCs w:val="0"/>
                <w:color w:val="auto"/>
                <w:sz w:val="24"/>
                <w:highlight w:val="none"/>
                <w:lang w:eastAsia="zh-CN"/>
              </w:rPr>
              <w:t>投标</w:t>
            </w:r>
            <w:r>
              <w:rPr>
                <w:rFonts w:hint="eastAsia" w:ascii="宋体" w:hAnsi="宋体" w:eastAsia="宋体" w:cs="宋体"/>
                <w:b w:val="0"/>
                <w:bCs w:val="0"/>
                <w:color w:val="auto"/>
                <w:sz w:val="24"/>
                <w:highlight w:val="none"/>
              </w:rPr>
              <w:t>文件中如有关于付款条件的表述与</w:t>
            </w:r>
            <w:r>
              <w:rPr>
                <w:rFonts w:hint="eastAsia" w:ascii="宋体" w:hAnsi="宋体" w:eastAsia="宋体" w:cs="宋体"/>
                <w:b w:val="0"/>
                <w:bCs w:val="0"/>
                <w:color w:val="auto"/>
                <w:sz w:val="24"/>
                <w:highlight w:val="none"/>
                <w:lang w:eastAsia="zh-CN"/>
              </w:rPr>
              <w:t>招标文件</w:t>
            </w:r>
            <w:r>
              <w:rPr>
                <w:rFonts w:hint="eastAsia" w:ascii="宋体" w:hAnsi="宋体" w:eastAsia="宋体" w:cs="宋体"/>
                <w:b w:val="0"/>
                <w:bCs w:val="0"/>
                <w:color w:val="auto"/>
                <w:sz w:val="24"/>
                <w:highlight w:val="none"/>
              </w:rPr>
              <w:t>规定不符，将被视为实质性不响应，将导致</w:t>
            </w:r>
            <w:r>
              <w:rPr>
                <w:rFonts w:hint="eastAsia" w:ascii="宋体" w:hAnsi="宋体" w:eastAsia="宋体" w:cs="宋体"/>
                <w:b/>
                <w:bCs/>
                <w:color w:val="auto"/>
                <w:sz w:val="24"/>
                <w:highlight w:val="none"/>
              </w:rPr>
              <w:t>响应无效</w:t>
            </w:r>
            <w:r>
              <w:rPr>
                <w:rFonts w:hint="eastAsia" w:ascii="宋体" w:hAnsi="宋体" w:eastAsia="宋体" w:cs="宋体"/>
                <w:b w:val="0"/>
                <w:bCs w:val="0"/>
                <w:color w:val="auto"/>
                <w:sz w:val="24"/>
                <w:highlight w:val="none"/>
              </w:rPr>
              <w:t>）</w:t>
            </w:r>
          </w:p>
        </w:tc>
      </w:tr>
      <w:tr w14:paraId="7B1F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40F17A69">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697" w:type="pct"/>
            <w:vAlign w:val="center"/>
          </w:tcPr>
          <w:p w14:paraId="4C3D38F1">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服务地点</w:t>
            </w:r>
          </w:p>
        </w:tc>
        <w:tc>
          <w:tcPr>
            <w:tcW w:w="3866" w:type="pct"/>
            <w:vAlign w:val="center"/>
          </w:tcPr>
          <w:p w14:paraId="405F22FE">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cs="宋体"/>
                <w:b w:val="0"/>
                <w:color w:val="auto"/>
                <w:sz w:val="24"/>
                <w:highlight w:val="none"/>
                <w:lang w:val="en-US" w:eastAsia="zh-CN"/>
              </w:rPr>
            </w:pPr>
            <w:r>
              <w:rPr>
                <w:rFonts w:hint="eastAsia" w:ascii="宋体" w:hAnsi="宋体" w:eastAsia="宋体" w:cs="宋体"/>
                <w:b w:val="0"/>
                <w:bCs w:val="0"/>
                <w:color w:val="auto"/>
                <w:sz w:val="24"/>
                <w:highlight w:val="none"/>
              </w:rPr>
              <w:t>勘查区位于安徽省霍邱县城区251°方向，直距约36千米处，马店镇248°方向，直距约4.75千米处，行政区划隶属于霍邱县马店镇管辖，西与河南省毗邻。矿区中心地理坐标：东经：115°55′13″，北纬：32°15′23″。矿区所属图幅为1∶5万蒋集幅，图幅编号为I50E023008。</w:t>
            </w:r>
          </w:p>
        </w:tc>
      </w:tr>
      <w:tr w14:paraId="29AF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2ED201CA">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697" w:type="pct"/>
            <w:vAlign w:val="center"/>
          </w:tcPr>
          <w:p w14:paraId="31F72816">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服务期限</w:t>
            </w:r>
          </w:p>
        </w:tc>
        <w:tc>
          <w:tcPr>
            <w:tcW w:w="3866" w:type="pct"/>
            <w:vAlign w:val="center"/>
          </w:tcPr>
          <w:p w14:paraId="762ACDE1">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b w:val="0"/>
                <w:bCs w:val="0"/>
                <w:sz w:val="24"/>
                <w:szCs w:val="24"/>
                <w:highlight w:val="none"/>
              </w:rPr>
              <w:t>签订合同后90</w:t>
            </w:r>
            <w:r>
              <w:rPr>
                <w:rFonts w:hint="eastAsia"/>
                <w:b w:val="0"/>
                <w:bCs w:val="0"/>
                <w:color w:val="000000"/>
                <w:sz w:val="24"/>
                <w:szCs w:val="24"/>
                <w:highlight w:val="none"/>
              </w:rPr>
              <w:t>日历</w:t>
            </w:r>
            <w:r>
              <w:rPr>
                <w:rFonts w:hint="eastAsia"/>
                <w:b w:val="0"/>
                <w:bCs w:val="0"/>
                <w:sz w:val="24"/>
                <w:szCs w:val="24"/>
                <w:highlight w:val="none"/>
              </w:rPr>
              <w:t>天内完勘查工作，并提交通过评审后的报告。</w:t>
            </w:r>
          </w:p>
        </w:tc>
      </w:tr>
      <w:tr w14:paraId="321F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57FA2D26">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4</w:t>
            </w:r>
          </w:p>
        </w:tc>
        <w:tc>
          <w:tcPr>
            <w:tcW w:w="697" w:type="pct"/>
            <w:vAlign w:val="center"/>
          </w:tcPr>
          <w:p w14:paraId="10202DE3">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本项目采购标的名称及所属行业</w:t>
            </w:r>
          </w:p>
        </w:tc>
        <w:tc>
          <w:tcPr>
            <w:tcW w:w="3866" w:type="pct"/>
            <w:vAlign w:val="center"/>
          </w:tcPr>
          <w:p w14:paraId="58515C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标的名称：</w:t>
            </w:r>
            <w:r>
              <w:rPr>
                <w:rFonts w:hint="eastAsia" w:ascii="宋体" w:hAnsi="宋体" w:eastAsia="宋体" w:cs="宋体"/>
                <w:color w:val="auto"/>
                <w:sz w:val="24"/>
                <w:highlight w:val="none"/>
                <w:lang w:eastAsia="zh-CN"/>
              </w:rPr>
              <w:t>安徽省霍邱县四平山冶金用白云岩、熔剂用灰岩、水泥用灰岩矿勘探报告编制工作采购项目</w:t>
            </w:r>
          </w:p>
          <w:p w14:paraId="1757E38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所属行业：</w:t>
            </w:r>
            <w:r>
              <w:rPr>
                <w:rFonts w:ascii="宋体" w:hAnsi="宋体" w:eastAsia="宋体" w:cs="宋体"/>
                <w:sz w:val="24"/>
                <w:szCs w:val="24"/>
                <w:highlight w:val="none"/>
              </w:rPr>
              <w:t>科学研究和技术服务业</w:t>
            </w:r>
          </w:p>
        </w:tc>
      </w:tr>
    </w:tbl>
    <w:p w14:paraId="0AFF08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outlineLvl w:val="1"/>
        <w:rPr>
          <w:rFonts w:hint="eastAsia" w:ascii="宋体" w:hAnsi="宋体" w:eastAsia="宋体" w:cs="宋体"/>
          <w:b/>
          <w:color w:val="auto"/>
          <w:sz w:val="24"/>
          <w:szCs w:val="18"/>
          <w:highlight w:val="none"/>
        </w:rPr>
      </w:pPr>
      <w:bookmarkStart w:id="4" w:name="_Toc16543"/>
      <w:bookmarkStart w:id="5" w:name="_Toc8753"/>
      <w:bookmarkStart w:id="6" w:name="_Hlk16461016"/>
      <w:r>
        <w:rPr>
          <w:rFonts w:hint="eastAsia" w:ascii="宋体" w:hAnsi="宋体" w:eastAsia="宋体" w:cs="宋体"/>
          <w:b/>
          <w:color w:val="auto"/>
          <w:sz w:val="24"/>
          <w:szCs w:val="18"/>
          <w:highlight w:val="none"/>
          <w:lang w:val="en-US" w:eastAsia="zh-CN"/>
        </w:rPr>
        <w:t>二、</w:t>
      </w:r>
      <w:r>
        <w:rPr>
          <w:rFonts w:hint="eastAsia" w:ascii="宋体" w:hAnsi="宋体" w:eastAsia="宋体" w:cs="宋体"/>
          <w:b/>
          <w:color w:val="auto"/>
          <w:sz w:val="24"/>
          <w:szCs w:val="18"/>
          <w:highlight w:val="none"/>
        </w:rPr>
        <w:t>项目概况</w:t>
      </w:r>
      <w:bookmarkEnd w:id="4"/>
      <w:bookmarkEnd w:id="5"/>
    </w:p>
    <w:p w14:paraId="47B1BCF5">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firstLine="480" w:firstLineChars="200"/>
        <w:textAlignment w:val="auto"/>
        <w:rPr>
          <w:rFonts w:hint="eastAsia" w:ascii="宋体" w:hAnsi="宋体" w:eastAsia="宋体" w:cs="宋体"/>
          <w:color w:val="auto"/>
          <w:highlight w:val="none"/>
        </w:rPr>
      </w:pPr>
      <w:r>
        <w:rPr>
          <w:bCs/>
          <w:sz w:val="24"/>
          <w:szCs w:val="24"/>
          <w:highlight w:val="none"/>
        </w:rPr>
        <w:t>在以往勘查工作的基础上，通过有效勘查手段、加密取样工程控制和测试、深入试验研究，详细查明矿床（体）地质特征、矿石加工选冶技术性能以及开采技术条件并进行工业指标论证。开展概略研究，估算推断、控制、探明资源量，提交勘探报告。预计提交一处资源量规模达到</w:t>
      </w:r>
      <w:r>
        <w:rPr>
          <w:rFonts w:hint="eastAsia"/>
          <w:bCs/>
          <w:sz w:val="24"/>
          <w:szCs w:val="24"/>
          <w:highlight w:val="none"/>
        </w:rPr>
        <w:t>中</w:t>
      </w:r>
      <w:r>
        <w:rPr>
          <w:bCs/>
          <w:sz w:val="24"/>
          <w:szCs w:val="24"/>
          <w:highlight w:val="none"/>
        </w:rPr>
        <w:t>型的矿产地。</w:t>
      </w:r>
    </w:p>
    <w:p w14:paraId="72FBD9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2" w:firstLineChars="200"/>
        <w:textAlignment w:val="auto"/>
        <w:outlineLvl w:val="1"/>
        <w:rPr>
          <w:rFonts w:hint="eastAsia" w:ascii="宋体" w:hAnsi="宋体" w:eastAsia="宋体" w:cs="宋体"/>
          <w:b/>
          <w:color w:val="auto"/>
          <w:sz w:val="24"/>
          <w:szCs w:val="18"/>
          <w:highlight w:val="none"/>
        </w:rPr>
      </w:pPr>
      <w:bookmarkStart w:id="7" w:name="_Toc27920"/>
      <w:bookmarkStart w:id="8" w:name="_Toc13016"/>
      <w:r>
        <w:rPr>
          <w:rFonts w:hint="eastAsia" w:ascii="宋体" w:hAnsi="宋体" w:eastAsia="宋体" w:cs="宋体"/>
          <w:b/>
          <w:color w:val="auto"/>
          <w:sz w:val="24"/>
          <w:szCs w:val="18"/>
          <w:highlight w:val="none"/>
          <w:lang w:val="en-US" w:eastAsia="zh-CN"/>
        </w:rPr>
        <w:t>三、</w:t>
      </w:r>
      <w:r>
        <w:rPr>
          <w:rFonts w:hint="eastAsia" w:ascii="宋体" w:hAnsi="宋体" w:eastAsia="宋体" w:cs="宋体"/>
          <w:b/>
          <w:color w:val="auto"/>
          <w:sz w:val="24"/>
          <w:szCs w:val="18"/>
          <w:highlight w:val="none"/>
        </w:rPr>
        <w:t>服务需求</w:t>
      </w:r>
      <w:bookmarkEnd w:id="7"/>
      <w:bookmarkEnd w:id="8"/>
    </w:p>
    <w:p w14:paraId="1749B5E5">
      <w:pPr>
        <w:widowControl/>
        <w:spacing w:line="360" w:lineRule="auto"/>
        <w:ind w:firstLine="480" w:firstLineChars="200"/>
        <w:rPr>
          <w:sz w:val="24"/>
          <w:szCs w:val="24"/>
          <w:highlight w:val="none"/>
        </w:rPr>
      </w:pPr>
      <w:bookmarkStart w:id="9" w:name="_Toc20717"/>
      <w:bookmarkStart w:id="10" w:name="_Toc16414"/>
      <w:r>
        <w:rPr>
          <w:rFonts w:hint="eastAsia"/>
          <w:sz w:val="24"/>
          <w:szCs w:val="24"/>
          <w:highlight w:val="none"/>
          <w:lang w:val="en-US" w:eastAsia="zh-CN"/>
        </w:rPr>
        <w:t>1</w:t>
      </w:r>
      <w:r>
        <w:rPr>
          <w:sz w:val="24"/>
          <w:szCs w:val="24"/>
          <w:highlight w:val="none"/>
        </w:rPr>
        <w:t>、本次工作部署原则是：</w:t>
      </w:r>
    </w:p>
    <w:p w14:paraId="30236370">
      <w:pPr>
        <w:widowControl/>
        <w:spacing w:line="360" w:lineRule="auto"/>
        <w:ind w:firstLine="480" w:firstLineChars="200"/>
        <w:rPr>
          <w:sz w:val="24"/>
          <w:szCs w:val="24"/>
          <w:highlight w:val="none"/>
        </w:rPr>
      </w:pPr>
      <w:r>
        <w:rPr>
          <w:rFonts w:hint="eastAsia"/>
          <w:sz w:val="24"/>
          <w:szCs w:val="24"/>
          <w:highlight w:val="none"/>
        </w:rPr>
        <w:t>综合考量原则：根据勘查目的、矿床地质特征，并考虑地形条件和技术经济因素，合理布置探矿工程。</w:t>
      </w:r>
    </w:p>
    <w:p w14:paraId="4B6D9AED">
      <w:pPr>
        <w:widowControl/>
        <w:spacing w:line="360" w:lineRule="auto"/>
        <w:ind w:firstLine="480" w:firstLineChars="200"/>
        <w:rPr>
          <w:sz w:val="24"/>
          <w:szCs w:val="24"/>
          <w:highlight w:val="none"/>
        </w:rPr>
      </w:pPr>
      <w:r>
        <w:rPr>
          <w:rFonts w:hint="eastAsia"/>
          <w:sz w:val="24"/>
          <w:szCs w:val="24"/>
          <w:highlight w:val="none"/>
        </w:rPr>
        <w:t>循序渐进原则：探矿工程布置应严格遵循由表及里、由浅入深、由疏到密、由已知到未知的原则。</w:t>
      </w:r>
    </w:p>
    <w:p w14:paraId="0ED436E3">
      <w:pPr>
        <w:widowControl/>
        <w:spacing w:line="360" w:lineRule="auto"/>
        <w:ind w:firstLine="480" w:firstLineChars="200"/>
        <w:rPr>
          <w:sz w:val="24"/>
          <w:szCs w:val="24"/>
          <w:highlight w:val="none"/>
        </w:rPr>
      </w:pPr>
      <w:r>
        <w:rPr>
          <w:rFonts w:hint="eastAsia"/>
          <w:sz w:val="24"/>
          <w:szCs w:val="24"/>
          <w:highlight w:val="none"/>
        </w:rPr>
        <w:t>“经济合理”的原则：在布置探矿工程时，应尽可能兼顾矿床水文地质和工程地质的需要，以往工程能利用的应尽可能利用。</w:t>
      </w:r>
    </w:p>
    <w:p w14:paraId="0829BE6B">
      <w:pPr>
        <w:widowControl/>
        <w:spacing w:line="360" w:lineRule="auto"/>
        <w:ind w:firstLine="480" w:firstLineChars="200"/>
        <w:rPr>
          <w:sz w:val="24"/>
          <w:szCs w:val="24"/>
          <w:highlight w:val="none"/>
        </w:rPr>
      </w:pPr>
      <w:r>
        <w:rPr>
          <w:rFonts w:hint="eastAsia"/>
          <w:sz w:val="24"/>
          <w:szCs w:val="24"/>
          <w:highlight w:val="none"/>
        </w:rPr>
        <w:t xml:space="preserve"> “综合勘查、综合评价”的原则：在勘查工作中发现矿石满足多种工业用途，应按照高价值、高标准的用途进行评价和储量估算。</w:t>
      </w:r>
    </w:p>
    <w:p w14:paraId="713D82D0">
      <w:pPr>
        <w:widowControl/>
        <w:spacing w:line="360" w:lineRule="auto"/>
        <w:ind w:firstLine="480" w:firstLineChars="200"/>
        <w:rPr>
          <w:rFonts w:hint="eastAsia"/>
          <w:sz w:val="24"/>
          <w:szCs w:val="24"/>
          <w:highlight w:val="none"/>
        </w:rPr>
      </w:pPr>
      <w:r>
        <w:rPr>
          <w:rFonts w:hint="eastAsia"/>
          <w:sz w:val="24"/>
          <w:szCs w:val="24"/>
          <w:highlight w:val="none"/>
        </w:rPr>
        <w:t>绿色勘查与手段适配原则：以绿色发展理念为引领，以科学管理和先进技术为手段，兼顾环境效益、经济效益和社会效益，采取以环境影响最小化为目的的全过程地质勘查方法，有效控制并减少探矿工程对自然环境的破坏。</w:t>
      </w:r>
    </w:p>
    <w:p w14:paraId="155B3955">
      <w:pPr>
        <w:widowControl/>
        <w:spacing w:line="360" w:lineRule="auto"/>
        <w:ind w:firstLine="480" w:firstLineChars="200"/>
        <w:rPr>
          <w:sz w:val="24"/>
          <w:szCs w:val="24"/>
          <w:highlight w:val="none"/>
        </w:rPr>
      </w:pPr>
      <w:r>
        <w:rPr>
          <w:sz w:val="24"/>
          <w:szCs w:val="24"/>
          <w:highlight w:val="none"/>
        </w:rPr>
        <w:t>本次勘查的目的任务是：详细查明矿区内地层、构造、岩浆岩情况，详细查明矿体的分布范围、数量、规模、产状、厚度、形态特征及其分布规律和矿石质量，详细查明矿床的开采技术条件，对矿石的加工性能进行类比研究，进行概略研究，做出是否具有工业价值的评价，提交勘探地质报告，预计提交一处资源量规模达到</w:t>
      </w:r>
      <w:r>
        <w:rPr>
          <w:rFonts w:hint="eastAsia"/>
          <w:sz w:val="24"/>
          <w:szCs w:val="24"/>
          <w:highlight w:val="none"/>
        </w:rPr>
        <w:t>中</w:t>
      </w:r>
      <w:r>
        <w:rPr>
          <w:sz w:val="24"/>
          <w:szCs w:val="24"/>
          <w:highlight w:val="none"/>
        </w:rPr>
        <w:t>型的矿产地。</w:t>
      </w:r>
    </w:p>
    <w:p w14:paraId="77007938">
      <w:pPr>
        <w:widowControl/>
        <w:spacing w:line="360" w:lineRule="auto"/>
        <w:ind w:firstLine="480" w:firstLineChars="200"/>
        <w:rPr>
          <w:sz w:val="24"/>
          <w:szCs w:val="24"/>
          <w:highlight w:val="none"/>
        </w:rPr>
      </w:pPr>
      <w:r>
        <w:rPr>
          <w:sz w:val="24"/>
          <w:szCs w:val="24"/>
          <w:highlight w:val="none"/>
        </w:rPr>
        <w:t>本次勘查以已知矿体为目的层，对矿体沿走向和倾向进行钻探控制，钻探工程均布置在勘探线上，最大偏移距离不得超过线距的3%，勘探线上移动不得超过工程间距的5%，为矿床概略研究和以后开采提供依据。</w:t>
      </w:r>
    </w:p>
    <w:p w14:paraId="7D430A45">
      <w:pPr>
        <w:spacing w:line="360" w:lineRule="auto"/>
        <w:ind w:firstLine="480" w:firstLineChars="200"/>
        <w:rPr>
          <w:sz w:val="24"/>
          <w:szCs w:val="24"/>
          <w:highlight w:val="none"/>
        </w:rPr>
      </w:pPr>
      <w:r>
        <w:rPr>
          <w:sz w:val="24"/>
          <w:szCs w:val="24"/>
          <w:highlight w:val="none"/>
        </w:rPr>
        <w:t>钻探工作要严格按照DZ/T 0227-2010《地质岩心钻探规程》</w:t>
      </w:r>
      <w:r>
        <w:rPr>
          <w:rFonts w:hint="eastAsia"/>
          <w:sz w:val="24"/>
          <w:szCs w:val="24"/>
          <w:highlight w:val="none"/>
        </w:rPr>
        <w:t>、</w:t>
      </w:r>
      <w:r>
        <w:rPr>
          <w:sz w:val="24"/>
          <w:szCs w:val="24"/>
          <w:highlight w:val="none"/>
        </w:rPr>
        <w:t>《固体矿产勘查钻孔质量要求》（DZ/T 0486-2024）要求执行。</w:t>
      </w:r>
    </w:p>
    <w:p w14:paraId="0938858E">
      <w:pPr>
        <w:spacing w:line="360" w:lineRule="auto"/>
        <w:ind w:firstLine="480" w:firstLineChars="200"/>
        <w:rPr>
          <w:sz w:val="24"/>
          <w:szCs w:val="24"/>
          <w:highlight w:val="none"/>
        </w:rPr>
      </w:pPr>
      <w:r>
        <w:rPr>
          <w:sz w:val="24"/>
          <w:szCs w:val="24"/>
          <w:highlight w:val="none"/>
        </w:rPr>
        <w:t>实测地质剖面、地质填图、钻孔采样等编录工作在现场及时进行，具体的工作内容、要求、方法和编录资料的管理，将严格按DZ/T0078-2015《固体矿产勘查原始地质编录规程》要求执行。地质资料的综合整理、综合研究工作的内容、要求和方法将按DZ/T</w:t>
      </w:r>
      <w:r>
        <w:rPr>
          <w:rFonts w:hint="eastAsia"/>
          <w:sz w:val="24"/>
          <w:szCs w:val="24"/>
          <w:highlight w:val="none"/>
        </w:rPr>
        <w:t xml:space="preserve"> 0079-2015</w:t>
      </w:r>
      <w:r>
        <w:rPr>
          <w:sz w:val="24"/>
          <w:szCs w:val="24"/>
          <w:highlight w:val="none"/>
        </w:rPr>
        <w:t>《固体矿产勘查地质资料综合整理综合研究技术要求》执行。</w:t>
      </w:r>
    </w:p>
    <w:p w14:paraId="63445396">
      <w:pPr>
        <w:spacing w:line="360" w:lineRule="auto"/>
        <w:ind w:firstLine="480" w:firstLineChars="200"/>
        <w:rPr>
          <w:rFonts w:hint="eastAsia"/>
          <w:sz w:val="24"/>
          <w:szCs w:val="24"/>
          <w:highlight w:val="none"/>
        </w:rPr>
      </w:pPr>
      <w:r>
        <w:rPr>
          <w:sz w:val="24"/>
          <w:szCs w:val="24"/>
          <w:highlight w:val="none"/>
        </w:rPr>
        <w:t>测量工作及成果质量按《1:500、1:1000、1:2000 地形图图式》（GB/T 20257.1 - 2007）、《全球定位系统实时动态测量</w:t>
      </w:r>
      <w:r>
        <w:rPr>
          <w:rFonts w:hint="eastAsia"/>
          <w:sz w:val="24"/>
          <w:szCs w:val="24"/>
          <w:highlight w:val="none"/>
        </w:rPr>
        <w:t>（</w:t>
      </w:r>
      <w:r>
        <w:rPr>
          <w:sz w:val="24"/>
          <w:szCs w:val="24"/>
          <w:highlight w:val="none"/>
        </w:rPr>
        <w:t>RTK</w:t>
      </w:r>
      <w:r>
        <w:rPr>
          <w:rFonts w:hint="eastAsia"/>
          <w:sz w:val="24"/>
          <w:szCs w:val="24"/>
          <w:highlight w:val="none"/>
        </w:rPr>
        <w:t>）</w:t>
      </w:r>
      <w:r>
        <w:rPr>
          <w:sz w:val="24"/>
          <w:szCs w:val="24"/>
          <w:highlight w:val="none"/>
        </w:rPr>
        <w:t>技术规范》</w:t>
      </w:r>
      <w:r>
        <w:rPr>
          <w:rFonts w:hint="eastAsia"/>
          <w:sz w:val="24"/>
          <w:szCs w:val="24"/>
          <w:highlight w:val="none"/>
        </w:rPr>
        <w:t>（</w:t>
      </w:r>
      <w:r>
        <w:rPr>
          <w:sz w:val="24"/>
          <w:szCs w:val="24"/>
          <w:highlight w:val="none"/>
        </w:rPr>
        <w:t>CH/T 2009-2010</w:t>
      </w:r>
      <w:r>
        <w:rPr>
          <w:rFonts w:hint="eastAsia"/>
          <w:sz w:val="24"/>
          <w:szCs w:val="24"/>
          <w:highlight w:val="none"/>
        </w:rPr>
        <w:t>）</w:t>
      </w:r>
      <w:r>
        <w:rPr>
          <w:sz w:val="24"/>
          <w:szCs w:val="24"/>
          <w:highlight w:val="none"/>
        </w:rPr>
        <w:t>、《数字测绘成果质量检查与验收》</w:t>
      </w:r>
      <w:r>
        <w:rPr>
          <w:rFonts w:hint="eastAsia"/>
          <w:sz w:val="24"/>
          <w:szCs w:val="24"/>
          <w:highlight w:val="none"/>
        </w:rPr>
        <w:t>（</w:t>
      </w:r>
      <w:r>
        <w:rPr>
          <w:sz w:val="24"/>
          <w:szCs w:val="24"/>
          <w:highlight w:val="none"/>
        </w:rPr>
        <w:t>GB/T18316-2008</w:t>
      </w:r>
      <w:r>
        <w:rPr>
          <w:rFonts w:hint="eastAsia"/>
          <w:sz w:val="24"/>
          <w:szCs w:val="24"/>
          <w:highlight w:val="none"/>
        </w:rPr>
        <w:t>）</w:t>
      </w:r>
      <w:r>
        <w:rPr>
          <w:sz w:val="24"/>
          <w:szCs w:val="24"/>
          <w:highlight w:val="none"/>
        </w:rPr>
        <w:t>、勘查单位应具备高分辨率对地观测系统数据与应用中心能力、《地质矿产勘查测量规范》</w:t>
      </w:r>
      <w:r>
        <w:rPr>
          <w:rFonts w:hint="eastAsia"/>
          <w:sz w:val="24"/>
          <w:szCs w:val="24"/>
          <w:highlight w:val="none"/>
        </w:rPr>
        <w:t>（</w:t>
      </w:r>
      <w:r>
        <w:rPr>
          <w:sz w:val="24"/>
          <w:szCs w:val="24"/>
          <w:highlight w:val="none"/>
        </w:rPr>
        <w:t>GB/T</w:t>
      </w:r>
      <w:r>
        <w:rPr>
          <w:rFonts w:hint="eastAsia"/>
          <w:sz w:val="24"/>
          <w:szCs w:val="24"/>
          <w:highlight w:val="none"/>
        </w:rPr>
        <w:t xml:space="preserve"> </w:t>
      </w:r>
      <w:r>
        <w:rPr>
          <w:sz w:val="24"/>
          <w:szCs w:val="24"/>
          <w:highlight w:val="none"/>
        </w:rPr>
        <w:t>183</w:t>
      </w:r>
      <w:r>
        <w:rPr>
          <w:rFonts w:hint="eastAsia"/>
          <w:sz w:val="24"/>
          <w:szCs w:val="24"/>
          <w:highlight w:val="none"/>
        </w:rPr>
        <w:t>41</w:t>
      </w:r>
      <w:r>
        <w:rPr>
          <w:sz w:val="24"/>
          <w:szCs w:val="24"/>
          <w:highlight w:val="none"/>
        </w:rPr>
        <w:t>-</w:t>
      </w:r>
      <w:r>
        <w:rPr>
          <w:rFonts w:hint="eastAsia"/>
          <w:sz w:val="24"/>
          <w:szCs w:val="24"/>
          <w:highlight w:val="none"/>
        </w:rPr>
        <w:t>2021）、</w:t>
      </w:r>
      <w:r>
        <w:rPr>
          <w:sz w:val="24"/>
          <w:szCs w:val="24"/>
          <w:highlight w:val="none"/>
        </w:rPr>
        <w:t>《1:500 1:1000 1:2000 地形图航空摄影测量外业规范》（GB/T 7931-2008）</w:t>
      </w:r>
      <w:r>
        <w:rPr>
          <w:rFonts w:hint="eastAsia"/>
          <w:sz w:val="24"/>
          <w:szCs w:val="24"/>
          <w:highlight w:val="none"/>
        </w:rPr>
        <w:t>等</w:t>
      </w:r>
      <w:r>
        <w:rPr>
          <w:sz w:val="24"/>
          <w:szCs w:val="24"/>
          <w:highlight w:val="none"/>
        </w:rPr>
        <w:t>进行作业和验收</w:t>
      </w:r>
      <w:r>
        <w:rPr>
          <w:rFonts w:hint="eastAsia"/>
          <w:sz w:val="24"/>
          <w:szCs w:val="24"/>
          <w:highlight w:val="none"/>
        </w:rPr>
        <w:t>；同时</w:t>
      </w:r>
      <w:r>
        <w:rPr>
          <w:sz w:val="24"/>
          <w:szCs w:val="24"/>
          <w:highlight w:val="none"/>
        </w:rPr>
        <w:t>采购</w:t>
      </w:r>
      <w:r>
        <w:rPr>
          <w:rFonts w:hint="eastAsia"/>
          <w:sz w:val="24"/>
          <w:szCs w:val="24"/>
          <w:highlight w:val="none"/>
        </w:rPr>
        <w:t>人应具有乙级及以上测绘资质证书。</w:t>
      </w:r>
    </w:p>
    <w:p w14:paraId="286B1851">
      <w:pPr>
        <w:spacing w:line="360" w:lineRule="auto"/>
        <w:ind w:firstLine="480" w:firstLineChars="200"/>
        <w:rPr>
          <w:sz w:val="24"/>
          <w:szCs w:val="24"/>
          <w:highlight w:val="none"/>
        </w:rPr>
      </w:pPr>
      <w:r>
        <w:rPr>
          <w:rFonts w:hint="eastAsia"/>
          <w:sz w:val="24"/>
          <w:szCs w:val="24"/>
          <w:highlight w:val="none"/>
          <w:lang w:val="en-US" w:eastAsia="zh-CN"/>
        </w:rPr>
        <w:t>2</w:t>
      </w:r>
      <w:r>
        <w:rPr>
          <w:sz w:val="24"/>
          <w:szCs w:val="24"/>
          <w:highlight w:val="none"/>
        </w:rPr>
        <w:t>、采购标的需执行的国家相关标准、行业标准、地方标准或者其他标准.规范</w:t>
      </w:r>
      <w:r>
        <w:rPr>
          <w:rFonts w:hint="eastAsia"/>
          <w:sz w:val="24"/>
          <w:szCs w:val="24"/>
          <w:highlight w:val="none"/>
        </w:rPr>
        <w:t>：</w:t>
      </w:r>
    </w:p>
    <w:p w14:paraId="621B2107">
      <w:pPr>
        <w:spacing w:line="360" w:lineRule="auto"/>
        <w:ind w:firstLine="480" w:firstLineChars="200"/>
        <w:rPr>
          <w:sz w:val="24"/>
          <w:szCs w:val="24"/>
          <w:highlight w:val="none"/>
        </w:rPr>
      </w:pPr>
      <w:r>
        <w:rPr>
          <w:sz w:val="24"/>
          <w:szCs w:val="24"/>
          <w:highlight w:val="none"/>
        </w:rPr>
        <w:t>包括但不限于以下：</w:t>
      </w:r>
    </w:p>
    <w:p w14:paraId="5A9D2B1B">
      <w:pPr>
        <w:spacing w:line="360" w:lineRule="auto"/>
        <w:ind w:firstLine="480" w:firstLineChars="200"/>
        <w:rPr>
          <w:rFonts w:hint="eastAsia"/>
          <w:sz w:val="24"/>
          <w:szCs w:val="24"/>
          <w:highlight w:val="none"/>
        </w:rPr>
      </w:pPr>
      <w:r>
        <w:rPr>
          <w:rFonts w:hint="eastAsia"/>
          <w:sz w:val="24"/>
          <w:szCs w:val="24"/>
          <w:highlight w:val="none"/>
        </w:rPr>
        <w:t>（1）</w:t>
      </w:r>
      <w:r>
        <w:rPr>
          <w:sz w:val="24"/>
          <w:szCs w:val="24"/>
          <w:highlight w:val="none"/>
        </w:rPr>
        <w:t>《固体矿产地质勘查规范总则》（GB/T 13908-2020）；</w:t>
      </w:r>
    </w:p>
    <w:p w14:paraId="6A4986E8">
      <w:pPr>
        <w:spacing w:line="360" w:lineRule="auto"/>
        <w:ind w:firstLine="480" w:firstLineChars="200"/>
        <w:rPr>
          <w:rFonts w:hint="eastAsia"/>
          <w:sz w:val="24"/>
          <w:szCs w:val="24"/>
          <w:highlight w:val="none"/>
        </w:rPr>
      </w:pPr>
      <w:r>
        <w:rPr>
          <w:rFonts w:hint="eastAsia"/>
          <w:sz w:val="24"/>
          <w:szCs w:val="24"/>
          <w:highlight w:val="none"/>
        </w:rPr>
        <w:t>（2）</w:t>
      </w:r>
      <w:r>
        <w:rPr>
          <w:sz w:val="24"/>
          <w:szCs w:val="24"/>
          <w:highlight w:val="none"/>
        </w:rPr>
        <w:t>《区域地质图图例（1:50000）》（GB 958-2015）；</w:t>
      </w:r>
    </w:p>
    <w:p w14:paraId="346396CD">
      <w:pPr>
        <w:spacing w:line="360" w:lineRule="auto"/>
        <w:ind w:firstLine="480" w:firstLineChars="200"/>
        <w:rPr>
          <w:rFonts w:hint="eastAsia"/>
          <w:sz w:val="24"/>
          <w:szCs w:val="24"/>
          <w:highlight w:val="none"/>
        </w:rPr>
      </w:pPr>
      <w:r>
        <w:rPr>
          <w:rFonts w:hint="eastAsia"/>
          <w:sz w:val="24"/>
          <w:szCs w:val="24"/>
          <w:highlight w:val="none"/>
        </w:rPr>
        <w:t>（3）</w:t>
      </w:r>
      <w:r>
        <w:rPr>
          <w:sz w:val="24"/>
          <w:szCs w:val="24"/>
          <w:highlight w:val="none"/>
        </w:rPr>
        <w:t>《固体矿产勘查工作规范》（GB/T 33444-2016）；</w:t>
      </w:r>
    </w:p>
    <w:p w14:paraId="59BADB09">
      <w:pPr>
        <w:spacing w:line="360" w:lineRule="auto"/>
        <w:ind w:firstLine="480" w:firstLineChars="200"/>
        <w:rPr>
          <w:rFonts w:hint="eastAsia"/>
          <w:sz w:val="24"/>
          <w:szCs w:val="24"/>
          <w:highlight w:val="none"/>
        </w:rPr>
      </w:pPr>
      <w:r>
        <w:rPr>
          <w:rFonts w:hint="eastAsia"/>
          <w:sz w:val="24"/>
          <w:szCs w:val="24"/>
          <w:highlight w:val="none"/>
        </w:rPr>
        <w:t>（4）</w:t>
      </w:r>
      <w:r>
        <w:rPr>
          <w:sz w:val="24"/>
          <w:szCs w:val="24"/>
          <w:highlight w:val="none"/>
        </w:rPr>
        <w:t>《固体矿产勘查原始地质编录规程》（DZ/T 0078-2015）；</w:t>
      </w:r>
    </w:p>
    <w:p w14:paraId="400E30C5">
      <w:pPr>
        <w:spacing w:line="360" w:lineRule="auto"/>
        <w:ind w:firstLine="480" w:firstLineChars="200"/>
        <w:rPr>
          <w:sz w:val="24"/>
          <w:szCs w:val="24"/>
          <w:highlight w:val="none"/>
        </w:rPr>
      </w:pPr>
      <w:r>
        <w:rPr>
          <w:rFonts w:hint="eastAsia"/>
          <w:sz w:val="24"/>
          <w:szCs w:val="24"/>
          <w:highlight w:val="none"/>
        </w:rPr>
        <w:t>（5）</w:t>
      </w:r>
      <w:r>
        <w:rPr>
          <w:sz w:val="24"/>
          <w:szCs w:val="24"/>
          <w:highlight w:val="none"/>
        </w:rPr>
        <w:t>《</w:t>
      </w:r>
      <w:r>
        <w:rPr>
          <w:rFonts w:hint="eastAsia"/>
          <w:sz w:val="24"/>
          <w:szCs w:val="24"/>
          <w:highlight w:val="none"/>
        </w:rPr>
        <w:t>矿产地质勘查规划 菱镁矿、白云岩</w:t>
      </w:r>
      <w:r>
        <w:rPr>
          <w:sz w:val="24"/>
          <w:szCs w:val="24"/>
          <w:highlight w:val="none"/>
        </w:rPr>
        <w:t>》</w:t>
      </w:r>
      <w:bookmarkStart w:id="11" w:name="_Hlk208755678"/>
      <w:r>
        <w:rPr>
          <w:sz w:val="24"/>
          <w:szCs w:val="24"/>
          <w:highlight w:val="none"/>
        </w:rPr>
        <w:t xml:space="preserve">（DZ/T </w:t>
      </w:r>
      <w:r>
        <w:rPr>
          <w:rFonts w:hint="eastAsia"/>
          <w:sz w:val="24"/>
          <w:szCs w:val="24"/>
          <w:highlight w:val="none"/>
        </w:rPr>
        <w:t>0348-2</w:t>
      </w:r>
      <w:r>
        <w:rPr>
          <w:sz w:val="24"/>
          <w:szCs w:val="24"/>
          <w:highlight w:val="none"/>
        </w:rPr>
        <w:t>0</w:t>
      </w:r>
      <w:r>
        <w:rPr>
          <w:rFonts w:hint="eastAsia"/>
          <w:sz w:val="24"/>
          <w:szCs w:val="24"/>
          <w:highlight w:val="none"/>
        </w:rPr>
        <w:t>20</w:t>
      </w:r>
      <w:r>
        <w:rPr>
          <w:sz w:val="24"/>
          <w:szCs w:val="24"/>
          <w:highlight w:val="none"/>
        </w:rPr>
        <w:t>）</w:t>
      </w:r>
      <w:bookmarkEnd w:id="11"/>
      <w:r>
        <w:rPr>
          <w:sz w:val="24"/>
          <w:szCs w:val="24"/>
          <w:highlight w:val="none"/>
        </w:rPr>
        <w:t>；</w:t>
      </w:r>
    </w:p>
    <w:p w14:paraId="335AE108">
      <w:pPr>
        <w:spacing w:line="360" w:lineRule="auto"/>
        <w:ind w:firstLine="480" w:firstLineChars="200"/>
        <w:rPr>
          <w:sz w:val="24"/>
          <w:szCs w:val="24"/>
          <w:highlight w:val="none"/>
        </w:rPr>
      </w:pPr>
      <w:r>
        <w:rPr>
          <w:rFonts w:hint="eastAsia"/>
          <w:sz w:val="24"/>
          <w:szCs w:val="24"/>
          <w:highlight w:val="none"/>
        </w:rPr>
        <w:t>（6）</w:t>
      </w:r>
      <w:r>
        <w:rPr>
          <w:sz w:val="24"/>
          <w:szCs w:val="24"/>
          <w:highlight w:val="none"/>
        </w:rPr>
        <w:t>《</w:t>
      </w:r>
      <w:r>
        <w:rPr>
          <w:rFonts w:hint="eastAsia"/>
          <w:sz w:val="24"/>
          <w:szCs w:val="24"/>
          <w:highlight w:val="none"/>
        </w:rPr>
        <w:t>矿产地质勘查规划 石灰岩、水泥配料类</w:t>
      </w:r>
      <w:r>
        <w:rPr>
          <w:sz w:val="24"/>
          <w:szCs w:val="24"/>
          <w:highlight w:val="none"/>
        </w:rPr>
        <w:t xml:space="preserve">》（DZ/T </w:t>
      </w:r>
      <w:r>
        <w:rPr>
          <w:rFonts w:hint="eastAsia"/>
          <w:sz w:val="24"/>
          <w:szCs w:val="24"/>
          <w:highlight w:val="none"/>
        </w:rPr>
        <w:t>0213-2</w:t>
      </w:r>
      <w:r>
        <w:rPr>
          <w:sz w:val="24"/>
          <w:szCs w:val="24"/>
          <w:highlight w:val="none"/>
        </w:rPr>
        <w:t>0</w:t>
      </w:r>
      <w:r>
        <w:rPr>
          <w:rFonts w:hint="eastAsia"/>
          <w:sz w:val="24"/>
          <w:szCs w:val="24"/>
          <w:highlight w:val="none"/>
        </w:rPr>
        <w:t>20</w:t>
      </w:r>
      <w:r>
        <w:rPr>
          <w:sz w:val="24"/>
          <w:szCs w:val="24"/>
          <w:highlight w:val="none"/>
        </w:rPr>
        <w:t>）；</w:t>
      </w:r>
    </w:p>
    <w:p w14:paraId="3C09A02F">
      <w:pPr>
        <w:spacing w:line="360" w:lineRule="auto"/>
        <w:ind w:firstLine="480" w:firstLineChars="200"/>
        <w:rPr>
          <w:rFonts w:hint="eastAsia"/>
          <w:sz w:val="24"/>
          <w:szCs w:val="24"/>
          <w:highlight w:val="none"/>
        </w:rPr>
      </w:pPr>
      <w:r>
        <w:rPr>
          <w:rFonts w:hint="eastAsia"/>
          <w:sz w:val="24"/>
          <w:szCs w:val="24"/>
          <w:highlight w:val="none"/>
        </w:rPr>
        <w:t>（7）《固体矿产地质勘查报告编写规范》（</w:t>
      </w:r>
      <w:r>
        <w:rPr>
          <w:sz w:val="24"/>
          <w:szCs w:val="24"/>
          <w:highlight w:val="none"/>
        </w:rPr>
        <w:t xml:space="preserve">DZ/T </w:t>
      </w:r>
      <w:r>
        <w:rPr>
          <w:rFonts w:hint="eastAsia"/>
          <w:sz w:val="24"/>
          <w:szCs w:val="24"/>
          <w:highlight w:val="none"/>
        </w:rPr>
        <w:t>0033-2</w:t>
      </w:r>
      <w:r>
        <w:rPr>
          <w:sz w:val="24"/>
          <w:szCs w:val="24"/>
          <w:highlight w:val="none"/>
        </w:rPr>
        <w:t>0</w:t>
      </w:r>
      <w:r>
        <w:rPr>
          <w:rFonts w:hint="eastAsia"/>
          <w:sz w:val="24"/>
          <w:szCs w:val="24"/>
          <w:highlight w:val="none"/>
        </w:rPr>
        <w:t>20）</w:t>
      </w:r>
    </w:p>
    <w:p w14:paraId="5B7A39AB">
      <w:pPr>
        <w:spacing w:line="360" w:lineRule="auto"/>
        <w:ind w:firstLine="480" w:firstLineChars="200"/>
        <w:rPr>
          <w:rFonts w:hint="eastAsia"/>
          <w:sz w:val="24"/>
          <w:szCs w:val="24"/>
          <w:highlight w:val="none"/>
        </w:rPr>
      </w:pPr>
      <w:r>
        <w:rPr>
          <w:rFonts w:hint="eastAsia"/>
          <w:sz w:val="24"/>
          <w:szCs w:val="24"/>
          <w:highlight w:val="none"/>
        </w:rPr>
        <w:t>（8）</w:t>
      </w:r>
      <w:r>
        <w:rPr>
          <w:sz w:val="24"/>
          <w:szCs w:val="24"/>
          <w:highlight w:val="none"/>
        </w:rPr>
        <w:t>《固体矿产资源/储量分类》（GB/T17766-2020）；</w:t>
      </w:r>
    </w:p>
    <w:p w14:paraId="5F7DC382">
      <w:pPr>
        <w:spacing w:line="360" w:lineRule="auto"/>
        <w:ind w:firstLine="480" w:firstLineChars="200"/>
        <w:rPr>
          <w:rFonts w:hint="eastAsia"/>
          <w:sz w:val="24"/>
          <w:szCs w:val="24"/>
          <w:highlight w:val="none"/>
        </w:rPr>
      </w:pPr>
      <w:r>
        <w:rPr>
          <w:rFonts w:hint="eastAsia"/>
          <w:sz w:val="24"/>
          <w:szCs w:val="24"/>
          <w:highlight w:val="none"/>
        </w:rPr>
        <w:t>（9）</w:t>
      </w:r>
      <w:r>
        <w:rPr>
          <w:sz w:val="24"/>
          <w:szCs w:val="24"/>
          <w:highlight w:val="none"/>
        </w:rPr>
        <w:t>《地质图用色标准及用色原则(1:50000)》（DZ/T 0179-1997）；</w:t>
      </w:r>
    </w:p>
    <w:p w14:paraId="2226DB1E">
      <w:pPr>
        <w:spacing w:line="360" w:lineRule="auto"/>
        <w:ind w:firstLine="480" w:firstLineChars="200"/>
        <w:rPr>
          <w:rFonts w:hint="eastAsia"/>
          <w:sz w:val="24"/>
          <w:szCs w:val="24"/>
          <w:highlight w:val="none"/>
        </w:rPr>
      </w:pPr>
      <w:r>
        <w:rPr>
          <w:rFonts w:hint="eastAsia"/>
          <w:sz w:val="24"/>
          <w:szCs w:val="24"/>
          <w:highlight w:val="none"/>
        </w:rPr>
        <w:t>（10）《矿产勘查矿石加工选冶技术性能试验研究程度要求》（DZ/T 0340-2020）；</w:t>
      </w:r>
    </w:p>
    <w:p w14:paraId="5CA49532">
      <w:pPr>
        <w:spacing w:line="360" w:lineRule="auto"/>
        <w:ind w:firstLine="480" w:firstLineChars="200"/>
        <w:rPr>
          <w:rFonts w:hint="eastAsia"/>
          <w:sz w:val="24"/>
          <w:szCs w:val="24"/>
          <w:highlight w:val="none"/>
        </w:rPr>
      </w:pPr>
      <w:r>
        <w:rPr>
          <w:rFonts w:hint="eastAsia"/>
          <w:sz w:val="24"/>
          <w:szCs w:val="24"/>
          <w:highlight w:val="none"/>
        </w:rPr>
        <w:t>（11）《固体矿产资源量估算规程 第1部分：通则》（DZ/T 0338.1-2020）；</w:t>
      </w:r>
    </w:p>
    <w:p w14:paraId="3086BD15">
      <w:pPr>
        <w:spacing w:line="360" w:lineRule="auto"/>
        <w:ind w:firstLine="480" w:firstLineChars="200"/>
        <w:rPr>
          <w:rFonts w:hint="eastAsia"/>
          <w:sz w:val="24"/>
          <w:szCs w:val="24"/>
          <w:highlight w:val="none"/>
        </w:rPr>
      </w:pPr>
      <w:r>
        <w:rPr>
          <w:rFonts w:hint="eastAsia"/>
          <w:sz w:val="24"/>
          <w:szCs w:val="24"/>
          <w:highlight w:val="none"/>
        </w:rPr>
        <w:t>（12）《固体矿产资源量估算规程 第2部分：几何法》（DZ/T 0338.2-2020）；</w:t>
      </w:r>
    </w:p>
    <w:p w14:paraId="63E008F4">
      <w:pPr>
        <w:spacing w:line="360" w:lineRule="auto"/>
        <w:ind w:firstLine="480" w:firstLineChars="200"/>
        <w:rPr>
          <w:rFonts w:hint="eastAsia"/>
          <w:sz w:val="24"/>
          <w:szCs w:val="24"/>
          <w:highlight w:val="none"/>
        </w:rPr>
      </w:pPr>
      <w:r>
        <w:rPr>
          <w:rFonts w:hint="eastAsia"/>
          <w:sz w:val="24"/>
          <w:szCs w:val="24"/>
          <w:highlight w:val="none"/>
        </w:rPr>
        <w:t>（13）《矿床工业指标论证技术要求》（DZ/T 0339-2020）；</w:t>
      </w:r>
    </w:p>
    <w:p w14:paraId="70DB4B71">
      <w:pPr>
        <w:spacing w:line="360" w:lineRule="auto"/>
        <w:ind w:firstLine="480" w:firstLineChars="200"/>
        <w:rPr>
          <w:rFonts w:hint="eastAsia"/>
          <w:sz w:val="24"/>
          <w:szCs w:val="24"/>
          <w:highlight w:val="none"/>
        </w:rPr>
      </w:pPr>
      <w:r>
        <w:rPr>
          <w:rFonts w:hint="eastAsia"/>
          <w:sz w:val="24"/>
          <w:szCs w:val="24"/>
          <w:highlight w:val="none"/>
        </w:rPr>
        <w:t>（14）</w:t>
      </w:r>
      <w:r>
        <w:rPr>
          <w:sz w:val="24"/>
          <w:szCs w:val="24"/>
          <w:highlight w:val="none"/>
        </w:rPr>
        <w:t>《地质矿产勘查测量规范》（GB/T 18341-2021）；</w:t>
      </w:r>
    </w:p>
    <w:p w14:paraId="0AD83C09">
      <w:pPr>
        <w:spacing w:line="360" w:lineRule="auto"/>
        <w:ind w:firstLine="480" w:firstLineChars="200"/>
        <w:rPr>
          <w:rFonts w:hint="eastAsia"/>
          <w:sz w:val="24"/>
          <w:szCs w:val="24"/>
          <w:highlight w:val="none"/>
        </w:rPr>
      </w:pPr>
      <w:r>
        <w:rPr>
          <w:rFonts w:hint="eastAsia"/>
          <w:sz w:val="24"/>
          <w:szCs w:val="24"/>
          <w:highlight w:val="none"/>
        </w:rPr>
        <w:t>（15）《矿山地质工作规范》（DZ/T 0401-2022）；</w:t>
      </w:r>
    </w:p>
    <w:p w14:paraId="55BD8545">
      <w:pPr>
        <w:spacing w:line="360" w:lineRule="auto"/>
        <w:ind w:firstLine="480" w:firstLineChars="200"/>
        <w:rPr>
          <w:rFonts w:hint="eastAsia"/>
          <w:sz w:val="24"/>
          <w:szCs w:val="24"/>
          <w:highlight w:val="none"/>
        </w:rPr>
      </w:pPr>
      <w:r>
        <w:rPr>
          <w:rFonts w:hint="eastAsia"/>
          <w:sz w:val="24"/>
          <w:szCs w:val="24"/>
          <w:highlight w:val="none"/>
        </w:rPr>
        <w:t>（16）《矿山资源储量管理规范》（DZ/T 0399-2022）；</w:t>
      </w:r>
    </w:p>
    <w:p w14:paraId="7324AE4D">
      <w:pPr>
        <w:spacing w:line="360" w:lineRule="auto"/>
        <w:ind w:firstLine="480" w:firstLineChars="200"/>
        <w:rPr>
          <w:rFonts w:hint="eastAsia"/>
          <w:sz w:val="24"/>
          <w:szCs w:val="24"/>
          <w:highlight w:val="none"/>
        </w:rPr>
      </w:pPr>
      <w:r>
        <w:rPr>
          <w:rFonts w:hint="eastAsia"/>
          <w:sz w:val="24"/>
          <w:szCs w:val="24"/>
          <w:highlight w:val="none"/>
        </w:rPr>
        <w:t>（17）《矿产资源储量规模划分标准》（DZ/T 0400-2022）；</w:t>
      </w:r>
    </w:p>
    <w:p w14:paraId="3346B229">
      <w:pPr>
        <w:spacing w:line="360" w:lineRule="auto"/>
        <w:ind w:firstLine="480" w:firstLineChars="200"/>
        <w:rPr>
          <w:rFonts w:hint="eastAsia"/>
          <w:sz w:val="24"/>
          <w:szCs w:val="24"/>
          <w:highlight w:val="none"/>
        </w:rPr>
      </w:pPr>
      <w:r>
        <w:rPr>
          <w:rFonts w:hint="eastAsia"/>
          <w:sz w:val="24"/>
          <w:szCs w:val="24"/>
          <w:highlight w:val="none"/>
        </w:rPr>
        <w:t>（18）《矿产资源综合勘查评价规范》（GB/T 25283-2023）；</w:t>
      </w:r>
    </w:p>
    <w:p w14:paraId="5CBBE004">
      <w:pPr>
        <w:spacing w:line="360" w:lineRule="auto"/>
        <w:ind w:firstLine="480" w:firstLineChars="200"/>
        <w:rPr>
          <w:rFonts w:hint="eastAsia"/>
          <w:sz w:val="24"/>
          <w:szCs w:val="24"/>
          <w:highlight w:val="none"/>
        </w:rPr>
      </w:pPr>
      <w:r>
        <w:rPr>
          <w:rFonts w:hint="eastAsia"/>
          <w:sz w:val="24"/>
          <w:szCs w:val="24"/>
          <w:highlight w:val="none"/>
        </w:rPr>
        <w:t>（19）《固体矿产勘查钻孔质量要求》（DZ/T 0486-2024）；</w:t>
      </w:r>
    </w:p>
    <w:p w14:paraId="2396643C">
      <w:pPr>
        <w:spacing w:line="360" w:lineRule="auto"/>
        <w:ind w:firstLine="480" w:firstLineChars="200"/>
        <w:rPr>
          <w:rFonts w:hint="eastAsia"/>
          <w:sz w:val="24"/>
          <w:szCs w:val="24"/>
          <w:highlight w:val="none"/>
        </w:rPr>
      </w:pPr>
      <w:r>
        <w:rPr>
          <w:rFonts w:hint="eastAsia"/>
          <w:sz w:val="24"/>
          <w:szCs w:val="24"/>
          <w:highlight w:val="none"/>
        </w:rPr>
        <w:t>（20）《矿产资源储量基本术语》（GB/T 43759-2024）；</w:t>
      </w:r>
    </w:p>
    <w:p w14:paraId="617E2929">
      <w:pPr>
        <w:spacing w:line="360" w:lineRule="auto"/>
        <w:ind w:firstLine="480" w:firstLineChars="200"/>
        <w:rPr>
          <w:rFonts w:hint="eastAsia"/>
          <w:sz w:val="24"/>
          <w:szCs w:val="24"/>
          <w:highlight w:val="none"/>
        </w:rPr>
      </w:pPr>
      <w:r>
        <w:rPr>
          <w:rFonts w:hint="eastAsia"/>
          <w:sz w:val="24"/>
          <w:szCs w:val="24"/>
          <w:highlight w:val="none"/>
        </w:rPr>
        <w:t>（21）《矿坑涌水量预测计算规程》（DZ/T 0342-2020）；</w:t>
      </w:r>
    </w:p>
    <w:p w14:paraId="1FB3C520">
      <w:pPr>
        <w:spacing w:line="360" w:lineRule="auto"/>
        <w:ind w:firstLine="480" w:firstLineChars="200"/>
        <w:rPr>
          <w:rFonts w:hint="eastAsia"/>
          <w:sz w:val="24"/>
          <w:szCs w:val="24"/>
          <w:highlight w:val="none"/>
        </w:rPr>
      </w:pPr>
      <w:r>
        <w:rPr>
          <w:rFonts w:hint="eastAsia"/>
          <w:sz w:val="24"/>
          <w:szCs w:val="24"/>
          <w:highlight w:val="none"/>
        </w:rPr>
        <w:t>（22）《地下水资源储量分类分级》（GB/T 15218-2021）；</w:t>
      </w:r>
    </w:p>
    <w:p w14:paraId="4A3DCB0E">
      <w:pPr>
        <w:spacing w:line="360" w:lineRule="auto"/>
        <w:ind w:firstLine="480" w:firstLineChars="200"/>
        <w:rPr>
          <w:rFonts w:hint="eastAsia"/>
          <w:sz w:val="24"/>
          <w:szCs w:val="24"/>
          <w:highlight w:val="none"/>
        </w:rPr>
      </w:pPr>
      <w:r>
        <w:rPr>
          <w:rFonts w:hint="eastAsia"/>
          <w:sz w:val="24"/>
          <w:szCs w:val="24"/>
          <w:highlight w:val="none"/>
        </w:rPr>
        <w:t>（23）《矿区水文地质工程地质勘查规范》（GB/T12719-2021）；</w:t>
      </w:r>
    </w:p>
    <w:p w14:paraId="2FE4BF81">
      <w:pPr>
        <w:spacing w:line="360" w:lineRule="auto"/>
        <w:ind w:firstLine="480" w:firstLineChars="200"/>
        <w:rPr>
          <w:rFonts w:hint="eastAsia"/>
          <w:sz w:val="24"/>
          <w:szCs w:val="24"/>
          <w:highlight w:val="none"/>
        </w:rPr>
      </w:pPr>
      <w:r>
        <w:rPr>
          <w:rFonts w:hint="eastAsia"/>
          <w:sz w:val="24"/>
          <w:szCs w:val="24"/>
          <w:highlight w:val="none"/>
        </w:rPr>
        <w:t>（24）</w:t>
      </w:r>
      <w:r>
        <w:rPr>
          <w:sz w:val="24"/>
          <w:szCs w:val="24"/>
          <w:highlight w:val="none"/>
        </w:rPr>
        <w:t>《1:500、1:1000、1:2000 地形图图式》（GB/T 20257.1 - 2007）</w:t>
      </w:r>
      <w:r>
        <w:rPr>
          <w:rFonts w:hint="eastAsia"/>
          <w:sz w:val="24"/>
          <w:szCs w:val="24"/>
          <w:highlight w:val="none"/>
        </w:rPr>
        <w:t>；</w:t>
      </w:r>
    </w:p>
    <w:p w14:paraId="6BB823EA">
      <w:pPr>
        <w:spacing w:line="360" w:lineRule="auto"/>
        <w:ind w:firstLine="480" w:firstLineChars="200"/>
        <w:rPr>
          <w:rFonts w:hint="eastAsia"/>
          <w:sz w:val="24"/>
          <w:szCs w:val="24"/>
          <w:highlight w:val="none"/>
        </w:rPr>
      </w:pPr>
      <w:r>
        <w:rPr>
          <w:rFonts w:hint="eastAsia"/>
          <w:sz w:val="24"/>
          <w:szCs w:val="24"/>
          <w:highlight w:val="none"/>
        </w:rPr>
        <w:t>（25）</w:t>
      </w:r>
      <w:r>
        <w:rPr>
          <w:sz w:val="24"/>
          <w:szCs w:val="24"/>
          <w:highlight w:val="none"/>
        </w:rPr>
        <w:t>《全球导航卫星系统（GNSS）》（GB/T 18314-2024）；</w:t>
      </w:r>
    </w:p>
    <w:p w14:paraId="71D8553A">
      <w:pPr>
        <w:spacing w:line="360" w:lineRule="auto"/>
        <w:ind w:firstLine="480" w:firstLineChars="200"/>
        <w:rPr>
          <w:rFonts w:hint="eastAsia"/>
          <w:sz w:val="24"/>
          <w:szCs w:val="24"/>
          <w:highlight w:val="none"/>
        </w:rPr>
      </w:pPr>
      <w:r>
        <w:rPr>
          <w:rFonts w:hint="eastAsia"/>
          <w:sz w:val="24"/>
          <w:szCs w:val="24"/>
          <w:highlight w:val="none"/>
        </w:rPr>
        <w:t>（26）</w:t>
      </w:r>
      <w:r>
        <w:rPr>
          <w:sz w:val="24"/>
          <w:szCs w:val="24"/>
          <w:highlight w:val="none"/>
        </w:rPr>
        <w:t>《工程测量规范》（GB/T 50026-2020）</w:t>
      </w:r>
      <w:r>
        <w:rPr>
          <w:rFonts w:hint="eastAsia"/>
          <w:sz w:val="24"/>
          <w:szCs w:val="24"/>
          <w:highlight w:val="none"/>
        </w:rPr>
        <w:t>；</w:t>
      </w:r>
    </w:p>
    <w:p w14:paraId="455EE21E">
      <w:pPr>
        <w:spacing w:line="360" w:lineRule="auto"/>
        <w:ind w:firstLine="480" w:firstLineChars="200"/>
        <w:rPr>
          <w:rFonts w:hint="eastAsia"/>
          <w:sz w:val="24"/>
          <w:szCs w:val="24"/>
          <w:highlight w:val="none"/>
        </w:rPr>
      </w:pPr>
      <w:r>
        <w:rPr>
          <w:rFonts w:hint="eastAsia"/>
          <w:sz w:val="24"/>
          <w:szCs w:val="24"/>
          <w:highlight w:val="none"/>
        </w:rPr>
        <w:t>（27）</w:t>
      </w:r>
      <w:r>
        <w:rPr>
          <w:sz w:val="24"/>
          <w:szCs w:val="24"/>
          <w:highlight w:val="none"/>
        </w:rPr>
        <w:t>《数字测绘成果质量检查与验收》（GB/T 18316-2008）</w:t>
      </w:r>
      <w:r>
        <w:rPr>
          <w:rFonts w:hint="eastAsia"/>
          <w:sz w:val="24"/>
          <w:szCs w:val="24"/>
          <w:highlight w:val="none"/>
        </w:rPr>
        <w:t>；</w:t>
      </w:r>
    </w:p>
    <w:p w14:paraId="130EE3F7">
      <w:pPr>
        <w:spacing w:line="360" w:lineRule="auto"/>
        <w:ind w:firstLine="480" w:firstLineChars="200"/>
        <w:rPr>
          <w:rFonts w:hint="eastAsia"/>
          <w:sz w:val="24"/>
          <w:szCs w:val="24"/>
          <w:highlight w:val="none"/>
        </w:rPr>
      </w:pPr>
      <w:r>
        <w:rPr>
          <w:rFonts w:hint="eastAsia"/>
          <w:sz w:val="24"/>
          <w:szCs w:val="24"/>
          <w:highlight w:val="none"/>
        </w:rPr>
        <w:t>（28）</w:t>
      </w:r>
      <w:r>
        <w:rPr>
          <w:sz w:val="24"/>
          <w:szCs w:val="24"/>
          <w:highlight w:val="none"/>
        </w:rPr>
        <w:t>《1:500 1:1000 1:2000 地形图航空摄影测量外业规范》（GB/T 7931-2008）</w:t>
      </w:r>
      <w:r>
        <w:rPr>
          <w:rFonts w:hint="eastAsia"/>
          <w:sz w:val="24"/>
          <w:szCs w:val="24"/>
          <w:highlight w:val="none"/>
        </w:rPr>
        <w:t>；</w:t>
      </w:r>
    </w:p>
    <w:p w14:paraId="4941704B">
      <w:pPr>
        <w:spacing w:line="360" w:lineRule="auto"/>
        <w:ind w:firstLine="480" w:firstLineChars="200"/>
        <w:rPr>
          <w:rFonts w:hint="eastAsia"/>
          <w:sz w:val="24"/>
          <w:szCs w:val="24"/>
          <w:highlight w:val="none"/>
        </w:rPr>
      </w:pPr>
      <w:r>
        <w:rPr>
          <w:rFonts w:hint="eastAsia"/>
          <w:sz w:val="24"/>
          <w:szCs w:val="24"/>
          <w:highlight w:val="none"/>
        </w:rPr>
        <w:t>（29）</w:t>
      </w:r>
      <w:r>
        <w:rPr>
          <w:sz w:val="24"/>
          <w:szCs w:val="24"/>
          <w:highlight w:val="none"/>
        </w:rPr>
        <w:t>《1:500 1:1000 1:2000 地形图航空摄影测量内业规范》（GB/T 7930-2008）</w:t>
      </w:r>
      <w:r>
        <w:rPr>
          <w:rFonts w:hint="eastAsia"/>
          <w:sz w:val="24"/>
          <w:szCs w:val="24"/>
          <w:highlight w:val="none"/>
        </w:rPr>
        <w:t>；</w:t>
      </w:r>
    </w:p>
    <w:p w14:paraId="6D9D39DB">
      <w:pPr>
        <w:spacing w:line="360" w:lineRule="auto"/>
        <w:ind w:firstLine="480" w:firstLineChars="200"/>
        <w:rPr>
          <w:rFonts w:hint="eastAsia"/>
          <w:sz w:val="24"/>
          <w:szCs w:val="24"/>
          <w:highlight w:val="none"/>
        </w:rPr>
      </w:pPr>
      <w:r>
        <w:rPr>
          <w:rFonts w:hint="eastAsia"/>
          <w:sz w:val="24"/>
          <w:szCs w:val="24"/>
          <w:highlight w:val="none"/>
        </w:rPr>
        <w:t>（30）</w:t>
      </w:r>
      <w:r>
        <w:rPr>
          <w:sz w:val="24"/>
          <w:szCs w:val="24"/>
          <w:highlight w:val="none"/>
        </w:rPr>
        <w:t>《1:500 1:1000 1:2000 地形图航空摄影测量数字化测图规范》（GB/T 15967-2024）</w:t>
      </w:r>
      <w:r>
        <w:rPr>
          <w:rFonts w:hint="eastAsia"/>
          <w:sz w:val="24"/>
          <w:szCs w:val="24"/>
          <w:highlight w:val="none"/>
        </w:rPr>
        <w:t>；</w:t>
      </w:r>
    </w:p>
    <w:p w14:paraId="1EED7358">
      <w:pPr>
        <w:spacing w:line="360" w:lineRule="auto"/>
        <w:ind w:firstLine="480" w:firstLineChars="200"/>
        <w:rPr>
          <w:rFonts w:hint="eastAsia"/>
          <w:sz w:val="24"/>
          <w:szCs w:val="24"/>
          <w:highlight w:val="none"/>
        </w:rPr>
      </w:pPr>
      <w:r>
        <w:rPr>
          <w:rFonts w:hint="eastAsia"/>
          <w:sz w:val="24"/>
          <w:szCs w:val="24"/>
          <w:highlight w:val="none"/>
        </w:rPr>
        <w:t>（31）</w:t>
      </w:r>
      <w:r>
        <w:rPr>
          <w:sz w:val="24"/>
          <w:szCs w:val="24"/>
          <w:highlight w:val="none"/>
        </w:rPr>
        <w:t>《低空数字航空摄影测量内业规范》（GB/T 27919-2011）</w:t>
      </w:r>
      <w:r>
        <w:rPr>
          <w:rFonts w:hint="eastAsia"/>
          <w:sz w:val="24"/>
          <w:szCs w:val="24"/>
          <w:highlight w:val="none"/>
        </w:rPr>
        <w:t>；</w:t>
      </w:r>
    </w:p>
    <w:p w14:paraId="01B1F909">
      <w:pPr>
        <w:spacing w:line="360" w:lineRule="auto"/>
        <w:ind w:firstLine="480" w:firstLineChars="200"/>
        <w:rPr>
          <w:sz w:val="24"/>
          <w:szCs w:val="24"/>
          <w:highlight w:val="none"/>
        </w:rPr>
      </w:pPr>
      <w:r>
        <w:rPr>
          <w:rFonts w:hint="eastAsia"/>
          <w:sz w:val="24"/>
          <w:szCs w:val="24"/>
          <w:highlight w:val="none"/>
        </w:rPr>
        <w:t>（32）</w:t>
      </w:r>
      <w:r>
        <w:rPr>
          <w:sz w:val="24"/>
          <w:szCs w:val="24"/>
          <w:highlight w:val="none"/>
        </w:rPr>
        <w:t>《全球定位系统实时动态测量（RTK）技术规范》（CH/T 2009-2010）；</w:t>
      </w:r>
    </w:p>
    <w:p w14:paraId="247DBDAF">
      <w:pPr>
        <w:spacing w:line="360" w:lineRule="auto"/>
        <w:ind w:firstLine="480" w:firstLineChars="200"/>
        <w:rPr>
          <w:rFonts w:hint="eastAsia"/>
          <w:sz w:val="24"/>
          <w:szCs w:val="24"/>
          <w:highlight w:val="none"/>
        </w:rPr>
      </w:pPr>
      <w:r>
        <w:rPr>
          <w:rFonts w:hint="eastAsia"/>
          <w:sz w:val="24"/>
          <w:szCs w:val="24"/>
          <w:highlight w:val="none"/>
        </w:rPr>
        <w:t>（33）</w:t>
      </w:r>
      <w:r>
        <w:rPr>
          <w:sz w:val="24"/>
          <w:szCs w:val="24"/>
          <w:highlight w:val="none"/>
        </w:rPr>
        <w:t>《地质矿产勘查测量规范》</w:t>
      </w:r>
      <w:r>
        <w:rPr>
          <w:rFonts w:hint="eastAsia"/>
          <w:sz w:val="24"/>
          <w:szCs w:val="24"/>
          <w:highlight w:val="none"/>
        </w:rPr>
        <w:t>（</w:t>
      </w:r>
      <w:r>
        <w:rPr>
          <w:sz w:val="24"/>
          <w:szCs w:val="24"/>
          <w:highlight w:val="none"/>
        </w:rPr>
        <w:t>GB/T</w:t>
      </w:r>
      <w:r>
        <w:rPr>
          <w:rFonts w:hint="eastAsia"/>
          <w:sz w:val="24"/>
          <w:szCs w:val="24"/>
          <w:highlight w:val="none"/>
        </w:rPr>
        <w:t xml:space="preserve"> </w:t>
      </w:r>
      <w:r>
        <w:rPr>
          <w:sz w:val="24"/>
          <w:szCs w:val="24"/>
          <w:highlight w:val="none"/>
        </w:rPr>
        <w:t>183</w:t>
      </w:r>
      <w:r>
        <w:rPr>
          <w:rFonts w:hint="eastAsia"/>
          <w:sz w:val="24"/>
          <w:szCs w:val="24"/>
          <w:highlight w:val="none"/>
        </w:rPr>
        <w:t>41</w:t>
      </w:r>
      <w:r>
        <w:rPr>
          <w:sz w:val="24"/>
          <w:szCs w:val="24"/>
          <w:highlight w:val="none"/>
        </w:rPr>
        <w:t>-</w:t>
      </w:r>
      <w:r>
        <w:rPr>
          <w:rFonts w:hint="eastAsia"/>
          <w:sz w:val="24"/>
          <w:szCs w:val="24"/>
          <w:highlight w:val="none"/>
        </w:rPr>
        <w:t>2021）</w:t>
      </w:r>
    </w:p>
    <w:p w14:paraId="3B5F2529">
      <w:pPr>
        <w:spacing w:line="360" w:lineRule="auto"/>
        <w:ind w:firstLine="480" w:firstLineChars="200"/>
        <w:rPr>
          <w:rFonts w:hint="eastAsia"/>
          <w:sz w:val="24"/>
          <w:szCs w:val="24"/>
          <w:highlight w:val="none"/>
        </w:rPr>
      </w:pPr>
      <w:r>
        <w:rPr>
          <w:rFonts w:hint="eastAsia"/>
          <w:sz w:val="24"/>
          <w:szCs w:val="24"/>
          <w:highlight w:val="none"/>
        </w:rPr>
        <w:t>（34）</w:t>
      </w:r>
      <w:r>
        <w:rPr>
          <w:sz w:val="24"/>
          <w:szCs w:val="24"/>
          <w:highlight w:val="none"/>
        </w:rPr>
        <w:t>《地质矿产实验室测试质量管理规范》（DZ 0130-2015）；</w:t>
      </w:r>
    </w:p>
    <w:p w14:paraId="7446D8B3">
      <w:pPr>
        <w:spacing w:line="360" w:lineRule="auto"/>
        <w:ind w:firstLine="480" w:firstLineChars="200"/>
        <w:rPr>
          <w:rFonts w:hint="eastAsia"/>
          <w:sz w:val="24"/>
          <w:szCs w:val="24"/>
          <w:highlight w:val="none"/>
        </w:rPr>
      </w:pPr>
      <w:r>
        <w:rPr>
          <w:rFonts w:hint="eastAsia"/>
          <w:sz w:val="24"/>
          <w:szCs w:val="24"/>
          <w:highlight w:val="none"/>
        </w:rPr>
        <w:t>（35）</w:t>
      </w:r>
      <w:r>
        <w:rPr>
          <w:sz w:val="24"/>
          <w:szCs w:val="24"/>
          <w:highlight w:val="none"/>
        </w:rPr>
        <w:t>《地质岩心钻探规程》（DZT 0227-2010）；</w:t>
      </w:r>
    </w:p>
    <w:p w14:paraId="631AA26E">
      <w:pPr>
        <w:spacing w:line="360" w:lineRule="auto"/>
        <w:ind w:firstLine="480" w:firstLineChars="200"/>
        <w:rPr>
          <w:rFonts w:hint="eastAsia"/>
          <w:sz w:val="24"/>
          <w:szCs w:val="24"/>
          <w:highlight w:val="none"/>
        </w:rPr>
      </w:pPr>
      <w:r>
        <w:rPr>
          <w:rFonts w:hint="eastAsia"/>
          <w:sz w:val="24"/>
          <w:szCs w:val="24"/>
          <w:highlight w:val="none"/>
        </w:rPr>
        <w:t>（36）</w:t>
      </w:r>
      <w:r>
        <w:rPr>
          <w:sz w:val="24"/>
          <w:szCs w:val="24"/>
          <w:highlight w:val="none"/>
        </w:rPr>
        <w:t>《绿色勘查指南》（T/CMAS 0001-2018）；</w:t>
      </w:r>
    </w:p>
    <w:p w14:paraId="21CE2390">
      <w:pPr>
        <w:spacing w:line="360" w:lineRule="auto"/>
        <w:ind w:firstLine="480" w:firstLineChars="200"/>
        <w:rPr>
          <w:sz w:val="24"/>
          <w:szCs w:val="24"/>
          <w:highlight w:val="none"/>
        </w:rPr>
      </w:pPr>
      <w:r>
        <w:rPr>
          <w:rFonts w:hint="eastAsia"/>
          <w:sz w:val="24"/>
          <w:szCs w:val="24"/>
          <w:highlight w:val="none"/>
        </w:rPr>
        <w:t>（37）</w:t>
      </w:r>
      <w:r>
        <w:rPr>
          <w:sz w:val="24"/>
          <w:szCs w:val="24"/>
          <w:highlight w:val="none"/>
        </w:rPr>
        <w:t>《绿色地质勘查工作规范》（DZ/T 0374-2021）。</w:t>
      </w:r>
    </w:p>
    <w:p w14:paraId="2A05C88D">
      <w:pPr>
        <w:spacing w:line="360" w:lineRule="auto"/>
        <w:ind w:firstLine="480" w:firstLineChars="200"/>
        <w:rPr>
          <w:sz w:val="24"/>
          <w:szCs w:val="24"/>
          <w:highlight w:val="none"/>
        </w:rPr>
      </w:pPr>
      <w:r>
        <w:rPr>
          <w:rFonts w:hint="eastAsia"/>
          <w:sz w:val="24"/>
          <w:szCs w:val="24"/>
          <w:highlight w:val="none"/>
          <w:lang w:val="en-US" w:eastAsia="zh-CN"/>
        </w:rPr>
        <w:t>3</w:t>
      </w:r>
      <w:r>
        <w:rPr>
          <w:sz w:val="24"/>
          <w:szCs w:val="24"/>
          <w:highlight w:val="none"/>
        </w:rPr>
        <w:t>、采购标的需满足的质量、安全、技术规格、物理特性等要求</w:t>
      </w:r>
      <w:bookmarkStart w:id="12" w:name="_Toc135384938"/>
      <w:r>
        <w:rPr>
          <w:rFonts w:hint="eastAsia"/>
          <w:sz w:val="24"/>
          <w:szCs w:val="24"/>
          <w:highlight w:val="none"/>
        </w:rPr>
        <w:t>：</w:t>
      </w:r>
    </w:p>
    <w:p w14:paraId="7310E632">
      <w:pPr>
        <w:widowControl/>
        <w:spacing w:line="360" w:lineRule="auto"/>
        <w:ind w:firstLine="480" w:firstLineChars="200"/>
        <w:jc w:val="left"/>
        <w:rPr>
          <w:rFonts w:hint="eastAsia"/>
          <w:color w:val="000000"/>
          <w:sz w:val="24"/>
          <w:szCs w:val="24"/>
          <w:highlight w:val="none"/>
        </w:rPr>
      </w:pPr>
      <w:r>
        <w:rPr>
          <w:rFonts w:hint="eastAsia"/>
          <w:color w:val="000000"/>
          <w:sz w:val="24"/>
          <w:szCs w:val="24"/>
          <w:highlight w:val="none"/>
        </w:rPr>
        <w:t>质量要求满足</w:t>
      </w:r>
      <w:r>
        <w:rPr>
          <w:rFonts w:hint="eastAsia"/>
          <w:sz w:val="24"/>
          <w:szCs w:val="24"/>
          <w:highlight w:val="none"/>
        </w:rPr>
        <w:t>《矿产地质勘查规划 菱镁矿、白云岩》（DZ/T 0348-2020）、《矿产地质勘查规划 石灰岩、水泥配料类》（DZ/T 0213-2020）、</w:t>
      </w:r>
      <w:r>
        <w:rPr>
          <w:sz w:val="24"/>
          <w:szCs w:val="24"/>
          <w:highlight w:val="none"/>
        </w:rPr>
        <w:t>《固体矿产地质勘查报告编写规范》（DZ/T 0033-2020）</w:t>
      </w:r>
      <w:r>
        <w:rPr>
          <w:color w:val="000000"/>
          <w:sz w:val="24"/>
          <w:szCs w:val="24"/>
          <w:highlight w:val="none"/>
        </w:rPr>
        <w:t>中的相关规定</w:t>
      </w:r>
      <w:r>
        <w:rPr>
          <w:rFonts w:hint="eastAsia"/>
          <w:color w:val="000000"/>
          <w:sz w:val="24"/>
          <w:szCs w:val="24"/>
          <w:highlight w:val="none"/>
        </w:rPr>
        <w:t>要求；为保证项目质量及安全本项目钻探工作不允许外包，同时项目负责必须</w:t>
      </w:r>
      <w:r>
        <w:rPr>
          <w:color w:val="000000"/>
          <w:sz w:val="24"/>
          <w:szCs w:val="24"/>
          <w:highlight w:val="none"/>
        </w:rPr>
        <w:t>具有由应急管理部门颁发的金属非金属矿山(露天矿山)的安全生产管理人员合格证</w:t>
      </w:r>
      <w:r>
        <w:rPr>
          <w:rFonts w:hint="eastAsia"/>
          <w:color w:val="000000"/>
          <w:sz w:val="24"/>
          <w:szCs w:val="24"/>
          <w:highlight w:val="none"/>
        </w:rPr>
        <w:t>，项目施工期间常驻野外；钻探施工人员由</w:t>
      </w:r>
      <w:r>
        <w:rPr>
          <w:color w:val="000000"/>
          <w:sz w:val="24"/>
          <w:szCs w:val="24"/>
          <w:highlight w:val="none"/>
        </w:rPr>
        <w:t>采购</w:t>
      </w:r>
      <w:r>
        <w:rPr>
          <w:rFonts w:hint="eastAsia"/>
          <w:color w:val="000000"/>
          <w:sz w:val="24"/>
          <w:szCs w:val="24"/>
          <w:highlight w:val="none"/>
        </w:rPr>
        <w:t>人统一购买意外险及社保</w:t>
      </w:r>
      <w:r>
        <w:rPr>
          <w:color w:val="000000"/>
          <w:sz w:val="24"/>
          <w:szCs w:val="24"/>
          <w:highlight w:val="none"/>
        </w:rPr>
        <w:t>。</w:t>
      </w:r>
    </w:p>
    <w:bookmarkEnd w:id="12"/>
    <w:p w14:paraId="26140702">
      <w:pPr>
        <w:spacing w:line="360" w:lineRule="auto"/>
        <w:ind w:firstLine="480" w:firstLineChars="200"/>
        <w:rPr>
          <w:sz w:val="24"/>
          <w:szCs w:val="24"/>
          <w:highlight w:val="none"/>
        </w:rPr>
      </w:pPr>
      <w:r>
        <w:rPr>
          <w:rFonts w:hint="eastAsia"/>
          <w:sz w:val="24"/>
          <w:szCs w:val="24"/>
          <w:highlight w:val="none"/>
          <w:lang w:val="en-US" w:eastAsia="zh-CN"/>
        </w:rPr>
        <w:t>4</w:t>
      </w:r>
      <w:r>
        <w:rPr>
          <w:sz w:val="24"/>
          <w:szCs w:val="24"/>
          <w:highlight w:val="none"/>
        </w:rPr>
        <w:t>、采购标的</w:t>
      </w:r>
      <w:r>
        <w:rPr>
          <w:rFonts w:hint="eastAsia"/>
          <w:sz w:val="24"/>
          <w:szCs w:val="24"/>
          <w:highlight w:val="none"/>
        </w:rPr>
        <w:t>工作量</w:t>
      </w:r>
      <w:r>
        <w:rPr>
          <w:sz w:val="24"/>
          <w:szCs w:val="24"/>
          <w:highlight w:val="none"/>
        </w:rPr>
        <w:t>、采购项目</w:t>
      </w:r>
      <w:r>
        <w:rPr>
          <w:rFonts w:hint="eastAsia"/>
          <w:sz w:val="24"/>
          <w:szCs w:val="24"/>
          <w:highlight w:val="none"/>
        </w:rPr>
        <w:t>服务期、</w:t>
      </w:r>
      <w:r>
        <w:rPr>
          <w:sz w:val="24"/>
          <w:szCs w:val="24"/>
          <w:highlight w:val="none"/>
        </w:rPr>
        <w:t>地点</w:t>
      </w:r>
      <w:r>
        <w:rPr>
          <w:rFonts w:hint="eastAsia"/>
          <w:sz w:val="24"/>
          <w:szCs w:val="24"/>
          <w:highlight w:val="none"/>
        </w:rPr>
        <w:t>及售后服务；</w:t>
      </w:r>
    </w:p>
    <w:p w14:paraId="0F921BA5">
      <w:pPr>
        <w:spacing w:line="360" w:lineRule="auto"/>
        <w:ind w:firstLine="480" w:firstLineChars="200"/>
        <w:rPr>
          <w:rFonts w:hint="eastAsia"/>
          <w:sz w:val="24"/>
          <w:szCs w:val="24"/>
          <w:highlight w:val="none"/>
        </w:rPr>
      </w:pPr>
      <w:r>
        <w:rPr>
          <w:sz w:val="24"/>
          <w:szCs w:val="24"/>
          <w:highlight w:val="none"/>
        </w:rPr>
        <w:t>项目工作</w:t>
      </w:r>
      <w:r>
        <w:rPr>
          <w:rFonts w:hint="eastAsia"/>
          <w:sz w:val="24"/>
          <w:szCs w:val="24"/>
          <w:highlight w:val="none"/>
        </w:rPr>
        <w:t>量</w:t>
      </w:r>
      <w:r>
        <w:rPr>
          <w:sz w:val="24"/>
          <w:szCs w:val="24"/>
          <w:highlight w:val="none"/>
        </w:rPr>
        <w:t>（包括但不限于）</w:t>
      </w:r>
      <w:r>
        <w:rPr>
          <w:rFonts w:hint="eastAsia"/>
          <w:sz w:val="24"/>
          <w:szCs w:val="24"/>
          <w:highlight w:val="none"/>
        </w:rPr>
        <w:t>:主要为1:1000地形测量，</w:t>
      </w:r>
      <w:r>
        <w:rPr>
          <w:sz w:val="24"/>
          <w:szCs w:val="24"/>
          <w:highlight w:val="none"/>
        </w:rPr>
        <w:t>1：2000地质测量</w:t>
      </w:r>
      <w:r>
        <w:rPr>
          <w:rFonts w:hint="eastAsia"/>
          <w:sz w:val="24"/>
          <w:szCs w:val="24"/>
          <w:highlight w:val="none"/>
        </w:rPr>
        <w:t>、1:2000水文地质测量、1:1000剖面测量，剥土/探槽工程，矿产地质钻探、水文地质钻探，各类样品（包含基本分析、组合分析、化学全分析、水质分析、光薄片等）等工作。</w:t>
      </w:r>
    </w:p>
    <w:p w14:paraId="6629D6C1">
      <w:pPr>
        <w:spacing w:line="360" w:lineRule="auto"/>
        <w:ind w:firstLine="480" w:firstLineChars="200"/>
        <w:rPr>
          <w:rFonts w:hint="eastAsia"/>
          <w:sz w:val="24"/>
          <w:szCs w:val="24"/>
          <w:highlight w:val="none"/>
        </w:rPr>
      </w:pPr>
      <w:r>
        <w:rPr>
          <w:rFonts w:hint="eastAsia"/>
          <w:sz w:val="24"/>
          <w:szCs w:val="24"/>
          <w:highlight w:val="none"/>
        </w:rPr>
        <w:t>服务期：签订合同后90</w:t>
      </w:r>
      <w:r>
        <w:rPr>
          <w:rFonts w:hint="eastAsia"/>
          <w:color w:val="000000"/>
          <w:sz w:val="24"/>
          <w:szCs w:val="24"/>
          <w:highlight w:val="none"/>
        </w:rPr>
        <w:t>日历</w:t>
      </w:r>
      <w:r>
        <w:rPr>
          <w:rFonts w:hint="eastAsia"/>
          <w:sz w:val="24"/>
          <w:szCs w:val="24"/>
          <w:highlight w:val="none"/>
        </w:rPr>
        <w:t>天内完勘查工作，并提交通过评审后的报告。</w:t>
      </w:r>
    </w:p>
    <w:p w14:paraId="0F7872F1">
      <w:pPr>
        <w:spacing w:line="360" w:lineRule="auto"/>
        <w:ind w:firstLine="480" w:firstLineChars="200"/>
        <w:rPr>
          <w:sz w:val="24"/>
          <w:szCs w:val="24"/>
          <w:highlight w:val="none"/>
        </w:rPr>
      </w:pPr>
      <w:r>
        <w:rPr>
          <w:rFonts w:hint="eastAsia"/>
          <w:sz w:val="24"/>
          <w:szCs w:val="24"/>
          <w:highlight w:val="none"/>
        </w:rPr>
        <w:t>服务地点：</w:t>
      </w:r>
      <w:r>
        <w:rPr>
          <w:sz w:val="24"/>
          <w:szCs w:val="24"/>
          <w:highlight w:val="none"/>
        </w:rPr>
        <w:t>勘查区位于安徽省霍邱县城区251°方向，直距约36千米处，马店镇248°方向，直距约4.75千米处，行政区划隶属于霍邱县马店镇管辖，西与河南省毗邻。矿区中心地理坐标：东经：115°55′13″，北纬：32°15′23″。矿区所属图幅为1</w:t>
      </w:r>
      <w:r>
        <w:rPr>
          <w:rFonts w:ascii="Cambria Math" w:hAnsi="Cambria Math" w:cs="Cambria Math"/>
          <w:sz w:val="24"/>
          <w:szCs w:val="24"/>
          <w:highlight w:val="none"/>
        </w:rPr>
        <w:t>∶</w:t>
      </w:r>
      <w:r>
        <w:rPr>
          <w:sz w:val="24"/>
          <w:szCs w:val="24"/>
          <w:highlight w:val="none"/>
        </w:rPr>
        <w:t>5万蒋集幅，图幅编号为I50E023008。</w:t>
      </w:r>
    </w:p>
    <w:p w14:paraId="59AB3084">
      <w:pPr>
        <w:pStyle w:val="12"/>
        <w:spacing w:line="360" w:lineRule="auto"/>
        <w:ind w:firstLine="480" w:firstLineChars="200"/>
        <w:rPr>
          <w:rFonts w:hint="eastAsia"/>
          <w:sz w:val="24"/>
          <w:highlight w:val="none"/>
        </w:rPr>
      </w:pPr>
      <w:r>
        <w:rPr>
          <w:rFonts w:hint="eastAsia"/>
          <w:sz w:val="24"/>
          <w:highlight w:val="none"/>
        </w:rPr>
        <w:t>项目负责人要求：项目负责人1名（具有副高级及以上职称证书）、</w:t>
      </w:r>
      <w:r>
        <w:rPr>
          <w:sz w:val="24"/>
          <w:highlight w:val="none"/>
        </w:rPr>
        <w:t>具有由应急管理部门颁发的金属非金属矿山(露天矿山)的安全生产管理人员合格证。</w:t>
      </w:r>
    </w:p>
    <w:p w14:paraId="31B52FBE">
      <w:pPr>
        <w:pStyle w:val="12"/>
        <w:spacing w:line="360" w:lineRule="auto"/>
        <w:ind w:firstLine="480" w:firstLineChars="200"/>
        <w:rPr>
          <w:sz w:val="24"/>
          <w:highlight w:val="none"/>
        </w:rPr>
      </w:pPr>
      <w:r>
        <w:rPr>
          <w:rFonts w:hint="eastAsia"/>
          <w:sz w:val="24"/>
          <w:highlight w:val="none"/>
        </w:rPr>
        <w:t>项目组成员（除项目负责人外）要求：项目组成员至少6名，分别具有水工环地质、地质调查与矿产勘查、探矿工程、地球物理勘查及遥感、地质实验测试、地质测绘工程专业高级职称证书。</w:t>
      </w:r>
    </w:p>
    <w:p w14:paraId="0B4E4E5F">
      <w:pPr>
        <w:pStyle w:val="12"/>
        <w:spacing w:line="360" w:lineRule="auto"/>
        <w:ind w:firstLine="480" w:firstLineChars="200"/>
        <w:rPr>
          <w:rFonts w:hint="eastAsia" w:ascii="宋体" w:hAnsi="宋体" w:eastAsia="宋体" w:cs="宋体"/>
          <w:b/>
          <w:color w:val="auto"/>
          <w:sz w:val="24"/>
          <w:szCs w:val="18"/>
          <w:highlight w:val="none"/>
          <w:lang w:val="en-US" w:eastAsia="zh-CN"/>
        </w:rPr>
      </w:pPr>
      <w:r>
        <w:rPr>
          <w:rFonts w:hint="eastAsia"/>
          <w:sz w:val="24"/>
          <w:highlight w:val="none"/>
        </w:rPr>
        <w:t>售后服务：</w:t>
      </w:r>
      <w:r>
        <w:rPr>
          <w:sz w:val="24"/>
          <w:highlight w:val="none"/>
        </w:rPr>
        <w:t>勘查结束后需为本项目提供2年的技术支撑。</w:t>
      </w:r>
    </w:p>
    <w:p w14:paraId="1C7DC0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2" w:firstLineChars="200"/>
        <w:textAlignment w:val="auto"/>
        <w:outlineLvl w:val="1"/>
        <w:rPr>
          <w:rFonts w:hint="eastAsia" w:ascii="宋体" w:hAnsi="宋体" w:eastAsia="宋体" w:cs="宋体"/>
          <w:b/>
          <w:color w:val="auto"/>
          <w:sz w:val="24"/>
          <w:szCs w:val="18"/>
          <w:highlight w:val="none"/>
        </w:rPr>
      </w:pPr>
      <w:r>
        <w:rPr>
          <w:rFonts w:hint="eastAsia" w:ascii="宋体" w:hAnsi="宋体" w:eastAsia="宋体" w:cs="宋体"/>
          <w:b/>
          <w:color w:val="auto"/>
          <w:sz w:val="24"/>
          <w:szCs w:val="18"/>
          <w:highlight w:val="none"/>
          <w:lang w:val="en-US" w:eastAsia="zh-CN"/>
        </w:rPr>
        <w:t>四、</w:t>
      </w:r>
      <w:r>
        <w:rPr>
          <w:rFonts w:hint="eastAsia" w:ascii="宋体" w:hAnsi="宋体" w:eastAsia="宋体" w:cs="宋体"/>
          <w:b/>
          <w:color w:val="auto"/>
          <w:sz w:val="24"/>
          <w:szCs w:val="18"/>
          <w:highlight w:val="none"/>
        </w:rPr>
        <w:t>报价要求</w:t>
      </w:r>
      <w:bookmarkEnd w:id="9"/>
      <w:bookmarkEnd w:id="10"/>
    </w:p>
    <w:p w14:paraId="6DCDDC16">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 xml:space="preserve">1、报价费用组成：投标报价为完成本次招标项目的全部费用价格，其组成包括但不限于人员工资、社会保险费、税金、利润以及管理费、办公费、交通费、通讯费、设 备费、食宿等为完成本次招投标项目所发生的一切费用。 </w:t>
      </w:r>
    </w:p>
    <w:p w14:paraId="58DBF394">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hint="eastAsia" w:ascii="宋体" w:hAnsi="宋体" w:eastAsia="宋体" w:cs="宋体"/>
          <w:color w:val="auto"/>
          <w:highlight w:val="none"/>
        </w:rPr>
      </w:pPr>
      <w:r>
        <w:rPr>
          <w:rFonts w:ascii="宋体" w:hAnsi="宋体" w:eastAsia="宋体" w:cs="宋体"/>
          <w:sz w:val="24"/>
          <w:szCs w:val="24"/>
          <w:highlight w:val="none"/>
        </w:rPr>
        <w:t>2、本项目报总价不得高于本项目最高限价，报价为完成本项目所须一切费用，成 交后采购人不再调整费用。</w:t>
      </w:r>
    </w:p>
    <w:p w14:paraId="13304D48">
      <w:pPr>
        <w:keepNext w:val="0"/>
        <w:keepLines w:val="0"/>
        <w:pageBreakBefore w:val="0"/>
        <w:widowControl w:val="0"/>
        <w:kinsoku/>
        <w:wordWrap/>
        <w:overflowPunct/>
        <w:topLinePunct w:val="0"/>
        <w:autoSpaceDE/>
        <w:autoSpaceDN/>
        <w:bidi w:val="0"/>
        <w:adjustRightInd/>
        <w:snapToGrid/>
        <w:spacing w:line="560" w:lineRule="exact"/>
        <w:ind w:left="0" w:firstLine="482" w:firstLineChars="200"/>
        <w:textAlignment w:val="auto"/>
        <w:outlineLvl w:val="1"/>
        <w:rPr>
          <w:rFonts w:hint="eastAsia" w:ascii="宋体" w:hAnsi="宋体" w:eastAsia="宋体" w:cs="宋体"/>
          <w:sz w:val="24"/>
          <w:szCs w:val="24"/>
          <w:highlight w:val="none"/>
          <w:lang w:eastAsia="zh-CN"/>
        </w:rPr>
      </w:pPr>
      <w:bookmarkStart w:id="13" w:name="_Toc18794"/>
      <w:bookmarkStart w:id="14" w:name="_Toc8283"/>
      <w:r>
        <w:rPr>
          <w:rFonts w:hint="eastAsia" w:ascii="宋体" w:hAnsi="宋体" w:eastAsia="宋体" w:cs="宋体"/>
          <w:b/>
          <w:color w:val="auto"/>
          <w:sz w:val="24"/>
          <w:szCs w:val="18"/>
          <w:highlight w:val="none"/>
        </w:rPr>
        <w:t>五、其他要求</w:t>
      </w:r>
      <w:bookmarkEnd w:id="3"/>
      <w:bookmarkEnd w:id="6"/>
      <w:bookmarkEnd w:id="13"/>
      <w:bookmarkEnd w:id="14"/>
    </w:p>
    <w:p w14:paraId="3C79A915">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lang w:val="en-US" w:eastAsia="zh-CN"/>
        </w:rPr>
        <w:t>1. 成果权属与资料交付要求：本项目实施过程中形成的全部原始地质资料、测试数据、图件、报告、电子成果等知识产权及所有权全部归采购人所有，中标单位不得自留、转借、对外发布或用于其他项目。项目验收合格后，中标单位须完整提交全套纸质成果资料（含评审意见书、备案证明）及可编辑电子成果资料，资料格式、份数满足归档及主管部门要求。</w:t>
      </w:r>
    </w:p>
    <w:p w14:paraId="257BD243">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lang w:val="en-US" w:eastAsia="zh-CN"/>
        </w:rPr>
        <w:t>2. 保密管理要求：中标单位须严格遵守保密相关法律法规，对矿区坐标、地质数据、矿体参数、勘查成果等涉密信息严格保密，严禁私自泄露、传播、售卖项目资料，项目结束后不得留存任何涉密原始资料，违者承担相应法律责任及经济损失。</w:t>
      </w:r>
    </w:p>
    <w:p w14:paraId="59237CD4">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lang w:val="en-US" w:eastAsia="zh-CN"/>
        </w:rPr>
        <w:t>3. 现场施工与绿色勘查要求：严格执行绿色勘查规范，严控施工对生态环境的影响，施工过程节约用地、减少植被破坏，施工结束后及时完成场地清理、生态复原、地貌恢复，做到工完场清、生态合规；施工期间服从采购人现场管理及属地自然资源、生态环境部门监管。</w:t>
      </w:r>
    </w:p>
    <w:p w14:paraId="2D692EF8">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lang w:val="en-US" w:eastAsia="zh-CN"/>
        </w:rPr>
        <w:t>4. 工期与进度管控要求：合同签订后90日历天内完成全部野外勘查、室内整理、报告编制、评审整改工作，提交评审通过的正式勘探报告；施工期间按采购人要求定期报送工作进度、质量台账，遇特殊情况及时报备并制定整改赶工方案，严禁无故拖延工期。</w:t>
      </w:r>
    </w:p>
    <w:p w14:paraId="46900265">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lang w:val="en-US" w:eastAsia="zh-CN"/>
        </w:rPr>
        <w:t>5. 售后技术服务要求：项目验收交付后，提供2年免费全程技术支撑服务，包含报告答疑、资料整改、备案配合、主管部门核查对接、后续采矿权相关资料补充完善等配套服务，全程保障项目成果有效落地使用。</w:t>
      </w:r>
    </w:p>
    <w:p w14:paraId="5D16D897">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lang w:val="en-US" w:eastAsia="zh-CN"/>
        </w:rPr>
        <w:t>6. 合规信用要求：中标单位须具备合法经营资质，无政府采购严重违法失信记录、无重大安全质量事故记录、无行业失信惩戒记录，严格遵守地质勘查行业监管相关规定，依规开展勘查作业。</w:t>
      </w:r>
    </w:p>
    <w:p w14:paraId="2E79E0DA">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lang w:val="en-US" w:eastAsia="zh-CN"/>
        </w:rPr>
        <w:t>7. 场地与手续配合要求：中标单位负责配合完成野外施工临时用地协调、现场施工对接等相关工作，承担施工过程中产生的相关合规费用，依规落实施工合规要求，不得违规施工。</w:t>
      </w:r>
    </w:p>
    <w:p w14:paraId="6C88F3D7">
      <w:pPr>
        <w:pStyle w:val="2"/>
        <w:numPr>
          <w:ilvl w:val="0"/>
          <w:numId w:val="0"/>
        </w:numPr>
        <w:rPr>
          <w:rFonts w:hint="eastAsia" w:ascii="宋体" w:hAnsi="宋体" w:eastAsia="宋体" w:cs="宋体"/>
          <w:b w:val="0"/>
          <w:bCs/>
          <w:color w:val="auto"/>
          <w:highlight w:val="none"/>
          <w:lang w:eastAsia="zh-CN"/>
        </w:rPr>
      </w:pPr>
    </w:p>
    <w:p w14:paraId="0F5A5125">
      <w:pPr>
        <w:pStyle w:val="2"/>
        <w:numPr>
          <w:ilvl w:val="0"/>
          <w:numId w:val="0"/>
        </w:numPr>
        <w:rPr>
          <w:rFonts w:hint="eastAsia" w:ascii="宋体" w:hAnsi="宋体" w:eastAsia="宋体" w:cs="宋体"/>
          <w:b w:val="0"/>
          <w:bCs/>
          <w:color w:val="auto"/>
          <w:highlight w:val="none"/>
          <w:lang w:eastAsia="zh-CN"/>
        </w:rPr>
      </w:pPr>
    </w:p>
    <w:p w14:paraId="62A3B673">
      <w:pPr>
        <w:pStyle w:val="2"/>
        <w:numPr>
          <w:ilvl w:val="0"/>
          <w:numId w:val="0"/>
        </w:numPr>
        <w:rPr>
          <w:rFonts w:hint="eastAsia" w:ascii="宋体" w:hAnsi="宋体" w:eastAsia="宋体" w:cs="宋体"/>
          <w:b w:val="0"/>
          <w:bCs/>
          <w:color w:val="auto"/>
          <w:highlight w:val="none"/>
          <w:lang w:eastAsia="zh-CN"/>
        </w:rPr>
      </w:pPr>
    </w:p>
    <w:p w14:paraId="3066366E">
      <w:pPr>
        <w:pStyle w:val="2"/>
        <w:numPr>
          <w:ilvl w:val="0"/>
          <w:numId w:val="0"/>
        </w:numPr>
        <w:rPr>
          <w:rFonts w:hint="eastAsia" w:ascii="宋体" w:hAnsi="宋体" w:eastAsia="宋体" w:cs="宋体"/>
          <w:b w:val="0"/>
          <w:bCs/>
          <w:color w:val="auto"/>
          <w:highlight w:val="none"/>
          <w:lang w:eastAsia="zh-CN"/>
        </w:rPr>
      </w:pPr>
    </w:p>
    <w:p w14:paraId="1971136F">
      <w:pPr>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7475DFBD">
      <w:pPr>
        <w:spacing w:line="360" w:lineRule="auto"/>
        <w:jc w:val="center"/>
        <w:outlineLvl w:val="0"/>
        <w:rPr>
          <w:rFonts w:hint="eastAsia" w:ascii="宋体" w:hAnsi="宋体" w:eastAsia="宋体" w:cs="宋体"/>
          <w:b/>
          <w:color w:val="auto"/>
          <w:sz w:val="28"/>
          <w:highlight w:val="none"/>
        </w:rPr>
      </w:pPr>
      <w:bookmarkStart w:id="15" w:name="_Toc3538"/>
      <w:r>
        <w:rPr>
          <w:rFonts w:hint="eastAsia" w:ascii="宋体" w:hAnsi="宋体" w:eastAsia="宋体" w:cs="宋体"/>
          <w:b/>
          <w:color w:val="auto"/>
          <w:sz w:val="28"/>
          <w:highlight w:val="none"/>
        </w:rPr>
        <w:t>第四章  评标方法和标准（最低评标价法）</w:t>
      </w:r>
      <w:bookmarkEnd w:id="15"/>
    </w:p>
    <w:p w14:paraId="6D3AA947">
      <w:pPr>
        <w:spacing w:line="360" w:lineRule="auto"/>
        <w:ind w:firstLine="437"/>
        <w:outlineLvl w:val="1"/>
        <w:rPr>
          <w:rFonts w:hint="eastAsia" w:ascii="宋体" w:hAnsi="宋体" w:eastAsia="宋体" w:cs="宋体"/>
          <w:b/>
          <w:color w:val="auto"/>
          <w:sz w:val="24"/>
          <w:highlight w:val="none"/>
        </w:rPr>
      </w:pPr>
      <w:bookmarkStart w:id="16" w:name="_Toc10401"/>
      <w:bookmarkStart w:id="17" w:name="_Toc6560"/>
      <w:r>
        <w:rPr>
          <w:rFonts w:hint="eastAsia" w:ascii="宋体" w:hAnsi="宋体" w:eastAsia="宋体" w:cs="宋体"/>
          <w:b/>
          <w:color w:val="auto"/>
          <w:sz w:val="24"/>
          <w:highlight w:val="none"/>
        </w:rPr>
        <w:t>一、总则</w:t>
      </w:r>
      <w:bookmarkEnd w:id="16"/>
      <w:bookmarkEnd w:id="17"/>
    </w:p>
    <w:p w14:paraId="619ACC7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本项目将按照招标文件第二章投标人须知的相关要求及本章的规定评标。</w:t>
      </w:r>
    </w:p>
    <w:p w14:paraId="1D72B613">
      <w:pPr>
        <w:spacing w:line="360" w:lineRule="auto"/>
        <w:ind w:firstLine="437"/>
        <w:outlineLvl w:val="1"/>
        <w:rPr>
          <w:rFonts w:hint="eastAsia" w:ascii="宋体" w:hAnsi="宋体" w:eastAsia="宋体" w:cs="宋体"/>
          <w:b/>
          <w:color w:val="auto"/>
          <w:sz w:val="24"/>
          <w:highlight w:val="none"/>
        </w:rPr>
      </w:pPr>
      <w:bookmarkStart w:id="18" w:name="_Toc28533"/>
      <w:bookmarkStart w:id="19" w:name="_Toc17743"/>
      <w:r>
        <w:rPr>
          <w:rFonts w:hint="eastAsia" w:ascii="宋体" w:hAnsi="宋体" w:eastAsia="宋体" w:cs="宋体"/>
          <w:b/>
          <w:color w:val="auto"/>
          <w:sz w:val="24"/>
          <w:highlight w:val="none"/>
        </w:rPr>
        <w:t>二、评标方法</w:t>
      </w:r>
      <w:bookmarkEnd w:id="18"/>
      <w:bookmarkEnd w:id="19"/>
    </w:p>
    <w:p w14:paraId="3732F0B9">
      <w:pPr>
        <w:spacing w:line="360" w:lineRule="auto"/>
        <w:ind w:firstLine="437"/>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2.1资格审查</w:t>
      </w:r>
    </w:p>
    <w:tbl>
      <w:tblPr>
        <w:tblStyle w:val="7"/>
        <w:tblW w:w="53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919"/>
        <w:gridCol w:w="3806"/>
        <w:gridCol w:w="3737"/>
      </w:tblGrid>
      <w:tr w14:paraId="6C0F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939E0FA">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szCs w:val="22"/>
                <w:highlight w:val="none"/>
              </w:rPr>
              <w:t>资格审查表</w:t>
            </w:r>
          </w:p>
        </w:tc>
      </w:tr>
      <w:tr w14:paraId="3385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7D57EDA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968" w:type="pct"/>
            <w:tcBorders>
              <w:bottom w:val="single" w:color="auto" w:sz="4" w:space="0"/>
            </w:tcBorders>
            <w:vAlign w:val="center"/>
          </w:tcPr>
          <w:p w14:paraId="1AC4070F">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rightChars="0"/>
              <w:textAlignment w:val="auto"/>
              <w:rPr>
                <w:rFonts w:hint="eastAsia" w:ascii="宋体" w:hAnsi="宋体" w:eastAsia="宋体" w:cs="宋体"/>
                <w:color w:val="auto"/>
                <w:kern w:val="2"/>
                <w:szCs w:val="24"/>
                <w:highlight w:val="none"/>
                <w:lang w:val="en-US"/>
              </w:rPr>
            </w:pPr>
            <w:r>
              <w:rPr>
                <w:rFonts w:hint="eastAsia" w:ascii="宋体" w:hAnsi="宋体" w:eastAsia="宋体" w:cs="宋体"/>
                <w:color w:val="auto"/>
                <w:kern w:val="2"/>
                <w:szCs w:val="24"/>
                <w:highlight w:val="none"/>
                <w:lang w:val="en-US" w:eastAsia="zh-CN"/>
              </w:rPr>
              <w:t>审查指标</w:t>
            </w:r>
          </w:p>
        </w:tc>
        <w:tc>
          <w:tcPr>
            <w:tcW w:w="1919" w:type="pct"/>
            <w:tcBorders>
              <w:bottom w:val="single" w:color="auto" w:sz="4" w:space="0"/>
            </w:tcBorders>
            <w:vAlign w:val="center"/>
          </w:tcPr>
          <w:p w14:paraId="75A5C2A7">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审查标准</w:t>
            </w:r>
          </w:p>
        </w:tc>
        <w:tc>
          <w:tcPr>
            <w:tcW w:w="1881" w:type="pct"/>
            <w:tcBorders>
              <w:bottom w:val="single" w:color="auto" w:sz="4" w:space="0"/>
            </w:tcBorders>
            <w:vAlign w:val="center"/>
          </w:tcPr>
          <w:p w14:paraId="65EEB329">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6386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229" w:type="pct"/>
            <w:tcBorders>
              <w:bottom w:val="single" w:color="auto" w:sz="4" w:space="0"/>
            </w:tcBorders>
            <w:vAlign w:val="center"/>
          </w:tcPr>
          <w:p w14:paraId="599D2574">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rPr>
              <w:t>1</w:t>
            </w:r>
          </w:p>
        </w:tc>
        <w:tc>
          <w:tcPr>
            <w:tcW w:w="968" w:type="pct"/>
            <w:tcBorders>
              <w:bottom w:val="single" w:color="auto" w:sz="4" w:space="0"/>
            </w:tcBorders>
            <w:vAlign w:val="center"/>
          </w:tcPr>
          <w:p w14:paraId="2EC7A928">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1919" w:type="pct"/>
            <w:tcBorders>
              <w:bottom w:val="single" w:color="auto" w:sz="4" w:space="0"/>
            </w:tcBorders>
            <w:vAlign w:val="center"/>
          </w:tcPr>
          <w:p w14:paraId="6FFEEE73">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供有效的营业执照；</w:t>
            </w:r>
          </w:p>
          <w:p w14:paraId="5CE90152">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供有效的事业单位法人证书；</w:t>
            </w:r>
          </w:p>
          <w:p w14:paraId="25118D9B">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登记证书等证明文件；</w:t>
            </w:r>
          </w:p>
          <w:p w14:paraId="6F3CEE7D">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供有效的个体工商户营业执照；</w:t>
            </w:r>
          </w:p>
          <w:p w14:paraId="0C3E300B">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881" w:type="pct"/>
            <w:vAlign w:val="center"/>
          </w:tcPr>
          <w:p w14:paraId="27BB1902">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229D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229" w:type="pct"/>
            <w:tcBorders>
              <w:bottom w:val="single" w:color="auto" w:sz="4" w:space="0"/>
            </w:tcBorders>
            <w:vAlign w:val="center"/>
          </w:tcPr>
          <w:p w14:paraId="575DF50D">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968" w:type="pct"/>
            <w:tcBorders>
              <w:bottom w:val="single" w:color="auto" w:sz="4" w:space="0"/>
            </w:tcBorders>
            <w:vAlign w:val="center"/>
          </w:tcPr>
          <w:p w14:paraId="4F178E42">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sz w:val="24"/>
                <w:szCs w:val="28"/>
                <w:highlight w:val="none"/>
                <w:lang w:val="en-US"/>
              </w:rPr>
            </w:pPr>
            <w:r>
              <w:rPr>
                <w:rFonts w:hint="eastAsia" w:ascii="宋体" w:hAnsi="宋体" w:eastAsia="宋体" w:cs="宋体"/>
                <w:color w:val="auto"/>
                <w:sz w:val="24"/>
                <w:szCs w:val="18"/>
                <w:highlight w:val="none"/>
                <w:lang w:val="en-US" w:eastAsia="zh-CN"/>
              </w:rPr>
              <w:t>投标人资格声明书</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18"/>
                <w:highlight w:val="none"/>
                <w:lang w:val="en-US" w:eastAsia="zh-CN"/>
              </w:rPr>
              <w:t>资格承诺</w:t>
            </w:r>
          </w:p>
        </w:tc>
        <w:tc>
          <w:tcPr>
            <w:tcW w:w="1919" w:type="pct"/>
            <w:tcBorders>
              <w:bottom w:val="single" w:color="auto" w:sz="4" w:space="0"/>
            </w:tcBorders>
            <w:vAlign w:val="center"/>
          </w:tcPr>
          <w:p w14:paraId="75E99A28">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供符合招标文件要求的《投标人资格声明书》《无重大违法记录声明函、无不良信用记录承诺函》</w:t>
            </w:r>
            <w:r>
              <w:rPr>
                <w:rFonts w:hint="eastAsia" w:ascii="宋体" w:hAnsi="宋体" w:eastAsia="宋体" w:cs="宋体"/>
                <w:color w:val="auto"/>
                <w:sz w:val="24"/>
                <w:szCs w:val="24"/>
                <w:highlight w:val="none"/>
                <w:lang w:eastAsia="zh-CN"/>
              </w:rPr>
              <w:t>。</w:t>
            </w:r>
          </w:p>
        </w:tc>
        <w:tc>
          <w:tcPr>
            <w:tcW w:w="1881" w:type="pct"/>
            <w:vAlign w:val="center"/>
          </w:tcPr>
          <w:p w14:paraId="0FC8461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5D88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0058CAFD">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968" w:type="pct"/>
            <w:tcBorders>
              <w:bottom w:val="single" w:color="auto" w:sz="4" w:space="0"/>
            </w:tcBorders>
            <w:vAlign w:val="center"/>
          </w:tcPr>
          <w:p w14:paraId="6C8A28BC">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投标人信用记录</w:t>
            </w:r>
          </w:p>
        </w:tc>
        <w:tc>
          <w:tcPr>
            <w:tcW w:w="1919" w:type="pct"/>
            <w:tcBorders>
              <w:bottom w:val="single" w:color="auto" w:sz="4" w:space="0"/>
            </w:tcBorders>
            <w:vAlign w:val="center"/>
          </w:tcPr>
          <w:p w14:paraId="1BE86C0C">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zh-CN" w:eastAsia="zh-CN"/>
              </w:rPr>
              <w:t>投标人不得存在投标人须知正文第1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s="宋体"/>
                <w:color w:val="auto"/>
                <w:sz w:val="24"/>
                <w:szCs w:val="28"/>
                <w:highlight w:val="none"/>
              </w:rPr>
              <w:t>的</w:t>
            </w:r>
            <w:r>
              <w:rPr>
                <w:rFonts w:hint="eastAsia" w:ascii="宋体" w:hAnsi="宋体" w:eastAsia="宋体" w:cs="宋体"/>
                <w:color w:val="auto"/>
                <w:sz w:val="24"/>
                <w:szCs w:val="18"/>
                <w:highlight w:val="none"/>
              </w:rPr>
              <w:t>不良信用记录情形</w:t>
            </w:r>
          </w:p>
        </w:tc>
        <w:tc>
          <w:tcPr>
            <w:tcW w:w="1881" w:type="pct"/>
            <w:tcBorders>
              <w:bottom w:val="single" w:color="auto" w:sz="4" w:space="0"/>
            </w:tcBorders>
            <w:vAlign w:val="center"/>
          </w:tcPr>
          <w:p w14:paraId="008E6A0B">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，通过</w:t>
            </w:r>
            <w:r>
              <w:rPr>
                <w:rFonts w:hint="eastAsia" w:ascii="宋体" w:hAnsi="宋体" w:eastAsia="宋体" w:cs="宋体"/>
                <w:color w:val="auto"/>
                <w:sz w:val="24"/>
                <w:szCs w:val="24"/>
                <w:highlight w:val="none"/>
              </w:rPr>
              <w:t>评标系统对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(含联合体成员)进行交互查询，以评标时</w:t>
            </w:r>
            <w:r>
              <w:rPr>
                <w:rFonts w:hint="eastAsia" w:ascii="宋体" w:hAnsi="宋体" w:eastAsia="宋体" w:cs="宋体"/>
                <w:color w:val="auto"/>
                <w:sz w:val="24"/>
                <w:szCs w:val="24"/>
                <w:highlight w:val="none"/>
                <w:lang w:eastAsia="zh-CN"/>
              </w:rPr>
              <w:t>六安市</w:t>
            </w:r>
            <w:r>
              <w:rPr>
                <w:rFonts w:hint="eastAsia" w:ascii="宋体" w:hAnsi="宋体" w:eastAsia="宋体" w:cs="宋体"/>
                <w:color w:val="auto"/>
                <w:sz w:val="24"/>
                <w:szCs w:val="24"/>
                <w:highlight w:val="none"/>
              </w:rPr>
              <w:t>公共资源交易</w:t>
            </w:r>
            <w:r>
              <w:rPr>
                <w:rFonts w:hint="eastAsia" w:ascii="宋体" w:hAnsi="宋体" w:eastAsia="宋体" w:cs="宋体"/>
                <w:color w:val="auto"/>
                <w:sz w:val="24"/>
                <w:szCs w:val="24"/>
                <w:highlight w:val="none"/>
                <w:lang w:eastAsia="zh-CN"/>
              </w:rPr>
              <w:t>电子</w:t>
            </w:r>
            <w:r>
              <w:rPr>
                <w:rFonts w:hint="eastAsia" w:ascii="宋体" w:hAnsi="宋体" w:eastAsia="宋体" w:cs="宋体"/>
                <w:color w:val="auto"/>
                <w:sz w:val="24"/>
                <w:szCs w:val="24"/>
                <w:highlight w:val="none"/>
              </w:rPr>
              <w:t>评标系统与“信用中国(www.creditchina.gov.cn)”平台实时交互数据为准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相关查询结果系统自动存档</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遇系统故障，</w:t>
            </w:r>
            <w:r>
              <w:rPr>
                <w:rFonts w:hint="eastAsia" w:ascii="宋体" w:hAnsi="宋体" w:eastAsia="宋体" w:cs="宋体"/>
                <w:color w:val="auto"/>
                <w:sz w:val="24"/>
                <w:szCs w:val="24"/>
                <w:highlight w:val="none"/>
                <w:lang w:eastAsia="zh-CN"/>
              </w:rPr>
              <w:t>以</w:t>
            </w:r>
            <w:r>
              <w:rPr>
                <w:rFonts w:hint="eastAsia" w:ascii="宋体" w:hAnsi="宋体" w:eastAsia="宋体" w:cs="宋体"/>
                <w:color w:val="auto"/>
                <w:sz w:val="24"/>
                <w:szCs w:val="24"/>
                <w:highlight w:val="none"/>
              </w:rPr>
              <w:t>“信用中国(www.creditchina.gov.cn)”</w:t>
            </w:r>
            <w:r>
              <w:rPr>
                <w:rFonts w:hint="eastAsia" w:ascii="宋体" w:hAnsi="宋体" w:eastAsia="宋体" w:cs="宋体"/>
                <w:color w:val="auto"/>
                <w:sz w:val="24"/>
                <w:szCs w:val="24"/>
                <w:highlight w:val="none"/>
                <w:lang w:eastAsia="zh-CN"/>
              </w:rPr>
              <w:t>网站</w:t>
            </w:r>
            <w:r>
              <w:rPr>
                <w:rFonts w:hint="eastAsia" w:ascii="宋体" w:hAnsi="宋体" w:eastAsia="宋体" w:cs="宋体"/>
                <w:color w:val="auto"/>
                <w:sz w:val="24"/>
                <w:szCs w:val="24"/>
                <w:highlight w:val="none"/>
              </w:rPr>
              <w:t>人工查询为准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现场对查询结果截图存档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人工查询仍有故障的，则此项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4400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636A1628">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4</w:t>
            </w:r>
          </w:p>
        </w:tc>
        <w:tc>
          <w:tcPr>
            <w:tcW w:w="968" w:type="pct"/>
            <w:tcBorders>
              <w:bottom w:val="single" w:color="auto" w:sz="4" w:space="0"/>
            </w:tcBorders>
            <w:vAlign w:val="center"/>
          </w:tcPr>
          <w:p w14:paraId="25BD2CC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中小企业证明文件（</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1919" w:type="pct"/>
            <w:tcBorders>
              <w:bottom w:val="single" w:color="auto" w:sz="4" w:space="0"/>
            </w:tcBorders>
            <w:vAlign w:val="center"/>
          </w:tcPr>
          <w:p w14:paraId="59218312">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szCs w:val="28"/>
                <w:highlight w:val="none"/>
                <w:lang w:val="en-US" w:eastAsia="zh-CN"/>
              </w:rPr>
              <w:t>申请人的</w:t>
            </w:r>
            <w:r>
              <w:rPr>
                <w:rFonts w:hint="eastAsia" w:ascii="宋体" w:hAnsi="宋体" w:eastAsia="宋体" w:cs="宋体"/>
                <w:color w:val="auto"/>
                <w:sz w:val="24"/>
                <w:szCs w:val="28"/>
                <w:highlight w:val="none"/>
              </w:rPr>
              <w:t>资格</w:t>
            </w:r>
            <w:r>
              <w:rPr>
                <w:rFonts w:hint="eastAsia" w:ascii="宋体" w:hAnsi="宋体" w:eastAsia="宋体" w:cs="宋体"/>
                <w:color w:val="auto"/>
                <w:sz w:val="24"/>
                <w:szCs w:val="28"/>
                <w:highlight w:val="none"/>
                <w:lang w:val="en-US" w:eastAsia="zh-CN"/>
              </w:rPr>
              <w:t>要求</w:t>
            </w:r>
            <w:r>
              <w:rPr>
                <w:rFonts w:hint="eastAsia" w:ascii="宋体" w:hAnsi="宋体" w:eastAsia="宋体" w:cs="宋体"/>
                <w:color w:val="auto"/>
                <w:sz w:val="24"/>
                <w:szCs w:val="28"/>
                <w:highlight w:val="none"/>
              </w:rPr>
              <w:t>中落实政府采购政策需满足的资格要求</w:t>
            </w:r>
            <w:r>
              <w:rPr>
                <w:rFonts w:hint="eastAsia" w:ascii="宋体" w:hAnsi="宋体" w:eastAsia="宋体" w:cs="宋体"/>
                <w:color w:val="auto"/>
                <w:sz w:val="24"/>
                <w:szCs w:val="28"/>
                <w:highlight w:val="none"/>
                <w:lang w:eastAsia="zh-CN"/>
              </w:rPr>
              <w:t>：</w:t>
            </w:r>
          </w:p>
          <w:p w14:paraId="69E01B69">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供《中小企业声明函》或《残疾人福利性单位声明函》或由省级以上监狱管理局、戒毒管理局（含新疆生产建设兵团）出具的属于监狱企业的证明文件。</w:t>
            </w:r>
          </w:p>
          <w:p w14:paraId="5016A5DB">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881" w:type="pct"/>
            <w:tcBorders>
              <w:bottom w:val="single" w:color="auto" w:sz="4" w:space="0"/>
            </w:tcBorders>
            <w:vAlign w:val="center"/>
          </w:tcPr>
          <w:p w14:paraId="78A54AB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3A25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688851DF">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5</w:t>
            </w:r>
          </w:p>
        </w:tc>
        <w:tc>
          <w:tcPr>
            <w:tcW w:w="968" w:type="pct"/>
            <w:tcBorders>
              <w:bottom w:val="single" w:color="auto" w:sz="4" w:space="0"/>
            </w:tcBorders>
            <w:vAlign w:val="center"/>
          </w:tcPr>
          <w:p w14:paraId="6668C106">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拟分包情况说明及分包意向协议（</w:t>
            </w:r>
            <w:r>
              <w:rPr>
                <w:rFonts w:hint="eastAsia" w:ascii="宋体" w:hAnsi="宋体" w:eastAsia="宋体" w:cs="宋体"/>
                <w:i/>
                <w:iCs/>
                <w:color w:val="auto"/>
                <w:sz w:val="24"/>
                <w:szCs w:val="24"/>
                <w:highlight w:val="none"/>
                <w:lang w:val="en-US" w:eastAsia="zh-CN"/>
              </w:rPr>
              <w:t>适用于合同分包预留中小企业采购份额项目</w:t>
            </w:r>
            <w:r>
              <w:rPr>
                <w:rFonts w:hint="eastAsia" w:ascii="宋体" w:hAnsi="宋体" w:eastAsia="宋体" w:cs="宋体"/>
                <w:color w:val="auto"/>
                <w:sz w:val="24"/>
                <w:szCs w:val="24"/>
                <w:highlight w:val="none"/>
              </w:rPr>
              <w:t>）</w:t>
            </w:r>
          </w:p>
        </w:tc>
        <w:tc>
          <w:tcPr>
            <w:tcW w:w="1919" w:type="pct"/>
            <w:tcBorders>
              <w:bottom w:val="single" w:color="auto" w:sz="4" w:space="0"/>
            </w:tcBorders>
            <w:vAlign w:val="center"/>
          </w:tcPr>
          <w:p w14:paraId="7075046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通过分包措施预留部分采购份额面向中小企业采购且投标人因落实政府采购政策拟进行分包的。</w:t>
            </w:r>
          </w:p>
        </w:tc>
        <w:tc>
          <w:tcPr>
            <w:tcW w:w="1881" w:type="pct"/>
            <w:tcBorders>
              <w:bottom w:val="single" w:color="auto" w:sz="4" w:space="0"/>
            </w:tcBorders>
            <w:vAlign w:val="center"/>
          </w:tcPr>
          <w:p w14:paraId="7C5B098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042D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672CE54C">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w:t>
            </w:r>
          </w:p>
        </w:tc>
        <w:tc>
          <w:tcPr>
            <w:tcW w:w="968" w:type="pct"/>
            <w:tcBorders>
              <w:bottom w:val="single" w:color="auto" w:sz="4" w:space="0"/>
            </w:tcBorders>
            <w:vAlign w:val="center"/>
          </w:tcPr>
          <w:p w14:paraId="67CB878B">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1919" w:type="pct"/>
            <w:tcBorders>
              <w:bottom w:val="single" w:color="auto" w:sz="4" w:space="0"/>
            </w:tcBorders>
            <w:vAlign w:val="center"/>
          </w:tcPr>
          <w:p w14:paraId="74C3CFFF">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如有，见第一章《</w:t>
            </w:r>
            <w:r>
              <w:rPr>
                <w:rFonts w:hint="eastAsia" w:ascii="宋体" w:hAnsi="宋体" w:eastAsia="宋体" w:cs="宋体"/>
                <w:color w:val="auto"/>
                <w:spacing w:val="-2"/>
                <w:sz w:val="24"/>
                <w:szCs w:val="24"/>
                <w:highlight w:val="none"/>
                <w:lang w:eastAsia="zh-CN"/>
              </w:rPr>
              <w:t>投标邀请</w:t>
            </w:r>
            <w:r>
              <w:rPr>
                <w:rFonts w:hint="eastAsia" w:ascii="宋体" w:hAnsi="宋体" w:eastAsia="宋体" w:cs="宋体"/>
                <w:color w:val="auto"/>
                <w:spacing w:val="-2"/>
                <w:sz w:val="24"/>
                <w:szCs w:val="24"/>
                <w:highlight w:val="none"/>
              </w:rPr>
              <w:t>》</w:t>
            </w:r>
          </w:p>
        </w:tc>
        <w:tc>
          <w:tcPr>
            <w:tcW w:w="1881" w:type="pct"/>
            <w:tcBorders>
              <w:bottom w:val="single" w:color="auto" w:sz="4" w:space="0"/>
            </w:tcBorders>
            <w:vAlign w:val="center"/>
          </w:tcPr>
          <w:p w14:paraId="2E6B8DC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r>
              <w:rPr>
                <w:rFonts w:hint="eastAsia" w:ascii="宋体" w:hAnsi="宋体" w:eastAsia="宋体" w:cs="宋体"/>
                <w:b w:val="0"/>
                <w:bCs w:val="0"/>
                <w:i/>
                <w:iCs/>
                <w:color w:val="auto"/>
                <w:kern w:val="2"/>
                <w:sz w:val="24"/>
                <w:szCs w:val="18"/>
                <w:highlight w:val="none"/>
                <w:lang w:val="en-US" w:eastAsia="zh-CN" w:bidi="ar-SA"/>
              </w:rPr>
              <w:t>（本条可根据项目需要编辑）</w:t>
            </w:r>
          </w:p>
        </w:tc>
      </w:tr>
      <w:tr w14:paraId="64D1A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6EB803FA">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p>
        </w:tc>
        <w:tc>
          <w:tcPr>
            <w:tcW w:w="968" w:type="pct"/>
            <w:tcBorders>
              <w:bottom w:val="single" w:color="auto" w:sz="4" w:space="0"/>
            </w:tcBorders>
            <w:vAlign w:val="center"/>
          </w:tcPr>
          <w:p w14:paraId="5D0AB94E">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eastAsia="zh-CN"/>
              </w:rPr>
            </w:pPr>
            <w:r>
              <w:rPr>
                <w:rFonts w:hint="eastAsia" w:ascii="宋体" w:hAnsi="宋体" w:eastAsia="宋体" w:cs="宋体"/>
                <w:color w:val="auto"/>
                <w:spacing w:val="10"/>
                <w:sz w:val="24"/>
                <w:szCs w:val="24"/>
                <w:highlight w:val="none"/>
              </w:rPr>
              <w:t>本项目对于联合</w:t>
            </w:r>
            <w:r>
              <w:rPr>
                <w:rFonts w:hint="eastAsia" w:ascii="宋体" w:hAnsi="宋体" w:eastAsia="宋体" w:cs="宋体"/>
                <w:color w:val="auto"/>
                <w:spacing w:val="-2"/>
                <w:sz w:val="24"/>
                <w:szCs w:val="24"/>
                <w:highlight w:val="none"/>
              </w:rPr>
              <w:t>体的要求</w:t>
            </w:r>
            <w:r>
              <w:rPr>
                <w:rFonts w:hint="eastAsia" w:ascii="宋体" w:hAnsi="宋体" w:eastAsia="宋体" w:cs="宋体"/>
                <w:color w:val="auto"/>
                <w:spacing w:val="-2"/>
                <w:sz w:val="24"/>
                <w:szCs w:val="24"/>
                <w:highlight w:val="none"/>
                <w:lang w:eastAsia="zh-CN"/>
              </w:rPr>
              <w:t>（</w:t>
            </w:r>
            <w:r>
              <w:rPr>
                <w:rFonts w:hint="eastAsia" w:ascii="宋体" w:hAnsi="宋体" w:eastAsia="宋体" w:cs="宋体"/>
                <w:i/>
                <w:iCs/>
                <w:color w:val="auto"/>
                <w:spacing w:val="-2"/>
                <w:sz w:val="24"/>
                <w:szCs w:val="24"/>
                <w:highlight w:val="none"/>
                <w:lang w:val="en-US" w:eastAsia="zh-CN"/>
              </w:rPr>
              <w:t>适用于接受联合体投标项目</w:t>
            </w:r>
            <w:r>
              <w:rPr>
                <w:rFonts w:hint="eastAsia" w:ascii="宋体" w:hAnsi="宋体" w:eastAsia="宋体" w:cs="宋体"/>
                <w:color w:val="auto"/>
                <w:spacing w:val="-2"/>
                <w:sz w:val="24"/>
                <w:szCs w:val="24"/>
                <w:highlight w:val="none"/>
                <w:lang w:eastAsia="zh-CN"/>
              </w:rPr>
              <w:t>）</w:t>
            </w:r>
          </w:p>
        </w:tc>
        <w:tc>
          <w:tcPr>
            <w:tcW w:w="1919" w:type="pct"/>
            <w:tcBorders>
              <w:bottom w:val="single" w:color="auto" w:sz="4" w:space="0"/>
            </w:tcBorders>
            <w:vAlign w:val="center"/>
          </w:tcPr>
          <w:p w14:paraId="137E7E2B">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val="en-US" w:eastAsia="zh-CN"/>
              </w:rPr>
              <w:t>联合体投标的</w:t>
            </w:r>
            <w:r>
              <w:rPr>
                <w:rFonts w:hint="eastAsia" w:ascii="宋体" w:hAnsi="宋体" w:eastAsia="宋体" w:cs="宋体"/>
                <w:color w:val="auto"/>
                <w:spacing w:val="10"/>
                <w:kern w:val="2"/>
                <w:sz w:val="24"/>
                <w:szCs w:val="24"/>
                <w:highlight w:val="none"/>
                <w:lang w:val="en-US" w:eastAsia="zh-CN" w:bidi="ar-SA"/>
              </w:rPr>
              <w:t>详见</w:t>
            </w:r>
            <w:r>
              <w:rPr>
                <w:rFonts w:hint="eastAsia" w:ascii="宋体" w:hAnsi="宋体" w:eastAsia="宋体" w:cs="宋体"/>
                <w:color w:val="auto"/>
                <w:sz w:val="24"/>
                <w:szCs w:val="24"/>
                <w:highlight w:val="none"/>
                <w:lang w:val="zh-CN" w:eastAsia="zh-CN"/>
              </w:rPr>
              <w:t>投标人须知正文第</w:t>
            </w:r>
            <w:r>
              <w:rPr>
                <w:rFonts w:hint="eastAsia" w:ascii="宋体" w:hAnsi="宋体" w:eastAsia="宋体" w:cs="宋体"/>
                <w:color w:val="auto"/>
                <w:sz w:val="24"/>
                <w:szCs w:val="24"/>
                <w:highlight w:val="none"/>
                <w:lang w:val="en-US" w:eastAsia="zh-CN"/>
              </w:rPr>
              <w:t>1.5条，且</w:t>
            </w:r>
            <w:r>
              <w:rPr>
                <w:rFonts w:hint="eastAsia" w:ascii="宋体" w:hAnsi="宋体" w:eastAsia="宋体" w:cs="宋体"/>
                <w:color w:val="auto"/>
                <w:spacing w:val="10"/>
                <w:kern w:val="2"/>
                <w:sz w:val="24"/>
                <w:szCs w:val="24"/>
                <w:highlight w:val="none"/>
                <w:lang w:val="en-US" w:eastAsia="zh-CN" w:bidi="ar-SA"/>
              </w:rPr>
              <w:t>提供《联合协议》。</w:t>
            </w:r>
          </w:p>
        </w:tc>
        <w:tc>
          <w:tcPr>
            <w:tcW w:w="1881" w:type="pct"/>
            <w:tcBorders>
              <w:bottom w:val="single" w:color="auto" w:sz="4" w:space="0"/>
            </w:tcBorders>
            <w:vAlign w:val="center"/>
          </w:tcPr>
          <w:p w14:paraId="591E6AF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0"/>
                <w:kern w:val="2"/>
                <w:sz w:val="24"/>
                <w:szCs w:val="24"/>
                <w:highlight w:val="none"/>
                <w:lang w:val="en-US" w:eastAsia="zh-CN" w:bidi="ar-SA"/>
              </w:rPr>
              <w:t>《联合协议》</w:t>
            </w: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7C2C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4751055B">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8</w:t>
            </w:r>
          </w:p>
        </w:tc>
        <w:tc>
          <w:tcPr>
            <w:tcW w:w="968" w:type="pct"/>
            <w:vAlign w:val="center"/>
          </w:tcPr>
          <w:p w14:paraId="60D2B6A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rPr>
              <w:t>其他特定资格要求</w:t>
            </w:r>
          </w:p>
        </w:tc>
        <w:tc>
          <w:tcPr>
            <w:tcW w:w="1919" w:type="pct"/>
            <w:vAlign w:val="center"/>
          </w:tcPr>
          <w:p w14:paraId="6DAE818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eastAsia="zh-CN"/>
              </w:rPr>
              <w:t>投标邀请</w:t>
            </w:r>
            <w:r>
              <w:rPr>
                <w:rFonts w:hint="eastAsia" w:ascii="宋体" w:hAnsi="宋体" w:eastAsia="宋体" w:cs="宋体"/>
                <w:color w:val="auto"/>
                <w:spacing w:val="10"/>
                <w:sz w:val="24"/>
                <w:szCs w:val="24"/>
                <w:highlight w:val="none"/>
              </w:rPr>
              <w:t>》</w:t>
            </w:r>
          </w:p>
        </w:tc>
        <w:tc>
          <w:tcPr>
            <w:tcW w:w="1881" w:type="pct"/>
            <w:vAlign w:val="center"/>
          </w:tcPr>
          <w:p w14:paraId="6529622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r>
              <w:rPr>
                <w:rFonts w:hint="eastAsia" w:ascii="宋体" w:hAnsi="宋体" w:eastAsia="宋体" w:cs="宋体"/>
                <w:b w:val="0"/>
                <w:bCs w:val="0"/>
                <w:i/>
                <w:iCs/>
                <w:color w:val="auto"/>
                <w:kern w:val="2"/>
                <w:sz w:val="24"/>
                <w:szCs w:val="18"/>
                <w:highlight w:val="none"/>
                <w:lang w:val="en-US" w:eastAsia="zh-CN" w:bidi="ar-SA"/>
              </w:rPr>
              <w:t>（本条可根据项目需要编辑）</w:t>
            </w:r>
          </w:p>
        </w:tc>
      </w:tr>
    </w:tbl>
    <w:p w14:paraId="36F3D5E3">
      <w:pPr>
        <w:spacing w:line="360" w:lineRule="auto"/>
        <w:ind w:firstLine="435"/>
        <w:rPr>
          <w:rFonts w:hint="eastAsia" w:ascii="宋体" w:hAnsi="宋体" w:eastAsia="宋体" w:cs="宋体"/>
          <w:color w:val="auto"/>
          <w:sz w:val="24"/>
          <w:highlight w:val="none"/>
        </w:rPr>
      </w:pPr>
      <w:bookmarkStart w:id="20" w:name="_Hlk16461707"/>
      <w:r>
        <w:rPr>
          <w:rFonts w:hint="eastAsia" w:ascii="宋体" w:hAnsi="宋体" w:eastAsia="宋体" w:cs="宋体"/>
          <w:b/>
          <w:bCs/>
          <w:color w:val="auto"/>
          <w:sz w:val="24"/>
          <w:highlight w:val="none"/>
        </w:rPr>
        <w:t>资格审查指标通过标准：</w:t>
      </w:r>
      <w:r>
        <w:rPr>
          <w:rFonts w:hint="eastAsia" w:ascii="宋体" w:hAnsi="宋体" w:eastAsia="宋体" w:cs="宋体"/>
          <w:color w:val="auto"/>
          <w:sz w:val="24"/>
          <w:highlight w:val="none"/>
        </w:rPr>
        <w:t>投标人必须通过资格审查表中的全部评审指标。</w:t>
      </w:r>
    </w:p>
    <w:bookmarkEnd w:id="20"/>
    <w:p w14:paraId="4B6D78DF">
      <w:pPr>
        <w:spacing w:line="360" w:lineRule="auto"/>
        <w:ind w:firstLine="437"/>
        <w:outlineLvl w:val="2"/>
        <w:rPr>
          <w:rFonts w:hint="eastAsia" w:ascii="宋体" w:hAnsi="宋体" w:eastAsia="宋体" w:cs="宋体"/>
          <w:color w:val="auto"/>
          <w:sz w:val="24"/>
          <w:highlight w:val="none"/>
        </w:rPr>
      </w:pPr>
    </w:p>
    <w:p w14:paraId="5EB18C29">
      <w:pPr>
        <w:spacing w:line="360" w:lineRule="auto"/>
        <w:ind w:firstLine="437"/>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2.2符合性审查</w:t>
      </w:r>
    </w:p>
    <w:p w14:paraId="1FF088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评标委员会对通过资格审查的投标人的投标文件进行符合性审查，以确定其是否满足招标文件的实质性要求。符合性审查表如下：</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2387"/>
        <w:gridCol w:w="3526"/>
        <w:gridCol w:w="2549"/>
      </w:tblGrid>
      <w:tr w14:paraId="1254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5000" w:type="pct"/>
            <w:gridSpan w:val="4"/>
            <w:tcBorders>
              <w:bottom w:val="single" w:color="auto" w:sz="4" w:space="0"/>
            </w:tcBorders>
            <w:vAlign w:val="center"/>
          </w:tcPr>
          <w:p w14:paraId="462C3229">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符合性审查表</w:t>
            </w:r>
          </w:p>
        </w:tc>
      </w:tr>
      <w:tr w14:paraId="549B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45" w:type="pct"/>
            <w:tcBorders>
              <w:bottom w:val="single" w:color="auto" w:sz="4" w:space="0"/>
            </w:tcBorders>
            <w:vAlign w:val="center"/>
          </w:tcPr>
          <w:p w14:paraId="18FCDDA4">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85" w:type="pct"/>
            <w:tcBorders>
              <w:bottom w:val="single" w:color="auto" w:sz="4" w:space="0"/>
            </w:tcBorders>
            <w:vAlign w:val="center"/>
          </w:tcPr>
          <w:p w14:paraId="64A7695D">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审查指标</w:t>
            </w:r>
          </w:p>
        </w:tc>
        <w:tc>
          <w:tcPr>
            <w:tcW w:w="1898" w:type="pct"/>
            <w:tcBorders>
              <w:bottom w:val="single" w:color="auto" w:sz="4" w:space="0"/>
            </w:tcBorders>
            <w:vAlign w:val="center"/>
          </w:tcPr>
          <w:p w14:paraId="1A1E7E85">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审查标准</w:t>
            </w:r>
          </w:p>
        </w:tc>
        <w:tc>
          <w:tcPr>
            <w:tcW w:w="1370" w:type="pct"/>
            <w:tcBorders>
              <w:bottom w:val="single" w:color="auto" w:sz="4" w:space="0"/>
            </w:tcBorders>
            <w:vAlign w:val="center"/>
          </w:tcPr>
          <w:p w14:paraId="718607B2">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6AFA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01400F1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85" w:type="pct"/>
            <w:vAlign w:val="center"/>
          </w:tcPr>
          <w:p w14:paraId="5973EFF2">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开标一览表</w:t>
            </w:r>
          </w:p>
        </w:tc>
        <w:tc>
          <w:tcPr>
            <w:tcW w:w="1898" w:type="pct"/>
            <w:vAlign w:val="center"/>
          </w:tcPr>
          <w:p w14:paraId="7B34B0F1">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0" w:type="pct"/>
            <w:vAlign w:val="center"/>
          </w:tcPr>
          <w:p w14:paraId="50026A9E">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4F93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357115A5">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285" w:type="pct"/>
            <w:vAlign w:val="center"/>
          </w:tcPr>
          <w:p w14:paraId="52AD83FB">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投标函</w:t>
            </w:r>
          </w:p>
        </w:tc>
        <w:tc>
          <w:tcPr>
            <w:tcW w:w="1898" w:type="pct"/>
            <w:vAlign w:val="center"/>
          </w:tcPr>
          <w:p w14:paraId="2434421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0" w:type="pct"/>
            <w:vAlign w:val="center"/>
          </w:tcPr>
          <w:p w14:paraId="44572429">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B70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17E5E236">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285" w:type="pct"/>
            <w:vAlign w:val="center"/>
          </w:tcPr>
          <w:p w14:paraId="2A654C7D">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授权书</w:t>
            </w:r>
          </w:p>
        </w:tc>
        <w:tc>
          <w:tcPr>
            <w:tcW w:w="1898" w:type="pct"/>
            <w:vAlign w:val="center"/>
          </w:tcPr>
          <w:p w14:paraId="61397498">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0" w:type="pct"/>
            <w:vAlign w:val="center"/>
          </w:tcPr>
          <w:p w14:paraId="508000A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法定代表人参加投标的无需此件，提供身份证明即可。详见第六章投标文件格式</w:t>
            </w:r>
            <w:r>
              <w:rPr>
                <w:rFonts w:hint="eastAsia" w:ascii="宋体" w:hAnsi="宋体" w:eastAsia="宋体" w:cs="宋体"/>
                <w:color w:val="auto"/>
                <w:sz w:val="24"/>
                <w:highlight w:val="none"/>
                <w:lang w:eastAsia="zh-CN"/>
              </w:rPr>
              <w:t>。</w:t>
            </w:r>
          </w:p>
        </w:tc>
      </w:tr>
      <w:tr w14:paraId="37B9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5D2795CE">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285" w:type="pct"/>
            <w:vAlign w:val="center"/>
          </w:tcPr>
          <w:p w14:paraId="6CC67770">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投标报价</w:t>
            </w:r>
          </w:p>
        </w:tc>
        <w:tc>
          <w:tcPr>
            <w:tcW w:w="1898" w:type="pct"/>
            <w:vAlign w:val="center"/>
          </w:tcPr>
          <w:p w14:paraId="5292D3B1">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highlight w:val="none"/>
              </w:rPr>
              <w:t>招标文件投标人须知正文第</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条要求</w:t>
            </w:r>
          </w:p>
        </w:tc>
        <w:tc>
          <w:tcPr>
            <w:tcW w:w="1370" w:type="pct"/>
            <w:vAlign w:val="center"/>
          </w:tcPr>
          <w:p w14:paraId="0D48535D">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641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2B35C8F6">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2402" w:type="dxa"/>
            <w:vAlign w:val="center"/>
          </w:tcPr>
          <w:p w14:paraId="3B3924CA">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商务响应情况</w:t>
            </w:r>
          </w:p>
        </w:tc>
        <w:tc>
          <w:tcPr>
            <w:tcW w:w="3547" w:type="dxa"/>
            <w:vAlign w:val="center"/>
          </w:tcPr>
          <w:p w14:paraId="6225DFCA">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符合招标文件采购需求中对付款方式、</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地点、</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期限</w:t>
            </w:r>
            <w:r>
              <w:rPr>
                <w:rFonts w:hint="eastAsia" w:ascii="宋体" w:hAnsi="宋体" w:eastAsia="宋体" w:cs="宋体"/>
                <w:color w:val="auto"/>
                <w:sz w:val="24"/>
                <w:szCs w:val="28"/>
                <w:highlight w:val="none"/>
                <w:lang w:val="en-US" w:eastAsia="zh-CN"/>
              </w:rPr>
              <w:t>等实质性</w:t>
            </w:r>
            <w:r>
              <w:rPr>
                <w:rFonts w:hint="eastAsia" w:ascii="宋体" w:hAnsi="宋体" w:eastAsia="宋体" w:cs="宋体"/>
                <w:color w:val="auto"/>
                <w:sz w:val="24"/>
                <w:szCs w:val="28"/>
                <w:highlight w:val="none"/>
              </w:rPr>
              <w:t>要求</w:t>
            </w:r>
          </w:p>
        </w:tc>
        <w:tc>
          <w:tcPr>
            <w:tcW w:w="2564" w:type="dxa"/>
            <w:vAlign w:val="center"/>
          </w:tcPr>
          <w:p w14:paraId="7CCE6D80">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314C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06A53041">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p>
        </w:tc>
        <w:tc>
          <w:tcPr>
            <w:tcW w:w="2402" w:type="dxa"/>
            <w:vAlign w:val="center"/>
          </w:tcPr>
          <w:p w14:paraId="42F9ED3F">
            <w:pPr>
              <w:keepNext w:val="0"/>
              <w:keepLines w:val="0"/>
              <w:pageBreakBefore w:val="0"/>
              <w:widowControl w:val="0"/>
              <w:kinsoku/>
              <w:wordWrap/>
              <w:overflowPunct/>
              <w:topLinePunct w:val="0"/>
              <w:autoSpaceDE/>
              <w:autoSpaceDN/>
              <w:bidi w:val="0"/>
              <w:spacing w:line="360" w:lineRule="exact"/>
              <w:ind w:right="0" w:rightChars="0"/>
              <w:jc w:val="center"/>
              <w:textAlignment w:val="auto"/>
              <w:outlineLvl w:val="2"/>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技术</w:t>
            </w:r>
            <w:r>
              <w:rPr>
                <w:rFonts w:hint="eastAsia" w:ascii="宋体" w:hAnsi="宋体" w:eastAsia="宋体" w:cs="宋体"/>
                <w:color w:val="auto"/>
                <w:sz w:val="24"/>
                <w:szCs w:val="28"/>
                <w:highlight w:val="none"/>
              </w:rPr>
              <w:t>响应情况</w:t>
            </w:r>
          </w:p>
        </w:tc>
        <w:tc>
          <w:tcPr>
            <w:tcW w:w="3547" w:type="dxa"/>
            <w:vAlign w:val="center"/>
          </w:tcPr>
          <w:p w14:paraId="585C36ED">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rPr>
              <w:t>符合招标文件采购需求中</w:t>
            </w:r>
            <w:r>
              <w:rPr>
                <w:rFonts w:hint="eastAsia" w:ascii="宋体" w:hAnsi="宋体" w:eastAsia="宋体" w:cs="宋体"/>
                <w:color w:val="auto"/>
                <w:sz w:val="24"/>
                <w:szCs w:val="28"/>
                <w:highlight w:val="none"/>
                <w:lang w:val="en-US" w:eastAsia="zh-CN"/>
              </w:rPr>
              <w:t>实质性响应技术参数</w:t>
            </w:r>
            <w:r>
              <w:rPr>
                <w:rFonts w:hint="eastAsia" w:ascii="宋体" w:hAnsi="宋体" w:eastAsia="宋体" w:cs="宋体"/>
                <w:color w:val="auto"/>
                <w:sz w:val="24"/>
                <w:szCs w:val="28"/>
                <w:highlight w:val="none"/>
              </w:rPr>
              <w:t>要求</w:t>
            </w:r>
          </w:p>
        </w:tc>
        <w:tc>
          <w:tcPr>
            <w:tcW w:w="2564" w:type="dxa"/>
            <w:vAlign w:val="center"/>
          </w:tcPr>
          <w:p w14:paraId="634312EC">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7196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2AECF290">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7</w:t>
            </w:r>
          </w:p>
        </w:tc>
        <w:tc>
          <w:tcPr>
            <w:tcW w:w="1285" w:type="pct"/>
            <w:vAlign w:val="center"/>
          </w:tcPr>
          <w:p w14:paraId="31516AD0">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其他要求</w:t>
            </w:r>
          </w:p>
        </w:tc>
        <w:tc>
          <w:tcPr>
            <w:tcW w:w="1898" w:type="pct"/>
            <w:vAlign w:val="center"/>
          </w:tcPr>
          <w:p w14:paraId="0BF8FA5E">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符合法律、行政法规规定的其他条件或招标文件列明的其他</w:t>
            </w:r>
            <w:r>
              <w:rPr>
                <w:rFonts w:hint="eastAsia" w:ascii="宋体" w:hAnsi="宋体" w:eastAsia="宋体" w:cs="宋体"/>
                <w:color w:val="auto"/>
                <w:sz w:val="24"/>
                <w:szCs w:val="28"/>
                <w:highlight w:val="none"/>
                <w:lang w:val="en-US" w:eastAsia="zh-CN"/>
              </w:rPr>
              <w:t>实质性</w:t>
            </w:r>
            <w:r>
              <w:rPr>
                <w:rFonts w:hint="eastAsia" w:ascii="宋体" w:hAnsi="宋体" w:eastAsia="宋体" w:cs="宋体"/>
                <w:color w:val="auto"/>
                <w:sz w:val="24"/>
                <w:szCs w:val="28"/>
                <w:highlight w:val="none"/>
              </w:rPr>
              <w:t>要求</w:t>
            </w:r>
          </w:p>
        </w:tc>
        <w:tc>
          <w:tcPr>
            <w:tcW w:w="1370" w:type="pct"/>
            <w:vAlign w:val="center"/>
          </w:tcPr>
          <w:p w14:paraId="01DABCD5">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p>
        </w:tc>
      </w:tr>
    </w:tbl>
    <w:p w14:paraId="7BF660D9">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符合性审查指标通过标准：</w:t>
      </w:r>
      <w:r>
        <w:rPr>
          <w:rFonts w:hint="eastAsia" w:ascii="宋体" w:hAnsi="宋体" w:eastAsia="宋体" w:cs="宋体"/>
          <w:color w:val="auto"/>
          <w:sz w:val="24"/>
          <w:highlight w:val="none"/>
        </w:rPr>
        <w:t>投标人必须通过符合性审查表中的全部评审指标。</w:t>
      </w:r>
    </w:p>
    <w:p w14:paraId="18F9E4D4">
      <w:pPr>
        <w:widowControl/>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br w:type="page"/>
      </w:r>
    </w:p>
    <w:p w14:paraId="41F8227A">
      <w:pPr>
        <w:spacing w:line="360" w:lineRule="auto"/>
        <w:jc w:val="center"/>
        <w:outlineLvl w:val="0"/>
        <w:rPr>
          <w:rFonts w:hint="eastAsia" w:ascii="宋体" w:hAnsi="宋体" w:eastAsia="宋体" w:cs="宋体"/>
          <w:b/>
          <w:color w:val="auto"/>
          <w:sz w:val="28"/>
          <w:highlight w:val="none"/>
        </w:rPr>
      </w:pPr>
      <w:bookmarkStart w:id="21" w:name="_Toc30824"/>
      <w:r>
        <w:rPr>
          <w:rFonts w:hint="eastAsia" w:ascii="宋体" w:hAnsi="宋体" w:eastAsia="宋体" w:cs="宋体"/>
          <w:b/>
          <w:color w:val="auto"/>
          <w:sz w:val="28"/>
          <w:highlight w:val="none"/>
        </w:rPr>
        <w:t>第四章  评标方法和标准（综合评分法）</w:t>
      </w:r>
      <w:bookmarkEnd w:id="21"/>
    </w:p>
    <w:p w14:paraId="7722A6CB">
      <w:pPr>
        <w:spacing w:line="360" w:lineRule="auto"/>
        <w:ind w:firstLine="437"/>
        <w:outlineLvl w:val="1"/>
        <w:rPr>
          <w:rFonts w:hint="eastAsia" w:ascii="宋体" w:hAnsi="宋体" w:eastAsia="宋体" w:cs="宋体"/>
          <w:b/>
          <w:color w:val="auto"/>
          <w:sz w:val="24"/>
          <w:highlight w:val="none"/>
        </w:rPr>
      </w:pPr>
      <w:bookmarkStart w:id="22" w:name="_Toc4705"/>
      <w:bookmarkStart w:id="23" w:name="_Toc11823"/>
      <w:r>
        <w:rPr>
          <w:rFonts w:hint="eastAsia" w:ascii="宋体" w:hAnsi="宋体" w:eastAsia="宋体" w:cs="宋体"/>
          <w:b/>
          <w:color w:val="auto"/>
          <w:sz w:val="24"/>
          <w:highlight w:val="none"/>
        </w:rPr>
        <w:t>一、总则</w:t>
      </w:r>
      <w:bookmarkEnd w:id="22"/>
      <w:bookmarkEnd w:id="23"/>
    </w:p>
    <w:p w14:paraId="7558380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本项目将按照招标文件第二章 投标人须知的相关要求及本章的规定评标。</w:t>
      </w:r>
    </w:p>
    <w:p w14:paraId="4AD28651">
      <w:pPr>
        <w:spacing w:line="360" w:lineRule="auto"/>
        <w:ind w:firstLine="437"/>
        <w:outlineLvl w:val="1"/>
        <w:rPr>
          <w:rFonts w:hint="eastAsia" w:ascii="宋体" w:hAnsi="宋体" w:eastAsia="宋体" w:cs="宋体"/>
          <w:b/>
          <w:color w:val="auto"/>
          <w:sz w:val="24"/>
          <w:highlight w:val="none"/>
        </w:rPr>
      </w:pPr>
      <w:bookmarkStart w:id="24" w:name="_Toc32410"/>
      <w:bookmarkStart w:id="25" w:name="_Toc31871"/>
      <w:r>
        <w:rPr>
          <w:rFonts w:hint="eastAsia" w:ascii="宋体" w:hAnsi="宋体" w:eastAsia="宋体" w:cs="宋体"/>
          <w:b/>
          <w:color w:val="auto"/>
          <w:sz w:val="24"/>
          <w:highlight w:val="none"/>
        </w:rPr>
        <w:t>二、评标方法</w:t>
      </w:r>
      <w:bookmarkEnd w:id="24"/>
      <w:bookmarkEnd w:id="25"/>
    </w:p>
    <w:p w14:paraId="0C8FF85E">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2.1资格审查</w:t>
      </w:r>
    </w:p>
    <w:tbl>
      <w:tblPr>
        <w:tblStyle w:val="7"/>
        <w:tblW w:w="53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1817"/>
        <w:gridCol w:w="3688"/>
        <w:gridCol w:w="3821"/>
      </w:tblGrid>
      <w:tr w14:paraId="45B2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000" w:type="pct"/>
            <w:gridSpan w:val="4"/>
            <w:tcBorders>
              <w:bottom w:val="single" w:color="auto" w:sz="4" w:space="0"/>
            </w:tcBorders>
            <w:vAlign w:val="center"/>
          </w:tcPr>
          <w:p w14:paraId="76012506">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szCs w:val="22"/>
                <w:highlight w:val="none"/>
              </w:rPr>
              <w:t>资格审查表</w:t>
            </w:r>
          </w:p>
        </w:tc>
      </w:tr>
      <w:tr w14:paraId="08FE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5342C32E">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913" w:type="pct"/>
            <w:tcBorders>
              <w:bottom w:val="single" w:color="auto" w:sz="4" w:space="0"/>
            </w:tcBorders>
            <w:vAlign w:val="center"/>
          </w:tcPr>
          <w:p w14:paraId="6FA0AFF7">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color w:val="auto"/>
                <w:kern w:val="2"/>
                <w:szCs w:val="24"/>
                <w:highlight w:val="none"/>
                <w:lang w:val="en-US"/>
              </w:rPr>
            </w:pPr>
            <w:r>
              <w:rPr>
                <w:rFonts w:hint="eastAsia" w:ascii="宋体" w:hAnsi="宋体" w:eastAsia="宋体" w:cs="宋体"/>
                <w:color w:val="auto"/>
                <w:kern w:val="2"/>
                <w:szCs w:val="24"/>
                <w:highlight w:val="none"/>
                <w:lang w:val="en-US" w:eastAsia="zh-CN"/>
              </w:rPr>
              <w:t>审查因素</w:t>
            </w:r>
          </w:p>
        </w:tc>
        <w:tc>
          <w:tcPr>
            <w:tcW w:w="1854" w:type="pct"/>
            <w:tcBorders>
              <w:bottom w:val="single" w:color="auto" w:sz="4" w:space="0"/>
            </w:tcBorders>
            <w:vAlign w:val="center"/>
          </w:tcPr>
          <w:p w14:paraId="662B19C2">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审查内容</w:t>
            </w:r>
          </w:p>
        </w:tc>
        <w:tc>
          <w:tcPr>
            <w:tcW w:w="1921" w:type="pct"/>
            <w:tcBorders>
              <w:bottom w:val="single" w:color="auto" w:sz="4" w:space="0"/>
            </w:tcBorders>
            <w:vAlign w:val="center"/>
          </w:tcPr>
          <w:p w14:paraId="525B41DA">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4E8A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09" w:type="pct"/>
            <w:tcBorders>
              <w:bottom w:val="single" w:color="auto" w:sz="4" w:space="0"/>
            </w:tcBorders>
            <w:vAlign w:val="center"/>
          </w:tcPr>
          <w:p w14:paraId="34569723">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rPr>
              <w:t>1</w:t>
            </w:r>
          </w:p>
        </w:tc>
        <w:tc>
          <w:tcPr>
            <w:tcW w:w="913" w:type="pct"/>
            <w:tcBorders>
              <w:bottom w:val="single" w:color="auto" w:sz="4" w:space="0"/>
            </w:tcBorders>
            <w:vAlign w:val="center"/>
          </w:tcPr>
          <w:p w14:paraId="1EDE0D20">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1854" w:type="pct"/>
            <w:tcBorders>
              <w:bottom w:val="single" w:color="auto" w:sz="4" w:space="0"/>
            </w:tcBorders>
            <w:vAlign w:val="center"/>
          </w:tcPr>
          <w:p w14:paraId="12304F5A">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供有效的营业执照；</w:t>
            </w:r>
          </w:p>
          <w:p w14:paraId="44A7A83F">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供有效的事业单位法人证书；</w:t>
            </w:r>
          </w:p>
          <w:p w14:paraId="5B1E8B2F">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登记证书等证明文件；</w:t>
            </w:r>
          </w:p>
          <w:p w14:paraId="39CCB38C">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供有效的个体工商户营业执照；</w:t>
            </w:r>
          </w:p>
          <w:p w14:paraId="3FEA820B">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供有效的自然人身份证明。</w:t>
            </w:r>
          </w:p>
        </w:tc>
        <w:tc>
          <w:tcPr>
            <w:tcW w:w="1921" w:type="pct"/>
            <w:vAlign w:val="center"/>
          </w:tcPr>
          <w:p w14:paraId="446AD444">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5009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09" w:type="pct"/>
            <w:tcBorders>
              <w:bottom w:val="single" w:color="auto" w:sz="4" w:space="0"/>
            </w:tcBorders>
            <w:vAlign w:val="center"/>
          </w:tcPr>
          <w:p w14:paraId="3BC6F624">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913" w:type="pct"/>
            <w:tcBorders>
              <w:bottom w:val="single" w:color="auto" w:sz="4" w:space="0"/>
            </w:tcBorders>
            <w:vAlign w:val="center"/>
          </w:tcPr>
          <w:p w14:paraId="7CEB35AF">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sz w:val="24"/>
                <w:szCs w:val="28"/>
                <w:highlight w:val="none"/>
                <w:lang w:val="en-US"/>
              </w:rPr>
            </w:pPr>
            <w:r>
              <w:rPr>
                <w:rFonts w:hint="eastAsia" w:ascii="宋体" w:hAnsi="宋体" w:eastAsia="宋体" w:cs="宋体"/>
                <w:color w:val="auto"/>
                <w:sz w:val="24"/>
                <w:szCs w:val="18"/>
                <w:highlight w:val="none"/>
                <w:lang w:val="en-US" w:eastAsia="zh-CN"/>
              </w:rPr>
              <w:t>投标人资格声明书</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18"/>
                <w:highlight w:val="none"/>
                <w:lang w:val="en-US" w:eastAsia="zh-CN"/>
              </w:rPr>
              <w:t>资格承诺</w:t>
            </w:r>
          </w:p>
        </w:tc>
        <w:tc>
          <w:tcPr>
            <w:tcW w:w="1854" w:type="pct"/>
            <w:tcBorders>
              <w:bottom w:val="single" w:color="auto" w:sz="4" w:space="0"/>
            </w:tcBorders>
            <w:vAlign w:val="center"/>
          </w:tcPr>
          <w:p w14:paraId="7F9A535C">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供符合招标文件要求的《投标人资格声明书》《无重大违法记录声明函、无不良信用记录承诺函》</w:t>
            </w:r>
            <w:r>
              <w:rPr>
                <w:rFonts w:hint="eastAsia" w:ascii="宋体" w:hAnsi="宋体" w:eastAsia="宋体" w:cs="宋体"/>
                <w:color w:val="auto"/>
                <w:sz w:val="24"/>
                <w:szCs w:val="24"/>
                <w:highlight w:val="none"/>
                <w:lang w:eastAsia="zh-CN"/>
              </w:rPr>
              <w:t>。</w:t>
            </w:r>
          </w:p>
        </w:tc>
        <w:tc>
          <w:tcPr>
            <w:tcW w:w="1921" w:type="pct"/>
            <w:vAlign w:val="center"/>
          </w:tcPr>
          <w:p w14:paraId="7450203A">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F27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6CCFE9AC">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913" w:type="pct"/>
            <w:tcBorders>
              <w:bottom w:val="single" w:color="auto" w:sz="4" w:space="0"/>
            </w:tcBorders>
            <w:vAlign w:val="center"/>
          </w:tcPr>
          <w:p w14:paraId="2DC8B01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投标人信用记录</w:t>
            </w:r>
          </w:p>
        </w:tc>
        <w:tc>
          <w:tcPr>
            <w:tcW w:w="1854" w:type="pct"/>
            <w:tcBorders>
              <w:bottom w:val="single" w:color="auto" w:sz="4" w:space="0"/>
            </w:tcBorders>
            <w:vAlign w:val="center"/>
          </w:tcPr>
          <w:p w14:paraId="3B8AAA23">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zh-CN" w:eastAsia="zh-CN"/>
              </w:rPr>
              <w:t>投标人不得存在投标人须知正文第1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s="宋体"/>
                <w:color w:val="auto"/>
                <w:sz w:val="24"/>
                <w:szCs w:val="28"/>
                <w:highlight w:val="none"/>
              </w:rPr>
              <w:t>的</w:t>
            </w:r>
            <w:r>
              <w:rPr>
                <w:rFonts w:hint="eastAsia" w:ascii="宋体" w:hAnsi="宋体" w:eastAsia="宋体" w:cs="宋体"/>
                <w:color w:val="auto"/>
                <w:sz w:val="24"/>
                <w:szCs w:val="18"/>
                <w:highlight w:val="none"/>
              </w:rPr>
              <w:t>不良信用记录情形</w:t>
            </w:r>
          </w:p>
        </w:tc>
        <w:tc>
          <w:tcPr>
            <w:tcW w:w="1921" w:type="pct"/>
            <w:tcBorders>
              <w:bottom w:val="single" w:color="auto" w:sz="4" w:space="0"/>
            </w:tcBorders>
            <w:vAlign w:val="center"/>
          </w:tcPr>
          <w:p w14:paraId="2267536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，通过</w:t>
            </w:r>
            <w:r>
              <w:rPr>
                <w:rFonts w:hint="eastAsia" w:ascii="宋体" w:hAnsi="宋体" w:eastAsia="宋体" w:cs="宋体"/>
                <w:color w:val="auto"/>
                <w:sz w:val="24"/>
                <w:szCs w:val="24"/>
                <w:highlight w:val="none"/>
              </w:rPr>
              <w:t>评标系统对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(含联合体成员)进行交互查询，以评标时</w:t>
            </w:r>
            <w:r>
              <w:rPr>
                <w:rFonts w:hint="eastAsia" w:ascii="宋体" w:hAnsi="宋体" w:eastAsia="宋体" w:cs="宋体"/>
                <w:color w:val="auto"/>
                <w:sz w:val="24"/>
                <w:szCs w:val="24"/>
                <w:highlight w:val="none"/>
                <w:lang w:eastAsia="zh-CN"/>
              </w:rPr>
              <w:t>六安市</w:t>
            </w:r>
            <w:r>
              <w:rPr>
                <w:rFonts w:hint="eastAsia" w:ascii="宋体" w:hAnsi="宋体" w:eastAsia="宋体" w:cs="宋体"/>
                <w:color w:val="auto"/>
                <w:sz w:val="24"/>
                <w:szCs w:val="24"/>
                <w:highlight w:val="none"/>
              </w:rPr>
              <w:t>公共资源交易</w:t>
            </w:r>
            <w:r>
              <w:rPr>
                <w:rFonts w:hint="eastAsia" w:ascii="宋体" w:hAnsi="宋体" w:eastAsia="宋体" w:cs="宋体"/>
                <w:color w:val="auto"/>
                <w:sz w:val="24"/>
                <w:szCs w:val="24"/>
                <w:highlight w:val="none"/>
                <w:lang w:eastAsia="zh-CN"/>
              </w:rPr>
              <w:t>电子</w:t>
            </w:r>
            <w:r>
              <w:rPr>
                <w:rFonts w:hint="eastAsia" w:ascii="宋体" w:hAnsi="宋体" w:eastAsia="宋体" w:cs="宋体"/>
                <w:color w:val="auto"/>
                <w:sz w:val="24"/>
                <w:szCs w:val="24"/>
                <w:highlight w:val="none"/>
              </w:rPr>
              <w:t>评标系统与“信用中国(www.creditchina.gov.cn)”平台实时交互数据为准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相关查询结果系统自动存档</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遇系统故障，</w:t>
            </w:r>
            <w:r>
              <w:rPr>
                <w:rFonts w:hint="eastAsia" w:ascii="宋体" w:hAnsi="宋体" w:eastAsia="宋体" w:cs="宋体"/>
                <w:color w:val="auto"/>
                <w:sz w:val="24"/>
                <w:szCs w:val="24"/>
                <w:highlight w:val="none"/>
                <w:lang w:eastAsia="zh-CN"/>
              </w:rPr>
              <w:t>以</w:t>
            </w:r>
            <w:r>
              <w:rPr>
                <w:rFonts w:hint="eastAsia" w:ascii="宋体" w:hAnsi="宋体" w:eastAsia="宋体" w:cs="宋体"/>
                <w:color w:val="auto"/>
                <w:sz w:val="24"/>
                <w:szCs w:val="24"/>
                <w:highlight w:val="none"/>
              </w:rPr>
              <w:t>“信用中国(www.creditchina.gov.cn)”</w:t>
            </w:r>
            <w:r>
              <w:rPr>
                <w:rFonts w:hint="eastAsia" w:ascii="宋体" w:hAnsi="宋体" w:eastAsia="宋体" w:cs="宋体"/>
                <w:color w:val="auto"/>
                <w:sz w:val="24"/>
                <w:szCs w:val="24"/>
                <w:highlight w:val="none"/>
                <w:lang w:eastAsia="zh-CN"/>
              </w:rPr>
              <w:t>网站</w:t>
            </w:r>
            <w:r>
              <w:rPr>
                <w:rFonts w:hint="eastAsia" w:ascii="宋体" w:hAnsi="宋体" w:eastAsia="宋体" w:cs="宋体"/>
                <w:color w:val="auto"/>
                <w:sz w:val="24"/>
                <w:szCs w:val="24"/>
                <w:highlight w:val="none"/>
              </w:rPr>
              <w:t>人工查询为准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现场对查询结果截图存档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人工查询仍有故障的，则此项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3805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6DD591E0">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4</w:t>
            </w:r>
          </w:p>
        </w:tc>
        <w:tc>
          <w:tcPr>
            <w:tcW w:w="913" w:type="pct"/>
            <w:tcBorders>
              <w:bottom w:val="single" w:color="auto" w:sz="4" w:space="0"/>
            </w:tcBorders>
            <w:vAlign w:val="center"/>
          </w:tcPr>
          <w:p w14:paraId="6CB6CD77">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中小企业证明文件（</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1854" w:type="pct"/>
            <w:tcBorders>
              <w:bottom w:val="single" w:color="auto" w:sz="4" w:space="0"/>
            </w:tcBorders>
            <w:vAlign w:val="top"/>
          </w:tcPr>
          <w:p w14:paraId="42196486">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szCs w:val="28"/>
                <w:highlight w:val="none"/>
                <w:lang w:val="en-US" w:eastAsia="zh-CN"/>
              </w:rPr>
              <w:t>申请人的</w:t>
            </w:r>
            <w:r>
              <w:rPr>
                <w:rFonts w:hint="eastAsia" w:ascii="宋体" w:hAnsi="宋体" w:eastAsia="宋体" w:cs="宋体"/>
                <w:color w:val="auto"/>
                <w:sz w:val="24"/>
                <w:szCs w:val="28"/>
                <w:highlight w:val="none"/>
              </w:rPr>
              <w:t>资格</w:t>
            </w:r>
            <w:r>
              <w:rPr>
                <w:rFonts w:hint="eastAsia" w:ascii="宋体" w:hAnsi="宋体" w:eastAsia="宋体" w:cs="宋体"/>
                <w:color w:val="auto"/>
                <w:sz w:val="24"/>
                <w:szCs w:val="28"/>
                <w:highlight w:val="none"/>
                <w:lang w:val="en-US" w:eastAsia="zh-CN"/>
              </w:rPr>
              <w:t>要求</w:t>
            </w:r>
            <w:r>
              <w:rPr>
                <w:rFonts w:hint="eastAsia" w:ascii="宋体" w:hAnsi="宋体" w:eastAsia="宋体" w:cs="宋体"/>
                <w:color w:val="auto"/>
                <w:sz w:val="24"/>
                <w:szCs w:val="28"/>
                <w:highlight w:val="none"/>
              </w:rPr>
              <w:t>中落实政府采购政策需满足的资格要求</w:t>
            </w:r>
            <w:r>
              <w:rPr>
                <w:rFonts w:hint="eastAsia" w:ascii="宋体" w:hAnsi="宋体" w:eastAsia="宋体" w:cs="宋体"/>
                <w:color w:val="auto"/>
                <w:sz w:val="24"/>
                <w:szCs w:val="28"/>
                <w:highlight w:val="none"/>
                <w:lang w:eastAsia="zh-CN"/>
              </w:rPr>
              <w:t>：</w:t>
            </w:r>
          </w:p>
          <w:p w14:paraId="6C49E95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供《中小企业声明函》或《残疾人福利性单位声明函》或由省级以上监狱管理局、戒毒管理局（含新疆生产建设兵团）出具的属于监狱企业的证明文件。</w:t>
            </w:r>
          </w:p>
          <w:p w14:paraId="585789A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921" w:type="pct"/>
            <w:tcBorders>
              <w:bottom w:val="single" w:color="auto" w:sz="4" w:space="0"/>
            </w:tcBorders>
            <w:vAlign w:val="center"/>
          </w:tcPr>
          <w:p w14:paraId="2B46800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4AB4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0AB96A7E">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5</w:t>
            </w:r>
          </w:p>
        </w:tc>
        <w:tc>
          <w:tcPr>
            <w:tcW w:w="913" w:type="pct"/>
            <w:tcBorders>
              <w:bottom w:val="single" w:color="auto" w:sz="4" w:space="0"/>
            </w:tcBorders>
            <w:vAlign w:val="top"/>
          </w:tcPr>
          <w:p w14:paraId="0244176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拟分包情况说明及分包意向协议（</w:t>
            </w:r>
            <w:r>
              <w:rPr>
                <w:rFonts w:hint="eastAsia" w:ascii="宋体" w:hAnsi="宋体" w:eastAsia="宋体" w:cs="宋体"/>
                <w:i/>
                <w:iCs/>
                <w:color w:val="auto"/>
                <w:sz w:val="24"/>
                <w:szCs w:val="24"/>
                <w:highlight w:val="none"/>
                <w:lang w:val="en-US" w:eastAsia="zh-CN"/>
              </w:rPr>
              <w:t>适用于合同分包预留中小企业采购份额项目</w:t>
            </w:r>
            <w:r>
              <w:rPr>
                <w:rFonts w:hint="eastAsia" w:ascii="宋体" w:hAnsi="宋体" w:eastAsia="宋体" w:cs="宋体"/>
                <w:color w:val="auto"/>
                <w:sz w:val="24"/>
                <w:szCs w:val="24"/>
                <w:highlight w:val="none"/>
              </w:rPr>
              <w:t>）</w:t>
            </w:r>
          </w:p>
        </w:tc>
        <w:tc>
          <w:tcPr>
            <w:tcW w:w="1854" w:type="pct"/>
            <w:tcBorders>
              <w:bottom w:val="single" w:color="auto" w:sz="4" w:space="0"/>
            </w:tcBorders>
            <w:vAlign w:val="center"/>
          </w:tcPr>
          <w:p w14:paraId="4F4E5EC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通过分包措施预留部分采购份额面向中小企业采购且投标人因落实政府采购政策拟进行分包的。</w:t>
            </w:r>
          </w:p>
        </w:tc>
        <w:tc>
          <w:tcPr>
            <w:tcW w:w="1921" w:type="pct"/>
            <w:tcBorders>
              <w:bottom w:val="single" w:color="auto" w:sz="4" w:space="0"/>
            </w:tcBorders>
            <w:vAlign w:val="center"/>
          </w:tcPr>
          <w:p w14:paraId="7C1DBB3B">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0212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309" w:type="pct"/>
            <w:tcBorders>
              <w:bottom w:val="single" w:color="auto" w:sz="4" w:space="0"/>
            </w:tcBorders>
            <w:vAlign w:val="center"/>
          </w:tcPr>
          <w:p w14:paraId="06304DDB">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w:t>
            </w:r>
          </w:p>
        </w:tc>
        <w:tc>
          <w:tcPr>
            <w:tcW w:w="913" w:type="pct"/>
            <w:tcBorders>
              <w:bottom w:val="single" w:color="auto" w:sz="4" w:space="0"/>
            </w:tcBorders>
            <w:vAlign w:val="center"/>
          </w:tcPr>
          <w:p w14:paraId="544CE6D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1854" w:type="pct"/>
            <w:tcBorders>
              <w:bottom w:val="single" w:color="auto" w:sz="4" w:space="0"/>
            </w:tcBorders>
            <w:vAlign w:val="center"/>
          </w:tcPr>
          <w:p w14:paraId="0B67138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如有，见第一章《</w:t>
            </w:r>
            <w:r>
              <w:rPr>
                <w:rFonts w:hint="eastAsia" w:ascii="宋体" w:hAnsi="宋体" w:eastAsia="宋体" w:cs="宋体"/>
                <w:color w:val="auto"/>
                <w:spacing w:val="-2"/>
                <w:sz w:val="24"/>
                <w:szCs w:val="24"/>
                <w:highlight w:val="none"/>
                <w:lang w:eastAsia="zh-CN"/>
              </w:rPr>
              <w:t>投标邀请</w:t>
            </w:r>
            <w:r>
              <w:rPr>
                <w:rFonts w:hint="eastAsia" w:ascii="宋体" w:hAnsi="宋体" w:eastAsia="宋体" w:cs="宋体"/>
                <w:color w:val="auto"/>
                <w:spacing w:val="-2"/>
                <w:sz w:val="24"/>
                <w:szCs w:val="24"/>
                <w:highlight w:val="none"/>
              </w:rPr>
              <w:t>》</w:t>
            </w:r>
          </w:p>
        </w:tc>
        <w:tc>
          <w:tcPr>
            <w:tcW w:w="1921" w:type="pct"/>
            <w:tcBorders>
              <w:bottom w:val="single" w:color="auto" w:sz="4" w:space="0"/>
            </w:tcBorders>
            <w:vAlign w:val="center"/>
          </w:tcPr>
          <w:p w14:paraId="0B42D6B7">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2C11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jc w:val="center"/>
        </w:trPr>
        <w:tc>
          <w:tcPr>
            <w:tcW w:w="309" w:type="pct"/>
            <w:tcBorders>
              <w:bottom w:val="single" w:color="auto" w:sz="4" w:space="0"/>
            </w:tcBorders>
            <w:vAlign w:val="center"/>
          </w:tcPr>
          <w:p w14:paraId="500DC1F0">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p>
        </w:tc>
        <w:tc>
          <w:tcPr>
            <w:tcW w:w="913" w:type="pct"/>
            <w:tcBorders>
              <w:bottom w:val="single" w:color="auto" w:sz="4" w:space="0"/>
            </w:tcBorders>
            <w:vAlign w:val="center"/>
          </w:tcPr>
          <w:p w14:paraId="47215DF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eastAsia="zh-CN"/>
              </w:rPr>
            </w:pPr>
            <w:r>
              <w:rPr>
                <w:rFonts w:hint="eastAsia" w:ascii="宋体" w:hAnsi="宋体" w:eastAsia="宋体" w:cs="宋体"/>
                <w:color w:val="auto"/>
                <w:spacing w:val="10"/>
                <w:sz w:val="24"/>
                <w:szCs w:val="24"/>
                <w:highlight w:val="none"/>
              </w:rPr>
              <w:t>本项目对于联合</w:t>
            </w:r>
            <w:r>
              <w:rPr>
                <w:rFonts w:hint="eastAsia" w:ascii="宋体" w:hAnsi="宋体" w:eastAsia="宋体" w:cs="宋体"/>
                <w:color w:val="auto"/>
                <w:spacing w:val="-2"/>
                <w:sz w:val="24"/>
                <w:szCs w:val="24"/>
                <w:highlight w:val="none"/>
              </w:rPr>
              <w:t>体的要求</w:t>
            </w:r>
            <w:r>
              <w:rPr>
                <w:rFonts w:hint="eastAsia" w:ascii="宋体" w:hAnsi="宋体" w:eastAsia="宋体" w:cs="宋体"/>
                <w:color w:val="auto"/>
                <w:spacing w:val="-2"/>
                <w:sz w:val="24"/>
                <w:szCs w:val="24"/>
                <w:highlight w:val="none"/>
                <w:lang w:eastAsia="zh-CN"/>
              </w:rPr>
              <w:t>（</w:t>
            </w:r>
            <w:r>
              <w:rPr>
                <w:rFonts w:hint="eastAsia" w:ascii="宋体" w:hAnsi="宋体" w:eastAsia="宋体" w:cs="宋体"/>
                <w:i/>
                <w:iCs/>
                <w:color w:val="auto"/>
                <w:spacing w:val="-2"/>
                <w:sz w:val="24"/>
                <w:szCs w:val="24"/>
                <w:highlight w:val="none"/>
                <w:lang w:val="en-US" w:eastAsia="zh-CN"/>
              </w:rPr>
              <w:t>适用于接受联合体投标项目</w:t>
            </w:r>
            <w:r>
              <w:rPr>
                <w:rFonts w:hint="eastAsia" w:ascii="宋体" w:hAnsi="宋体" w:eastAsia="宋体" w:cs="宋体"/>
                <w:color w:val="auto"/>
                <w:spacing w:val="-2"/>
                <w:sz w:val="24"/>
                <w:szCs w:val="24"/>
                <w:highlight w:val="none"/>
                <w:lang w:eastAsia="zh-CN"/>
              </w:rPr>
              <w:t>）</w:t>
            </w:r>
          </w:p>
        </w:tc>
        <w:tc>
          <w:tcPr>
            <w:tcW w:w="1854" w:type="pct"/>
            <w:tcBorders>
              <w:bottom w:val="single" w:color="auto" w:sz="4" w:space="0"/>
            </w:tcBorders>
            <w:vAlign w:val="center"/>
          </w:tcPr>
          <w:p w14:paraId="75EA232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val="en-US" w:eastAsia="zh-CN"/>
              </w:rPr>
              <w:t>联合体投标的</w:t>
            </w:r>
            <w:r>
              <w:rPr>
                <w:rFonts w:hint="eastAsia" w:ascii="宋体" w:hAnsi="宋体" w:eastAsia="宋体" w:cs="宋体"/>
                <w:color w:val="auto"/>
                <w:spacing w:val="10"/>
                <w:kern w:val="2"/>
                <w:sz w:val="24"/>
                <w:szCs w:val="24"/>
                <w:highlight w:val="none"/>
                <w:lang w:val="en-US" w:eastAsia="zh-CN" w:bidi="ar-SA"/>
              </w:rPr>
              <w:t>详见</w:t>
            </w:r>
            <w:r>
              <w:rPr>
                <w:rFonts w:hint="eastAsia" w:ascii="宋体" w:hAnsi="宋体" w:eastAsia="宋体" w:cs="宋体"/>
                <w:color w:val="auto"/>
                <w:sz w:val="24"/>
                <w:szCs w:val="24"/>
                <w:highlight w:val="none"/>
                <w:lang w:val="zh-CN" w:eastAsia="zh-CN"/>
              </w:rPr>
              <w:t>投标人须知正文第</w:t>
            </w:r>
            <w:r>
              <w:rPr>
                <w:rFonts w:hint="eastAsia" w:ascii="宋体" w:hAnsi="宋体" w:eastAsia="宋体" w:cs="宋体"/>
                <w:color w:val="auto"/>
                <w:sz w:val="24"/>
                <w:szCs w:val="24"/>
                <w:highlight w:val="none"/>
                <w:lang w:val="en-US" w:eastAsia="zh-CN"/>
              </w:rPr>
              <w:t>1.5，且</w:t>
            </w:r>
            <w:r>
              <w:rPr>
                <w:rFonts w:hint="eastAsia" w:ascii="宋体" w:hAnsi="宋体" w:eastAsia="宋体" w:cs="宋体"/>
                <w:color w:val="auto"/>
                <w:spacing w:val="10"/>
                <w:kern w:val="2"/>
                <w:sz w:val="24"/>
                <w:szCs w:val="24"/>
                <w:highlight w:val="none"/>
                <w:lang w:val="en-US" w:eastAsia="zh-CN" w:bidi="ar-SA"/>
              </w:rPr>
              <w:t>提供《联合协议》。</w:t>
            </w:r>
          </w:p>
        </w:tc>
        <w:tc>
          <w:tcPr>
            <w:tcW w:w="1921" w:type="pct"/>
            <w:tcBorders>
              <w:bottom w:val="single" w:color="auto" w:sz="4" w:space="0"/>
            </w:tcBorders>
            <w:vAlign w:val="center"/>
          </w:tcPr>
          <w:p w14:paraId="4B0DDE84">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0"/>
                <w:kern w:val="2"/>
                <w:sz w:val="24"/>
                <w:szCs w:val="24"/>
                <w:highlight w:val="none"/>
                <w:lang w:val="en-US" w:eastAsia="zh-CN" w:bidi="ar-SA"/>
              </w:rPr>
              <w:t>《联合协议》</w:t>
            </w: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A5A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vAlign w:val="center"/>
          </w:tcPr>
          <w:p w14:paraId="69FB035A">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8</w:t>
            </w:r>
          </w:p>
        </w:tc>
        <w:tc>
          <w:tcPr>
            <w:tcW w:w="913" w:type="pct"/>
            <w:vAlign w:val="center"/>
          </w:tcPr>
          <w:p w14:paraId="37D7F10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rPr>
              <w:t>其他特定资格要求</w:t>
            </w:r>
          </w:p>
        </w:tc>
        <w:tc>
          <w:tcPr>
            <w:tcW w:w="1854" w:type="pct"/>
            <w:vAlign w:val="center"/>
          </w:tcPr>
          <w:p w14:paraId="7F713F9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eastAsia="zh-CN"/>
              </w:rPr>
              <w:t>投标邀请</w:t>
            </w:r>
            <w:r>
              <w:rPr>
                <w:rFonts w:hint="eastAsia" w:ascii="宋体" w:hAnsi="宋体" w:eastAsia="宋体" w:cs="宋体"/>
                <w:color w:val="auto"/>
                <w:spacing w:val="10"/>
                <w:sz w:val="24"/>
                <w:szCs w:val="24"/>
                <w:highlight w:val="none"/>
              </w:rPr>
              <w:t>》</w:t>
            </w:r>
          </w:p>
        </w:tc>
        <w:tc>
          <w:tcPr>
            <w:tcW w:w="1921" w:type="pct"/>
            <w:vAlign w:val="center"/>
          </w:tcPr>
          <w:p w14:paraId="6AFC069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52E86C6C">
      <w:pPr>
        <w:spacing w:line="360" w:lineRule="auto"/>
        <w:ind w:firstLine="435"/>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资格审查指标通过标准：</w:t>
      </w:r>
      <w:r>
        <w:rPr>
          <w:rFonts w:hint="eastAsia" w:ascii="宋体" w:hAnsi="宋体" w:eastAsia="宋体" w:cs="宋体"/>
          <w:color w:val="auto"/>
          <w:sz w:val="24"/>
          <w:highlight w:val="none"/>
        </w:rPr>
        <w:t>投标人必须通过资格审查表中的全部评审指标。</w:t>
      </w:r>
    </w:p>
    <w:p w14:paraId="69A57904">
      <w:pPr>
        <w:spacing w:line="360" w:lineRule="auto"/>
        <w:ind w:firstLine="437"/>
        <w:outlineLvl w:val="2"/>
        <w:rPr>
          <w:rFonts w:hint="eastAsia" w:ascii="宋体" w:hAnsi="宋体" w:eastAsia="宋体" w:cs="宋体"/>
          <w:b/>
          <w:bCs/>
          <w:color w:val="auto"/>
          <w:sz w:val="24"/>
          <w:highlight w:val="none"/>
        </w:rPr>
      </w:pPr>
    </w:p>
    <w:p w14:paraId="7CAA368B">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2.2符合性审查</w:t>
      </w:r>
    </w:p>
    <w:p w14:paraId="1F4F1A9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评标委员会对通过资格审查的投标人的投标文件进行符合性审查，以确定其是否满足招标文件的实质性要求。符合性审查表如下：</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079"/>
        <w:gridCol w:w="3455"/>
        <w:gridCol w:w="2937"/>
      </w:tblGrid>
      <w:tr w14:paraId="4A6B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4" w:hRule="atLeast"/>
          <w:jc w:val="center"/>
        </w:trPr>
        <w:tc>
          <w:tcPr>
            <w:tcW w:w="5000" w:type="pct"/>
            <w:gridSpan w:val="4"/>
            <w:tcBorders>
              <w:bottom w:val="single" w:color="auto" w:sz="4" w:space="0"/>
            </w:tcBorders>
            <w:vAlign w:val="center"/>
          </w:tcPr>
          <w:p w14:paraId="50F59CE4">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符合性审查表</w:t>
            </w:r>
          </w:p>
        </w:tc>
      </w:tr>
      <w:tr w14:paraId="7E31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40" w:type="pct"/>
            <w:tcBorders>
              <w:bottom w:val="single" w:color="auto" w:sz="4" w:space="0"/>
            </w:tcBorders>
            <w:vAlign w:val="center"/>
          </w:tcPr>
          <w:p w14:paraId="33E65234">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序号</w:t>
            </w:r>
          </w:p>
        </w:tc>
        <w:tc>
          <w:tcPr>
            <w:tcW w:w="1119" w:type="pct"/>
            <w:tcBorders>
              <w:bottom w:val="single" w:color="auto" w:sz="4" w:space="0"/>
            </w:tcBorders>
            <w:vAlign w:val="center"/>
          </w:tcPr>
          <w:p w14:paraId="30A5E31E">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b/>
                <w:bCs/>
                <w:color w:val="auto"/>
                <w:kern w:val="2"/>
                <w:sz w:val="24"/>
                <w:szCs w:val="20"/>
                <w:highlight w:val="none"/>
                <w:lang w:val="en-US" w:eastAsia="zh-CN" w:bidi="ar-SA"/>
              </w:rPr>
            </w:pPr>
            <w:r>
              <w:rPr>
                <w:rFonts w:hint="eastAsia" w:ascii="宋体" w:hAnsi="宋体" w:eastAsia="宋体" w:cs="宋体"/>
                <w:b/>
                <w:bCs/>
                <w:color w:val="auto"/>
                <w:kern w:val="2"/>
                <w:sz w:val="24"/>
                <w:szCs w:val="20"/>
                <w:highlight w:val="none"/>
                <w:lang w:val="en-US" w:eastAsia="zh-CN" w:bidi="ar-SA"/>
              </w:rPr>
              <w:t>审查指标</w:t>
            </w:r>
          </w:p>
        </w:tc>
        <w:tc>
          <w:tcPr>
            <w:tcW w:w="1860" w:type="pct"/>
            <w:tcBorders>
              <w:bottom w:val="single" w:color="auto" w:sz="4" w:space="0"/>
            </w:tcBorders>
            <w:vAlign w:val="center"/>
          </w:tcPr>
          <w:p w14:paraId="16A58191">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kern w:val="2"/>
                <w:sz w:val="24"/>
                <w:szCs w:val="20"/>
                <w:highlight w:val="none"/>
                <w:lang w:val="en-US" w:eastAsia="zh-CN" w:bidi="ar-SA"/>
              </w:rPr>
            </w:pPr>
            <w:r>
              <w:rPr>
                <w:rFonts w:hint="eastAsia" w:ascii="宋体" w:hAnsi="宋体" w:eastAsia="宋体" w:cs="宋体"/>
                <w:b/>
                <w:bCs/>
                <w:color w:val="auto"/>
                <w:kern w:val="2"/>
                <w:sz w:val="24"/>
                <w:szCs w:val="20"/>
                <w:highlight w:val="none"/>
                <w:lang w:val="en-US" w:eastAsia="zh-CN" w:bidi="ar-SA"/>
              </w:rPr>
              <w:t>审查标准</w:t>
            </w:r>
          </w:p>
        </w:tc>
        <w:tc>
          <w:tcPr>
            <w:tcW w:w="1578" w:type="pct"/>
            <w:tcBorders>
              <w:bottom w:val="single" w:color="auto" w:sz="4" w:space="0"/>
            </w:tcBorders>
            <w:vAlign w:val="center"/>
          </w:tcPr>
          <w:p w14:paraId="690CE15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格式要求</w:t>
            </w:r>
          </w:p>
        </w:tc>
      </w:tr>
      <w:tr w14:paraId="2D71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5EB24518">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19" w:type="pct"/>
            <w:vAlign w:val="center"/>
          </w:tcPr>
          <w:p w14:paraId="47F12C71">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开标一览表</w:t>
            </w:r>
          </w:p>
        </w:tc>
        <w:tc>
          <w:tcPr>
            <w:tcW w:w="1860" w:type="pct"/>
            <w:vAlign w:val="center"/>
          </w:tcPr>
          <w:p w14:paraId="34F75B0F">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578" w:type="pct"/>
            <w:vAlign w:val="center"/>
          </w:tcPr>
          <w:p w14:paraId="4B9074F8">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331A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19FF4B7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19" w:type="pct"/>
            <w:vAlign w:val="center"/>
          </w:tcPr>
          <w:p w14:paraId="162861E7">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投标函</w:t>
            </w:r>
          </w:p>
        </w:tc>
        <w:tc>
          <w:tcPr>
            <w:tcW w:w="1860" w:type="pct"/>
            <w:vAlign w:val="center"/>
          </w:tcPr>
          <w:p w14:paraId="250B96F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578" w:type="pct"/>
            <w:vAlign w:val="center"/>
          </w:tcPr>
          <w:p w14:paraId="12AD49C3">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24B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23939416">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19" w:type="pct"/>
            <w:vAlign w:val="center"/>
          </w:tcPr>
          <w:p w14:paraId="3063B12D">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授权书</w:t>
            </w:r>
          </w:p>
        </w:tc>
        <w:tc>
          <w:tcPr>
            <w:tcW w:w="1860" w:type="pct"/>
            <w:vAlign w:val="center"/>
          </w:tcPr>
          <w:p w14:paraId="6ADCF7B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578" w:type="pct"/>
            <w:vAlign w:val="center"/>
          </w:tcPr>
          <w:p w14:paraId="46E85480">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法定代表人参加投标的无需此件，提供身份证明即可。详见第六章投标文件格式</w:t>
            </w:r>
            <w:r>
              <w:rPr>
                <w:rFonts w:hint="eastAsia" w:ascii="宋体" w:hAnsi="宋体" w:eastAsia="宋体" w:cs="宋体"/>
                <w:color w:val="auto"/>
                <w:sz w:val="24"/>
                <w:highlight w:val="none"/>
                <w:lang w:eastAsia="zh-CN"/>
              </w:rPr>
              <w:t>。</w:t>
            </w:r>
          </w:p>
        </w:tc>
      </w:tr>
      <w:tr w14:paraId="1E6D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606B608C">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119" w:type="pct"/>
            <w:vAlign w:val="center"/>
          </w:tcPr>
          <w:p w14:paraId="0EF076FA">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投标报价</w:t>
            </w:r>
          </w:p>
        </w:tc>
        <w:tc>
          <w:tcPr>
            <w:tcW w:w="1860" w:type="pct"/>
            <w:vAlign w:val="center"/>
          </w:tcPr>
          <w:p w14:paraId="1DBA1AF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highlight w:val="none"/>
              </w:rPr>
              <w:t>招标文件投标人须知正文第</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条要求</w:t>
            </w:r>
          </w:p>
        </w:tc>
        <w:tc>
          <w:tcPr>
            <w:tcW w:w="1578" w:type="pct"/>
            <w:vAlign w:val="center"/>
          </w:tcPr>
          <w:p w14:paraId="538079D6">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4615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3353154C">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1119" w:type="pct"/>
            <w:vAlign w:val="center"/>
          </w:tcPr>
          <w:p w14:paraId="549CC088">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商务响应情况</w:t>
            </w:r>
          </w:p>
        </w:tc>
        <w:tc>
          <w:tcPr>
            <w:tcW w:w="1860" w:type="pct"/>
            <w:vAlign w:val="center"/>
          </w:tcPr>
          <w:p w14:paraId="4FEE0B9B">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符合招标文件采购需求中对付款方式、</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地点、</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期限</w:t>
            </w:r>
            <w:r>
              <w:rPr>
                <w:rFonts w:hint="eastAsia" w:ascii="宋体" w:hAnsi="宋体" w:eastAsia="宋体" w:cs="宋体"/>
                <w:color w:val="auto"/>
                <w:sz w:val="24"/>
                <w:szCs w:val="28"/>
                <w:highlight w:val="none"/>
                <w:lang w:val="en-US" w:eastAsia="zh-CN"/>
              </w:rPr>
              <w:t>等实质性</w:t>
            </w:r>
            <w:r>
              <w:rPr>
                <w:rFonts w:hint="eastAsia" w:ascii="宋体" w:hAnsi="宋体" w:eastAsia="宋体" w:cs="宋体"/>
                <w:color w:val="auto"/>
                <w:sz w:val="24"/>
                <w:szCs w:val="28"/>
                <w:highlight w:val="none"/>
              </w:rPr>
              <w:t>要求</w:t>
            </w:r>
          </w:p>
        </w:tc>
        <w:tc>
          <w:tcPr>
            <w:tcW w:w="1578" w:type="pct"/>
            <w:vAlign w:val="center"/>
          </w:tcPr>
          <w:p w14:paraId="446972EF">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560E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4925F4CF">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p>
        </w:tc>
        <w:tc>
          <w:tcPr>
            <w:tcW w:w="1119" w:type="pct"/>
            <w:vAlign w:val="center"/>
          </w:tcPr>
          <w:p w14:paraId="2C374A3D">
            <w:pPr>
              <w:keepNext w:val="0"/>
              <w:keepLines w:val="0"/>
              <w:pageBreakBefore w:val="0"/>
              <w:widowControl w:val="0"/>
              <w:kinsoku/>
              <w:wordWrap/>
              <w:overflowPunct/>
              <w:topLinePunct w:val="0"/>
              <w:autoSpaceDE/>
              <w:autoSpaceDN/>
              <w:bidi w:val="0"/>
              <w:spacing w:line="360" w:lineRule="exact"/>
              <w:ind w:right="0"/>
              <w:jc w:val="center"/>
              <w:textAlignment w:val="auto"/>
              <w:outlineLvl w:val="2"/>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技术</w:t>
            </w:r>
            <w:r>
              <w:rPr>
                <w:rFonts w:hint="eastAsia" w:ascii="宋体" w:hAnsi="宋体" w:eastAsia="宋体" w:cs="宋体"/>
                <w:color w:val="auto"/>
                <w:sz w:val="24"/>
                <w:szCs w:val="28"/>
                <w:highlight w:val="none"/>
              </w:rPr>
              <w:t>响应情况</w:t>
            </w:r>
          </w:p>
        </w:tc>
        <w:tc>
          <w:tcPr>
            <w:tcW w:w="1860" w:type="pct"/>
            <w:vAlign w:val="center"/>
          </w:tcPr>
          <w:p w14:paraId="33EBD4F4">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w:t>
            </w:r>
            <w:r>
              <w:rPr>
                <w:rFonts w:hint="eastAsia" w:ascii="宋体" w:hAnsi="宋体" w:eastAsia="宋体" w:cs="宋体"/>
                <w:color w:val="auto"/>
                <w:sz w:val="24"/>
                <w:szCs w:val="28"/>
                <w:highlight w:val="none"/>
                <w:lang w:val="en-US" w:eastAsia="zh-CN"/>
              </w:rPr>
              <w:t>实质性响应技术参数</w:t>
            </w:r>
            <w:r>
              <w:rPr>
                <w:rFonts w:hint="eastAsia" w:ascii="宋体" w:hAnsi="宋体" w:eastAsia="宋体" w:cs="宋体"/>
                <w:color w:val="auto"/>
                <w:sz w:val="24"/>
                <w:szCs w:val="28"/>
                <w:highlight w:val="none"/>
              </w:rPr>
              <w:t>要求</w:t>
            </w:r>
          </w:p>
        </w:tc>
        <w:tc>
          <w:tcPr>
            <w:tcW w:w="1578" w:type="pct"/>
            <w:vAlign w:val="center"/>
          </w:tcPr>
          <w:p w14:paraId="280E1B30">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36CA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35A3ED32">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p>
        </w:tc>
        <w:tc>
          <w:tcPr>
            <w:tcW w:w="1119" w:type="pct"/>
            <w:shd w:val="clear" w:color="auto" w:fill="auto"/>
            <w:vAlign w:val="center"/>
          </w:tcPr>
          <w:p w14:paraId="6AA5D10D">
            <w:pPr>
              <w:pStyle w:val="13"/>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宋体" w:hAnsi="宋体" w:eastAsia="宋体" w:cs="宋体"/>
                <w:color w:val="auto"/>
                <w:spacing w:val="-1"/>
                <w:sz w:val="24"/>
                <w:szCs w:val="24"/>
                <w:highlight w:val="none"/>
                <w:u w:val="none"/>
                <w:lang w:val="en-US" w:eastAsia="zh-CN"/>
              </w:rPr>
            </w:pPr>
            <w:r>
              <w:rPr>
                <w:rFonts w:hint="eastAsia" w:ascii="宋体" w:hAnsi="宋体" w:eastAsia="宋体" w:cs="宋体"/>
                <w:color w:val="auto"/>
                <w:spacing w:val="-1"/>
                <w:sz w:val="24"/>
                <w:szCs w:val="24"/>
                <w:highlight w:val="none"/>
                <w:u w:val="none"/>
              </w:rPr>
              <w:t>其他要求</w:t>
            </w:r>
          </w:p>
        </w:tc>
        <w:tc>
          <w:tcPr>
            <w:tcW w:w="1860" w:type="pct"/>
            <w:shd w:val="clear" w:color="auto" w:fill="auto"/>
            <w:vAlign w:val="center"/>
          </w:tcPr>
          <w:p w14:paraId="35A162C8">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z w:val="24"/>
                <w:szCs w:val="28"/>
                <w:highlight w:val="none"/>
              </w:rPr>
              <w:t>符合法律、行政法规规定的其他条件或招标文件列明的其他</w:t>
            </w:r>
            <w:r>
              <w:rPr>
                <w:rFonts w:hint="eastAsia" w:ascii="宋体" w:hAnsi="宋体" w:eastAsia="宋体" w:cs="宋体"/>
                <w:color w:val="auto"/>
                <w:sz w:val="24"/>
                <w:szCs w:val="28"/>
                <w:highlight w:val="none"/>
                <w:lang w:val="en-US" w:eastAsia="zh-CN"/>
              </w:rPr>
              <w:t>实质性</w:t>
            </w:r>
            <w:r>
              <w:rPr>
                <w:rFonts w:hint="eastAsia" w:ascii="宋体" w:hAnsi="宋体" w:eastAsia="宋体" w:cs="宋体"/>
                <w:color w:val="auto"/>
                <w:sz w:val="24"/>
                <w:szCs w:val="28"/>
                <w:highlight w:val="none"/>
              </w:rPr>
              <w:t>要求</w:t>
            </w:r>
          </w:p>
        </w:tc>
        <w:tc>
          <w:tcPr>
            <w:tcW w:w="1578" w:type="pct"/>
            <w:vAlign w:val="center"/>
          </w:tcPr>
          <w:p w14:paraId="2659243A">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rPr>
            </w:pPr>
          </w:p>
        </w:tc>
      </w:tr>
    </w:tbl>
    <w:p w14:paraId="00CF66A2">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符合性审查指标通过标准：</w:t>
      </w:r>
      <w:r>
        <w:rPr>
          <w:rFonts w:hint="eastAsia" w:ascii="宋体" w:hAnsi="宋体" w:eastAsia="宋体" w:cs="宋体"/>
          <w:color w:val="auto"/>
          <w:sz w:val="24"/>
          <w:highlight w:val="none"/>
        </w:rPr>
        <w:t>投标人必须通过符合性审查表中的全部评审指标。</w:t>
      </w:r>
    </w:p>
    <w:p w14:paraId="22C54164">
      <w:pPr>
        <w:spacing w:line="360" w:lineRule="auto"/>
        <w:ind w:firstLine="437"/>
        <w:outlineLvl w:val="2"/>
        <w:rPr>
          <w:rFonts w:hint="eastAsia" w:ascii="宋体" w:hAnsi="宋体" w:eastAsia="宋体" w:cs="宋体"/>
          <w:color w:val="auto"/>
          <w:sz w:val="24"/>
          <w:highlight w:val="none"/>
        </w:rPr>
      </w:pPr>
    </w:p>
    <w:p w14:paraId="28DC41FE">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2.3详细审查</w:t>
      </w:r>
    </w:p>
    <w:p w14:paraId="249C12E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2.3.1评标委员会按照下表对投标文件进行详细审查和评分。</w:t>
      </w:r>
    </w:p>
    <w:p w14:paraId="30165E0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2.3.2本项目综合评分满分为100分，其中：技术资信分值占总分值的权重为</w:t>
      </w:r>
      <w:r>
        <w:rPr>
          <w:rFonts w:hint="eastAsia" w:ascii="宋体" w:hAnsi="宋体" w:eastAsia="宋体" w:cs="宋体"/>
          <w:color w:val="auto"/>
          <w:sz w:val="24"/>
          <w:highlight w:val="none"/>
          <w:u w:val="single"/>
          <w:lang w:val="en-US" w:eastAsia="zh-CN"/>
        </w:rPr>
        <w:t>90</w:t>
      </w:r>
      <w:r>
        <w:rPr>
          <w:rFonts w:hint="eastAsia" w:ascii="宋体" w:hAnsi="宋体" w:eastAsia="宋体" w:cs="宋体"/>
          <w:color w:val="auto"/>
          <w:sz w:val="24"/>
          <w:highlight w:val="none"/>
        </w:rPr>
        <w:t>%，价格分值占总分值的权重为</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%。具体评分细则如下：</w:t>
      </w:r>
    </w:p>
    <w:tbl>
      <w:tblPr>
        <w:tblStyle w:val="7"/>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1430"/>
        <w:gridCol w:w="1532"/>
        <w:gridCol w:w="5151"/>
        <w:gridCol w:w="1206"/>
      </w:tblGrid>
      <w:tr w14:paraId="0701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2" w:hRule="atLeast"/>
          <w:jc w:val="center"/>
        </w:trPr>
        <w:tc>
          <w:tcPr>
            <w:tcW w:w="767" w:type="pct"/>
            <w:tcBorders>
              <w:top w:val="single" w:color="auto" w:sz="4" w:space="0"/>
              <w:left w:val="single" w:color="auto" w:sz="4" w:space="0"/>
              <w:bottom w:val="single" w:color="auto" w:sz="4" w:space="0"/>
              <w:right w:val="single" w:color="auto" w:sz="4" w:space="0"/>
            </w:tcBorders>
            <w:vAlign w:val="center"/>
          </w:tcPr>
          <w:p w14:paraId="5CBA876A">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类别</w:t>
            </w:r>
          </w:p>
        </w:tc>
        <w:tc>
          <w:tcPr>
            <w:tcW w:w="822" w:type="pct"/>
            <w:tcBorders>
              <w:top w:val="single" w:color="auto" w:sz="4" w:space="0"/>
              <w:left w:val="single" w:color="auto" w:sz="4" w:space="0"/>
              <w:bottom w:val="single" w:color="auto" w:sz="4" w:space="0"/>
              <w:right w:val="single" w:color="auto" w:sz="4" w:space="0"/>
            </w:tcBorders>
            <w:vAlign w:val="center"/>
          </w:tcPr>
          <w:p w14:paraId="56059DE4">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评分内容</w:t>
            </w:r>
          </w:p>
        </w:tc>
        <w:tc>
          <w:tcPr>
            <w:tcW w:w="2763" w:type="pct"/>
            <w:tcBorders>
              <w:top w:val="single" w:color="auto" w:sz="4" w:space="0"/>
              <w:left w:val="single" w:color="auto" w:sz="4" w:space="0"/>
              <w:bottom w:val="single" w:color="auto" w:sz="4" w:space="0"/>
              <w:right w:val="single" w:color="auto" w:sz="4" w:space="0"/>
            </w:tcBorders>
            <w:vAlign w:val="center"/>
          </w:tcPr>
          <w:p w14:paraId="606175DE">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评分标准</w:t>
            </w:r>
          </w:p>
        </w:tc>
        <w:tc>
          <w:tcPr>
            <w:tcW w:w="647" w:type="pct"/>
            <w:tcBorders>
              <w:top w:val="single" w:color="auto" w:sz="4" w:space="0"/>
              <w:left w:val="single" w:color="auto" w:sz="4" w:space="0"/>
              <w:bottom w:val="single" w:color="auto" w:sz="4" w:space="0"/>
              <w:right w:val="single" w:color="auto" w:sz="4" w:space="0"/>
            </w:tcBorders>
            <w:vAlign w:val="center"/>
          </w:tcPr>
          <w:p w14:paraId="518551C4">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分值范围</w:t>
            </w:r>
          </w:p>
        </w:tc>
      </w:tr>
      <w:tr w14:paraId="4390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restart"/>
            <w:tcBorders>
              <w:top w:val="single" w:color="auto" w:sz="4" w:space="0"/>
              <w:left w:val="single" w:color="auto" w:sz="4" w:space="0"/>
              <w:right w:val="single" w:color="auto" w:sz="4" w:space="0"/>
            </w:tcBorders>
            <w:vAlign w:val="center"/>
          </w:tcPr>
          <w:p w14:paraId="317575EC">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技术资信分</w:t>
            </w:r>
          </w:p>
          <w:p w14:paraId="483924D4">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90</w:t>
            </w:r>
            <w:r>
              <w:rPr>
                <w:rFonts w:hint="eastAsia" w:ascii="宋体" w:hAnsi="宋体" w:eastAsia="宋体" w:cs="宋体"/>
                <w:color w:val="auto"/>
                <w:sz w:val="24"/>
                <w:highlight w:val="none"/>
              </w:rPr>
              <w:t>分）</w:t>
            </w:r>
          </w:p>
        </w:tc>
        <w:tc>
          <w:tcPr>
            <w:tcW w:w="1533" w:type="dxa"/>
            <w:tcBorders>
              <w:top w:val="single" w:color="auto" w:sz="4" w:space="0"/>
              <w:left w:val="single" w:color="auto" w:sz="4" w:space="0"/>
              <w:bottom w:val="single" w:color="auto" w:sz="4" w:space="0"/>
              <w:right w:val="single" w:color="auto" w:sz="4" w:space="0"/>
            </w:tcBorders>
            <w:vAlign w:val="center"/>
          </w:tcPr>
          <w:p w14:paraId="053E6B20">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体系认证</w:t>
            </w:r>
          </w:p>
        </w:tc>
        <w:tc>
          <w:tcPr>
            <w:tcW w:w="5151" w:type="dxa"/>
            <w:tcBorders>
              <w:top w:val="single" w:color="auto" w:sz="4" w:space="0"/>
              <w:left w:val="single" w:color="auto" w:sz="4" w:space="0"/>
              <w:bottom w:val="single" w:color="auto" w:sz="4" w:space="0"/>
              <w:right w:val="single" w:color="auto" w:sz="4" w:space="0"/>
            </w:tcBorders>
            <w:vAlign w:val="top"/>
          </w:tcPr>
          <w:p w14:paraId="3F6598FD">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供应商具有经中国国家认证认可监督管理委员会认证机构颁发且在有效期内的：</w:t>
            </w:r>
          </w:p>
          <w:p w14:paraId="153513C1">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（1）质量管理体系认证，得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p>
          <w:p w14:paraId="47061221">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（2）环境管理体系认证，得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 xml:space="preserve"> 分；</w:t>
            </w:r>
          </w:p>
          <w:p w14:paraId="3CA587B1">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（3）职业健康安全管理体系认证，得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r>
              <w:rPr>
                <w:rFonts w:hint="eastAsia" w:ascii="宋体" w:hAnsi="宋体" w:eastAsia="宋体" w:cs="宋体"/>
                <w:color w:val="auto"/>
                <w:sz w:val="24"/>
                <w:highlight w:val="none"/>
                <w:lang w:eastAsia="zh-CN"/>
              </w:rPr>
              <w:t>；</w:t>
            </w:r>
          </w:p>
          <w:p w14:paraId="6C866715">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）信息安全管理体系认证证书</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r>
              <w:rPr>
                <w:rFonts w:hint="eastAsia" w:ascii="宋体" w:hAnsi="宋体" w:eastAsia="宋体" w:cs="宋体"/>
                <w:color w:val="auto"/>
                <w:sz w:val="24"/>
                <w:highlight w:val="none"/>
                <w:lang w:eastAsia="zh-CN"/>
              </w:rPr>
              <w:t>；</w:t>
            </w:r>
          </w:p>
          <w:p w14:paraId="60A10C3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）本项目涉及大量的化验测试，供应商具有检验检测机构资质认定证书的可得2分。</w:t>
            </w:r>
          </w:p>
          <w:p w14:paraId="3996D1F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r>
              <w:rPr>
                <w:rFonts w:hint="eastAsia" w:ascii="宋体" w:hAnsi="宋体" w:eastAsia="宋体" w:cs="宋体"/>
                <w:color w:val="auto"/>
                <w:sz w:val="24"/>
                <w:highlight w:val="none"/>
                <w:lang w:val="en-US" w:eastAsia="zh-CN"/>
              </w:rPr>
              <w:t>投标文件</w:t>
            </w:r>
            <w:r>
              <w:rPr>
                <w:rFonts w:hint="eastAsia" w:ascii="宋体" w:hAnsi="宋体" w:eastAsia="宋体" w:cs="宋体"/>
                <w:color w:val="auto"/>
                <w:sz w:val="24"/>
                <w:highlight w:val="none"/>
              </w:rPr>
              <w:t>中提供证书扫描件及全国认证认可信息公共服务平台证书信息查询截图，否则不得分。</w:t>
            </w:r>
          </w:p>
        </w:tc>
        <w:tc>
          <w:tcPr>
            <w:tcW w:w="1206" w:type="dxa"/>
            <w:tcBorders>
              <w:top w:val="single" w:color="auto" w:sz="4" w:space="0"/>
              <w:left w:val="single" w:color="auto" w:sz="4" w:space="0"/>
              <w:bottom w:val="single" w:color="auto" w:sz="4" w:space="0"/>
              <w:right w:val="single" w:color="auto" w:sz="4" w:space="0"/>
            </w:tcBorders>
            <w:vAlign w:val="center"/>
          </w:tcPr>
          <w:p w14:paraId="041BC08C">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val="en-US" w:eastAsia="zh-CN"/>
              </w:rPr>
              <w:t>18</w:t>
            </w:r>
          </w:p>
        </w:tc>
      </w:tr>
      <w:tr w14:paraId="2A43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6D9B9DBF">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1FF2E5A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项目认知</w:t>
            </w:r>
          </w:p>
        </w:tc>
        <w:tc>
          <w:tcPr>
            <w:tcW w:w="5151" w:type="dxa"/>
            <w:tcBorders>
              <w:top w:val="single" w:color="auto" w:sz="4" w:space="0"/>
              <w:left w:val="single" w:color="auto" w:sz="4" w:space="0"/>
              <w:bottom w:val="single" w:color="auto" w:sz="4" w:space="0"/>
              <w:right w:val="single" w:color="auto" w:sz="4" w:space="0"/>
            </w:tcBorders>
            <w:vAlign w:val="center"/>
          </w:tcPr>
          <w:p w14:paraId="6859C289">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评标委员会</w:t>
            </w:r>
            <w:r>
              <w:rPr>
                <w:rFonts w:hint="eastAsia" w:ascii="宋体" w:hAnsi="宋体" w:eastAsia="宋体" w:cs="宋体"/>
                <w:color w:val="auto"/>
                <w:sz w:val="24"/>
                <w:highlight w:val="none"/>
              </w:rPr>
              <w:t>根据供应商提供的方案中针对项目背景、现状分析</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调查区地层、构造、岩浆岩、矿体特征及矿体分布特征、矿石质量及夹石分布情况的体现情况进行</w:t>
            </w:r>
            <w:r>
              <w:rPr>
                <w:rFonts w:hint="eastAsia" w:ascii="宋体" w:hAnsi="宋体" w:eastAsia="宋体" w:cs="宋体"/>
                <w:color w:val="auto"/>
                <w:sz w:val="24"/>
                <w:highlight w:val="none"/>
                <w:lang w:val="en-US" w:eastAsia="zh-CN"/>
              </w:rPr>
              <w:t>评分</w:t>
            </w:r>
            <w:r>
              <w:rPr>
                <w:rFonts w:hint="eastAsia" w:ascii="宋体" w:hAnsi="宋体" w:eastAsia="宋体" w:cs="宋体"/>
                <w:color w:val="auto"/>
                <w:sz w:val="24"/>
                <w:highlight w:val="none"/>
                <w:lang w:eastAsia="zh-CN"/>
              </w:rPr>
              <w:t>。</w:t>
            </w:r>
          </w:p>
          <w:p w14:paraId="03566F83">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①对项目背景、现状分析透彻的，充分了解调查区地层、构造、岩浆岩、矿体特征及矿体分布特征、矿石质量及夹石分布情况的，能准确把握本项目需求的，得5分；</w:t>
            </w:r>
          </w:p>
          <w:p w14:paraId="12B84BB4">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②对项目背景、现状分析基本准确，对调查区地层、构造、岩浆岩、矿体特征及矿体分布特征、矿石质量及夹石分布情况分析有一定了解，基本能理解本项目需求的，得3分；</w:t>
            </w:r>
          </w:p>
          <w:p w14:paraId="4A0080F2">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③对项目背景、现状分析不准确，对调查区地层、构造、岩浆岩、矿体特征及矿体分布特征、矿石质量及夹石分布情况分析了解度不够，对本项目需求理解有待提高的，得1分；</w:t>
            </w:r>
          </w:p>
          <w:p w14:paraId="710176D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④未提供不得分。</w:t>
            </w:r>
          </w:p>
        </w:tc>
        <w:tc>
          <w:tcPr>
            <w:tcW w:w="1206" w:type="dxa"/>
            <w:tcBorders>
              <w:top w:val="single" w:color="auto" w:sz="4" w:space="0"/>
              <w:left w:val="single" w:color="auto" w:sz="4" w:space="0"/>
              <w:bottom w:val="single" w:color="auto" w:sz="4" w:space="0"/>
              <w:right w:val="single" w:color="auto" w:sz="4" w:space="0"/>
            </w:tcBorders>
            <w:vAlign w:val="center"/>
          </w:tcPr>
          <w:p w14:paraId="5529ECC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0-5</w:t>
            </w:r>
          </w:p>
        </w:tc>
      </w:tr>
      <w:tr w14:paraId="4AE7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1550456C">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7A9D8DE1">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技术路线</w:t>
            </w:r>
          </w:p>
        </w:tc>
        <w:tc>
          <w:tcPr>
            <w:tcW w:w="5151" w:type="dxa"/>
            <w:tcBorders>
              <w:top w:val="single" w:color="auto" w:sz="4" w:space="0"/>
              <w:left w:val="single" w:color="auto" w:sz="4" w:space="0"/>
              <w:bottom w:val="single" w:color="auto" w:sz="4" w:space="0"/>
              <w:right w:val="single" w:color="auto" w:sz="4" w:space="0"/>
            </w:tcBorders>
            <w:vAlign w:val="center"/>
          </w:tcPr>
          <w:p w14:paraId="2FBEAC1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目的任务明确，评委根据技术路线、工作开展思路、调查方法、评价方法、适宜本地实际情况、预期成果、实用性等方面进行评分。</w:t>
            </w:r>
          </w:p>
          <w:p w14:paraId="48A98B6D">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①技术路线准确，工作开展思路清晰，调查方法操作性高的，非常适宜本地实际情况；预期成果明确，实用性强的得5分；</w:t>
            </w:r>
          </w:p>
          <w:p w14:paraId="04B742D8">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②技术路线有待完善，工作开展思路基本清晰，调查方法具有一定的操作性的，基本适宜本地实际情况；预期成果基本明确，实用性强的得3分；</w:t>
            </w:r>
          </w:p>
          <w:p w14:paraId="193FFCD5">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③技术路线不够准确，工作开展思路不够清晰，调查方法操作性低的，不适宜本地实际情况；预期成果不够明确，实用性低的得1分；</w:t>
            </w:r>
          </w:p>
          <w:p w14:paraId="37A48D84">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④未提供不得分。</w:t>
            </w:r>
          </w:p>
        </w:tc>
        <w:tc>
          <w:tcPr>
            <w:tcW w:w="1206" w:type="dxa"/>
            <w:tcBorders>
              <w:top w:val="single" w:color="auto" w:sz="4" w:space="0"/>
              <w:left w:val="single" w:color="auto" w:sz="4" w:space="0"/>
              <w:bottom w:val="single" w:color="auto" w:sz="4" w:space="0"/>
              <w:right w:val="single" w:color="auto" w:sz="4" w:space="0"/>
            </w:tcBorders>
            <w:vAlign w:val="center"/>
          </w:tcPr>
          <w:p w14:paraId="65324872">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0-5</w:t>
            </w:r>
          </w:p>
        </w:tc>
      </w:tr>
      <w:tr w14:paraId="203E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1CED5A50">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06BD4732">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安全保证体系及确保检测安全的措施</w:t>
            </w:r>
          </w:p>
        </w:tc>
        <w:tc>
          <w:tcPr>
            <w:tcW w:w="5151" w:type="dxa"/>
            <w:tcBorders>
              <w:top w:val="single" w:color="auto" w:sz="4" w:space="0"/>
              <w:left w:val="single" w:color="auto" w:sz="4" w:space="0"/>
              <w:bottom w:val="single" w:color="auto" w:sz="4" w:space="0"/>
              <w:right w:val="single" w:color="auto" w:sz="4" w:space="0"/>
            </w:tcBorders>
            <w:vAlign w:val="center"/>
          </w:tcPr>
          <w:p w14:paraId="273D3867">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根据安全保证体系及措施方案是否完备，针对勘查工作中面临的各类安全问题是否分析到位，面临各类突发安全问题时是否有准备充分的预案，由评委</w:t>
            </w:r>
            <w:r>
              <w:rPr>
                <w:rFonts w:hint="eastAsia" w:ascii="宋体" w:hAnsi="宋体" w:eastAsia="宋体" w:cs="宋体"/>
                <w:color w:val="auto"/>
                <w:sz w:val="24"/>
                <w:highlight w:val="none"/>
                <w:lang w:val="en-US" w:eastAsia="zh-CN"/>
              </w:rPr>
              <w:t>进行评分</w:t>
            </w:r>
            <w:r>
              <w:rPr>
                <w:rFonts w:hint="eastAsia" w:ascii="宋体" w:hAnsi="宋体" w:eastAsia="宋体" w:cs="宋体"/>
                <w:color w:val="auto"/>
                <w:sz w:val="24"/>
                <w:highlight w:val="none"/>
              </w:rPr>
              <w:t>。</w:t>
            </w:r>
          </w:p>
          <w:p w14:paraId="6033602D">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①安全保证体系及措施方案完备，各类问题分析透彻，各类安全预案准备充分得5分；</w:t>
            </w:r>
          </w:p>
          <w:p w14:paraId="34B9C47B">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②安全保证体系及措施方案基本完备，各类问题分析基本透彻，各类安全预案准备较为充分得3分；</w:t>
            </w:r>
          </w:p>
          <w:p w14:paraId="561D8F0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③安全保证体系及措施方案不尽完备，各类问题分析不够具体，各类安全预案准备不够充分得1分；</w:t>
            </w:r>
          </w:p>
          <w:p w14:paraId="7D4335A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⑤未提供不得分。</w:t>
            </w:r>
          </w:p>
        </w:tc>
        <w:tc>
          <w:tcPr>
            <w:tcW w:w="1206" w:type="dxa"/>
            <w:tcBorders>
              <w:top w:val="single" w:color="auto" w:sz="4" w:space="0"/>
              <w:left w:val="single" w:color="auto" w:sz="4" w:space="0"/>
              <w:bottom w:val="single" w:color="auto" w:sz="4" w:space="0"/>
              <w:right w:val="single" w:color="auto" w:sz="4" w:space="0"/>
            </w:tcBorders>
            <w:vAlign w:val="center"/>
          </w:tcPr>
          <w:p w14:paraId="22A5B126">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0-5</w:t>
            </w:r>
          </w:p>
        </w:tc>
      </w:tr>
      <w:tr w14:paraId="726E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2AC9E69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3A943EE2">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质量保证体系的措施</w:t>
            </w:r>
          </w:p>
        </w:tc>
        <w:tc>
          <w:tcPr>
            <w:tcW w:w="5151" w:type="dxa"/>
            <w:tcBorders>
              <w:top w:val="single" w:color="auto" w:sz="4" w:space="0"/>
              <w:left w:val="single" w:color="auto" w:sz="4" w:space="0"/>
              <w:bottom w:val="single" w:color="auto" w:sz="4" w:space="0"/>
              <w:right w:val="single" w:color="auto" w:sz="4" w:space="0"/>
            </w:tcBorders>
            <w:vAlign w:val="center"/>
          </w:tcPr>
          <w:p w14:paraId="6BED40D4">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根据项目勘查方法、技术要求等核查方案相关内容，制定细致严谨的质量保证体系及措施，评委根据质量保证体系、措施以及整体质量保证方案进行评分。</w:t>
            </w:r>
          </w:p>
          <w:p w14:paraId="77CFED89">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①质量保证体系完备，措施齐全、针对性强，整体方案有利于项目质量保证的得5分；</w:t>
            </w:r>
          </w:p>
          <w:p w14:paraId="6F03D18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②质量保证体系基本完善，措施基本齐全，有一定针对性，整体方案基本可以保证项目质量的得3分；</w:t>
            </w:r>
          </w:p>
          <w:p w14:paraId="3EF3C81D">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③质量保证体系有待完善，措施不齐全，针对性有待提高，整体方案难以保证项目质量的得1分；</w:t>
            </w:r>
          </w:p>
          <w:p w14:paraId="1F55DF3B">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④未提供不得分。</w:t>
            </w:r>
          </w:p>
        </w:tc>
        <w:tc>
          <w:tcPr>
            <w:tcW w:w="1206" w:type="dxa"/>
            <w:tcBorders>
              <w:top w:val="single" w:color="auto" w:sz="4" w:space="0"/>
              <w:left w:val="single" w:color="auto" w:sz="4" w:space="0"/>
              <w:bottom w:val="single" w:color="auto" w:sz="4" w:space="0"/>
              <w:right w:val="single" w:color="auto" w:sz="4" w:space="0"/>
            </w:tcBorders>
            <w:vAlign w:val="center"/>
          </w:tcPr>
          <w:p w14:paraId="76121E5E">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0-5</w:t>
            </w:r>
          </w:p>
        </w:tc>
      </w:tr>
      <w:tr w14:paraId="37C2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7648A39A">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34E2029F">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售后服务方案</w:t>
            </w:r>
          </w:p>
        </w:tc>
        <w:tc>
          <w:tcPr>
            <w:tcW w:w="5151" w:type="dxa"/>
            <w:tcBorders>
              <w:top w:val="single" w:color="auto" w:sz="4" w:space="0"/>
              <w:left w:val="single" w:color="auto" w:sz="4" w:space="0"/>
              <w:bottom w:val="single" w:color="auto" w:sz="4" w:space="0"/>
              <w:right w:val="single" w:color="auto" w:sz="4" w:space="0"/>
            </w:tcBorders>
            <w:vAlign w:val="center"/>
          </w:tcPr>
          <w:p w14:paraId="138405D6">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根据招标文件要求及供应商针对本项目提供售后服务方案，售后服务制度、售后服务承诺等：</w:t>
            </w:r>
          </w:p>
          <w:p w14:paraId="417BBB27">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（1）方案包含上述内容，完整详细，可行性、实用性、针对性强，得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p>
          <w:p w14:paraId="31B3FA1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（2）方案基本包含上述内容，具有可行性、实用性和针对性，得</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分；</w:t>
            </w:r>
          </w:p>
          <w:p w14:paraId="025BE98E">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（3）方案内容有缺失，可行性、实用性和针对性有待改善，得1分；</w:t>
            </w:r>
          </w:p>
          <w:p w14:paraId="5ED4D31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（4）方案不可行或未提供得0分。</w:t>
            </w:r>
          </w:p>
        </w:tc>
        <w:tc>
          <w:tcPr>
            <w:tcW w:w="1206" w:type="dxa"/>
            <w:tcBorders>
              <w:top w:val="single" w:color="auto" w:sz="4" w:space="0"/>
              <w:left w:val="single" w:color="auto" w:sz="4" w:space="0"/>
              <w:bottom w:val="single" w:color="auto" w:sz="4" w:space="0"/>
              <w:right w:val="single" w:color="auto" w:sz="4" w:space="0"/>
            </w:tcBorders>
            <w:vAlign w:val="center"/>
          </w:tcPr>
          <w:p w14:paraId="530516CC">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val="en-US" w:eastAsia="zh-CN"/>
              </w:rPr>
              <w:t>4</w:t>
            </w:r>
          </w:p>
        </w:tc>
      </w:tr>
      <w:tr w14:paraId="7E68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5805439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24DA7544">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企业业绩</w:t>
            </w:r>
          </w:p>
        </w:tc>
        <w:tc>
          <w:tcPr>
            <w:tcW w:w="5151" w:type="dxa"/>
            <w:tcBorders>
              <w:top w:val="single" w:color="auto" w:sz="4" w:space="0"/>
              <w:left w:val="single" w:color="auto" w:sz="4" w:space="0"/>
              <w:bottom w:val="single" w:color="auto" w:sz="4" w:space="0"/>
              <w:right w:val="single" w:color="auto" w:sz="4" w:space="0"/>
            </w:tcBorders>
            <w:vAlign w:val="center"/>
          </w:tcPr>
          <w:p w14:paraId="4CDC6F44">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lang w:val="en-US" w:eastAsia="zh-CN"/>
              </w:rPr>
              <w:t>具有</w:t>
            </w:r>
            <w:r>
              <w:rPr>
                <w:rFonts w:hint="eastAsia" w:ascii="宋体" w:hAnsi="宋体" w:eastAsia="宋体" w:cs="宋体"/>
                <w:color w:val="auto"/>
                <w:sz w:val="24"/>
                <w:highlight w:val="none"/>
              </w:rPr>
              <w:t>类似</w:t>
            </w:r>
            <w:r>
              <w:rPr>
                <w:rFonts w:hint="eastAsia" w:ascii="宋体" w:hAnsi="宋体" w:eastAsia="宋体" w:cs="宋体"/>
                <w:color w:val="auto"/>
                <w:sz w:val="24"/>
                <w:highlight w:val="none"/>
                <w:lang w:val="en-US" w:eastAsia="zh-CN"/>
              </w:rPr>
              <w:t>服务业绩的</w:t>
            </w:r>
            <w:r>
              <w:rPr>
                <w:rFonts w:hint="eastAsia" w:ascii="宋体" w:hAnsi="宋体" w:eastAsia="宋体" w:cs="宋体"/>
                <w:color w:val="auto"/>
                <w:sz w:val="24"/>
                <w:highlight w:val="none"/>
              </w:rPr>
              <w:t>，每有一</w:t>
            </w:r>
            <w:r>
              <w:rPr>
                <w:rFonts w:hint="eastAsia" w:ascii="宋体" w:hAnsi="宋体" w:eastAsia="宋体" w:cs="宋体"/>
                <w:color w:val="auto"/>
                <w:sz w:val="24"/>
                <w:highlight w:val="none"/>
                <w:lang w:val="en-US" w:eastAsia="zh-CN"/>
              </w:rPr>
              <w:t>个</w:t>
            </w:r>
            <w:r>
              <w:rPr>
                <w:rFonts w:hint="eastAsia" w:ascii="宋体" w:hAnsi="宋体" w:eastAsia="宋体" w:cs="宋体"/>
                <w:color w:val="auto"/>
                <w:sz w:val="24"/>
                <w:highlight w:val="none"/>
              </w:rPr>
              <w:t>得5分，本项满分10分。</w:t>
            </w:r>
          </w:p>
          <w:p w14:paraId="305204D6">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r>
              <w:rPr>
                <w:rFonts w:hint="eastAsia" w:ascii="宋体" w:hAnsi="宋体" w:eastAsia="宋体" w:cs="宋体"/>
                <w:color w:val="auto"/>
                <w:sz w:val="24"/>
                <w:highlight w:val="none"/>
                <w:lang w:val="en-US" w:eastAsia="zh-CN"/>
              </w:rPr>
              <w:t>需提供业绩合同扫描件。</w:t>
            </w:r>
          </w:p>
        </w:tc>
        <w:tc>
          <w:tcPr>
            <w:tcW w:w="1206" w:type="dxa"/>
            <w:tcBorders>
              <w:top w:val="single" w:color="auto" w:sz="4" w:space="0"/>
              <w:left w:val="single" w:color="auto" w:sz="4" w:space="0"/>
              <w:bottom w:val="single" w:color="auto" w:sz="4" w:space="0"/>
              <w:right w:val="single" w:color="auto" w:sz="4" w:space="0"/>
            </w:tcBorders>
            <w:vAlign w:val="center"/>
          </w:tcPr>
          <w:p w14:paraId="3BF54671">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val="en-US" w:eastAsia="zh-CN"/>
              </w:rPr>
              <w:t>10</w:t>
            </w:r>
          </w:p>
        </w:tc>
      </w:tr>
      <w:tr w14:paraId="0923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0F9B7906">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1C6CFE0B">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项目组成员</w:t>
            </w:r>
          </w:p>
        </w:tc>
        <w:tc>
          <w:tcPr>
            <w:tcW w:w="5151" w:type="dxa"/>
            <w:tcBorders>
              <w:top w:val="single" w:color="auto" w:sz="4" w:space="0"/>
              <w:left w:val="single" w:color="auto" w:sz="4" w:space="0"/>
              <w:bottom w:val="single" w:color="auto" w:sz="4" w:space="0"/>
              <w:right w:val="single" w:color="auto" w:sz="4" w:space="0"/>
            </w:tcBorders>
            <w:vAlign w:val="center"/>
          </w:tcPr>
          <w:p w14:paraId="1ADAA4EA">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项目负责人：</w:t>
            </w:r>
          </w:p>
          <w:p w14:paraId="64E84A29">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具备地质类或矿产类高级工程师及以上职称得2分；</w:t>
            </w:r>
          </w:p>
          <w:p w14:paraId="300F1B8C">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具有由应急管理部门颁发的金属非金属矿山(露天矿山)的安全生产管理人员合格证得2分，本项最高得4分。</w:t>
            </w:r>
          </w:p>
          <w:p w14:paraId="460EA0C5">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注：投标文件中须提供职称证书原件扫描件或其他证明材料，未提供或提供不全的不得分。</w:t>
            </w:r>
          </w:p>
          <w:p w14:paraId="452CA97F">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团队配置：项目组成员中（除项目负责人）具有地质调查与资源勘查类、水工环地质类、环境工程类、摄影测量与遥感类、探矿工程类、地球物理勘查及遥感类、地质测绘工程类、地质实验测试类、安全工程类专业高级及以上职称的，每有一类得2分；具有上述专业中级职称的，每有一类得1分；本项最高得18分。</w:t>
            </w:r>
          </w:p>
          <w:p w14:paraId="441D581E">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因涉及到野外钻探施工，拟派施工现场安全负责人须具有注册安全</w:t>
            </w:r>
            <w:r>
              <w:rPr>
                <w:rFonts w:hint="eastAsia" w:ascii="宋体" w:hAnsi="宋体" w:eastAsia="宋体" w:cs="宋体"/>
                <w:color w:val="auto"/>
                <w:sz w:val="24"/>
                <w:highlight w:val="none"/>
                <w:lang w:val="en-US" w:eastAsia="zh-CN"/>
              </w:rPr>
              <w:t>工程师证书</w:t>
            </w:r>
            <w:r>
              <w:rPr>
                <w:rFonts w:hint="eastAsia" w:ascii="宋体" w:hAnsi="宋体" w:eastAsia="宋体" w:cs="宋体"/>
                <w:color w:val="auto"/>
                <w:sz w:val="24"/>
                <w:highlight w:val="none"/>
              </w:rPr>
              <w:t>，每提供一个，得3分，本小项最高3分；因项目涉及矿产资源储量估算，项目组人员中具有矿业权评估师（固体矿产资源勘查与实物量估算）证书的，每提供一个，得3分，本小项最高3分；本项最高6分。</w:t>
            </w:r>
          </w:p>
          <w:p w14:paraId="34D7356E">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项目施工人员：</w:t>
            </w:r>
          </w:p>
          <w:p w14:paraId="643C352A">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具有地勘钻探工证的，职业技能等级为二级的，每提供一个，得2分，本小项最高4分；</w:t>
            </w:r>
          </w:p>
          <w:p w14:paraId="115AE494">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具有应急管理部门颁发的高处作业证的，每提供一个，得1分，本小项最高3分；</w:t>
            </w:r>
          </w:p>
          <w:p w14:paraId="596ACA2D">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具有应急管理部门颁发的焊接与热切割作业证的，每提供一个，得1分，本小项最高3分；本项最高10分。</w:t>
            </w:r>
          </w:p>
          <w:p w14:paraId="7D352795">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注：（1）投标文件中须提供职称证书原件扫描件，未提供或提供不全的不得分，一人多证只计取一次，同一类证书不重复计分;以上人员需提供近3个月中任意一个月社保证明材料。</w:t>
            </w:r>
          </w:p>
        </w:tc>
        <w:tc>
          <w:tcPr>
            <w:tcW w:w="1206" w:type="dxa"/>
            <w:tcBorders>
              <w:top w:val="single" w:color="auto" w:sz="4" w:space="0"/>
              <w:left w:val="single" w:color="auto" w:sz="4" w:space="0"/>
              <w:bottom w:val="single" w:color="auto" w:sz="4" w:space="0"/>
              <w:right w:val="single" w:color="auto" w:sz="4" w:space="0"/>
            </w:tcBorders>
            <w:vAlign w:val="center"/>
          </w:tcPr>
          <w:p w14:paraId="3BAA3C3C">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val="en-US" w:eastAsia="zh-CN"/>
              </w:rPr>
              <w:t>38</w:t>
            </w:r>
          </w:p>
        </w:tc>
      </w:tr>
      <w:tr w14:paraId="3254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tcBorders>
              <w:left w:val="single" w:color="auto" w:sz="4" w:space="0"/>
              <w:right w:val="single" w:color="auto" w:sz="4" w:space="0"/>
            </w:tcBorders>
            <w:vAlign w:val="center"/>
          </w:tcPr>
          <w:p w14:paraId="7072D86C">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w:t>
            </w:r>
          </w:p>
          <w:p w14:paraId="68BFC11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分）</w:t>
            </w:r>
          </w:p>
        </w:tc>
        <w:tc>
          <w:tcPr>
            <w:tcW w:w="4232" w:type="pct"/>
            <w:gridSpan w:val="3"/>
            <w:tcBorders>
              <w:top w:val="single" w:color="auto" w:sz="4" w:space="0"/>
              <w:left w:val="single" w:color="auto" w:sz="4" w:space="0"/>
              <w:bottom w:val="single" w:color="auto" w:sz="4" w:space="0"/>
              <w:right w:val="single" w:color="auto" w:sz="4" w:space="0"/>
            </w:tcBorders>
            <w:vAlign w:val="center"/>
          </w:tcPr>
          <w:p w14:paraId="097D8176">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价格分统一采用低价优先法，即满足招标文件要求且投标价格最低的投标报价为评标基准价，其价格分为满分</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分。其他投标人的价格分统一按照下列公式计算：</w:t>
            </w:r>
          </w:p>
          <w:p w14:paraId="32EBA85F">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投标报价得分＝（评标基准价/投标报价）×</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％×100</w:t>
            </w:r>
          </w:p>
        </w:tc>
      </w:tr>
    </w:tbl>
    <w:p w14:paraId="326D973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2.3.3分值汇总</w:t>
      </w:r>
    </w:p>
    <w:p w14:paraId="6FBDDB3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（1）评标委员会各成员应当独立对每个有效投标人的投标文件进行评分，并汇总每个投标人的得分。取各位评委评分之平均值，四舍五入保留至小数点后两位数，得到该投标人的技术资信分。</w:t>
      </w:r>
    </w:p>
    <w:p w14:paraId="41BF9B42">
      <w:r>
        <w:rPr>
          <w:rFonts w:hint="eastAsia" w:ascii="宋体" w:hAnsi="宋体" w:eastAsia="宋体" w:cs="宋体"/>
          <w:color w:val="auto"/>
          <w:sz w:val="24"/>
          <w:highlight w:val="none"/>
        </w:rPr>
        <w:t>（2）将投标人的技术资信分加上根据上述标准计算出的价格分，即为该投标人的综合总得分。</w:t>
      </w:r>
      <w:bookmarkStart w:id="26" w:name="_GoBack"/>
      <w:bookmarkEnd w:id="26"/>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Noto Sans SC">
    <w:panose1 w:val="020B0200000000000000"/>
    <w:charset w:val="86"/>
    <w:family w:val="auto"/>
    <w:pitch w:val="default"/>
    <w:sig w:usb0="20000083" w:usb1="2ADF3C10" w:usb2="00000016" w:usb3="00000000" w:csb0="60060107" w:csb1="0000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639D36"/>
    <w:multiLevelType w:val="singleLevel"/>
    <w:tmpl w:val="AB639D36"/>
    <w:lvl w:ilvl="0" w:tentative="0">
      <w:start w:val="1"/>
      <w:numFmt w:val="decimal"/>
      <w:lvlText w:val="%1."/>
      <w:lvlJc w:val="left"/>
      <w:pPr>
        <w:tabs>
          <w:tab w:val="left" w:pos="312"/>
        </w:tabs>
      </w:pPr>
    </w:lvl>
  </w:abstractNum>
  <w:abstractNum w:abstractNumId="1">
    <w:nsid w:val="E3FA73A2"/>
    <w:multiLevelType w:val="singleLevel"/>
    <w:tmpl w:val="E3FA73A2"/>
    <w:lvl w:ilvl="0" w:tentative="0">
      <w:start w:val="1"/>
      <w:numFmt w:val="decimal"/>
      <w:suff w:val="nothing"/>
      <w:lvlText w:val="（%1）"/>
      <w:lvlJc w:val="left"/>
    </w:lvl>
  </w:abstractNum>
  <w:abstractNum w:abstractNumId="2">
    <w:nsid w:val="2A064A37"/>
    <w:multiLevelType w:val="singleLevel"/>
    <w:tmpl w:val="2A064A37"/>
    <w:lvl w:ilvl="0" w:tentative="0">
      <w:start w:val="3"/>
      <w:numFmt w:val="chineseCounting"/>
      <w:suff w:val="space"/>
      <w:lvlText w:val="第%1章"/>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916870"/>
    <w:rsid w:val="10916870"/>
    <w:rsid w:val="265B777C"/>
    <w:rsid w:val="334960DC"/>
    <w:rsid w:val="4772315A"/>
    <w:rsid w:val="490C6F94"/>
    <w:rsid w:val="604C5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微软简标宋" w:hAnsi="@微软简标宋" w:eastAsia="@微软简标宋" w:cs="@微软简标宋"/>
      <w:szCs w:val="24"/>
      <w:lang w:val="zh-CN"/>
    </w:rPr>
  </w:style>
  <w:style w:type="paragraph" w:customStyle="1" w:styleId="3">
    <w:name w:val="Default"/>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styleId="4">
    <w:name w:val="Plain Text"/>
    <w:basedOn w:val="1"/>
    <w:qFormat/>
    <w:uiPriority w:val="99"/>
    <w:rPr>
      <w:rFonts w:ascii="宋体" w:hAnsi="Courier New" w:eastAsiaTheme="minorEastAsia" w:cstheme="minorBidi"/>
      <w:szCs w:val="22"/>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rFonts w:cs="Times New Roman"/>
      <w:kern w:val="0"/>
      <w:sz w:val="24"/>
    </w:rPr>
  </w:style>
  <w:style w:type="paragraph" w:customStyle="1" w:styleId="9">
    <w:name w:val="D&amp;L"/>
    <w:basedOn w:val="5"/>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0">
    <w:name w:val="xl31"/>
    <w:basedOn w:val="1"/>
    <w:autoRedefine/>
    <w:qFormat/>
    <w:uiPriority w:val="0"/>
    <w:pPr>
      <w:widowControl/>
      <w:spacing w:before="100" w:beforeAutospacing="1" w:after="100" w:afterAutospacing="1"/>
      <w:jc w:val="center"/>
    </w:pPr>
    <w:rPr>
      <w:b/>
      <w:bCs/>
      <w:kern w:val="0"/>
      <w:sz w:val="28"/>
      <w:szCs w:val="28"/>
    </w:rPr>
  </w:style>
  <w:style w:type="paragraph" w:styleId="11">
    <w:name w:val="List Paragraph"/>
    <w:basedOn w:val="1"/>
    <w:unhideWhenUsed/>
    <w:qFormat/>
    <w:uiPriority w:val="99"/>
    <w:pPr>
      <w:ind w:firstLine="420" w:firstLineChars="200"/>
    </w:pPr>
  </w:style>
  <w:style w:type="paragraph" w:styleId="1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able Text"/>
    <w:basedOn w:val="1"/>
    <w:autoRedefine/>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5849</Words>
  <Characters>6727</Characters>
  <Lines>0</Lines>
  <Paragraphs>0</Paragraphs>
  <TotalTime>0</TotalTime>
  <ScaleCrop>false</ScaleCrop>
  <LinksUpToDate>false</LinksUpToDate>
  <CharactersWithSpaces>6812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2026-09-09T06:20:00Z</dcterms:created>
  <dc:creator>NTKO</dc:creator>
  <cp:lastModifiedBy>Administrator</cp:lastModifiedBy>
  <dcterms:modified xsi:type="dcterms:W3CDTF">2026-09-17T01:24:40Z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940543DF477042BF9B93CD5C417245E6_11</vt:lpwstr>
  </property>
  <property fmtid="{D5CDD505-2E9C-101B-9397-08002B2CF9AE}" pid="4" name="KSOTemplateDocerSaveRecord">
    <vt:lpwstr>eyJoZGlkIjoiNzViY2VkYzk4NGE1ZjhmMzM2OGNjM2Y1OWQ5NWVjMDIiLCJ1c2VySWQiOiIxNjc1NDE1Mzg2In0=</vt:lpwstr>
  </property>
</Properties>
</file>