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C5966">
      <w:pPr>
        <w:pStyle w:val="3"/>
        <w:spacing w:line="269" w:lineRule="auto"/>
        <w:rPr>
          <w:highlight w:val="none"/>
        </w:rPr>
      </w:pPr>
    </w:p>
    <w:p w14:paraId="76557DE1">
      <w:pPr>
        <w:pStyle w:val="3"/>
        <w:spacing w:line="269" w:lineRule="auto"/>
        <w:rPr>
          <w:highlight w:val="none"/>
        </w:rPr>
      </w:pPr>
    </w:p>
    <w:p w14:paraId="38EC842B">
      <w:pPr>
        <w:pStyle w:val="3"/>
        <w:spacing w:line="258" w:lineRule="auto"/>
        <w:jc w:val="center"/>
        <w:rPr>
          <w:rFonts w:hint="eastAsia" w:ascii="华文中宋" w:hAnsi="华文中宋" w:eastAsia="华文中宋" w:cs="华文中宋"/>
          <w:spacing w:val="-1"/>
          <w:sz w:val="52"/>
          <w:szCs w:val="52"/>
          <w:highlight w:val="none"/>
          <w:lang w:val="en-US" w:eastAsia="zh-CN"/>
        </w:rPr>
      </w:pPr>
      <w:r>
        <w:rPr>
          <w:rFonts w:hint="eastAsia" w:ascii="华文中宋" w:hAnsi="华文中宋" w:eastAsia="华文中宋" w:cs="华文中宋"/>
          <w:spacing w:val="-1"/>
          <w:sz w:val="52"/>
          <w:szCs w:val="52"/>
          <w:highlight w:val="none"/>
          <w:lang w:val="en-US" w:eastAsia="zh-CN"/>
        </w:rPr>
        <w:t>2026年三流乡双塔寺村龙虾交易</w:t>
      </w:r>
    </w:p>
    <w:p w14:paraId="7B193EBD">
      <w:pPr>
        <w:pStyle w:val="3"/>
        <w:spacing w:line="258" w:lineRule="auto"/>
        <w:jc w:val="center"/>
        <w:rPr>
          <w:highlight w:val="none"/>
        </w:rPr>
      </w:pPr>
      <w:r>
        <w:rPr>
          <w:rFonts w:hint="eastAsia" w:ascii="华文中宋" w:hAnsi="华文中宋" w:eastAsia="华文中宋" w:cs="华文中宋"/>
          <w:spacing w:val="-1"/>
          <w:sz w:val="52"/>
          <w:szCs w:val="52"/>
          <w:highlight w:val="none"/>
          <w:lang w:val="en-US" w:eastAsia="zh-CN"/>
        </w:rPr>
        <w:t>大市场项目（EPCO）</w:t>
      </w:r>
    </w:p>
    <w:p w14:paraId="3ED09851">
      <w:pPr>
        <w:pStyle w:val="3"/>
        <w:spacing w:line="258" w:lineRule="auto"/>
        <w:rPr>
          <w:highlight w:val="none"/>
        </w:rPr>
      </w:pPr>
    </w:p>
    <w:p w14:paraId="74921A5A">
      <w:pPr>
        <w:pStyle w:val="3"/>
        <w:spacing w:line="258" w:lineRule="auto"/>
        <w:rPr>
          <w:highlight w:val="none"/>
        </w:rPr>
      </w:pPr>
    </w:p>
    <w:p w14:paraId="5EC6519C">
      <w:pPr>
        <w:pStyle w:val="3"/>
        <w:spacing w:line="259" w:lineRule="auto"/>
        <w:rPr>
          <w:highlight w:val="none"/>
        </w:rPr>
      </w:pPr>
    </w:p>
    <w:p w14:paraId="2A17D0F1">
      <w:pPr>
        <w:pStyle w:val="3"/>
        <w:spacing w:line="259" w:lineRule="auto"/>
        <w:rPr>
          <w:highlight w:val="none"/>
        </w:rPr>
      </w:pPr>
    </w:p>
    <w:p w14:paraId="5242B530">
      <w:pPr>
        <w:pStyle w:val="3"/>
        <w:spacing w:line="259" w:lineRule="auto"/>
        <w:rPr>
          <w:highlight w:val="none"/>
        </w:rPr>
      </w:pPr>
    </w:p>
    <w:p w14:paraId="1C2EAE1D">
      <w:pPr>
        <w:spacing w:before="273" w:line="218" w:lineRule="auto"/>
        <w:ind w:left="2861"/>
        <w:rPr>
          <w:rFonts w:ascii="仿宋" w:hAnsi="仿宋" w:eastAsia="仿宋" w:cs="仿宋"/>
          <w:sz w:val="84"/>
          <w:szCs w:val="84"/>
          <w:highlight w:val="none"/>
        </w:rPr>
      </w:pPr>
      <w:r>
        <w:rPr>
          <w:rFonts w:ascii="仿宋" w:hAnsi="仿宋" w:eastAsia="仿宋" w:cs="仿宋"/>
          <w:spacing w:val="-10"/>
          <w:sz w:val="84"/>
          <w:szCs w:val="84"/>
          <w:highlight w:val="none"/>
        </w:rPr>
        <w:t>招标文件</w:t>
      </w:r>
    </w:p>
    <w:p w14:paraId="4EF085FE">
      <w:pPr>
        <w:pStyle w:val="3"/>
        <w:spacing w:line="399" w:lineRule="auto"/>
        <w:rPr>
          <w:highlight w:val="none"/>
        </w:rPr>
      </w:pPr>
    </w:p>
    <w:p w14:paraId="51D59C94">
      <w:pPr>
        <w:spacing w:before="101" w:line="224" w:lineRule="auto"/>
        <w:ind w:left="2430"/>
        <w:rPr>
          <w:rFonts w:ascii="仿宋" w:hAnsi="仿宋" w:eastAsia="仿宋" w:cs="仿宋"/>
          <w:sz w:val="31"/>
          <w:szCs w:val="31"/>
          <w:highlight w:val="none"/>
        </w:rPr>
      </w:pPr>
      <w:r>
        <w:rPr>
          <w:rFonts w:ascii="仿宋" w:hAnsi="仿宋" w:eastAsia="仿宋" w:cs="仿宋"/>
          <w:spacing w:val="5"/>
          <w:sz w:val="31"/>
          <w:szCs w:val="31"/>
          <w:highlight w:val="none"/>
        </w:rPr>
        <w:t>招标编号：</w:t>
      </w:r>
    </w:p>
    <w:p w14:paraId="3A1DC35D">
      <w:pPr>
        <w:pStyle w:val="3"/>
        <w:rPr>
          <w:highlight w:val="none"/>
        </w:rPr>
      </w:pPr>
    </w:p>
    <w:p w14:paraId="543CA476">
      <w:pPr>
        <w:pStyle w:val="3"/>
        <w:spacing w:line="241" w:lineRule="auto"/>
        <w:rPr>
          <w:highlight w:val="none"/>
        </w:rPr>
      </w:pPr>
    </w:p>
    <w:p w14:paraId="7F123BBB">
      <w:pPr>
        <w:pStyle w:val="3"/>
        <w:spacing w:line="241" w:lineRule="auto"/>
        <w:rPr>
          <w:highlight w:val="none"/>
        </w:rPr>
      </w:pPr>
    </w:p>
    <w:p w14:paraId="66A8F553">
      <w:pPr>
        <w:pStyle w:val="3"/>
        <w:spacing w:line="241" w:lineRule="auto"/>
        <w:rPr>
          <w:highlight w:val="none"/>
        </w:rPr>
      </w:pPr>
    </w:p>
    <w:p w14:paraId="107C3366">
      <w:pPr>
        <w:pStyle w:val="3"/>
        <w:spacing w:line="241" w:lineRule="auto"/>
        <w:rPr>
          <w:highlight w:val="none"/>
        </w:rPr>
      </w:pPr>
    </w:p>
    <w:p w14:paraId="1BA91B00">
      <w:pPr>
        <w:pStyle w:val="3"/>
        <w:spacing w:line="241" w:lineRule="auto"/>
        <w:rPr>
          <w:highlight w:val="none"/>
        </w:rPr>
      </w:pPr>
    </w:p>
    <w:p w14:paraId="49A67571">
      <w:pPr>
        <w:pStyle w:val="3"/>
        <w:spacing w:line="241" w:lineRule="auto"/>
        <w:rPr>
          <w:highlight w:val="none"/>
        </w:rPr>
      </w:pPr>
    </w:p>
    <w:p w14:paraId="39E652CE">
      <w:pPr>
        <w:pStyle w:val="3"/>
        <w:spacing w:line="241" w:lineRule="auto"/>
        <w:rPr>
          <w:highlight w:val="none"/>
        </w:rPr>
      </w:pPr>
    </w:p>
    <w:p w14:paraId="1E0E0A10">
      <w:pPr>
        <w:pStyle w:val="3"/>
        <w:spacing w:line="241" w:lineRule="auto"/>
        <w:rPr>
          <w:highlight w:val="none"/>
        </w:rPr>
      </w:pPr>
    </w:p>
    <w:p w14:paraId="325E764E">
      <w:pPr>
        <w:pStyle w:val="3"/>
        <w:spacing w:line="241" w:lineRule="auto"/>
        <w:rPr>
          <w:highlight w:val="none"/>
        </w:rPr>
      </w:pPr>
    </w:p>
    <w:p w14:paraId="6B032C1C">
      <w:pPr>
        <w:pStyle w:val="3"/>
        <w:spacing w:line="240" w:lineRule="auto"/>
        <w:rPr>
          <w:highlight w:val="none"/>
        </w:rPr>
      </w:pPr>
    </w:p>
    <w:p w14:paraId="67800122">
      <w:pPr>
        <w:pStyle w:val="3"/>
        <w:spacing w:line="241" w:lineRule="auto"/>
        <w:rPr>
          <w:highlight w:val="none"/>
        </w:rPr>
      </w:pPr>
    </w:p>
    <w:p w14:paraId="1E4F4644">
      <w:pPr>
        <w:pStyle w:val="3"/>
        <w:spacing w:line="241" w:lineRule="auto"/>
        <w:rPr>
          <w:highlight w:val="none"/>
        </w:rPr>
      </w:pPr>
    </w:p>
    <w:p w14:paraId="7323F90B">
      <w:pPr>
        <w:pStyle w:val="3"/>
        <w:spacing w:line="241" w:lineRule="auto"/>
        <w:rPr>
          <w:highlight w:val="none"/>
        </w:rPr>
      </w:pPr>
    </w:p>
    <w:p w14:paraId="6825002F">
      <w:pPr>
        <w:pStyle w:val="3"/>
        <w:spacing w:line="241" w:lineRule="auto"/>
        <w:rPr>
          <w:highlight w:val="none"/>
        </w:rPr>
      </w:pPr>
    </w:p>
    <w:p w14:paraId="32BAB612">
      <w:pPr>
        <w:pStyle w:val="3"/>
        <w:spacing w:line="241" w:lineRule="auto"/>
        <w:rPr>
          <w:highlight w:val="none"/>
        </w:rPr>
      </w:pPr>
    </w:p>
    <w:p w14:paraId="30082007">
      <w:pPr>
        <w:pStyle w:val="3"/>
        <w:spacing w:line="241" w:lineRule="auto"/>
        <w:rPr>
          <w:highlight w:val="none"/>
        </w:rPr>
      </w:pPr>
    </w:p>
    <w:p w14:paraId="57459326">
      <w:pPr>
        <w:pStyle w:val="3"/>
        <w:spacing w:line="241" w:lineRule="auto"/>
        <w:rPr>
          <w:highlight w:val="none"/>
        </w:rPr>
      </w:pPr>
    </w:p>
    <w:p w14:paraId="39E62BF4">
      <w:pPr>
        <w:spacing w:before="245" w:line="224" w:lineRule="auto"/>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招标单位：霍邱县三流乡人民政府</w:t>
      </w:r>
    </w:p>
    <w:p w14:paraId="34216DA0">
      <w:pPr>
        <w:spacing w:before="245" w:line="224" w:lineRule="auto"/>
        <w:jc w:val="center"/>
        <w:rPr>
          <w:rFonts w:hint="eastAsia" w:ascii="仿宋" w:hAnsi="仿宋" w:eastAsia="宋体" w:cs="仿宋"/>
          <w:sz w:val="31"/>
          <w:szCs w:val="31"/>
          <w:highlight w:val="none"/>
          <w:lang w:eastAsia="zh-CN"/>
        </w:rPr>
      </w:pPr>
      <w:r>
        <w:rPr>
          <w:rFonts w:hint="eastAsia" w:ascii="宋体" w:hAnsi="宋体" w:eastAsia="宋体" w:cs="宋体"/>
          <w:b/>
          <w:bCs/>
          <w:sz w:val="36"/>
          <w:szCs w:val="36"/>
          <w:highlight w:val="none"/>
          <w:lang w:val="en-US" w:eastAsia="zh-CN"/>
        </w:rPr>
        <w:t xml:space="preserve">    代理单位：</w:t>
      </w:r>
      <w:r>
        <w:rPr>
          <w:rFonts w:hint="eastAsia" w:ascii="宋体" w:hAnsi="宋体" w:eastAsia="宋体" w:cs="宋体"/>
          <w:b/>
          <w:bCs/>
          <w:sz w:val="36"/>
          <w:szCs w:val="36"/>
          <w:highlight w:val="none"/>
          <w:lang w:eastAsia="zh-CN"/>
        </w:rPr>
        <w:t>中盈永诚咨询集团有限公司</w:t>
      </w:r>
    </w:p>
    <w:p w14:paraId="2D33597F">
      <w:pPr>
        <w:spacing w:before="245" w:line="224" w:lineRule="auto"/>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2026年6月</w:t>
      </w:r>
    </w:p>
    <w:p w14:paraId="7A2D1789">
      <w:pPr>
        <w:spacing w:line="238" w:lineRule="auto"/>
        <w:rPr>
          <w:rFonts w:ascii="仿宋" w:hAnsi="仿宋" w:eastAsia="仿宋" w:cs="仿宋"/>
          <w:sz w:val="18"/>
          <w:szCs w:val="18"/>
          <w:highlight w:val="none"/>
        </w:rPr>
        <w:sectPr>
          <w:pgSz w:w="11907" w:h="16839"/>
          <w:pgMar w:top="1431" w:right="1457" w:bottom="0" w:left="1785" w:header="0" w:footer="0" w:gutter="0"/>
          <w:cols w:space="720" w:num="1"/>
        </w:sectPr>
      </w:pPr>
    </w:p>
    <w:sdt>
      <w:sdtPr>
        <w:rPr>
          <w:rFonts w:ascii="宋体" w:hAnsi="宋体" w:eastAsia="宋体" w:cs="Arial"/>
          <w:snapToGrid w:val="0"/>
          <w:color w:val="000000"/>
          <w:kern w:val="0"/>
          <w:sz w:val="21"/>
          <w:szCs w:val="21"/>
          <w:highlight w:val="none"/>
          <w:lang w:val="en-US" w:eastAsia="en-US" w:bidi="ar-SA"/>
        </w:rPr>
        <w:id w:val="147479427"/>
        <w15:color w:val="DBDBDB"/>
        <w:docPartObj>
          <w:docPartGallery w:val="Table of Contents"/>
          <w:docPartUnique/>
        </w:docPartObj>
      </w:sdtPr>
      <w:sdtEndPr>
        <w:rPr>
          <w:rFonts w:ascii="仿宋" w:hAnsi="仿宋" w:eastAsia="仿宋" w:cs="仿宋"/>
          <w:snapToGrid w:val="0"/>
          <w:color w:val="000000"/>
          <w:kern w:val="0"/>
          <w:sz w:val="21"/>
          <w:szCs w:val="31"/>
          <w:highlight w:val="none"/>
          <w:lang w:val="en-US" w:eastAsia="en-US" w:bidi="ar-SA"/>
        </w:rPr>
      </w:sdtEndPr>
      <w:sdtContent>
        <w:p w14:paraId="6C0B054E">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4598B073">
          <w:pPr>
            <w:pStyle w:val="7"/>
            <w:tabs>
              <w:tab w:val="right" w:leader="dot" w:pos="9100"/>
            </w:tabs>
          </w:pPr>
          <w:r>
            <w:rPr>
              <w:rFonts w:ascii="仿宋" w:hAnsi="仿宋" w:eastAsia="仿宋" w:cs="仿宋"/>
              <w:sz w:val="31"/>
              <w:szCs w:val="31"/>
              <w:highlight w:val="none"/>
            </w:rPr>
            <w:fldChar w:fldCharType="begin"/>
          </w:r>
          <w:r>
            <w:rPr>
              <w:rFonts w:ascii="仿宋" w:hAnsi="仿宋" w:eastAsia="仿宋" w:cs="仿宋"/>
              <w:sz w:val="31"/>
              <w:szCs w:val="31"/>
              <w:highlight w:val="none"/>
            </w:rPr>
            <w:instrText xml:space="preserve">TOC \o "1-3" \h \u </w:instrText>
          </w:r>
          <w:r>
            <w:rPr>
              <w:rFonts w:ascii="仿宋" w:hAnsi="仿宋" w:eastAsia="仿宋" w:cs="仿宋"/>
              <w:sz w:val="31"/>
              <w:szCs w:val="31"/>
              <w:highlight w:val="none"/>
            </w:rPr>
            <w:fldChar w:fldCharType="separate"/>
          </w: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_Toc10255 </w:instrText>
          </w:r>
          <w:r>
            <w:rPr>
              <w:rFonts w:ascii="仿宋" w:hAnsi="仿宋" w:eastAsia="仿宋" w:cs="仿宋"/>
              <w:szCs w:val="31"/>
              <w:highlight w:val="none"/>
            </w:rPr>
            <w:fldChar w:fldCharType="separate"/>
          </w:r>
          <w:r>
            <w:rPr>
              <w:rFonts w:ascii="华文中宋" w:hAnsi="华文中宋" w:eastAsia="华文中宋" w:cs="华文中宋"/>
              <w:bCs/>
              <w:szCs w:val="43"/>
              <w:highlight w:val="none"/>
            </w:rPr>
            <w:t>第一章</w:t>
          </w:r>
          <w:r>
            <w:rPr>
              <w:rFonts w:ascii="华文中宋" w:hAnsi="华文中宋" w:eastAsia="华文中宋" w:cs="华文中宋"/>
              <w:spacing w:val="17"/>
              <w:szCs w:val="43"/>
              <w:highlight w:val="none"/>
            </w:rPr>
            <w:t xml:space="preserve">   </w:t>
          </w:r>
          <w:r>
            <w:rPr>
              <w:rFonts w:ascii="华文中宋" w:hAnsi="华文中宋" w:eastAsia="华文中宋" w:cs="华文中宋"/>
              <w:bCs/>
              <w:szCs w:val="43"/>
              <w:highlight w:val="none"/>
            </w:rPr>
            <w:t>招标公告</w:t>
          </w:r>
          <w:r>
            <w:tab/>
          </w:r>
          <w:r>
            <w:fldChar w:fldCharType="begin"/>
          </w:r>
          <w:r>
            <w:instrText xml:space="preserve"> PAGEREF _Toc10255 \h </w:instrText>
          </w:r>
          <w:r>
            <w:fldChar w:fldCharType="separate"/>
          </w:r>
          <w:r>
            <w:t>3</w:t>
          </w:r>
          <w:r>
            <w:fldChar w:fldCharType="end"/>
          </w:r>
          <w:r>
            <w:rPr>
              <w:rFonts w:ascii="仿宋" w:hAnsi="仿宋" w:eastAsia="仿宋" w:cs="仿宋"/>
              <w:szCs w:val="31"/>
              <w:highlight w:val="none"/>
            </w:rPr>
            <w:fldChar w:fldCharType="end"/>
          </w:r>
        </w:p>
        <w:p w14:paraId="4193D5D0">
          <w:pPr>
            <w:pStyle w:val="7"/>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_Toc12904 </w:instrText>
          </w:r>
          <w:r>
            <w:rPr>
              <w:rFonts w:ascii="仿宋" w:hAnsi="仿宋" w:eastAsia="仿宋" w:cs="仿宋"/>
              <w:szCs w:val="31"/>
              <w:highlight w:val="none"/>
            </w:rPr>
            <w:fldChar w:fldCharType="separate"/>
          </w:r>
          <w:r>
            <w:rPr>
              <w:rFonts w:ascii="宋体" w:hAnsi="宋体" w:eastAsia="宋体" w:cs="宋体"/>
              <w:bCs/>
              <w:spacing w:val="-5"/>
              <w:szCs w:val="36"/>
              <w:highlight w:val="none"/>
            </w:rPr>
            <w:t>第二章投标须知</w:t>
          </w:r>
          <w:r>
            <w:tab/>
          </w:r>
          <w:r>
            <w:fldChar w:fldCharType="begin"/>
          </w:r>
          <w:r>
            <w:instrText xml:space="preserve"> PAGEREF _Toc12904 \h </w:instrText>
          </w:r>
          <w:r>
            <w:fldChar w:fldCharType="separate"/>
          </w:r>
          <w:r>
            <w:t>10</w:t>
          </w:r>
          <w:r>
            <w:fldChar w:fldCharType="end"/>
          </w:r>
          <w:r>
            <w:rPr>
              <w:rFonts w:ascii="仿宋" w:hAnsi="仿宋" w:eastAsia="仿宋" w:cs="仿宋"/>
              <w:szCs w:val="31"/>
              <w:highlight w:val="none"/>
            </w:rPr>
            <w:fldChar w:fldCharType="end"/>
          </w:r>
        </w:p>
        <w:p w14:paraId="7AD0095B">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_Toc13131 </w:instrText>
          </w:r>
          <w:r>
            <w:rPr>
              <w:rFonts w:ascii="仿宋" w:hAnsi="仿宋" w:eastAsia="仿宋" w:cs="仿宋"/>
              <w:szCs w:val="31"/>
              <w:highlight w:val="none"/>
            </w:rPr>
            <w:fldChar w:fldCharType="separate"/>
          </w:r>
          <w:r>
            <w:rPr>
              <w:rFonts w:ascii="宋体" w:hAnsi="宋体" w:eastAsia="宋体" w:cs="宋体"/>
              <w:bCs/>
              <w:spacing w:val="1"/>
              <w:szCs w:val="31"/>
              <w:highlight w:val="none"/>
            </w:rPr>
            <w:t>（一）前附表</w:t>
          </w:r>
          <w:r>
            <w:tab/>
          </w:r>
          <w:r>
            <w:fldChar w:fldCharType="begin"/>
          </w:r>
          <w:r>
            <w:instrText xml:space="preserve"> PAGEREF _Toc13131 \h </w:instrText>
          </w:r>
          <w:r>
            <w:fldChar w:fldCharType="separate"/>
          </w:r>
          <w:r>
            <w:t>10</w:t>
          </w:r>
          <w:r>
            <w:fldChar w:fldCharType="end"/>
          </w:r>
          <w:r>
            <w:rPr>
              <w:rFonts w:ascii="仿宋" w:hAnsi="仿宋" w:eastAsia="仿宋" w:cs="仿宋"/>
              <w:szCs w:val="31"/>
              <w:highlight w:val="none"/>
            </w:rPr>
            <w:fldChar w:fldCharType="end"/>
          </w:r>
        </w:p>
        <w:p w14:paraId="39EC713A">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_Toc3596 </w:instrText>
          </w:r>
          <w:r>
            <w:rPr>
              <w:rFonts w:ascii="仿宋" w:hAnsi="仿宋" w:eastAsia="仿宋" w:cs="仿宋"/>
              <w:szCs w:val="31"/>
              <w:highlight w:val="none"/>
            </w:rPr>
            <w:fldChar w:fldCharType="separate"/>
          </w:r>
          <w:r>
            <w:rPr>
              <w:rFonts w:ascii="宋体" w:hAnsi="宋体" w:eastAsia="宋体" w:cs="宋体"/>
              <w:bCs/>
              <w:spacing w:val="-4"/>
              <w:szCs w:val="31"/>
              <w:highlight w:val="none"/>
            </w:rPr>
            <w:t>（二）总则</w:t>
          </w:r>
          <w:r>
            <w:tab/>
          </w:r>
          <w:r>
            <w:fldChar w:fldCharType="begin"/>
          </w:r>
          <w:r>
            <w:instrText xml:space="preserve"> PAGEREF _Toc3596 \h </w:instrText>
          </w:r>
          <w:r>
            <w:fldChar w:fldCharType="separate"/>
          </w:r>
          <w:r>
            <w:t>24</w:t>
          </w:r>
          <w:r>
            <w:fldChar w:fldCharType="end"/>
          </w:r>
          <w:r>
            <w:rPr>
              <w:rFonts w:ascii="仿宋" w:hAnsi="仿宋" w:eastAsia="仿宋" w:cs="仿宋"/>
              <w:szCs w:val="31"/>
              <w:highlight w:val="none"/>
            </w:rPr>
            <w:fldChar w:fldCharType="end"/>
          </w:r>
        </w:p>
        <w:p w14:paraId="0EC302B6">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_Toc28162 </w:instrText>
          </w:r>
          <w:r>
            <w:rPr>
              <w:rFonts w:ascii="仿宋" w:hAnsi="仿宋" w:eastAsia="仿宋" w:cs="仿宋"/>
              <w:szCs w:val="31"/>
              <w:highlight w:val="none"/>
            </w:rPr>
            <w:fldChar w:fldCharType="separate"/>
          </w:r>
          <w:r>
            <w:rPr>
              <w:rFonts w:ascii="宋体" w:hAnsi="宋体" w:eastAsia="宋体" w:cs="宋体"/>
              <w:bCs/>
              <w:spacing w:val="2"/>
              <w:szCs w:val="31"/>
              <w:highlight w:val="none"/>
            </w:rPr>
            <w:t>（三）招标文件</w:t>
          </w:r>
          <w:r>
            <w:tab/>
          </w:r>
          <w:r>
            <w:fldChar w:fldCharType="begin"/>
          </w:r>
          <w:r>
            <w:instrText xml:space="preserve"> PAGEREF _Toc28162 \h </w:instrText>
          </w:r>
          <w:r>
            <w:fldChar w:fldCharType="separate"/>
          </w:r>
          <w:r>
            <w:t>26</w:t>
          </w:r>
          <w:r>
            <w:fldChar w:fldCharType="end"/>
          </w:r>
          <w:r>
            <w:rPr>
              <w:rFonts w:ascii="仿宋" w:hAnsi="仿宋" w:eastAsia="仿宋" w:cs="仿宋"/>
              <w:szCs w:val="31"/>
              <w:highlight w:val="none"/>
            </w:rPr>
            <w:fldChar w:fldCharType="end"/>
          </w:r>
        </w:p>
        <w:p w14:paraId="13A230F4">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_Toc9248 </w:instrText>
          </w:r>
          <w:r>
            <w:rPr>
              <w:rFonts w:ascii="仿宋" w:hAnsi="仿宋" w:eastAsia="仿宋" w:cs="仿宋"/>
              <w:szCs w:val="31"/>
              <w:highlight w:val="none"/>
            </w:rPr>
            <w:fldChar w:fldCharType="separate"/>
          </w:r>
          <w:r>
            <w:rPr>
              <w:rFonts w:ascii="宋体" w:hAnsi="宋体" w:eastAsia="宋体" w:cs="宋体"/>
              <w:bCs/>
              <w:spacing w:val="4"/>
              <w:szCs w:val="31"/>
              <w:highlight w:val="none"/>
            </w:rPr>
            <w:t>（四）投标文件的编制</w:t>
          </w:r>
          <w:r>
            <w:tab/>
          </w:r>
          <w:r>
            <w:fldChar w:fldCharType="begin"/>
          </w:r>
          <w:r>
            <w:instrText xml:space="preserve"> PAGEREF _Toc9248 \h </w:instrText>
          </w:r>
          <w:r>
            <w:fldChar w:fldCharType="separate"/>
          </w:r>
          <w:r>
            <w:t>27</w:t>
          </w:r>
          <w:r>
            <w:fldChar w:fldCharType="end"/>
          </w:r>
          <w:r>
            <w:rPr>
              <w:rFonts w:ascii="仿宋" w:hAnsi="仿宋" w:eastAsia="仿宋" w:cs="仿宋"/>
              <w:szCs w:val="31"/>
              <w:highlight w:val="none"/>
            </w:rPr>
            <w:fldChar w:fldCharType="end"/>
          </w:r>
        </w:p>
        <w:p w14:paraId="74E58715">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_Toc19376 </w:instrText>
          </w:r>
          <w:r>
            <w:rPr>
              <w:rFonts w:ascii="仿宋" w:hAnsi="仿宋" w:eastAsia="仿宋" w:cs="仿宋"/>
              <w:szCs w:val="31"/>
              <w:highlight w:val="none"/>
            </w:rPr>
            <w:fldChar w:fldCharType="separate"/>
          </w:r>
          <w:r>
            <w:rPr>
              <w:rFonts w:ascii="宋体" w:hAnsi="宋体" w:eastAsia="宋体" w:cs="宋体"/>
              <w:bCs/>
              <w:spacing w:val="4"/>
              <w:szCs w:val="31"/>
              <w:highlight w:val="none"/>
            </w:rPr>
            <w:t>（五）投标文件的提交</w:t>
          </w:r>
          <w:r>
            <w:tab/>
          </w:r>
          <w:r>
            <w:fldChar w:fldCharType="begin"/>
          </w:r>
          <w:r>
            <w:instrText xml:space="preserve"> PAGEREF _Toc19376 \h </w:instrText>
          </w:r>
          <w:r>
            <w:fldChar w:fldCharType="separate"/>
          </w:r>
          <w:r>
            <w:t>32</w:t>
          </w:r>
          <w:r>
            <w:fldChar w:fldCharType="end"/>
          </w:r>
          <w:r>
            <w:rPr>
              <w:rFonts w:ascii="仿宋" w:hAnsi="仿宋" w:eastAsia="仿宋" w:cs="仿宋"/>
              <w:szCs w:val="31"/>
              <w:highlight w:val="none"/>
            </w:rPr>
            <w:fldChar w:fldCharType="end"/>
          </w:r>
        </w:p>
        <w:p w14:paraId="7FB083CA">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_Toc21366 </w:instrText>
          </w:r>
          <w:r>
            <w:rPr>
              <w:rFonts w:ascii="仿宋" w:hAnsi="仿宋" w:eastAsia="仿宋" w:cs="仿宋"/>
              <w:szCs w:val="31"/>
              <w:highlight w:val="none"/>
            </w:rPr>
            <w:fldChar w:fldCharType="separate"/>
          </w:r>
          <w:r>
            <w:rPr>
              <w:rFonts w:ascii="宋体" w:hAnsi="宋体" w:eastAsia="宋体" w:cs="宋体"/>
              <w:bCs/>
              <w:szCs w:val="31"/>
              <w:highlight w:val="none"/>
            </w:rPr>
            <w:t>（六）开标</w:t>
          </w:r>
          <w:r>
            <w:tab/>
          </w:r>
          <w:r>
            <w:fldChar w:fldCharType="begin"/>
          </w:r>
          <w:r>
            <w:instrText xml:space="preserve"> PAGEREF _Toc21366 \h </w:instrText>
          </w:r>
          <w:r>
            <w:fldChar w:fldCharType="separate"/>
          </w:r>
          <w:r>
            <w:t>32</w:t>
          </w:r>
          <w:r>
            <w:fldChar w:fldCharType="end"/>
          </w:r>
          <w:r>
            <w:rPr>
              <w:rFonts w:ascii="仿宋" w:hAnsi="仿宋" w:eastAsia="仿宋" w:cs="仿宋"/>
              <w:szCs w:val="31"/>
              <w:highlight w:val="none"/>
            </w:rPr>
            <w:fldChar w:fldCharType="end"/>
          </w:r>
        </w:p>
        <w:p w14:paraId="26CC3C31">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_Toc27704 </w:instrText>
          </w:r>
          <w:r>
            <w:rPr>
              <w:rFonts w:ascii="仿宋" w:hAnsi="仿宋" w:eastAsia="仿宋" w:cs="仿宋"/>
              <w:szCs w:val="31"/>
              <w:highlight w:val="none"/>
            </w:rPr>
            <w:fldChar w:fldCharType="separate"/>
          </w:r>
          <w:r>
            <w:rPr>
              <w:rFonts w:ascii="宋体" w:hAnsi="宋体" w:eastAsia="宋体" w:cs="宋体"/>
              <w:bCs/>
              <w:spacing w:val="2"/>
              <w:szCs w:val="31"/>
              <w:highlight w:val="none"/>
            </w:rPr>
            <w:t>（七）评标、定标</w:t>
          </w:r>
          <w:r>
            <w:tab/>
          </w:r>
          <w:r>
            <w:fldChar w:fldCharType="begin"/>
          </w:r>
          <w:r>
            <w:instrText xml:space="preserve"> PAGEREF _Toc27704 \h </w:instrText>
          </w:r>
          <w:r>
            <w:fldChar w:fldCharType="separate"/>
          </w:r>
          <w:r>
            <w:t>33</w:t>
          </w:r>
          <w:r>
            <w:fldChar w:fldCharType="end"/>
          </w:r>
          <w:r>
            <w:rPr>
              <w:rFonts w:ascii="仿宋" w:hAnsi="仿宋" w:eastAsia="仿宋" w:cs="仿宋"/>
              <w:szCs w:val="31"/>
              <w:highlight w:val="none"/>
            </w:rPr>
            <w:fldChar w:fldCharType="end"/>
          </w:r>
        </w:p>
        <w:p w14:paraId="79505A33">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_Toc20325 </w:instrText>
          </w:r>
          <w:r>
            <w:rPr>
              <w:rFonts w:ascii="仿宋" w:hAnsi="仿宋" w:eastAsia="仿宋" w:cs="仿宋"/>
              <w:szCs w:val="31"/>
              <w:highlight w:val="none"/>
            </w:rPr>
            <w:fldChar w:fldCharType="separate"/>
          </w:r>
          <w:r>
            <w:rPr>
              <w:rFonts w:ascii="宋体" w:hAnsi="宋体" w:eastAsia="宋体" w:cs="宋体"/>
              <w:bCs/>
              <w:spacing w:val="-7"/>
              <w:szCs w:val="30"/>
              <w:highlight w:val="none"/>
            </w:rPr>
            <w:t>（九）</w:t>
          </w:r>
          <w:r>
            <w:rPr>
              <w:rFonts w:ascii="宋体" w:hAnsi="宋体" w:eastAsia="宋体" w:cs="宋体"/>
              <w:spacing w:val="-79"/>
              <w:szCs w:val="30"/>
              <w:highlight w:val="none"/>
            </w:rPr>
            <w:t xml:space="preserve"> </w:t>
          </w:r>
          <w:r>
            <w:rPr>
              <w:rFonts w:ascii="宋体" w:hAnsi="宋体" w:eastAsia="宋体" w:cs="宋体"/>
              <w:bCs/>
              <w:spacing w:val="-7"/>
              <w:szCs w:val="30"/>
              <w:highlight w:val="none"/>
            </w:rPr>
            <w:t>综合评分法技术标（60</w:t>
          </w:r>
          <w:r>
            <w:rPr>
              <w:rFonts w:ascii="宋体" w:hAnsi="宋体" w:eastAsia="宋体" w:cs="宋体"/>
              <w:spacing w:val="-57"/>
              <w:szCs w:val="30"/>
              <w:highlight w:val="none"/>
            </w:rPr>
            <w:t xml:space="preserve"> </w:t>
          </w:r>
          <w:r>
            <w:rPr>
              <w:rFonts w:ascii="宋体" w:hAnsi="宋体" w:eastAsia="宋体" w:cs="宋体"/>
              <w:bCs/>
              <w:spacing w:val="-7"/>
              <w:szCs w:val="30"/>
              <w:highlight w:val="none"/>
            </w:rPr>
            <w:t>分）分值计分方法</w:t>
          </w:r>
          <w:r>
            <w:tab/>
          </w:r>
          <w:r>
            <w:fldChar w:fldCharType="begin"/>
          </w:r>
          <w:r>
            <w:instrText xml:space="preserve"> PAGEREF _Toc20325 \h </w:instrText>
          </w:r>
          <w:r>
            <w:fldChar w:fldCharType="separate"/>
          </w:r>
          <w:r>
            <w:t>38</w:t>
          </w:r>
          <w:r>
            <w:fldChar w:fldCharType="end"/>
          </w:r>
          <w:r>
            <w:rPr>
              <w:rFonts w:ascii="仿宋" w:hAnsi="仿宋" w:eastAsia="仿宋" w:cs="仿宋"/>
              <w:szCs w:val="31"/>
              <w:highlight w:val="none"/>
            </w:rPr>
            <w:fldChar w:fldCharType="end"/>
          </w:r>
        </w:p>
        <w:p w14:paraId="0B7C964C">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_Toc9326 </w:instrText>
          </w:r>
          <w:r>
            <w:rPr>
              <w:rFonts w:ascii="仿宋" w:hAnsi="仿宋" w:eastAsia="仿宋" w:cs="仿宋"/>
              <w:szCs w:val="31"/>
              <w:highlight w:val="none"/>
            </w:rPr>
            <w:fldChar w:fldCharType="separate"/>
          </w:r>
          <w:r>
            <w:rPr>
              <w:rFonts w:ascii="宋体" w:hAnsi="宋体" w:eastAsia="宋体" w:cs="宋体"/>
              <w:bCs/>
              <w:spacing w:val="-7"/>
              <w:szCs w:val="30"/>
              <w:highlight w:val="none"/>
            </w:rPr>
            <w:t>（十）评标结果</w:t>
          </w:r>
          <w:r>
            <w:tab/>
          </w:r>
          <w:r>
            <w:fldChar w:fldCharType="begin"/>
          </w:r>
          <w:r>
            <w:instrText xml:space="preserve"> PAGEREF _Toc9326 \h </w:instrText>
          </w:r>
          <w:r>
            <w:fldChar w:fldCharType="separate"/>
          </w:r>
          <w:r>
            <w:t>48</w:t>
          </w:r>
          <w:r>
            <w:fldChar w:fldCharType="end"/>
          </w:r>
          <w:r>
            <w:rPr>
              <w:rFonts w:ascii="仿宋" w:hAnsi="仿宋" w:eastAsia="仿宋" w:cs="仿宋"/>
              <w:szCs w:val="31"/>
              <w:highlight w:val="none"/>
            </w:rPr>
            <w:fldChar w:fldCharType="end"/>
          </w:r>
        </w:p>
        <w:p w14:paraId="741F81EA">
          <w:pPr>
            <w:pStyle w:val="7"/>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_Toc21713 </w:instrText>
          </w:r>
          <w:r>
            <w:rPr>
              <w:rFonts w:ascii="仿宋" w:hAnsi="仿宋" w:eastAsia="仿宋" w:cs="仿宋"/>
              <w:szCs w:val="31"/>
              <w:highlight w:val="none"/>
            </w:rPr>
            <w:fldChar w:fldCharType="separate"/>
          </w:r>
          <w:r>
            <w:rPr>
              <w:rFonts w:ascii="宋体" w:hAnsi="宋体" w:eastAsia="宋体" w:cs="宋体"/>
              <w:bCs/>
              <w:spacing w:val="-5"/>
              <w:szCs w:val="36"/>
              <w:highlight w:val="none"/>
            </w:rPr>
            <w:t>第三章合同条款</w:t>
          </w:r>
          <w:r>
            <w:tab/>
          </w:r>
          <w:r>
            <w:fldChar w:fldCharType="begin"/>
          </w:r>
          <w:r>
            <w:instrText xml:space="preserve"> PAGEREF _Toc21713 \h </w:instrText>
          </w:r>
          <w:r>
            <w:fldChar w:fldCharType="separate"/>
          </w:r>
          <w:r>
            <w:t>52</w:t>
          </w:r>
          <w:r>
            <w:fldChar w:fldCharType="end"/>
          </w:r>
          <w:r>
            <w:rPr>
              <w:rFonts w:ascii="仿宋" w:hAnsi="仿宋" w:eastAsia="仿宋" w:cs="仿宋"/>
              <w:szCs w:val="31"/>
              <w:highlight w:val="none"/>
            </w:rPr>
            <w:fldChar w:fldCharType="end"/>
          </w:r>
        </w:p>
        <w:p w14:paraId="3851E3E0">
          <w:pPr>
            <w:pStyle w:val="7"/>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_Toc29602 </w:instrText>
          </w:r>
          <w:r>
            <w:rPr>
              <w:rFonts w:ascii="仿宋" w:hAnsi="仿宋" w:eastAsia="仿宋" w:cs="仿宋"/>
              <w:szCs w:val="31"/>
              <w:highlight w:val="none"/>
            </w:rPr>
            <w:fldChar w:fldCharType="separate"/>
          </w:r>
          <w:r>
            <w:rPr>
              <w:rFonts w:ascii="宋体" w:hAnsi="宋体" w:eastAsia="宋体" w:cs="宋体"/>
              <w:bCs/>
              <w:spacing w:val="4"/>
              <w:szCs w:val="43"/>
              <w:highlight w:val="none"/>
            </w:rPr>
            <w:t>第四章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投标文件格式</w:t>
          </w:r>
          <w:r>
            <w:tab/>
          </w:r>
          <w:r>
            <w:fldChar w:fldCharType="begin"/>
          </w:r>
          <w:r>
            <w:instrText xml:space="preserve"> PAGEREF _Toc29602 \h </w:instrText>
          </w:r>
          <w:r>
            <w:fldChar w:fldCharType="separate"/>
          </w:r>
          <w:r>
            <w:t>109</w:t>
          </w:r>
          <w:r>
            <w:fldChar w:fldCharType="end"/>
          </w:r>
          <w:r>
            <w:rPr>
              <w:rFonts w:ascii="仿宋" w:hAnsi="仿宋" w:eastAsia="仿宋" w:cs="仿宋"/>
              <w:szCs w:val="31"/>
              <w:highlight w:val="none"/>
            </w:rPr>
            <w:fldChar w:fldCharType="end"/>
          </w:r>
        </w:p>
        <w:p w14:paraId="4BD66DF3">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_Toc3060 </w:instrText>
          </w:r>
          <w:r>
            <w:rPr>
              <w:rFonts w:ascii="仿宋" w:hAnsi="仿宋" w:eastAsia="仿宋" w:cs="仿宋"/>
              <w:szCs w:val="31"/>
              <w:highlight w:val="none"/>
            </w:rPr>
            <w:fldChar w:fldCharType="separate"/>
          </w:r>
          <w:r>
            <w:rPr>
              <w:rFonts w:ascii="宋体" w:hAnsi="宋体" w:eastAsia="宋体" w:cs="宋体"/>
              <w:bCs/>
              <w:spacing w:val="1"/>
              <w:szCs w:val="31"/>
              <w:highlight w:val="none"/>
            </w:rPr>
            <w:t>（一）商务标</w:t>
          </w:r>
          <w:r>
            <w:tab/>
          </w:r>
          <w:r>
            <w:fldChar w:fldCharType="begin"/>
          </w:r>
          <w:r>
            <w:instrText xml:space="preserve"> PAGEREF _Toc3060 \h </w:instrText>
          </w:r>
          <w:r>
            <w:fldChar w:fldCharType="separate"/>
          </w:r>
          <w:r>
            <w:t>109</w:t>
          </w:r>
          <w:r>
            <w:fldChar w:fldCharType="end"/>
          </w:r>
          <w:r>
            <w:rPr>
              <w:rFonts w:ascii="仿宋" w:hAnsi="仿宋" w:eastAsia="仿宋" w:cs="仿宋"/>
              <w:szCs w:val="31"/>
              <w:highlight w:val="none"/>
            </w:rPr>
            <w:fldChar w:fldCharType="end"/>
          </w:r>
        </w:p>
        <w:p w14:paraId="4372B97A">
          <w:pPr>
            <w:pStyle w:val="8"/>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_Toc5794 </w:instrText>
          </w:r>
          <w:r>
            <w:rPr>
              <w:rFonts w:ascii="仿宋" w:hAnsi="仿宋" w:eastAsia="仿宋" w:cs="仿宋"/>
              <w:szCs w:val="31"/>
              <w:highlight w:val="none"/>
            </w:rPr>
            <w:fldChar w:fldCharType="separate"/>
          </w:r>
          <w:r>
            <w:rPr>
              <w:rFonts w:ascii="宋体" w:hAnsi="宋体" w:eastAsia="宋体" w:cs="宋体"/>
              <w:bCs/>
              <w:spacing w:val="1"/>
              <w:szCs w:val="31"/>
              <w:highlight w:val="none"/>
            </w:rPr>
            <w:t>（二）技术标</w:t>
          </w:r>
          <w:r>
            <w:tab/>
          </w:r>
          <w:r>
            <w:fldChar w:fldCharType="begin"/>
          </w:r>
          <w:r>
            <w:instrText xml:space="preserve"> PAGEREF _Toc5794 \h </w:instrText>
          </w:r>
          <w:r>
            <w:fldChar w:fldCharType="separate"/>
          </w:r>
          <w:r>
            <w:t>114</w:t>
          </w:r>
          <w:r>
            <w:fldChar w:fldCharType="end"/>
          </w:r>
          <w:r>
            <w:rPr>
              <w:rFonts w:ascii="仿宋" w:hAnsi="仿宋" w:eastAsia="仿宋" w:cs="仿宋"/>
              <w:szCs w:val="31"/>
              <w:highlight w:val="none"/>
            </w:rPr>
            <w:fldChar w:fldCharType="end"/>
          </w:r>
        </w:p>
        <w:p w14:paraId="4A4F431F">
          <w:pPr>
            <w:pStyle w:val="7"/>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_Toc9689 </w:instrText>
          </w:r>
          <w:r>
            <w:rPr>
              <w:rFonts w:ascii="仿宋" w:hAnsi="仿宋" w:eastAsia="仿宋" w:cs="仿宋"/>
              <w:szCs w:val="31"/>
              <w:highlight w:val="none"/>
            </w:rPr>
            <w:fldChar w:fldCharType="separate"/>
          </w:r>
          <w:r>
            <w:rPr>
              <w:rFonts w:ascii="宋体" w:hAnsi="宋体" w:eastAsia="宋体" w:cs="宋体"/>
              <w:bCs/>
              <w:spacing w:val="-4"/>
              <w:szCs w:val="36"/>
              <w:highlight w:val="none"/>
            </w:rPr>
            <w:t>第五章工程技术经济要求</w:t>
          </w:r>
          <w:r>
            <w:tab/>
          </w:r>
          <w:r>
            <w:fldChar w:fldCharType="begin"/>
          </w:r>
          <w:r>
            <w:instrText xml:space="preserve"> PAGEREF _Toc9689 \h </w:instrText>
          </w:r>
          <w:r>
            <w:fldChar w:fldCharType="separate"/>
          </w:r>
          <w:r>
            <w:t>134</w:t>
          </w:r>
          <w:r>
            <w:fldChar w:fldCharType="end"/>
          </w:r>
          <w:r>
            <w:rPr>
              <w:rFonts w:ascii="仿宋" w:hAnsi="仿宋" w:eastAsia="仿宋" w:cs="仿宋"/>
              <w:szCs w:val="31"/>
              <w:highlight w:val="none"/>
            </w:rPr>
            <w:fldChar w:fldCharType="end"/>
          </w:r>
        </w:p>
        <w:p w14:paraId="31FE3059">
          <w:pPr>
            <w:pStyle w:val="7"/>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_Toc11232 </w:instrText>
          </w:r>
          <w:r>
            <w:rPr>
              <w:rFonts w:ascii="仿宋" w:hAnsi="仿宋" w:eastAsia="仿宋" w:cs="仿宋"/>
              <w:szCs w:val="31"/>
              <w:highlight w:val="none"/>
            </w:rPr>
            <w:fldChar w:fldCharType="separate"/>
          </w:r>
          <w:r>
            <w:rPr>
              <w:rFonts w:ascii="宋体" w:hAnsi="宋体" w:eastAsia="宋体" w:cs="宋体"/>
              <w:bCs/>
              <w:spacing w:val="-4"/>
              <w:szCs w:val="36"/>
              <w:highlight w:val="none"/>
            </w:rPr>
            <w:t>第六章施工图设计文件</w:t>
          </w:r>
          <w:r>
            <w:tab/>
          </w:r>
          <w:r>
            <w:fldChar w:fldCharType="begin"/>
          </w:r>
          <w:r>
            <w:instrText xml:space="preserve"> PAGEREF _Toc11232 \h </w:instrText>
          </w:r>
          <w:r>
            <w:fldChar w:fldCharType="separate"/>
          </w:r>
          <w:r>
            <w:t>134</w:t>
          </w:r>
          <w:r>
            <w:fldChar w:fldCharType="end"/>
          </w:r>
          <w:r>
            <w:rPr>
              <w:rFonts w:ascii="仿宋" w:hAnsi="仿宋" w:eastAsia="仿宋" w:cs="仿宋"/>
              <w:szCs w:val="31"/>
              <w:highlight w:val="none"/>
            </w:rPr>
            <w:fldChar w:fldCharType="end"/>
          </w:r>
        </w:p>
        <w:p w14:paraId="26C4D897">
          <w:pPr>
            <w:pStyle w:val="7"/>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_Toc31353 </w:instrText>
          </w:r>
          <w:r>
            <w:rPr>
              <w:rFonts w:ascii="仿宋" w:hAnsi="仿宋" w:eastAsia="仿宋" w:cs="仿宋"/>
              <w:szCs w:val="31"/>
              <w:highlight w:val="none"/>
            </w:rPr>
            <w:fldChar w:fldCharType="separate"/>
          </w:r>
          <w:r>
            <w:rPr>
              <w:rFonts w:ascii="宋体" w:hAnsi="宋体" w:eastAsia="宋体" w:cs="宋体"/>
              <w:bCs/>
              <w:spacing w:val="-5"/>
              <w:szCs w:val="36"/>
              <w:highlight w:val="none"/>
            </w:rPr>
            <w:t>第七章其他资料</w:t>
          </w:r>
          <w:r>
            <w:tab/>
          </w:r>
          <w:r>
            <w:fldChar w:fldCharType="begin"/>
          </w:r>
          <w:r>
            <w:instrText xml:space="preserve"> PAGEREF _Toc31353 \h </w:instrText>
          </w:r>
          <w:r>
            <w:fldChar w:fldCharType="separate"/>
          </w:r>
          <w:r>
            <w:t>134</w:t>
          </w:r>
          <w:r>
            <w:fldChar w:fldCharType="end"/>
          </w:r>
          <w:r>
            <w:rPr>
              <w:rFonts w:ascii="仿宋" w:hAnsi="仿宋" w:eastAsia="仿宋" w:cs="仿宋"/>
              <w:szCs w:val="31"/>
              <w:highlight w:val="none"/>
            </w:rPr>
            <w:fldChar w:fldCharType="end"/>
          </w:r>
        </w:p>
        <w:p w14:paraId="3DFC7566">
          <w:pPr>
            <w:pStyle w:val="7"/>
            <w:tabs>
              <w:tab w:val="right" w:leader="dot" w:pos="9100"/>
            </w:tabs>
          </w:pPr>
          <w:r>
            <w:rPr>
              <w:rFonts w:ascii="仿宋" w:hAnsi="仿宋" w:eastAsia="仿宋" w:cs="仿宋"/>
              <w:szCs w:val="31"/>
              <w:highlight w:val="none"/>
            </w:rPr>
            <w:fldChar w:fldCharType="begin"/>
          </w:r>
          <w:r>
            <w:rPr>
              <w:rFonts w:ascii="仿宋" w:hAnsi="仿宋" w:eastAsia="仿宋" w:cs="仿宋"/>
              <w:szCs w:val="31"/>
              <w:highlight w:val="none"/>
            </w:rPr>
            <w:instrText xml:space="preserve"> HYPERLINK \l _Toc14737 </w:instrText>
          </w:r>
          <w:r>
            <w:rPr>
              <w:rFonts w:ascii="仿宋" w:hAnsi="仿宋" w:eastAsia="仿宋" w:cs="仿宋"/>
              <w:szCs w:val="31"/>
              <w:highlight w:val="none"/>
            </w:rPr>
            <w:fldChar w:fldCharType="separate"/>
          </w:r>
          <w:r>
            <w:rPr>
              <w:rFonts w:ascii="宋体" w:hAnsi="宋体" w:eastAsia="宋体" w:cs="宋体"/>
              <w:bCs/>
              <w:spacing w:val="-4"/>
              <w:szCs w:val="36"/>
              <w:highlight w:val="none"/>
            </w:rPr>
            <w:t>第八章不见面开标注意事项</w:t>
          </w:r>
          <w:r>
            <w:tab/>
          </w:r>
          <w:r>
            <w:fldChar w:fldCharType="begin"/>
          </w:r>
          <w:r>
            <w:instrText xml:space="preserve"> PAGEREF _Toc14737 \h </w:instrText>
          </w:r>
          <w:r>
            <w:fldChar w:fldCharType="separate"/>
          </w:r>
          <w:r>
            <w:t>134</w:t>
          </w:r>
          <w:r>
            <w:fldChar w:fldCharType="end"/>
          </w:r>
          <w:r>
            <w:rPr>
              <w:rFonts w:ascii="仿宋" w:hAnsi="仿宋" w:eastAsia="仿宋" w:cs="仿宋"/>
              <w:szCs w:val="31"/>
              <w:highlight w:val="none"/>
            </w:rPr>
            <w:fldChar w:fldCharType="end"/>
          </w:r>
        </w:p>
        <w:p w14:paraId="02FBB457">
          <w:pPr>
            <w:spacing w:line="224" w:lineRule="auto"/>
            <w:rPr>
              <w:rFonts w:ascii="仿宋" w:hAnsi="仿宋" w:eastAsia="仿宋" w:cs="仿宋"/>
              <w:snapToGrid w:val="0"/>
              <w:color w:val="000000"/>
              <w:kern w:val="0"/>
              <w:sz w:val="21"/>
              <w:szCs w:val="31"/>
              <w:highlight w:val="none"/>
              <w:lang w:val="en-US" w:eastAsia="en-US" w:bidi="ar-SA"/>
            </w:rPr>
          </w:pPr>
          <w:r>
            <w:rPr>
              <w:rFonts w:ascii="仿宋" w:hAnsi="仿宋" w:eastAsia="仿宋" w:cs="仿宋"/>
              <w:szCs w:val="31"/>
              <w:highlight w:val="none"/>
            </w:rPr>
            <w:fldChar w:fldCharType="end"/>
          </w:r>
        </w:p>
      </w:sdtContent>
    </w:sdt>
    <w:p w14:paraId="0B14349C">
      <w:pPr>
        <w:spacing w:line="224" w:lineRule="auto"/>
        <w:rPr>
          <w:rFonts w:ascii="仿宋" w:hAnsi="仿宋" w:eastAsia="仿宋" w:cs="仿宋"/>
          <w:snapToGrid w:val="0"/>
          <w:color w:val="000000"/>
          <w:kern w:val="0"/>
          <w:sz w:val="21"/>
          <w:szCs w:val="31"/>
          <w:highlight w:val="none"/>
          <w:lang w:val="en-US" w:eastAsia="en-US" w:bidi="ar-SA"/>
        </w:rPr>
      </w:pPr>
    </w:p>
    <w:p w14:paraId="6A16A386">
      <w:pPr>
        <w:bidi w:val="0"/>
        <w:rPr>
          <w:rFonts w:ascii="Arial" w:hAnsi="Arial" w:eastAsia="Arial" w:cs="Arial"/>
          <w:snapToGrid w:val="0"/>
          <w:color w:val="000000"/>
          <w:kern w:val="0"/>
          <w:sz w:val="21"/>
          <w:szCs w:val="21"/>
          <w:lang w:val="en-US" w:eastAsia="en-US" w:bidi="ar-SA"/>
        </w:rPr>
      </w:pPr>
    </w:p>
    <w:p w14:paraId="6EA34C0E">
      <w:pPr>
        <w:bidi w:val="0"/>
        <w:rPr>
          <w:lang w:val="en-US" w:eastAsia="en-US"/>
        </w:rPr>
      </w:pPr>
    </w:p>
    <w:p w14:paraId="51BDAF77">
      <w:pPr>
        <w:bidi w:val="0"/>
        <w:rPr>
          <w:lang w:val="en-US" w:eastAsia="en-US"/>
        </w:rPr>
      </w:pPr>
    </w:p>
    <w:p w14:paraId="2EA688DC">
      <w:pPr>
        <w:bidi w:val="0"/>
        <w:rPr>
          <w:lang w:val="en-US" w:eastAsia="en-US"/>
        </w:rPr>
      </w:pPr>
    </w:p>
    <w:p w14:paraId="692C9D81">
      <w:pPr>
        <w:bidi w:val="0"/>
        <w:rPr>
          <w:lang w:val="en-US" w:eastAsia="en-US"/>
        </w:rPr>
      </w:pPr>
    </w:p>
    <w:p w14:paraId="0D548924">
      <w:pPr>
        <w:tabs>
          <w:tab w:val="left" w:pos="3551"/>
        </w:tabs>
        <w:bidi w:val="0"/>
        <w:jc w:val="left"/>
        <w:rPr>
          <w:rFonts w:hint="eastAsia" w:eastAsia="宋体"/>
          <w:lang w:val="en-US" w:eastAsia="zh-CN"/>
        </w:rPr>
        <w:sectPr>
          <w:footerReference r:id="rId5" w:type="default"/>
          <w:pgSz w:w="11907" w:h="16839"/>
          <w:pgMar w:top="1431" w:right="1074" w:bottom="1199" w:left="1733" w:header="0" w:footer="966" w:gutter="0"/>
          <w:cols w:space="720" w:num="1"/>
        </w:sectPr>
      </w:pPr>
      <w:r>
        <w:rPr>
          <w:rFonts w:hint="eastAsia" w:eastAsia="宋体"/>
          <w:lang w:val="en-US" w:eastAsia="zh-CN"/>
        </w:rPr>
        <w:tab/>
      </w:r>
    </w:p>
    <w:p w14:paraId="764777DC">
      <w:pPr>
        <w:keepNext w:val="0"/>
        <w:keepLines w:val="0"/>
        <w:widowControl/>
        <w:suppressLineNumbers w:val="0"/>
        <w:spacing w:before="132" w:beforeAutospacing="0" w:after="0" w:afterAutospacing="1"/>
        <w:ind w:left="0" w:right="0"/>
        <w:jc w:val="center"/>
        <w:outlineLvl w:val="0"/>
      </w:pPr>
      <w:bookmarkStart w:id="0" w:name="bookmark20"/>
      <w:bookmarkEnd w:id="0"/>
      <w:bookmarkStart w:id="1" w:name="_Toc10255"/>
      <w:r>
        <w:rPr>
          <w:rFonts w:ascii="华文中宋" w:hAnsi="华文中宋" w:eastAsia="华文中宋" w:cs="华文中宋"/>
          <w:b/>
          <w:bCs/>
          <w:sz w:val="43"/>
          <w:szCs w:val="43"/>
          <w:highlight w:val="none"/>
        </w:rPr>
        <w:t>第一章</w:t>
      </w:r>
      <w:r>
        <w:rPr>
          <w:rFonts w:ascii="华文中宋" w:hAnsi="华文中宋" w:eastAsia="华文中宋" w:cs="华文中宋"/>
          <w:spacing w:val="17"/>
          <w:sz w:val="43"/>
          <w:szCs w:val="43"/>
          <w:highlight w:val="none"/>
        </w:rPr>
        <w:t xml:space="preserve">   </w:t>
      </w:r>
      <w:bookmarkEnd w:id="1"/>
      <w:r>
        <w:rPr>
          <w:rFonts w:hint="default" w:ascii="华文中宋" w:hAnsi="华文中宋" w:eastAsia="华文中宋" w:cs="华文中宋"/>
          <w:b/>
          <w:bCs/>
          <w:snapToGrid w:val="0"/>
          <w:color w:val="000000"/>
          <w:kern w:val="0"/>
          <w:sz w:val="40"/>
          <w:szCs w:val="40"/>
          <w:lang w:val="en-US" w:eastAsia="zh-CN" w:bidi="ar"/>
        </w:rPr>
        <w:t>招标公告</w:t>
      </w:r>
    </w:p>
    <w:p w14:paraId="37B55E57">
      <w:pPr>
        <w:keepNext w:val="0"/>
        <w:keepLines w:val="0"/>
        <w:widowControl/>
        <w:suppressLineNumbers w:val="0"/>
        <w:spacing w:before="217" w:beforeAutospacing="0" w:after="0" w:afterAutospacing="1"/>
        <w:ind w:left="18" w:right="0"/>
        <w:jc w:val="left"/>
      </w:pPr>
      <w:r>
        <w:rPr>
          <w:rFonts w:ascii="仿宋" w:hAnsi="仿宋" w:eastAsia="仿宋" w:cs="仿宋"/>
          <w:snapToGrid w:val="0"/>
          <w:color w:val="000000"/>
          <w:spacing w:val="-2"/>
          <w:kern w:val="0"/>
          <w:sz w:val="28"/>
          <w:szCs w:val="28"/>
          <w:lang w:val="en-US" w:eastAsia="zh-CN" w:bidi="ar"/>
        </w:rPr>
        <w:t>一、招标编号：</w:t>
      </w:r>
    </w:p>
    <w:p w14:paraId="0FFB7E70">
      <w:pPr>
        <w:keepNext w:val="0"/>
        <w:keepLines w:val="0"/>
        <w:widowControl/>
        <w:suppressLineNumbers w:val="0"/>
        <w:spacing w:before="217" w:beforeAutospacing="0" w:after="0" w:afterAutospacing="1"/>
        <w:ind w:left="18" w:right="0"/>
        <w:jc w:val="left"/>
      </w:pPr>
      <w:r>
        <w:rPr>
          <w:rFonts w:hint="eastAsia" w:ascii="仿宋" w:hAnsi="仿宋" w:eastAsia="仿宋" w:cs="仿宋"/>
          <w:snapToGrid w:val="0"/>
          <w:color w:val="000000"/>
          <w:spacing w:val="-2"/>
          <w:kern w:val="0"/>
          <w:sz w:val="28"/>
          <w:szCs w:val="28"/>
          <w:lang w:val="en-US" w:eastAsia="zh-CN" w:bidi="ar"/>
        </w:rPr>
        <w:t>二、项目名称：</w:t>
      </w:r>
      <w:bookmarkStart w:id="23" w:name="_GoBack"/>
      <w:bookmarkEnd w:id="23"/>
      <w:r>
        <w:rPr>
          <w:rFonts w:hint="eastAsia" w:ascii="仿宋" w:hAnsi="仿宋" w:eastAsia="仿宋" w:cs="仿宋"/>
          <w:snapToGrid w:val="0"/>
          <w:color w:val="000000"/>
          <w:spacing w:val="-2"/>
          <w:kern w:val="0"/>
          <w:sz w:val="28"/>
          <w:szCs w:val="28"/>
          <w:lang w:val="en-US" w:eastAsia="zh-CN" w:bidi="ar"/>
        </w:rPr>
        <w:t>2026年三流乡双塔寺村龙虾交易大市场项目(EPCO)</w:t>
      </w:r>
    </w:p>
    <w:p w14:paraId="143997C6">
      <w:pPr>
        <w:keepNext w:val="0"/>
        <w:keepLines w:val="0"/>
        <w:widowControl/>
        <w:suppressLineNumbers w:val="0"/>
        <w:spacing w:before="217" w:beforeAutospacing="0" w:after="0" w:afterAutospacing="1"/>
        <w:ind w:left="18" w:right="0"/>
        <w:jc w:val="left"/>
      </w:pPr>
      <w:r>
        <w:rPr>
          <w:rFonts w:hint="eastAsia" w:ascii="仿宋" w:hAnsi="仿宋" w:eastAsia="仿宋" w:cs="仿宋"/>
          <w:snapToGrid w:val="0"/>
          <w:color w:val="000000"/>
          <w:spacing w:val="-2"/>
          <w:kern w:val="0"/>
          <w:sz w:val="28"/>
          <w:szCs w:val="28"/>
          <w:lang w:val="en-US" w:eastAsia="zh-CN" w:bidi="ar"/>
        </w:rPr>
        <w:t>三、项目实施地点：霍邱县三流乡双塔寺村</w:t>
      </w:r>
    </w:p>
    <w:p w14:paraId="5D0E3258">
      <w:pPr>
        <w:keepNext w:val="0"/>
        <w:keepLines w:val="0"/>
        <w:widowControl/>
        <w:suppressLineNumbers w:val="0"/>
        <w:spacing w:before="217" w:beforeAutospacing="0" w:after="0" w:afterAutospacing="1"/>
        <w:ind w:left="18" w:right="0"/>
        <w:jc w:val="left"/>
      </w:pPr>
      <w:r>
        <w:rPr>
          <w:rFonts w:hint="eastAsia" w:ascii="仿宋" w:hAnsi="仿宋" w:eastAsia="仿宋" w:cs="仿宋"/>
          <w:snapToGrid w:val="0"/>
          <w:color w:val="000000"/>
          <w:spacing w:val="-2"/>
          <w:kern w:val="0"/>
          <w:sz w:val="28"/>
          <w:szCs w:val="28"/>
          <w:lang w:val="en-US" w:eastAsia="zh-CN" w:bidi="ar"/>
        </w:rPr>
        <w:t>四、项目实施主体（招标人）：霍邱县三流乡人民政府</w:t>
      </w:r>
    </w:p>
    <w:p w14:paraId="07FA7D21">
      <w:pPr>
        <w:keepNext w:val="0"/>
        <w:keepLines w:val="0"/>
        <w:widowControl/>
        <w:suppressLineNumbers w:val="0"/>
        <w:spacing w:before="217" w:beforeAutospacing="0" w:after="0" w:afterAutospacing="1"/>
        <w:ind w:left="18" w:right="0"/>
        <w:jc w:val="left"/>
      </w:pPr>
      <w:r>
        <w:rPr>
          <w:rFonts w:hint="eastAsia" w:ascii="仿宋" w:hAnsi="仿宋" w:eastAsia="仿宋" w:cs="仿宋"/>
          <w:snapToGrid w:val="0"/>
          <w:color w:val="000000"/>
          <w:spacing w:val="-2"/>
          <w:kern w:val="0"/>
          <w:sz w:val="28"/>
          <w:szCs w:val="28"/>
          <w:lang w:val="en-US" w:eastAsia="zh-CN" w:bidi="ar"/>
        </w:rPr>
        <w:t>五、项目实施主体（招标人）地址：霍邱县三流乡街道</w:t>
      </w:r>
    </w:p>
    <w:p w14:paraId="4423A543">
      <w:pPr>
        <w:keepNext w:val="0"/>
        <w:keepLines w:val="0"/>
        <w:widowControl/>
        <w:suppressLineNumbers w:val="0"/>
        <w:spacing w:before="217" w:beforeAutospacing="0" w:after="0" w:afterAutospacing="1"/>
        <w:ind w:left="18" w:right="0"/>
        <w:jc w:val="left"/>
      </w:pPr>
      <w:r>
        <w:rPr>
          <w:rFonts w:hint="eastAsia" w:ascii="仿宋" w:hAnsi="仿宋" w:eastAsia="仿宋" w:cs="仿宋"/>
          <w:snapToGrid w:val="0"/>
          <w:color w:val="000000"/>
          <w:spacing w:val="-2"/>
          <w:kern w:val="0"/>
          <w:sz w:val="28"/>
          <w:szCs w:val="28"/>
          <w:lang w:val="en-US" w:eastAsia="zh-CN" w:bidi="ar"/>
        </w:rPr>
        <w:t>六、项目类型：工程类</w:t>
      </w:r>
    </w:p>
    <w:p w14:paraId="47CEEEFF">
      <w:pPr>
        <w:keepNext w:val="0"/>
        <w:keepLines w:val="0"/>
        <w:widowControl/>
        <w:suppressLineNumbers w:val="0"/>
        <w:spacing w:before="217" w:beforeAutospacing="0" w:after="0" w:afterAutospacing="1"/>
        <w:ind w:left="18" w:right="0"/>
        <w:jc w:val="left"/>
      </w:pPr>
      <w:r>
        <w:rPr>
          <w:rFonts w:hint="eastAsia" w:ascii="仿宋" w:hAnsi="仿宋" w:eastAsia="仿宋" w:cs="仿宋"/>
          <w:snapToGrid w:val="0"/>
          <w:color w:val="000000"/>
          <w:spacing w:val="-2"/>
          <w:kern w:val="0"/>
          <w:sz w:val="28"/>
          <w:szCs w:val="28"/>
          <w:lang w:val="en-US" w:eastAsia="zh-CN" w:bidi="ar"/>
        </w:rPr>
        <w:t>七、招标方式：公开招标</w:t>
      </w:r>
    </w:p>
    <w:p w14:paraId="53462BD0">
      <w:pPr>
        <w:keepNext w:val="0"/>
        <w:keepLines w:val="0"/>
        <w:widowControl/>
        <w:suppressLineNumbers w:val="0"/>
        <w:spacing w:before="217" w:beforeAutospacing="0" w:after="0" w:afterAutospacing="1"/>
        <w:ind w:left="18" w:right="0"/>
        <w:jc w:val="left"/>
      </w:pPr>
      <w:r>
        <w:rPr>
          <w:rFonts w:hint="eastAsia" w:ascii="仿宋" w:hAnsi="仿宋" w:eastAsia="仿宋" w:cs="仿宋"/>
          <w:snapToGrid w:val="0"/>
          <w:color w:val="000000"/>
          <w:spacing w:val="-2"/>
          <w:kern w:val="0"/>
          <w:sz w:val="28"/>
          <w:szCs w:val="28"/>
          <w:lang w:val="en-US" w:eastAsia="zh-CN" w:bidi="ar"/>
        </w:rPr>
        <w:t>八、项目概况、投资规模：本工程为EPCO总承包建设项目，建设单位以一体化总承包方式招标。建设内容为：项目总建筑面积6508.81㎡，其中1#商业用房建筑面积2442.04㎡，2#商业用房建筑面积2649.77㎡，3#商业用房建筑面积556.92㎡;配电房、保鲜库、冷库建筑面积369.64㎡;公厕建筑面积100.04㎡;污水处理池建筑面积390.4㎡;对原有一栋旧教学楼外立面改造。配套建设消防、给排水、强弱电、停车位等配套设施。</w:t>
      </w:r>
    </w:p>
    <w:p w14:paraId="2D65581A">
      <w:pPr>
        <w:keepNext w:val="0"/>
        <w:keepLines w:val="0"/>
        <w:widowControl/>
        <w:suppressLineNumbers w:val="0"/>
        <w:spacing w:before="217" w:beforeAutospacing="0" w:after="0" w:afterAutospacing="1"/>
        <w:ind w:left="18" w:right="0"/>
        <w:jc w:val="left"/>
        <w:rPr>
          <w:rFonts w:hint="default"/>
          <w:highlight w:val="none"/>
          <w:lang w:val="en-US"/>
        </w:rPr>
      </w:pPr>
      <w:r>
        <w:rPr>
          <w:rFonts w:hint="eastAsia" w:ascii="仿宋" w:hAnsi="仿宋" w:eastAsia="仿宋" w:cs="仿宋"/>
          <w:snapToGrid w:val="0"/>
          <w:color w:val="000000"/>
          <w:spacing w:val="-2"/>
          <w:kern w:val="0"/>
          <w:sz w:val="28"/>
          <w:szCs w:val="28"/>
          <w:highlight w:val="none"/>
          <w:lang w:val="en-US" w:eastAsia="zh-CN" w:bidi="ar"/>
        </w:rPr>
        <w:t>九、资金来源：财政资金+自筹资金</w:t>
      </w:r>
    </w:p>
    <w:p w14:paraId="441918CA">
      <w:pPr>
        <w:keepNext w:val="0"/>
        <w:keepLines w:val="0"/>
        <w:widowControl/>
        <w:suppressLineNumbers w:val="0"/>
        <w:spacing w:before="213" w:beforeAutospacing="0" w:after="0" w:afterAutospacing="1"/>
        <w:ind w:left="8" w:right="0"/>
        <w:jc w:val="left"/>
      </w:pPr>
      <w:r>
        <w:rPr>
          <w:rFonts w:hint="eastAsia" w:ascii="仿宋" w:hAnsi="仿宋" w:eastAsia="仿宋" w:cs="仿宋"/>
          <w:snapToGrid w:val="0"/>
          <w:color w:val="000000"/>
          <w:spacing w:val="-4"/>
          <w:kern w:val="0"/>
          <w:sz w:val="28"/>
          <w:szCs w:val="28"/>
          <w:lang w:val="en-US" w:eastAsia="zh-CN" w:bidi="ar"/>
        </w:rPr>
        <w:t>十、项目期限</w:t>
      </w:r>
      <w:r>
        <w:rPr>
          <w:rFonts w:hint="eastAsia" w:ascii="仿宋" w:hAnsi="仿宋" w:eastAsia="仿宋" w:cs="仿宋"/>
          <w:b/>
          <w:bCs/>
          <w:snapToGrid w:val="0"/>
          <w:color w:val="000000"/>
          <w:spacing w:val="-4"/>
          <w:kern w:val="0"/>
          <w:sz w:val="28"/>
          <w:szCs w:val="28"/>
          <w:lang w:val="en-US" w:eastAsia="zh-CN" w:bidi="ar"/>
        </w:rPr>
        <w:t>：</w:t>
      </w:r>
      <w:r>
        <w:rPr>
          <w:rFonts w:hint="eastAsia" w:ascii="仿宋" w:hAnsi="仿宋" w:eastAsia="仿宋" w:cs="仿宋"/>
          <w:snapToGrid w:val="0"/>
          <w:color w:val="000000" w:themeColor="text1"/>
          <w:spacing w:val="-2"/>
          <w:kern w:val="0"/>
          <w:sz w:val="28"/>
          <w:szCs w:val="28"/>
          <w:highlight w:val="none"/>
          <w:lang w:val="en-US" w:eastAsia="zh-CN" w:bidi="ar"/>
          <w14:textFill>
            <w14:solidFill>
              <w14:schemeClr w14:val="tx1"/>
            </w14:solidFill>
          </w14:textFill>
        </w:rPr>
        <w:t>建设工期120日历天</w:t>
      </w:r>
      <w:r>
        <w:rPr>
          <w:rFonts w:hint="eastAsia" w:ascii="仿宋" w:hAnsi="仿宋" w:eastAsia="仿宋" w:cs="仿宋"/>
          <w:snapToGrid w:val="0"/>
          <w:color w:val="000000"/>
          <w:spacing w:val="-2"/>
          <w:kern w:val="0"/>
          <w:sz w:val="28"/>
          <w:szCs w:val="28"/>
          <w:lang w:val="en-US" w:eastAsia="zh-CN" w:bidi="ar"/>
        </w:rPr>
        <w:t>（包含方案优化、施工图设计及相关专项（业）工程设计及与设计相关的服务，材料、设备采购及安装，工程施工及其他技术服务等），运营服务期10+10年，运营期满后，同等条件下，运营方享有优先续约权。</w:t>
      </w:r>
    </w:p>
    <w:p w14:paraId="4FE0161B">
      <w:pPr>
        <w:keepNext w:val="0"/>
        <w:keepLines w:val="0"/>
        <w:widowControl/>
        <w:suppressLineNumbers w:val="0"/>
        <w:spacing w:before="213" w:beforeAutospacing="0" w:after="0" w:afterAutospacing="1"/>
        <w:ind w:left="8" w:right="0"/>
        <w:jc w:val="left"/>
      </w:pPr>
      <w:r>
        <w:rPr>
          <w:rFonts w:hint="eastAsia" w:ascii="仿宋" w:hAnsi="仿宋" w:eastAsia="仿宋" w:cs="仿宋"/>
          <w:snapToGrid w:val="0"/>
          <w:color w:val="000000"/>
          <w:spacing w:val="-5"/>
          <w:kern w:val="0"/>
          <w:sz w:val="28"/>
          <w:szCs w:val="28"/>
          <w:lang w:val="en-US" w:eastAsia="zh-CN" w:bidi="ar"/>
        </w:rPr>
        <w:t>十一、投标人资质、资格要求：</w:t>
      </w:r>
    </w:p>
    <w:p w14:paraId="3AC92408">
      <w:pPr>
        <w:keepNext w:val="0"/>
        <w:keepLines w:val="0"/>
        <w:widowControl/>
        <w:suppressLineNumbers w:val="0"/>
        <w:spacing w:before="214" w:beforeAutospacing="0" w:after="0" w:afterAutospacing="1" w:line="18" w:lineRule="atLeast"/>
        <w:ind w:left="4" w:right="122" w:firstLine="574"/>
        <w:jc w:val="left"/>
      </w:pPr>
      <w:r>
        <w:rPr>
          <w:rFonts w:hint="eastAsia" w:ascii="仿宋" w:hAnsi="仿宋" w:eastAsia="仿宋" w:cs="仿宋"/>
          <w:snapToGrid w:val="0"/>
          <w:color w:val="000000"/>
          <w:spacing w:val="-2"/>
          <w:kern w:val="0"/>
          <w:sz w:val="28"/>
          <w:szCs w:val="28"/>
          <w:lang w:val="en-US" w:eastAsia="zh-CN" w:bidi="ar"/>
        </w:rPr>
        <w:t>1、投标人资格须同时具有以下资质资格（联合体投标的，由联合体</w:t>
      </w:r>
      <w:r>
        <w:rPr>
          <w:rFonts w:hint="eastAsia" w:ascii="仿宋" w:hAnsi="仿宋" w:eastAsia="仿宋" w:cs="仿宋"/>
          <w:snapToGrid w:val="0"/>
          <w:color w:val="000000"/>
          <w:spacing w:val="-3"/>
          <w:kern w:val="0"/>
          <w:sz w:val="28"/>
          <w:szCs w:val="28"/>
          <w:lang w:val="en-US" w:eastAsia="zh-CN" w:bidi="ar"/>
        </w:rPr>
        <w:t>各成员分别满足对应资质要求</w:t>
      </w:r>
      <w:r>
        <w:rPr>
          <w:rFonts w:hint="eastAsia" w:ascii="仿宋" w:hAnsi="仿宋" w:eastAsia="仿宋" w:cs="仿宋"/>
          <w:snapToGrid w:val="0"/>
          <w:color w:val="000000"/>
          <w:spacing w:val="-11"/>
          <w:kern w:val="0"/>
          <w:sz w:val="28"/>
          <w:szCs w:val="28"/>
          <w:lang w:val="en-US" w:eastAsia="zh-CN" w:bidi="ar"/>
        </w:rPr>
        <w:t>）：</w:t>
      </w:r>
    </w:p>
    <w:p w14:paraId="708589F3">
      <w:pPr>
        <w:keepNext w:val="0"/>
        <w:keepLines w:val="0"/>
        <w:widowControl/>
        <w:suppressLineNumbers w:val="0"/>
        <w:spacing w:before="0" w:beforeAutospacing="1" w:after="0" w:afterAutospacing="1" w:line="14" w:lineRule="atLeast"/>
        <w:ind w:left="23" w:right="102" w:firstLine="544"/>
        <w:jc w:val="left"/>
      </w:pPr>
      <w:r>
        <w:rPr>
          <w:rFonts w:hint="eastAsia" w:ascii="仿宋" w:hAnsi="仿宋" w:eastAsia="仿宋" w:cs="仿宋"/>
          <w:snapToGrid w:val="0"/>
          <w:color w:val="000000"/>
          <w:spacing w:val="-1"/>
          <w:kern w:val="0"/>
          <w:sz w:val="28"/>
          <w:szCs w:val="28"/>
          <w:lang w:val="en-US" w:eastAsia="zh-CN" w:bidi="ar"/>
        </w:rPr>
        <w:t>（1）设计资质要求：具有工程设计综合资质甲级或建筑行业工程设计</w:t>
      </w:r>
      <w:r>
        <w:rPr>
          <w:rFonts w:hint="eastAsia" w:ascii="仿宋" w:hAnsi="仿宋" w:eastAsia="仿宋" w:cs="仿宋"/>
          <w:snapToGrid w:val="0"/>
          <w:color w:val="000000"/>
          <w:spacing w:val="-3"/>
          <w:kern w:val="0"/>
          <w:sz w:val="28"/>
          <w:szCs w:val="28"/>
          <w:lang w:val="en-US" w:eastAsia="zh-CN" w:bidi="ar"/>
        </w:rPr>
        <w:t>乙级及以上资质或建筑行业（建筑工程）设计专业乙级及以上资质；</w:t>
      </w:r>
    </w:p>
    <w:p w14:paraId="026B9966">
      <w:pPr>
        <w:keepNext w:val="0"/>
        <w:keepLines w:val="0"/>
        <w:widowControl/>
        <w:suppressLineNumbers w:val="0"/>
        <w:spacing w:before="216" w:beforeAutospacing="0" w:after="0" w:afterAutospacing="1" w:line="14" w:lineRule="atLeast"/>
        <w:ind w:left="0" w:right="132" w:firstLine="567"/>
        <w:jc w:val="left"/>
      </w:pPr>
      <w:r>
        <w:rPr>
          <w:rFonts w:hint="eastAsia" w:ascii="仿宋" w:hAnsi="仿宋" w:eastAsia="仿宋" w:cs="仿宋"/>
          <w:snapToGrid w:val="0"/>
          <w:color w:val="000000"/>
          <w:spacing w:val="-2"/>
          <w:kern w:val="0"/>
          <w:sz w:val="28"/>
          <w:szCs w:val="28"/>
          <w:lang w:val="en-US" w:eastAsia="zh-CN" w:bidi="ar"/>
        </w:rPr>
        <w:t>（2）施工资质要求：具有建筑工程施工总承包三级及以上资质，具有</w:t>
      </w:r>
      <w:r>
        <w:rPr>
          <w:rFonts w:hint="eastAsia" w:ascii="仿宋" w:hAnsi="仿宋" w:eastAsia="仿宋" w:cs="仿宋"/>
          <w:snapToGrid w:val="0"/>
          <w:color w:val="000000"/>
          <w:spacing w:val="-4"/>
          <w:kern w:val="0"/>
          <w:sz w:val="28"/>
          <w:szCs w:val="28"/>
          <w:lang w:val="en-US" w:eastAsia="zh-CN" w:bidi="ar"/>
        </w:rPr>
        <w:t>有效的安全生产许可证。</w:t>
      </w:r>
    </w:p>
    <w:p w14:paraId="41A8991D">
      <w:pPr>
        <w:keepNext w:val="0"/>
        <w:keepLines w:val="0"/>
        <w:widowControl/>
        <w:suppressLineNumbers w:val="0"/>
        <w:spacing w:before="213" w:beforeAutospacing="0" w:after="0" w:afterAutospacing="1"/>
        <w:ind w:left="567" w:right="0"/>
        <w:jc w:val="left"/>
      </w:pPr>
      <w:r>
        <w:rPr>
          <w:rFonts w:hint="eastAsia" w:ascii="仿宋" w:hAnsi="仿宋" w:eastAsia="仿宋" w:cs="仿宋"/>
          <w:snapToGrid w:val="0"/>
          <w:color w:val="000000"/>
          <w:spacing w:val="-1"/>
          <w:kern w:val="0"/>
          <w:sz w:val="28"/>
          <w:szCs w:val="28"/>
          <w:lang w:val="en-US" w:eastAsia="zh-CN" w:bidi="ar"/>
        </w:rPr>
        <w:t>（3）运营单位资格要求：具有有效的营业执照。</w:t>
      </w:r>
    </w:p>
    <w:p w14:paraId="509E2163">
      <w:pPr>
        <w:keepNext w:val="0"/>
        <w:keepLines w:val="0"/>
        <w:widowControl/>
        <w:suppressLineNumbers w:val="0"/>
        <w:spacing w:before="215" w:beforeAutospacing="0" w:after="0" w:afterAutospacing="1"/>
        <w:ind w:left="561" w:right="0"/>
        <w:jc w:val="left"/>
      </w:pPr>
      <w:r>
        <w:rPr>
          <w:rFonts w:hint="eastAsia" w:ascii="仿宋" w:hAnsi="仿宋" w:eastAsia="仿宋" w:cs="仿宋"/>
          <w:snapToGrid w:val="0"/>
          <w:color w:val="000000"/>
          <w:spacing w:val="-3"/>
          <w:kern w:val="0"/>
          <w:sz w:val="28"/>
          <w:szCs w:val="28"/>
          <w:lang w:val="en-US" w:eastAsia="zh-CN" w:bidi="ar"/>
        </w:rPr>
        <w:t>2、拟派设计负责人、项目经理资格要求：</w:t>
      </w:r>
    </w:p>
    <w:p w14:paraId="04D756B3">
      <w:pPr>
        <w:keepNext w:val="0"/>
        <w:keepLines w:val="0"/>
        <w:widowControl/>
        <w:suppressLineNumbers w:val="0"/>
        <w:spacing w:before="213" w:beforeAutospacing="0" w:after="0" w:afterAutospacing="1"/>
        <w:ind w:left="567" w:right="0"/>
        <w:jc w:val="left"/>
      </w:pPr>
      <w:r>
        <w:rPr>
          <w:rFonts w:hint="eastAsia" w:ascii="仿宋" w:hAnsi="仿宋" w:eastAsia="仿宋" w:cs="仿宋"/>
          <w:snapToGrid w:val="0"/>
          <w:color w:val="000000"/>
          <w:spacing w:val="-1"/>
          <w:kern w:val="0"/>
          <w:sz w:val="28"/>
          <w:szCs w:val="28"/>
          <w:lang w:val="en-US" w:eastAsia="zh-CN" w:bidi="ar"/>
        </w:rPr>
        <w:t>（1）项目设计负责人资格要求：须具有国家一级注册建筑师资格；</w:t>
      </w:r>
    </w:p>
    <w:p w14:paraId="1E24A90C">
      <w:pPr>
        <w:keepNext w:val="0"/>
        <w:keepLines w:val="0"/>
        <w:widowControl/>
        <w:suppressLineNumbers w:val="0"/>
        <w:spacing w:before="55" w:beforeAutospacing="0" w:after="0" w:afterAutospacing="1"/>
        <w:ind w:left="17" w:right="0" w:firstLine="556" w:firstLineChars="200"/>
        <w:jc w:val="left"/>
      </w:pPr>
      <w:r>
        <w:rPr>
          <w:rFonts w:hint="eastAsia" w:ascii="仿宋" w:hAnsi="仿宋" w:eastAsia="仿宋" w:cs="仿宋"/>
          <w:snapToGrid w:val="0"/>
          <w:color w:val="000000"/>
          <w:spacing w:val="-1"/>
          <w:kern w:val="0"/>
          <w:sz w:val="28"/>
          <w:szCs w:val="28"/>
          <w:lang w:val="en-US" w:eastAsia="zh-CN" w:bidi="ar"/>
        </w:rPr>
        <w:t>（2）项目经理资格要求：须具有建筑工程专业二级及以上注册建造师</w:t>
      </w:r>
      <w:r>
        <w:rPr>
          <w:rFonts w:hint="eastAsia" w:ascii="仿宋" w:hAnsi="仿宋" w:eastAsia="仿宋" w:cs="仿宋"/>
          <w:snapToGrid w:val="0"/>
          <w:color w:val="000000"/>
          <w:spacing w:val="-2"/>
          <w:kern w:val="0"/>
          <w:sz w:val="28"/>
          <w:szCs w:val="28"/>
          <w:lang w:val="en-US" w:eastAsia="zh-CN" w:bidi="ar"/>
        </w:rPr>
        <w:t>资格，且具有有效的安全生产考核合格证（B</w:t>
      </w:r>
      <w:r>
        <w:rPr>
          <w:rFonts w:hint="eastAsia" w:ascii="仿宋" w:hAnsi="仿宋" w:eastAsia="仿宋" w:cs="仿宋"/>
          <w:snapToGrid w:val="0"/>
          <w:color w:val="000000"/>
          <w:spacing w:val="-54"/>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证）。</w:t>
      </w:r>
    </w:p>
    <w:p w14:paraId="014A2E03">
      <w:pPr>
        <w:keepNext w:val="0"/>
        <w:keepLines w:val="0"/>
        <w:widowControl/>
        <w:suppressLineNumbers w:val="0"/>
        <w:spacing w:before="213" w:beforeAutospacing="0" w:after="0" w:afterAutospacing="1"/>
        <w:ind w:left="564" w:right="0"/>
        <w:jc w:val="left"/>
      </w:pPr>
      <w:r>
        <w:rPr>
          <w:rFonts w:hint="eastAsia" w:ascii="仿宋" w:hAnsi="仿宋" w:eastAsia="仿宋" w:cs="仿宋"/>
          <w:snapToGrid w:val="0"/>
          <w:color w:val="000000"/>
          <w:spacing w:val="-2"/>
          <w:kern w:val="0"/>
          <w:sz w:val="28"/>
          <w:szCs w:val="28"/>
          <w:lang w:val="en-US" w:eastAsia="zh-CN" w:bidi="ar"/>
        </w:rPr>
        <w:t>3、是否接受联合体:</w:t>
      </w:r>
    </w:p>
    <w:p w14:paraId="4AFF5F39">
      <w:pPr>
        <w:keepNext w:val="0"/>
        <w:keepLines w:val="0"/>
        <w:widowControl/>
        <w:suppressLineNumbers w:val="0"/>
        <w:spacing w:before="212" w:beforeAutospacing="0" w:after="0" w:afterAutospacing="1" w:line="14" w:lineRule="atLeast"/>
        <w:ind w:left="4" w:right="30" w:firstLine="556"/>
        <w:jc w:val="left"/>
      </w:pPr>
      <w:r>
        <w:rPr>
          <w:rFonts w:hint="eastAsia" w:ascii="仿宋" w:hAnsi="仿宋" w:eastAsia="仿宋" w:cs="仿宋"/>
          <w:snapToGrid w:val="0"/>
          <w:color w:val="000000"/>
          <w:spacing w:val="-3"/>
          <w:kern w:val="0"/>
          <w:sz w:val="28"/>
          <w:szCs w:val="28"/>
          <w:lang w:val="en-US" w:eastAsia="zh-CN" w:bidi="ar"/>
        </w:rPr>
        <w:t>（1）本项目接受联合体投标，联合体成员总数不得超过</w:t>
      </w:r>
      <w:r>
        <w:rPr>
          <w:rFonts w:hint="eastAsia" w:ascii="仿宋" w:hAnsi="仿宋" w:eastAsia="仿宋" w:cs="仿宋"/>
          <w:snapToGrid w:val="0"/>
          <w:color w:val="000000"/>
          <w:spacing w:val="-42"/>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4</w:t>
      </w:r>
      <w:r>
        <w:rPr>
          <w:rFonts w:hint="eastAsia" w:ascii="仿宋" w:hAnsi="仿宋" w:eastAsia="仿宋" w:cs="仿宋"/>
          <w:snapToGrid w:val="0"/>
          <w:color w:val="000000"/>
          <w:spacing w:val="-45"/>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家，需明确</w:t>
      </w:r>
      <w:r>
        <w:rPr>
          <w:rFonts w:hint="eastAsia" w:ascii="仿宋" w:hAnsi="仿宋" w:eastAsia="仿宋" w:cs="仿宋"/>
          <w:snapToGrid w:val="0"/>
          <w:color w:val="000000"/>
          <w:spacing w:val="-2"/>
          <w:kern w:val="0"/>
          <w:sz w:val="28"/>
          <w:szCs w:val="28"/>
          <w:lang w:val="en-US" w:eastAsia="zh-CN" w:bidi="ar"/>
        </w:rPr>
        <w:t>分工分别承担设计、施工、运营工作；</w:t>
      </w:r>
    </w:p>
    <w:p w14:paraId="3F2D7D52">
      <w:pPr>
        <w:keepNext w:val="0"/>
        <w:keepLines w:val="0"/>
        <w:widowControl/>
        <w:suppressLineNumbers w:val="0"/>
        <w:spacing w:before="217" w:beforeAutospacing="0" w:after="0" w:afterAutospacing="1"/>
        <w:ind w:left="560" w:right="0"/>
        <w:jc w:val="left"/>
      </w:pPr>
      <w:r>
        <w:rPr>
          <w:rFonts w:hint="eastAsia" w:ascii="仿宋" w:hAnsi="仿宋" w:eastAsia="仿宋" w:cs="仿宋"/>
          <w:snapToGrid w:val="0"/>
          <w:color w:val="000000"/>
          <w:spacing w:val="-3"/>
          <w:kern w:val="0"/>
          <w:sz w:val="28"/>
          <w:szCs w:val="28"/>
          <w:lang w:val="en-US" w:eastAsia="zh-CN" w:bidi="ar"/>
        </w:rPr>
        <w:t>（2）联合体牵头人须为承担施工工作的单位；</w:t>
      </w:r>
    </w:p>
    <w:p w14:paraId="4CA06DFF">
      <w:pPr>
        <w:keepNext w:val="0"/>
        <w:keepLines w:val="0"/>
        <w:widowControl/>
        <w:suppressLineNumbers w:val="0"/>
        <w:spacing w:before="215" w:beforeAutospacing="0" w:after="0" w:afterAutospacing="1" w:line="16" w:lineRule="atLeast"/>
        <w:ind w:left="4" w:right="6" w:firstLine="556"/>
        <w:jc w:val="left"/>
      </w:pPr>
      <w:r>
        <w:rPr>
          <w:rFonts w:hint="eastAsia" w:ascii="仿宋" w:hAnsi="仿宋" w:eastAsia="仿宋" w:cs="仿宋"/>
          <w:snapToGrid w:val="0"/>
          <w:color w:val="000000"/>
          <w:spacing w:val="-1"/>
          <w:kern w:val="0"/>
          <w:sz w:val="28"/>
          <w:szCs w:val="28"/>
          <w:lang w:val="en-US" w:eastAsia="zh-CN" w:bidi="ar"/>
        </w:rPr>
        <w:t>（3）联合体各成员须签订合法有效的《联合体协议书》，明确牵头人</w:t>
      </w:r>
      <w:r>
        <w:rPr>
          <w:rFonts w:hint="eastAsia" w:ascii="仿宋" w:hAnsi="仿宋" w:eastAsia="仿宋" w:cs="仿宋"/>
          <w:snapToGrid w:val="0"/>
          <w:color w:val="000000"/>
          <w:spacing w:val="-5"/>
          <w:kern w:val="0"/>
          <w:sz w:val="28"/>
          <w:szCs w:val="28"/>
          <w:lang w:val="en-US" w:eastAsia="zh-CN" w:bidi="ar"/>
        </w:rPr>
        <w:t>及各方的权利、义务、职责分工；联合体成员职责须与设计、施工、运营三</w:t>
      </w:r>
      <w:r>
        <w:rPr>
          <w:rFonts w:hint="eastAsia" w:ascii="仿宋" w:hAnsi="仿宋" w:eastAsia="仿宋" w:cs="仿宋"/>
          <w:snapToGrid w:val="0"/>
          <w:color w:val="000000"/>
          <w:spacing w:val="-1"/>
          <w:kern w:val="0"/>
          <w:sz w:val="28"/>
          <w:szCs w:val="28"/>
          <w:lang w:val="en-US" w:eastAsia="zh-CN" w:bidi="ar"/>
        </w:rPr>
        <w:t>类工作一一对应；</w:t>
      </w:r>
    </w:p>
    <w:p w14:paraId="00B2B064">
      <w:pPr>
        <w:keepNext w:val="0"/>
        <w:keepLines w:val="0"/>
        <w:widowControl/>
        <w:suppressLineNumbers w:val="0"/>
        <w:spacing w:before="216" w:beforeAutospacing="0" w:after="0" w:afterAutospacing="1" w:line="16" w:lineRule="atLeast"/>
        <w:ind w:left="0" w:right="1" w:firstLine="560"/>
        <w:jc w:val="left"/>
      </w:pPr>
      <w:r>
        <w:rPr>
          <w:rFonts w:hint="eastAsia" w:ascii="仿宋" w:hAnsi="仿宋" w:eastAsia="仿宋" w:cs="仿宋"/>
          <w:snapToGrid w:val="0"/>
          <w:color w:val="000000"/>
          <w:kern w:val="0"/>
          <w:sz w:val="28"/>
          <w:szCs w:val="28"/>
          <w:lang w:val="en-US" w:eastAsia="zh-CN" w:bidi="ar"/>
        </w:rPr>
        <w:t>（4）联合体各成员需分别满足本项目对应的资</w:t>
      </w:r>
      <w:r>
        <w:rPr>
          <w:rFonts w:hint="eastAsia" w:ascii="仿宋" w:hAnsi="仿宋" w:eastAsia="仿宋" w:cs="仿宋"/>
          <w:snapToGrid w:val="0"/>
          <w:color w:val="000000"/>
          <w:spacing w:val="-1"/>
          <w:kern w:val="0"/>
          <w:sz w:val="28"/>
          <w:szCs w:val="28"/>
          <w:lang w:val="en-US" w:eastAsia="zh-CN" w:bidi="ar"/>
        </w:rPr>
        <w:t>质要求（设计成员满足</w:t>
      </w:r>
      <w:r>
        <w:rPr>
          <w:rFonts w:hint="eastAsia" w:ascii="仿宋" w:hAnsi="仿宋" w:eastAsia="仿宋" w:cs="仿宋"/>
          <w:snapToGrid w:val="0"/>
          <w:color w:val="000000"/>
          <w:spacing w:val="-3"/>
          <w:kern w:val="0"/>
          <w:sz w:val="28"/>
          <w:szCs w:val="28"/>
          <w:lang w:val="en-US" w:eastAsia="zh-CN" w:bidi="ar"/>
        </w:rPr>
        <w:t>设计资质、施工成员满足施工资质、运营成员满足</w:t>
      </w:r>
      <w:r>
        <w:rPr>
          <w:rFonts w:hint="eastAsia" w:ascii="仿宋" w:hAnsi="仿宋" w:eastAsia="仿宋" w:cs="仿宋"/>
          <w:snapToGrid w:val="0"/>
          <w:color w:val="000000"/>
          <w:spacing w:val="-4"/>
          <w:kern w:val="0"/>
          <w:sz w:val="28"/>
          <w:szCs w:val="28"/>
          <w:lang w:val="en-US" w:eastAsia="zh-CN" w:bidi="ar"/>
        </w:rPr>
        <w:t>运营资格</w:t>
      </w:r>
      <w:r>
        <w:rPr>
          <w:rFonts w:hint="eastAsia" w:ascii="仿宋" w:hAnsi="仿宋" w:eastAsia="仿宋" w:cs="仿宋"/>
          <w:snapToGrid w:val="0"/>
          <w:color w:val="000000"/>
          <w:spacing w:val="-24"/>
          <w:kern w:val="0"/>
          <w:sz w:val="28"/>
          <w:szCs w:val="28"/>
          <w:lang w:val="en-US" w:eastAsia="zh-CN" w:bidi="ar"/>
        </w:rPr>
        <w:t>），</w:t>
      </w:r>
      <w:r>
        <w:rPr>
          <w:rFonts w:hint="eastAsia" w:ascii="仿宋" w:hAnsi="仿宋" w:eastAsia="仿宋" w:cs="仿宋"/>
          <w:snapToGrid w:val="0"/>
          <w:color w:val="000000"/>
          <w:spacing w:val="-4"/>
          <w:kern w:val="0"/>
          <w:sz w:val="28"/>
          <w:szCs w:val="28"/>
          <w:lang w:val="en-US" w:eastAsia="zh-CN" w:bidi="ar"/>
        </w:rPr>
        <w:t>且联合体整</w:t>
      </w:r>
      <w:r>
        <w:rPr>
          <w:rFonts w:hint="eastAsia" w:ascii="仿宋" w:hAnsi="仿宋" w:eastAsia="仿宋" w:cs="仿宋"/>
          <w:snapToGrid w:val="0"/>
          <w:color w:val="000000"/>
          <w:spacing w:val="-1"/>
          <w:kern w:val="0"/>
          <w:sz w:val="28"/>
          <w:szCs w:val="28"/>
          <w:lang w:val="en-US" w:eastAsia="zh-CN" w:bidi="ar"/>
        </w:rPr>
        <w:t>体仅能以一个投标人身份参与投标；</w:t>
      </w:r>
    </w:p>
    <w:p w14:paraId="15E7CBDB">
      <w:pPr>
        <w:keepNext w:val="0"/>
        <w:keepLines w:val="0"/>
        <w:widowControl/>
        <w:suppressLineNumbers w:val="0"/>
        <w:spacing w:before="213" w:beforeAutospacing="0" w:after="0" w:afterAutospacing="1"/>
        <w:ind w:left="560" w:right="0"/>
        <w:jc w:val="left"/>
      </w:pPr>
      <w:r>
        <w:rPr>
          <w:rFonts w:hint="eastAsia" w:ascii="仿宋" w:hAnsi="仿宋" w:eastAsia="仿宋" w:cs="仿宋"/>
          <w:snapToGrid w:val="0"/>
          <w:color w:val="000000"/>
          <w:spacing w:val="-3"/>
          <w:kern w:val="0"/>
          <w:sz w:val="28"/>
          <w:szCs w:val="28"/>
          <w:lang w:val="en-US" w:eastAsia="zh-CN" w:bidi="ar"/>
        </w:rPr>
        <w:t>（5）联合体各方应当共同与建设单位签订</w:t>
      </w:r>
      <w:r>
        <w:rPr>
          <w:rFonts w:hint="eastAsia" w:ascii="仿宋" w:hAnsi="仿宋" w:eastAsia="仿宋" w:cs="仿宋"/>
          <w:snapToGrid w:val="0"/>
          <w:color w:val="000000"/>
          <w:spacing w:val="-52"/>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EPCO</w:t>
      </w:r>
      <w:r>
        <w:rPr>
          <w:rFonts w:hint="eastAsia" w:ascii="仿宋" w:hAnsi="仿宋" w:eastAsia="仿宋" w:cs="仿宋"/>
          <w:snapToGrid w:val="0"/>
          <w:color w:val="000000"/>
          <w:spacing w:val="-41"/>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总承包合同。</w:t>
      </w:r>
    </w:p>
    <w:p w14:paraId="1B4766EB">
      <w:pPr>
        <w:keepNext w:val="0"/>
        <w:keepLines w:val="0"/>
        <w:widowControl/>
        <w:suppressLineNumbers w:val="0"/>
        <w:spacing w:before="216" w:beforeAutospacing="0" w:after="0" w:afterAutospacing="1" w:line="18" w:lineRule="atLeast"/>
        <w:ind w:left="3" w:right="0" w:firstLine="547"/>
        <w:jc w:val="both"/>
      </w:pPr>
      <w:r>
        <w:rPr>
          <w:rFonts w:hint="eastAsia" w:ascii="仿宋" w:hAnsi="仿宋" w:eastAsia="仿宋" w:cs="仿宋"/>
          <w:snapToGrid w:val="0"/>
          <w:color w:val="000000"/>
          <w:kern w:val="0"/>
          <w:sz w:val="28"/>
          <w:szCs w:val="28"/>
          <w:lang w:val="en-US" w:eastAsia="zh-CN" w:bidi="ar"/>
        </w:rPr>
        <w:t>4、信誉要求：投标人未被六安市及其所辖县、区公共资源交易监督管</w:t>
      </w:r>
      <w:r>
        <w:rPr>
          <w:rFonts w:hint="eastAsia" w:ascii="仿宋" w:hAnsi="仿宋" w:eastAsia="仿宋" w:cs="仿宋"/>
          <w:snapToGrid w:val="0"/>
          <w:color w:val="000000"/>
          <w:spacing w:val="-3"/>
          <w:kern w:val="0"/>
          <w:sz w:val="28"/>
          <w:szCs w:val="28"/>
          <w:lang w:val="en-US" w:eastAsia="zh-CN" w:bidi="ar"/>
        </w:rPr>
        <w:t>理部门记不良行为记录的；或被记不良行为记</w:t>
      </w:r>
      <w:r>
        <w:rPr>
          <w:rFonts w:hint="eastAsia" w:ascii="仿宋" w:hAnsi="仿宋" w:eastAsia="仿宋" w:cs="仿宋"/>
          <w:snapToGrid w:val="0"/>
          <w:color w:val="000000"/>
          <w:spacing w:val="-4"/>
          <w:kern w:val="0"/>
          <w:sz w:val="28"/>
          <w:szCs w:val="28"/>
          <w:lang w:val="en-US" w:eastAsia="zh-CN" w:bidi="ar"/>
        </w:rPr>
        <w:t>录（以公布日期为准</w:t>
      </w:r>
      <w:r>
        <w:rPr>
          <w:rFonts w:hint="eastAsia" w:ascii="仿宋" w:hAnsi="仿宋" w:eastAsia="仿宋" w:cs="仿宋"/>
          <w:snapToGrid w:val="0"/>
          <w:color w:val="000000"/>
          <w:spacing w:val="-25"/>
          <w:kern w:val="0"/>
          <w:sz w:val="28"/>
          <w:szCs w:val="28"/>
          <w:lang w:val="en-US" w:eastAsia="zh-CN" w:bidi="ar"/>
        </w:rPr>
        <w:t>），</w:t>
      </w:r>
      <w:r>
        <w:rPr>
          <w:rFonts w:hint="eastAsia" w:ascii="仿宋" w:hAnsi="仿宋" w:eastAsia="仿宋" w:cs="仿宋"/>
          <w:snapToGrid w:val="0"/>
          <w:color w:val="000000"/>
          <w:spacing w:val="-4"/>
          <w:kern w:val="0"/>
          <w:sz w:val="28"/>
          <w:szCs w:val="28"/>
          <w:lang w:val="en-US" w:eastAsia="zh-CN" w:bidi="ar"/>
        </w:rPr>
        <w:t>但同</w:t>
      </w:r>
      <w:r>
        <w:rPr>
          <w:rFonts w:hint="eastAsia" w:ascii="仿宋" w:hAnsi="仿宋" w:eastAsia="仿宋" w:cs="仿宋"/>
          <w:snapToGrid w:val="0"/>
          <w:color w:val="000000"/>
          <w:spacing w:val="-3"/>
          <w:kern w:val="0"/>
          <w:sz w:val="28"/>
          <w:szCs w:val="28"/>
          <w:lang w:val="en-US" w:eastAsia="zh-CN" w:bidi="ar"/>
        </w:rPr>
        <w:t>时符合下列情形的：</w:t>
      </w:r>
    </w:p>
    <w:p w14:paraId="3CFDF6A7">
      <w:pPr>
        <w:keepNext w:val="0"/>
        <w:keepLines w:val="0"/>
        <w:widowControl/>
        <w:suppressLineNumbers w:val="0"/>
        <w:spacing w:before="2" w:beforeAutospacing="0" w:after="0" w:afterAutospacing="1"/>
        <w:ind w:left="560" w:right="0"/>
        <w:jc w:val="left"/>
      </w:pPr>
      <w:r>
        <w:rPr>
          <w:rFonts w:hint="eastAsia" w:ascii="仿宋" w:hAnsi="仿宋" w:eastAsia="仿宋" w:cs="仿宋"/>
          <w:snapToGrid w:val="0"/>
          <w:color w:val="000000"/>
          <w:spacing w:val="-5"/>
          <w:kern w:val="0"/>
          <w:sz w:val="28"/>
          <w:szCs w:val="28"/>
          <w:lang w:val="en-US" w:eastAsia="zh-CN" w:bidi="ar"/>
        </w:rPr>
        <w:t>（1）开标日前（含当日）6</w:t>
      </w:r>
      <w:r>
        <w:rPr>
          <w:rFonts w:hint="eastAsia" w:ascii="仿宋" w:hAnsi="仿宋" w:eastAsia="仿宋" w:cs="仿宋"/>
          <w:snapToGrid w:val="0"/>
          <w:color w:val="000000"/>
          <w:spacing w:val="-36"/>
          <w:kern w:val="0"/>
          <w:sz w:val="28"/>
          <w:szCs w:val="28"/>
          <w:lang w:val="en-US" w:eastAsia="zh-CN" w:bidi="ar"/>
        </w:rPr>
        <w:t xml:space="preserve"> </w:t>
      </w:r>
      <w:r>
        <w:rPr>
          <w:rFonts w:hint="eastAsia" w:ascii="仿宋" w:hAnsi="仿宋" w:eastAsia="仿宋" w:cs="仿宋"/>
          <w:snapToGrid w:val="0"/>
          <w:color w:val="000000"/>
          <w:spacing w:val="-5"/>
          <w:kern w:val="0"/>
          <w:sz w:val="28"/>
          <w:szCs w:val="28"/>
          <w:lang w:val="en-US" w:eastAsia="zh-CN" w:bidi="ar"/>
        </w:rPr>
        <w:t>个月内记分累计未满</w:t>
      </w:r>
      <w:r>
        <w:rPr>
          <w:rFonts w:hint="eastAsia" w:ascii="仿宋" w:hAnsi="仿宋" w:eastAsia="仿宋" w:cs="仿宋"/>
          <w:snapToGrid w:val="0"/>
          <w:color w:val="000000"/>
          <w:spacing w:val="-39"/>
          <w:kern w:val="0"/>
          <w:sz w:val="28"/>
          <w:szCs w:val="28"/>
          <w:lang w:val="en-US" w:eastAsia="zh-CN" w:bidi="ar"/>
        </w:rPr>
        <w:t xml:space="preserve"> </w:t>
      </w:r>
      <w:r>
        <w:rPr>
          <w:rFonts w:hint="eastAsia" w:ascii="仿宋" w:hAnsi="仿宋" w:eastAsia="仿宋" w:cs="仿宋"/>
          <w:snapToGrid w:val="0"/>
          <w:color w:val="000000"/>
          <w:spacing w:val="-5"/>
          <w:kern w:val="0"/>
          <w:sz w:val="28"/>
          <w:szCs w:val="28"/>
          <w:lang w:val="en-US" w:eastAsia="zh-CN" w:bidi="ar"/>
        </w:rPr>
        <w:t>10</w:t>
      </w:r>
      <w:r>
        <w:rPr>
          <w:rFonts w:hint="eastAsia" w:ascii="仿宋" w:hAnsi="仿宋" w:eastAsia="仿宋" w:cs="仿宋"/>
          <w:snapToGrid w:val="0"/>
          <w:color w:val="000000"/>
          <w:spacing w:val="-50"/>
          <w:kern w:val="0"/>
          <w:sz w:val="28"/>
          <w:szCs w:val="28"/>
          <w:lang w:val="en-US" w:eastAsia="zh-CN" w:bidi="ar"/>
        </w:rPr>
        <w:t xml:space="preserve"> </w:t>
      </w:r>
      <w:r>
        <w:rPr>
          <w:rFonts w:hint="eastAsia" w:ascii="仿宋" w:hAnsi="仿宋" w:eastAsia="仿宋" w:cs="仿宋"/>
          <w:snapToGrid w:val="0"/>
          <w:color w:val="000000"/>
          <w:spacing w:val="-5"/>
          <w:kern w:val="0"/>
          <w:sz w:val="28"/>
          <w:szCs w:val="28"/>
          <w:lang w:val="en-US" w:eastAsia="zh-CN" w:bidi="ar"/>
        </w:rPr>
        <w:t>分的；</w:t>
      </w:r>
    </w:p>
    <w:p w14:paraId="4F6C2A0E">
      <w:pPr>
        <w:keepNext w:val="0"/>
        <w:keepLines w:val="0"/>
        <w:widowControl/>
        <w:suppressLineNumbers w:val="0"/>
        <w:spacing w:before="214" w:beforeAutospacing="0" w:after="0" w:afterAutospacing="1"/>
        <w:ind w:left="560" w:right="0"/>
        <w:jc w:val="left"/>
      </w:pPr>
      <w:r>
        <w:rPr>
          <w:rFonts w:hint="eastAsia" w:ascii="仿宋" w:hAnsi="仿宋" w:eastAsia="仿宋" w:cs="仿宋"/>
          <w:snapToGrid w:val="0"/>
          <w:color w:val="000000"/>
          <w:spacing w:val="-3"/>
          <w:kern w:val="0"/>
          <w:sz w:val="28"/>
          <w:szCs w:val="28"/>
          <w:lang w:val="en-US" w:eastAsia="zh-CN" w:bidi="ar"/>
        </w:rPr>
        <w:t>（2）开标日前（含当日）12</w:t>
      </w:r>
      <w:r>
        <w:rPr>
          <w:rFonts w:hint="eastAsia" w:ascii="仿宋" w:hAnsi="仿宋" w:eastAsia="仿宋" w:cs="仿宋"/>
          <w:snapToGrid w:val="0"/>
          <w:color w:val="000000"/>
          <w:spacing w:val="-51"/>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个月内记分累计未满</w:t>
      </w:r>
      <w:r>
        <w:rPr>
          <w:rFonts w:hint="eastAsia" w:ascii="仿宋" w:hAnsi="仿宋" w:eastAsia="仿宋" w:cs="仿宋"/>
          <w:snapToGrid w:val="0"/>
          <w:color w:val="000000"/>
          <w:spacing w:val="-40"/>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15</w:t>
      </w:r>
      <w:r>
        <w:rPr>
          <w:rFonts w:hint="eastAsia" w:ascii="仿宋" w:hAnsi="仿宋" w:eastAsia="仿宋" w:cs="仿宋"/>
          <w:snapToGrid w:val="0"/>
          <w:color w:val="000000"/>
          <w:spacing w:val="-49"/>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分的；</w:t>
      </w:r>
    </w:p>
    <w:p w14:paraId="4D739B36">
      <w:pPr>
        <w:keepNext w:val="0"/>
        <w:keepLines w:val="0"/>
        <w:widowControl/>
        <w:suppressLineNumbers w:val="0"/>
        <w:spacing w:before="214" w:beforeAutospacing="0" w:after="0" w:afterAutospacing="1"/>
        <w:ind w:left="560" w:right="0"/>
        <w:jc w:val="left"/>
      </w:pPr>
      <w:r>
        <w:rPr>
          <w:rFonts w:hint="eastAsia" w:ascii="仿宋" w:hAnsi="仿宋" w:eastAsia="仿宋" w:cs="仿宋"/>
          <w:snapToGrid w:val="0"/>
          <w:color w:val="000000"/>
          <w:spacing w:val="-3"/>
          <w:kern w:val="0"/>
          <w:sz w:val="28"/>
          <w:szCs w:val="28"/>
          <w:lang w:val="en-US" w:eastAsia="zh-CN" w:bidi="ar"/>
        </w:rPr>
        <w:t>（3）开标日前（含当日）18</w:t>
      </w:r>
      <w:r>
        <w:rPr>
          <w:rFonts w:hint="eastAsia" w:ascii="仿宋" w:hAnsi="仿宋" w:eastAsia="仿宋" w:cs="仿宋"/>
          <w:snapToGrid w:val="0"/>
          <w:color w:val="000000"/>
          <w:spacing w:val="-34"/>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个月内记分累计未满</w:t>
      </w:r>
      <w:r>
        <w:rPr>
          <w:rFonts w:hint="eastAsia" w:ascii="仿宋" w:hAnsi="仿宋" w:eastAsia="仿宋" w:cs="仿宋"/>
          <w:snapToGrid w:val="0"/>
          <w:color w:val="000000"/>
          <w:spacing w:val="-57"/>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20</w:t>
      </w:r>
      <w:r>
        <w:rPr>
          <w:rFonts w:hint="eastAsia" w:ascii="仿宋" w:hAnsi="仿宋" w:eastAsia="仿宋" w:cs="仿宋"/>
          <w:snapToGrid w:val="0"/>
          <w:color w:val="000000"/>
          <w:spacing w:val="-49"/>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分的；</w:t>
      </w:r>
    </w:p>
    <w:p w14:paraId="244D3B11">
      <w:pPr>
        <w:keepNext w:val="0"/>
        <w:keepLines w:val="0"/>
        <w:widowControl/>
        <w:suppressLineNumbers w:val="0"/>
        <w:spacing w:before="214" w:beforeAutospacing="0" w:after="0" w:afterAutospacing="1"/>
        <w:ind w:left="560" w:right="0"/>
        <w:jc w:val="left"/>
      </w:pPr>
      <w:r>
        <w:rPr>
          <w:rFonts w:hint="eastAsia" w:ascii="仿宋" w:hAnsi="仿宋" w:eastAsia="仿宋" w:cs="仿宋"/>
          <w:snapToGrid w:val="0"/>
          <w:color w:val="000000"/>
          <w:kern w:val="0"/>
          <w:sz w:val="28"/>
          <w:szCs w:val="28"/>
          <w:lang w:val="en-US" w:eastAsia="zh-CN" w:bidi="ar"/>
        </w:rPr>
        <w:t>（4）开标日前（含当日）24</w:t>
      </w:r>
      <w:r>
        <w:rPr>
          <w:rFonts w:hint="eastAsia" w:ascii="仿宋" w:hAnsi="仿宋" w:eastAsia="仿宋" w:cs="仿宋"/>
          <w:snapToGrid w:val="0"/>
          <w:color w:val="000000"/>
          <w:spacing w:val="-35"/>
          <w:kern w:val="0"/>
          <w:sz w:val="28"/>
          <w:szCs w:val="28"/>
          <w:lang w:val="en-US" w:eastAsia="zh-CN" w:bidi="ar"/>
        </w:rPr>
        <w:t xml:space="preserve"> </w:t>
      </w:r>
      <w:r>
        <w:rPr>
          <w:rFonts w:hint="eastAsia" w:ascii="仿宋" w:hAnsi="仿宋" w:eastAsia="仿宋" w:cs="仿宋"/>
          <w:snapToGrid w:val="0"/>
          <w:color w:val="000000"/>
          <w:kern w:val="0"/>
          <w:sz w:val="28"/>
          <w:szCs w:val="28"/>
          <w:lang w:val="en-US" w:eastAsia="zh-CN" w:bidi="ar"/>
        </w:rPr>
        <w:t>个月内记分累计未满25</w:t>
      </w:r>
      <w:r>
        <w:rPr>
          <w:rFonts w:hint="eastAsia" w:ascii="仿宋" w:hAnsi="仿宋" w:eastAsia="仿宋" w:cs="仿宋"/>
          <w:snapToGrid w:val="0"/>
          <w:color w:val="000000"/>
          <w:spacing w:val="-49"/>
          <w:kern w:val="0"/>
          <w:sz w:val="28"/>
          <w:szCs w:val="28"/>
          <w:lang w:val="en-US" w:eastAsia="zh-CN" w:bidi="ar"/>
        </w:rPr>
        <w:t xml:space="preserve"> </w:t>
      </w:r>
      <w:r>
        <w:rPr>
          <w:rFonts w:hint="eastAsia" w:ascii="仿宋" w:hAnsi="仿宋" w:eastAsia="仿宋" w:cs="仿宋"/>
          <w:snapToGrid w:val="0"/>
          <w:color w:val="000000"/>
          <w:kern w:val="0"/>
          <w:sz w:val="28"/>
          <w:szCs w:val="28"/>
          <w:lang w:val="en-US" w:eastAsia="zh-CN" w:bidi="ar"/>
        </w:rPr>
        <w:t>分的。</w:t>
      </w:r>
    </w:p>
    <w:p w14:paraId="7DE42B54">
      <w:pPr>
        <w:keepNext w:val="0"/>
        <w:keepLines w:val="0"/>
        <w:widowControl/>
        <w:suppressLineNumbers w:val="0"/>
        <w:spacing w:before="214" w:beforeAutospacing="0" w:after="0" w:afterAutospacing="1"/>
        <w:ind w:left="8" w:right="0"/>
        <w:jc w:val="left"/>
      </w:pPr>
      <w:r>
        <w:rPr>
          <w:rFonts w:hint="eastAsia" w:ascii="仿宋" w:hAnsi="仿宋" w:eastAsia="仿宋" w:cs="仿宋"/>
          <w:snapToGrid w:val="0"/>
          <w:color w:val="000000"/>
          <w:spacing w:val="-3"/>
          <w:kern w:val="0"/>
          <w:sz w:val="28"/>
          <w:szCs w:val="28"/>
          <w:lang w:val="en-US" w:eastAsia="zh-CN" w:bidi="ar"/>
        </w:rPr>
        <w:t>十二、招标范围：</w:t>
      </w:r>
    </w:p>
    <w:p w14:paraId="30B0B903">
      <w:pPr>
        <w:keepNext w:val="0"/>
        <w:keepLines w:val="0"/>
        <w:widowControl/>
        <w:suppressLineNumbers w:val="0"/>
        <w:spacing w:before="215" w:beforeAutospacing="0" w:after="0" w:afterAutospacing="1" w:line="18" w:lineRule="atLeast"/>
        <w:ind w:left="1" w:right="0" w:firstLine="559"/>
        <w:jc w:val="both"/>
      </w:pPr>
      <w:r>
        <w:rPr>
          <w:rFonts w:hint="eastAsia" w:ascii="仿宋" w:hAnsi="仿宋" w:eastAsia="仿宋" w:cs="仿宋"/>
          <w:snapToGrid w:val="0"/>
          <w:color w:val="000000"/>
          <w:spacing w:val="-4"/>
          <w:kern w:val="0"/>
          <w:sz w:val="28"/>
          <w:szCs w:val="28"/>
          <w:lang w:val="en-US" w:eastAsia="zh-CN" w:bidi="ar"/>
        </w:rPr>
        <w:t>本项目采用设计-采购-施工-运营(EPCO)总承包模式发包，</w:t>
      </w:r>
      <w:r>
        <w:rPr>
          <w:rFonts w:hint="eastAsia" w:ascii="仿宋" w:hAnsi="仿宋" w:eastAsia="仿宋" w:cs="仿宋"/>
          <w:snapToGrid w:val="0"/>
          <w:color w:val="000000"/>
          <w:spacing w:val="-5"/>
          <w:kern w:val="0"/>
          <w:sz w:val="28"/>
          <w:szCs w:val="28"/>
          <w:lang w:val="en-US" w:eastAsia="zh-CN" w:bidi="ar"/>
        </w:rPr>
        <w:t>包括但不限</w:t>
      </w:r>
      <w:r>
        <w:rPr>
          <w:rFonts w:hint="eastAsia" w:ascii="仿宋" w:hAnsi="仿宋" w:eastAsia="仿宋" w:cs="仿宋"/>
          <w:snapToGrid w:val="0"/>
          <w:color w:val="000000"/>
          <w:spacing w:val="-10"/>
          <w:kern w:val="0"/>
          <w:sz w:val="28"/>
          <w:szCs w:val="28"/>
          <w:lang w:val="en-US" w:eastAsia="zh-CN" w:bidi="ar"/>
        </w:rPr>
        <w:t>于本项目的设计、采购、工程施工、直至项目竣工验收合格，同时承担工程</w:t>
      </w:r>
      <w:r>
        <w:rPr>
          <w:rFonts w:hint="eastAsia" w:ascii="仿宋" w:hAnsi="仿宋" w:eastAsia="仿宋" w:cs="仿宋"/>
          <w:snapToGrid w:val="0"/>
          <w:color w:val="000000"/>
          <w:spacing w:val="-3"/>
          <w:kern w:val="0"/>
          <w:sz w:val="28"/>
          <w:szCs w:val="28"/>
          <w:lang w:val="en-US" w:eastAsia="zh-CN" w:bidi="ar"/>
        </w:rPr>
        <w:t>保修期内的缺陷修复及保修服务；质保期满后，运营期间项目维修费用由运营企业承担。</w:t>
      </w:r>
    </w:p>
    <w:p w14:paraId="2BECA55A">
      <w:pPr>
        <w:keepNext w:val="0"/>
        <w:keepLines w:val="0"/>
        <w:widowControl/>
        <w:suppressLineNumbers w:val="0"/>
        <w:spacing w:before="1" w:beforeAutospacing="0" w:after="0" w:afterAutospacing="1"/>
        <w:ind w:left="8" w:right="0"/>
        <w:jc w:val="left"/>
      </w:pPr>
      <w:r>
        <w:rPr>
          <w:rFonts w:hint="eastAsia" w:ascii="仿宋" w:hAnsi="仿宋" w:eastAsia="仿宋" w:cs="仿宋"/>
          <w:snapToGrid w:val="0"/>
          <w:color w:val="000000"/>
          <w:spacing w:val="-3"/>
          <w:kern w:val="0"/>
          <w:sz w:val="28"/>
          <w:szCs w:val="28"/>
          <w:lang w:val="en-US" w:eastAsia="zh-CN" w:bidi="ar"/>
        </w:rPr>
        <w:t>十三、标段数：1</w:t>
      </w:r>
      <w:r>
        <w:rPr>
          <w:rFonts w:hint="eastAsia" w:ascii="仿宋" w:hAnsi="仿宋" w:eastAsia="仿宋" w:cs="仿宋"/>
          <w:snapToGrid w:val="0"/>
          <w:color w:val="000000"/>
          <w:spacing w:val="-49"/>
          <w:kern w:val="0"/>
          <w:sz w:val="28"/>
          <w:szCs w:val="28"/>
          <w:lang w:val="en-US" w:eastAsia="zh-CN" w:bidi="ar"/>
        </w:rPr>
        <w:t xml:space="preserve"> </w:t>
      </w:r>
      <w:r>
        <w:rPr>
          <w:rFonts w:hint="eastAsia" w:ascii="仿宋" w:hAnsi="仿宋" w:eastAsia="仿宋" w:cs="仿宋"/>
          <w:snapToGrid w:val="0"/>
          <w:color w:val="000000"/>
          <w:spacing w:val="-3"/>
          <w:kern w:val="0"/>
          <w:sz w:val="28"/>
          <w:szCs w:val="28"/>
          <w:lang w:val="en-US" w:eastAsia="zh-CN" w:bidi="ar"/>
        </w:rPr>
        <w:t>个</w:t>
      </w:r>
    </w:p>
    <w:p w14:paraId="04B5FC98">
      <w:pPr>
        <w:keepNext w:val="0"/>
        <w:keepLines w:val="0"/>
        <w:widowControl/>
        <w:suppressLineNumbers w:val="0"/>
        <w:spacing w:before="214" w:beforeAutospacing="0" w:after="0" w:afterAutospacing="1"/>
        <w:ind w:left="8" w:right="0"/>
        <w:jc w:val="left"/>
        <w:rPr>
          <w:highlight w:val="yellow"/>
        </w:rPr>
      </w:pPr>
      <w:r>
        <w:rPr>
          <w:rFonts w:hint="eastAsia" w:ascii="仿宋" w:hAnsi="仿宋" w:eastAsia="仿宋" w:cs="仿宋"/>
          <w:snapToGrid w:val="0"/>
          <w:color w:val="000000"/>
          <w:spacing w:val="-6"/>
          <w:kern w:val="0"/>
          <w:sz w:val="28"/>
          <w:szCs w:val="28"/>
          <w:lang w:val="en-US" w:eastAsia="zh-CN" w:bidi="ar"/>
        </w:rPr>
        <w:t>十四、公告发布时间：202</w:t>
      </w:r>
      <w:r>
        <w:rPr>
          <w:rFonts w:hint="eastAsia" w:ascii="仿宋" w:hAnsi="仿宋" w:eastAsia="仿宋" w:cs="仿宋"/>
          <w:snapToGrid w:val="0"/>
          <w:color w:val="000000"/>
          <w:spacing w:val="-6"/>
          <w:kern w:val="0"/>
          <w:sz w:val="28"/>
          <w:szCs w:val="28"/>
          <w:highlight w:val="none"/>
          <w:lang w:val="en-US" w:eastAsia="zh-CN" w:bidi="ar"/>
        </w:rPr>
        <w:t>6年 月 日</w:t>
      </w:r>
    </w:p>
    <w:p w14:paraId="68FBB3AE">
      <w:pPr>
        <w:keepNext w:val="0"/>
        <w:keepLines w:val="0"/>
        <w:widowControl/>
        <w:suppressLineNumbers w:val="0"/>
        <w:spacing w:before="56" w:beforeAutospacing="0" w:after="0" w:afterAutospacing="1"/>
        <w:ind w:left="8" w:right="0"/>
        <w:jc w:val="left"/>
      </w:pPr>
      <w:r>
        <w:rPr>
          <w:rFonts w:hint="eastAsia" w:ascii="仿宋" w:hAnsi="仿宋" w:eastAsia="仿宋" w:cs="仿宋"/>
          <w:snapToGrid w:val="0"/>
          <w:color w:val="000000"/>
          <w:spacing w:val="-6"/>
          <w:kern w:val="0"/>
          <w:sz w:val="28"/>
          <w:szCs w:val="28"/>
          <w:lang w:val="en-US" w:eastAsia="zh-CN" w:bidi="ar"/>
        </w:rPr>
        <w:t>十五、公告发布媒介：</w:t>
      </w:r>
    </w:p>
    <w:p w14:paraId="275CE432">
      <w:pPr>
        <w:keepNext w:val="0"/>
        <w:keepLines w:val="0"/>
        <w:widowControl/>
        <w:suppressLineNumbers w:val="0"/>
        <w:spacing w:before="216" w:beforeAutospacing="0" w:after="0" w:afterAutospacing="1"/>
        <w:ind w:left="243" w:right="0"/>
        <w:jc w:val="left"/>
      </w:pPr>
      <w:r>
        <w:rPr>
          <w:rFonts w:hint="eastAsia" w:ascii="仿宋" w:hAnsi="仿宋" w:eastAsia="仿宋" w:cs="仿宋"/>
          <w:snapToGrid w:val="0"/>
          <w:color w:val="000000"/>
          <w:kern w:val="0"/>
          <w:sz w:val="28"/>
          <w:szCs w:val="28"/>
          <w:lang w:val="en-US" w:eastAsia="zh-CN" w:bidi="ar"/>
        </w:rPr>
        <w:t>六安市公共资源交易电子服务系统（http</w:t>
      </w:r>
      <w:r>
        <w:rPr>
          <w:rFonts w:hint="eastAsia" w:ascii="仿宋" w:hAnsi="仿宋" w:eastAsia="仿宋" w:cs="仿宋"/>
          <w:snapToGrid w:val="0"/>
          <w:color w:val="000000"/>
          <w:spacing w:val="-1"/>
          <w:kern w:val="0"/>
          <w:sz w:val="28"/>
          <w:szCs w:val="28"/>
          <w:lang w:val="en-US" w:eastAsia="zh-CN" w:bidi="ar"/>
        </w:rPr>
        <w:t>://ggzy.luan.gov.cn）</w:t>
      </w:r>
    </w:p>
    <w:p w14:paraId="7D0B4F01">
      <w:pPr>
        <w:keepNext w:val="0"/>
        <w:keepLines w:val="0"/>
        <w:widowControl/>
        <w:suppressLineNumbers w:val="0"/>
        <w:spacing w:before="221" w:beforeAutospacing="0" w:after="0" w:afterAutospacing="1"/>
        <w:ind w:left="244" w:right="0"/>
        <w:jc w:val="left"/>
      </w:pPr>
      <w:r>
        <w:rPr>
          <w:rFonts w:hint="eastAsia" w:ascii="仿宋" w:hAnsi="仿宋" w:eastAsia="仿宋" w:cs="仿宋"/>
          <w:snapToGrid w:val="0"/>
          <w:color w:val="000000"/>
          <w:spacing w:val="-1"/>
          <w:kern w:val="0"/>
          <w:sz w:val="28"/>
          <w:szCs w:val="28"/>
          <w:lang w:val="en-US" w:eastAsia="zh-CN" w:bidi="ar"/>
        </w:rPr>
        <w:t>安徽省公共资源交易监管网（http://ggzy.ah.gov.cn）</w:t>
      </w:r>
    </w:p>
    <w:p w14:paraId="1F5468F8">
      <w:pPr>
        <w:keepNext w:val="0"/>
        <w:keepLines w:val="0"/>
        <w:widowControl/>
        <w:suppressLineNumbers w:val="0"/>
        <w:spacing w:before="221" w:beforeAutospacing="0" w:after="0" w:afterAutospacing="1"/>
        <w:ind w:left="244" w:right="0"/>
        <w:jc w:val="left"/>
      </w:pPr>
      <w:r>
        <w:rPr>
          <w:rFonts w:hint="eastAsia" w:ascii="仿宋" w:hAnsi="仿宋" w:eastAsia="仿宋" w:cs="仿宋"/>
          <w:snapToGrid w:val="0"/>
          <w:color w:val="000000"/>
          <w:spacing w:val="-1"/>
          <w:kern w:val="0"/>
          <w:sz w:val="28"/>
          <w:szCs w:val="28"/>
          <w:lang w:val="en-US" w:eastAsia="zh-CN" w:bidi="ar"/>
        </w:rPr>
        <w:t>安徽省招标投标信息网（http://www.ahtba.org.cn）</w:t>
      </w:r>
    </w:p>
    <w:p w14:paraId="3A3C7E23">
      <w:pPr>
        <w:keepNext w:val="0"/>
        <w:keepLines w:val="0"/>
        <w:widowControl/>
        <w:suppressLineNumbers w:val="0"/>
        <w:spacing w:before="222" w:beforeAutospacing="0" w:after="0" w:afterAutospacing="1"/>
        <w:ind w:left="247" w:right="0"/>
        <w:jc w:val="left"/>
      </w:pPr>
      <w:r>
        <w:rPr>
          <w:rFonts w:hint="eastAsia" w:ascii="仿宋" w:hAnsi="仿宋" w:eastAsia="仿宋" w:cs="仿宋"/>
          <w:snapToGrid w:val="0"/>
          <w:color w:val="000000"/>
          <w:spacing w:val="-1"/>
          <w:kern w:val="0"/>
          <w:sz w:val="28"/>
          <w:szCs w:val="28"/>
          <w:lang w:val="en-US" w:eastAsia="zh-CN" w:bidi="ar"/>
        </w:rPr>
        <w:t>全国公共资源交易平台（http://www.ggzy.gov.cn）</w:t>
      </w:r>
    </w:p>
    <w:p w14:paraId="21BF3EA2">
      <w:pPr>
        <w:keepNext w:val="0"/>
        <w:keepLines w:val="0"/>
        <w:widowControl/>
        <w:suppressLineNumbers w:val="0"/>
        <w:spacing w:before="222" w:beforeAutospacing="0" w:after="0" w:afterAutospacing="1"/>
        <w:ind w:left="8" w:right="0"/>
        <w:jc w:val="left"/>
      </w:pPr>
      <w:r>
        <w:rPr>
          <w:rFonts w:hint="eastAsia" w:ascii="仿宋" w:hAnsi="仿宋" w:eastAsia="仿宋" w:cs="仿宋"/>
          <w:snapToGrid w:val="0"/>
          <w:color w:val="000000"/>
          <w:spacing w:val="-10"/>
          <w:kern w:val="0"/>
          <w:sz w:val="28"/>
          <w:szCs w:val="28"/>
          <w:lang w:val="en-US" w:eastAsia="zh-CN" w:bidi="ar"/>
        </w:rPr>
        <w:t>十六、项目开标</w:t>
      </w:r>
      <w:r>
        <w:rPr>
          <w:rFonts w:hint="eastAsia" w:ascii="仿宋" w:hAnsi="仿宋" w:eastAsia="仿宋" w:cs="仿宋"/>
          <w:snapToGrid w:val="0"/>
          <w:color w:val="000000"/>
          <w:spacing w:val="-6"/>
          <w:kern w:val="0"/>
          <w:sz w:val="28"/>
          <w:szCs w:val="28"/>
          <w:lang w:val="en-US" w:eastAsia="zh-CN" w:bidi="ar"/>
        </w:rPr>
        <w:t xml:space="preserve">时间：2026年 </w:t>
      </w:r>
      <w:r>
        <w:rPr>
          <w:rFonts w:hint="eastAsia" w:ascii="仿宋" w:hAnsi="仿宋" w:eastAsia="仿宋" w:cs="仿宋"/>
          <w:snapToGrid w:val="0"/>
          <w:color w:val="000000"/>
          <w:spacing w:val="-6"/>
          <w:kern w:val="0"/>
          <w:sz w:val="28"/>
          <w:szCs w:val="28"/>
          <w:highlight w:val="none"/>
          <w:lang w:val="en-US" w:eastAsia="zh-CN" w:bidi="ar"/>
        </w:rPr>
        <w:t xml:space="preserve"> 月   日 时   分</w:t>
      </w:r>
    </w:p>
    <w:p w14:paraId="61695EB1">
      <w:pPr>
        <w:keepNext w:val="0"/>
        <w:keepLines w:val="0"/>
        <w:widowControl/>
        <w:suppressLineNumbers w:val="0"/>
        <w:spacing w:before="212" w:beforeAutospacing="0" w:after="0" w:afterAutospacing="1"/>
        <w:ind w:left="8" w:right="0"/>
        <w:jc w:val="left"/>
      </w:pPr>
      <w:r>
        <w:rPr>
          <w:rFonts w:hint="eastAsia" w:ascii="仿宋" w:hAnsi="仿宋" w:eastAsia="仿宋" w:cs="仿宋"/>
          <w:snapToGrid w:val="0"/>
          <w:color w:val="000000"/>
          <w:spacing w:val="-2"/>
          <w:kern w:val="0"/>
          <w:sz w:val="28"/>
          <w:szCs w:val="28"/>
          <w:lang w:val="en-US" w:eastAsia="zh-CN" w:bidi="ar"/>
        </w:rPr>
        <w:t>十七、招标文件获取及费用支付方式：</w:t>
      </w:r>
    </w:p>
    <w:p w14:paraId="4FFB5BE3">
      <w:pPr>
        <w:keepNext w:val="0"/>
        <w:keepLines w:val="0"/>
        <w:widowControl/>
        <w:suppressLineNumbers w:val="0"/>
        <w:spacing w:before="214" w:beforeAutospacing="0" w:after="0" w:afterAutospacing="1"/>
        <w:ind w:left="252" w:right="0"/>
        <w:jc w:val="left"/>
        <w:rPr>
          <w:highlight w:val="none"/>
        </w:rPr>
      </w:pPr>
      <w:r>
        <w:rPr>
          <w:rFonts w:hint="eastAsia" w:ascii="仿宋" w:hAnsi="仿宋" w:eastAsia="仿宋" w:cs="仿宋"/>
          <w:snapToGrid w:val="0"/>
          <w:color w:val="000000"/>
          <w:spacing w:val="-13"/>
          <w:kern w:val="0"/>
          <w:sz w:val="28"/>
          <w:szCs w:val="28"/>
          <w:lang w:val="en-US" w:eastAsia="zh-CN" w:bidi="ar"/>
        </w:rPr>
        <w:t>1、获取时间：</w:t>
      </w:r>
      <w:r>
        <w:rPr>
          <w:rFonts w:hint="eastAsia" w:ascii="仿宋" w:hAnsi="仿宋" w:eastAsia="仿宋" w:cs="仿宋"/>
          <w:snapToGrid w:val="0"/>
          <w:color w:val="000000"/>
          <w:spacing w:val="-6"/>
          <w:kern w:val="0"/>
          <w:sz w:val="28"/>
          <w:szCs w:val="28"/>
          <w:highlight w:val="none"/>
          <w:lang w:val="en-US" w:eastAsia="zh-CN" w:bidi="ar"/>
        </w:rPr>
        <w:t>2026年  月  日</w:t>
      </w:r>
      <w:r>
        <w:rPr>
          <w:rFonts w:hint="eastAsia" w:ascii="仿宋" w:hAnsi="仿宋" w:eastAsia="仿宋" w:cs="仿宋"/>
          <w:snapToGrid w:val="0"/>
          <w:color w:val="000000"/>
          <w:spacing w:val="-13"/>
          <w:kern w:val="0"/>
          <w:sz w:val="28"/>
          <w:szCs w:val="28"/>
          <w:highlight w:val="none"/>
          <w:lang w:val="en-US" w:eastAsia="zh-CN" w:bidi="ar"/>
        </w:rPr>
        <w:t>至</w:t>
      </w:r>
      <w:r>
        <w:rPr>
          <w:rFonts w:hint="eastAsia" w:ascii="仿宋" w:hAnsi="仿宋" w:eastAsia="仿宋" w:cs="仿宋"/>
          <w:snapToGrid w:val="0"/>
          <w:color w:val="000000"/>
          <w:spacing w:val="-57"/>
          <w:kern w:val="0"/>
          <w:sz w:val="28"/>
          <w:szCs w:val="28"/>
          <w:highlight w:val="none"/>
          <w:lang w:val="en-US" w:eastAsia="zh-CN" w:bidi="ar"/>
        </w:rPr>
        <w:t xml:space="preserve"> </w:t>
      </w:r>
      <w:r>
        <w:rPr>
          <w:rFonts w:hint="eastAsia" w:ascii="仿宋" w:hAnsi="仿宋" w:eastAsia="仿宋" w:cs="仿宋"/>
          <w:snapToGrid w:val="0"/>
          <w:color w:val="000000"/>
          <w:spacing w:val="-6"/>
          <w:kern w:val="0"/>
          <w:sz w:val="28"/>
          <w:szCs w:val="28"/>
          <w:highlight w:val="none"/>
          <w:lang w:val="en-US" w:eastAsia="zh-CN" w:bidi="ar"/>
        </w:rPr>
        <w:t>2026年  月  日  时  分</w:t>
      </w:r>
    </w:p>
    <w:p w14:paraId="044E4633">
      <w:pPr>
        <w:keepNext w:val="0"/>
        <w:keepLines w:val="0"/>
        <w:widowControl/>
        <w:suppressLineNumbers w:val="0"/>
        <w:spacing w:before="213" w:beforeAutospacing="0" w:after="0" w:afterAutospacing="1"/>
        <w:ind w:left="235" w:right="0"/>
        <w:jc w:val="left"/>
      </w:pPr>
      <w:r>
        <w:rPr>
          <w:rFonts w:hint="eastAsia" w:ascii="仿宋" w:hAnsi="仿宋" w:eastAsia="仿宋" w:cs="仿宋"/>
          <w:snapToGrid w:val="0"/>
          <w:color w:val="000000"/>
          <w:spacing w:val="-1"/>
          <w:kern w:val="0"/>
          <w:sz w:val="28"/>
          <w:szCs w:val="28"/>
          <w:lang w:val="en-US" w:eastAsia="zh-CN" w:bidi="ar"/>
        </w:rPr>
        <w:t>2、费用支付：网上免费下载（含初步设计及概算、答疑澄清文件等）</w:t>
      </w:r>
    </w:p>
    <w:p w14:paraId="727B71E1">
      <w:pPr>
        <w:keepNext w:val="0"/>
        <w:keepLines w:val="0"/>
        <w:widowControl/>
        <w:suppressLineNumbers w:val="0"/>
        <w:spacing w:before="213" w:beforeAutospacing="0" w:after="0" w:afterAutospacing="1"/>
        <w:ind w:left="8" w:right="0"/>
        <w:jc w:val="left"/>
      </w:pPr>
      <w:r>
        <w:rPr>
          <w:rFonts w:hint="eastAsia" w:ascii="仿宋" w:hAnsi="仿宋" w:eastAsia="仿宋" w:cs="仿宋"/>
          <w:snapToGrid w:val="0"/>
          <w:color w:val="000000"/>
          <w:spacing w:val="-2"/>
          <w:kern w:val="0"/>
          <w:sz w:val="28"/>
          <w:szCs w:val="28"/>
          <w:lang w:val="en-US" w:eastAsia="zh-CN" w:bidi="ar"/>
        </w:rPr>
        <w:t>十八、资格审查方式</w:t>
      </w:r>
      <w:r>
        <w:rPr>
          <w:rFonts w:hint="eastAsia" w:ascii="仿宋" w:hAnsi="仿宋" w:eastAsia="仿宋" w:cs="仿宋"/>
          <w:b/>
          <w:bCs/>
          <w:snapToGrid w:val="0"/>
          <w:color w:val="000000"/>
          <w:spacing w:val="-2"/>
          <w:kern w:val="0"/>
          <w:sz w:val="28"/>
          <w:szCs w:val="28"/>
          <w:lang w:val="en-US" w:eastAsia="zh-CN" w:bidi="ar"/>
        </w:rPr>
        <w:t>：</w:t>
      </w:r>
      <w:r>
        <w:rPr>
          <w:rFonts w:hint="eastAsia" w:ascii="仿宋" w:hAnsi="仿宋" w:eastAsia="仿宋" w:cs="仿宋"/>
          <w:snapToGrid w:val="0"/>
          <w:color w:val="000000"/>
          <w:spacing w:val="-2"/>
          <w:kern w:val="0"/>
          <w:sz w:val="28"/>
          <w:szCs w:val="28"/>
          <w:lang w:val="en-US" w:eastAsia="zh-CN" w:bidi="ar"/>
        </w:rPr>
        <w:t>资格后审</w:t>
      </w:r>
    </w:p>
    <w:p w14:paraId="42962AEC">
      <w:pPr>
        <w:keepNext w:val="0"/>
        <w:keepLines w:val="0"/>
        <w:widowControl/>
        <w:suppressLineNumbers w:val="0"/>
        <w:spacing w:before="213" w:beforeAutospacing="0" w:after="0" w:afterAutospacing="1"/>
        <w:ind w:left="8" w:right="0"/>
        <w:jc w:val="left"/>
      </w:pPr>
      <w:r>
        <w:rPr>
          <w:rFonts w:hint="eastAsia" w:ascii="仿宋" w:hAnsi="仿宋" w:eastAsia="仿宋" w:cs="仿宋"/>
          <w:snapToGrid w:val="0"/>
          <w:color w:val="000000"/>
          <w:spacing w:val="-2"/>
          <w:kern w:val="0"/>
          <w:sz w:val="28"/>
          <w:szCs w:val="28"/>
          <w:lang w:val="en-US" w:eastAsia="zh-CN" w:bidi="ar"/>
        </w:rPr>
        <w:t>十九、评标办法</w:t>
      </w:r>
      <w:r>
        <w:rPr>
          <w:rFonts w:hint="eastAsia" w:ascii="仿宋" w:hAnsi="仿宋" w:eastAsia="仿宋" w:cs="仿宋"/>
          <w:b/>
          <w:bCs/>
          <w:snapToGrid w:val="0"/>
          <w:color w:val="000000"/>
          <w:spacing w:val="-2"/>
          <w:kern w:val="0"/>
          <w:sz w:val="28"/>
          <w:szCs w:val="28"/>
          <w:lang w:val="en-US" w:eastAsia="zh-CN" w:bidi="ar"/>
        </w:rPr>
        <w:t>：</w:t>
      </w:r>
      <w:r>
        <w:rPr>
          <w:rFonts w:hint="eastAsia" w:ascii="仿宋" w:hAnsi="仿宋" w:eastAsia="仿宋" w:cs="仿宋"/>
          <w:snapToGrid w:val="0"/>
          <w:color w:val="000000"/>
          <w:spacing w:val="-2"/>
          <w:kern w:val="0"/>
          <w:sz w:val="28"/>
          <w:szCs w:val="28"/>
          <w:lang w:val="en-US" w:eastAsia="zh-CN" w:bidi="ar"/>
        </w:rPr>
        <w:t>综合评分法</w:t>
      </w:r>
    </w:p>
    <w:p w14:paraId="355C82C6">
      <w:pPr>
        <w:keepNext w:val="0"/>
        <w:keepLines w:val="0"/>
        <w:widowControl/>
        <w:suppressLineNumbers w:val="0"/>
        <w:spacing w:before="210" w:beforeAutospacing="0" w:after="0" w:afterAutospacing="1"/>
        <w:ind w:left="9" w:right="0"/>
        <w:jc w:val="left"/>
      </w:pPr>
      <w:r>
        <w:rPr>
          <w:rFonts w:hint="eastAsia" w:ascii="仿宋" w:hAnsi="仿宋" w:eastAsia="仿宋" w:cs="仿宋"/>
          <w:snapToGrid w:val="0"/>
          <w:color w:val="000000"/>
          <w:spacing w:val="-10"/>
          <w:kern w:val="0"/>
          <w:sz w:val="28"/>
          <w:szCs w:val="28"/>
          <w:lang w:val="en-US" w:eastAsia="zh-CN" w:bidi="ar"/>
        </w:rPr>
        <w:t>二十、备注：</w:t>
      </w:r>
    </w:p>
    <w:p w14:paraId="748FFB1B">
      <w:pPr>
        <w:keepNext w:val="0"/>
        <w:keepLines w:val="0"/>
        <w:widowControl/>
        <w:suppressLineNumbers w:val="0"/>
        <w:spacing w:before="214" w:beforeAutospacing="0" w:after="0" w:afterAutospacing="1" w:line="14" w:lineRule="atLeast"/>
        <w:ind w:left="1" w:right="0" w:firstLine="570"/>
        <w:jc w:val="left"/>
      </w:pPr>
      <w:r>
        <w:rPr>
          <w:rFonts w:hint="eastAsia" w:ascii="仿宋" w:hAnsi="仿宋" w:eastAsia="仿宋" w:cs="仿宋"/>
          <w:snapToGrid w:val="0"/>
          <w:color w:val="000000"/>
          <w:spacing w:val="-1"/>
          <w:kern w:val="0"/>
          <w:sz w:val="28"/>
          <w:szCs w:val="28"/>
          <w:lang w:val="en-US" w:eastAsia="zh-CN" w:bidi="ar"/>
        </w:rPr>
        <w:t>1、投标文件所报的设计负责人、项目经理和技术负责人必须是投标人</w:t>
      </w:r>
      <w:r>
        <w:rPr>
          <w:rFonts w:hint="eastAsia" w:ascii="仿宋" w:hAnsi="仿宋" w:eastAsia="仿宋" w:cs="仿宋"/>
          <w:snapToGrid w:val="0"/>
          <w:color w:val="000000"/>
          <w:spacing w:val="-6"/>
          <w:kern w:val="0"/>
          <w:sz w:val="28"/>
          <w:szCs w:val="28"/>
          <w:lang w:val="en-US" w:eastAsia="zh-CN" w:bidi="ar"/>
        </w:rPr>
        <w:t>本单位的人员。</w:t>
      </w:r>
    </w:p>
    <w:p w14:paraId="15C00CC3">
      <w:pPr>
        <w:keepNext w:val="0"/>
        <w:keepLines w:val="0"/>
        <w:widowControl/>
        <w:suppressLineNumbers w:val="0"/>
        <w:spacing w:before="218" w:beforeAutospacing="0" w:after="0" w:afterAutospacing="1" w:line="17" w:lineRule="atLeast"/>
        <w:ind w:left="0" w:right="3" w:firstLine="554"/>
        <w:jc w:val="left"/>
      </w:pPr>
      <w:r>
        <w:rPr>
          <w:rFonts w:hint="eastAsia" w:ascii="仿宋" w:hAnsi="仿宋" w:eastAsia="仿宋" w:cs="仿宋"/>
          <w:snapToGrid w:val="0"/>
          <w:color w:val="000000"/>
          <w:kern w:val="0"/>
          <w:sz w:val="28"/>
          <w:szCs w:val="28"/>
          <w:lang w:val="en-US" w:eastAsia="zh-CN" w:bidi="ar"/>
        </w:rPr>
        <w:t>2、本项目采用不见面开标（网上解密）方</w:t>
      </w:r>
      <w:r>
        <w:rPr>
          <w:rFonts w:hint="eastAsia" w:ascii="仿宋" w:hAnsi="仿宋" w:eastAsia="仿宋" w:cs="仿宋"/>
          <w:snapToGrid w:val="0"/>
          <w:color w:val="000000"/>
          <w:spacing w:val="-1"/>
          <w:kern w:val="0"/>
          <w:sz w:val="28"/>
          <w:szCs w:val="28"/>
          <w:lang w:val="en-US" w:eastAsia="zh-CN" w:bidi="ar"/>
        </w:rPr>
        <w:t>式，投标人无需到开标现场进行解密，采取网上解密方式解密投标文件。投标人在开标时间前使用</w:t>
      </w:r>
      <w:r>
        <w:rPr>
          <w:rFonts w:hint="eastAsia" w:ascii="仿宋" w:hAnsi="仿宋" w:eastAsia="仿宋" w:cs="仿宋"/>
          <w:snapToGrid w:val="0"/>
          <w:color w:val="000000"/>
          <w:spacing w:val="-55"/>
          <w:kern w:val="0"/>
          <w:sz w:val="28"/>
          <w:szCs w:val="28"/>
          <w:lang w:val="en-US" w:eastAsia="zh-CN" w:bidi="ar"/>
        </w:rPr>
        <w:t xml:space="preserve"> </w:t>
      </w:r>
      <w:r>
        <w:rPr>
          <w:rFonts w:hint="eastAsia" w:ascii="仿宋" w:hAnsi="仿宋" w:eastAsia="仿宋" w:cs="仿宋"/>
          <w:snapToGrid w:val="0"/>
          <w:color w:val="000000"/>
          <w:spacing w:val="-1"/>
          <w:kern w:val="0"/>
          <w:sz w:val="28"/>
          <w:szCs w:val="28"/>
          <w:lang w:val="en-US" w:eastAsia="zh-CN" w:bidi="ar"/>
        </w:rPr>
        <w:t>CA</w:t>
      </w:r>
      <w:r>
        <w:rPr>
          <w:rFonts w:hint="eastAsia" w:ascii="仿宋" w:hAnsi="仿宋" w:eastAsia="仿宋" w:cs="仿宋"/>
          <w:snapToGrid w:val="0"/>
          <w:color w:val="000000"/>
          <w:spacing w:val="-5"/>
          <w:kern w:val="0"/>
          <w:sz w:val="28"/>
          <w:szCs w:val="28"/>
          <w:lang w:val="en-US" w:eastAsia="zh-CN" w:bidi="ar"/>
        </w:rPr>
        <w:t>数字证书登录“六安市公共资源交易不见面开标系统”，等待开标并按系统</w:t>
      </w:r>
      <w:r>
        <w:rPr>
          <w:rFonts w:hint="eastAsia" w:ascii="仿宋" w:hAnsi="仿宋" w:eastAsia="仿宋" w:cs="仿宋"/>
          <w:snapToGrid w:val="0"/>
          <w:color w:val="000000"/>
          <w:spacing w:val="-1"/>
          <w:kern w:val="0"/>
          <w:sz w:val="28"/>
          <w:szCs w:val="28"/>
          <w:lang w:val="en-US" w:eastAsia="zh-CN" w:bidi="ar"/>
        </w:rPr>
        <w:t>提示进行相应的投标人解密等事项,采用本方式可以观看开标现场音视频直</w:t>
      </w:r>
      <w:r>
        <w:rPr>
          <w:rFonts w:hint="eastAsia" w:ascii="仿宋" w:hAnsi="仿宋" w:eastAsia="仿宋" w:cs="仿宋"/>
          <w:snapToGrid w:val="0"/>
          <w:color w:val="000000"/>
          <w:spacing w:val="-5"/>
          <w:kern w:val="0"/>
          <w:sz w:val="28"/>
          <w:szCs w:val="28"/>
          <w:lang w:val="en-US" w:eastAsia="zh-CN" w:bidi="ar"/>
        </w:rPr>
        <w:t>播并进行互动交流。具体操作方法见六安市公共资源交易中心网站“服务指</w:t>
      </w:r>
      <w:r>
        <w:rPr>
          <w:rFonts w:hint="eastAsia" w:ascii="仿宋" w:hAnsi="仿宋" w:eastAsia="仿宋" w:cs="仿宋"/>
          <w:snapToGrid w:val="0"/>
          <w:color w:val="000000"/>
          <w:spacing w:val="-13"/>
          <w:kern w:val="0"/>
          <w:sz w:val="28"/>
          <w:szCs w:val="28"/>
          <w:lang w:val="en-US" w:eastAsia="zh-CN" w:bidi="ar"/>
        </w:rPr>
        <w:t>引—交易微课堂”栏目中“六安市公共资源交易不见面开标</w:t>
      </w:r>
      <w:r>
        <w:rPr>
          <w:rFonts w:hint="eastAsia" w:ascii="仿宋" w:hAnsi="仿宋" w:eastAsia="仿宋" w:cs="仿宋"/>
          <w:snapToGrid w:val="0"/>
          <w:color w:val="000000"/>
          <w:spacing w:val="-14"/>
          <w:kern w:val="0"/>
          <w:sz w:val="28"/>
          <w:szCs w:val="28"/>
          <w:lang w:val="en-US" w:eastAsia="zh-CN" w:bidi="ar"/>
        </w:rPr>
        <w:t>系统操作手册（投</w:t>
      </w:r>
      <w:r>
        <w:rPr>
          <w:rFonts w:hint="eastAsia" w:ascii="仿宋" w:hAnsi="仿宋" w:eastAsia="仿宋" w:cs="仿宋"/>
          <w:snapToGrid w:val="0"/>
          <w:color w:val="000000"/>
          <w:spacing w:val="-3"/>
          <w:kern w:val="0"/>
          <w:sz w:val="28"/>
          <w:szCs w:val="28"/>
          <w:lang w:val="en-US" w:eastAsia="zh-CN" w:bidi="ar"/>
        </w:rPr>
        <w:t>标人）”。</w:t>
      </w:r>
    </w:p>
    <w:p w14:paraId="7ABF92C9">
      <w:pPr>
        <w:keepNext w:val="0"/>
        <w:keepLines w:val="0"/>
        <w:widowControl/>
        <w:suppressLineNumbers w:val="0"/>
        <w:spacing w:before="214" w:beforeAutospacing="0" w:after="0" w:afterAutospacing="1" w:line="18" w:lineRule="atLeast"/>
        <w:ind w:left="35" w:right="11" w:firstLine="527"/>
        <w:jc w:val="left"/>
      </w:pPr>
      <w:r>
        <w:rPr>
          <w:rFonts w:hint="eastAsia" w:ascii="仿宋" w:hAnsi="仿宋" w:eastAsia="仿宋" w:cs="仿宋"/>
          <w:snapToGrid w:val="0"/>
          <w:color w:val="000000"/>
          <w:spacing w:val="-2"/>
          <w:kern w:val="0"/>
          <w:sz w:val="28"/>
          <w:szCs w:val="28"/>
          <w:lang w:val="en-US" w:eastAsia="zh-CN" w:bidi="ar"/>
        </w:rPr>
        <w:t>解密时间：解密程序开始后每个投标人均应在解密指令发出后</w:t>
      </w:r>
      <w:r>
        <w:rPr>
          <w:rFonts w:hint="eastAsia" w:ascii="仿宋" w:hAnsi="仿宋" w:eastAsia="仿宋" w:cs="仿宋"/>
          <w:snapToGrid w:val="0"/>
          <w:color w:val="000000"/>
          <w:spacing w:val="-50"/>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30</w:t>
      </w:r>
      <w:r>
        <w:rPr>
          <w:rFonts w:hint="eastAsia" w:ascii="仿宋" w:hAnsi="仿宋" w:eastAsia="仿宋" w:cs="仿宋"/>
          <w:snapToGrid w:val="0"/>
          <w:color w:val="000000"/>
          <w:spacing w:val="-49"/>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分钟</w:t>
      </w:r>
      <w:r>
        <w:rPr>
          <w:rFonts w:hint="eastAsia" w:ascii="仿宋" w:hAnsi="仿宋" w:eastAsia="仿宋" w:cs="仿宋"/>
          <w:snapToGrid w:val="0"/>
          <w:color w:val="000000"/>
          <w:spacing w:val="-4"/>
          <w:kern w:val="0"/>
          <w:sz w:val="28"/>
          <w:szCs w:val="28"/>
          <w:lang w:val="en-US" w:eastAsia="zh-CN" w:bidi="ar"/>
        </w:rPr>
        <w:t>内完成解密，否则投标文件将被拒绝。</w:t>
      </w:r>
    </w:p>
    <w:p w14:paraId="0B0470DE">
      <w:pPr>
        <w:keepNext w:val="0"/>
        <w:keepLines w:val="0"/>
        <w:widowControl/>
        <w:suppressLineNumbers w:val="0"/>
        <w:spacing w:before="2" w:beforeAutospacing="0" w:after="0" w:afterAutospacing="1" w:line="18" w:lineRule="atLeast"/>
        <w:ind w:left="3" w:right="3" w:firstLine="561"/>
        <w:jc w:val="left"/>
      </w:pPr>
      <w:r>
        <w:rPr>
          <w:rFonts w:hint="eastAsia" w:ascii="仿宋" w:hAnsi="仿宋" w:eastAsia="仿宋" w:cs="仿宋"/>
          <w:snapToGrid w:val="0"/>
          <w:color w:val="000000"/>
          <w:spacing w:val="-5"/>
          <w:kern w:val="0"/>
          <w:sz w:val="28"/>
          <w:szCs w:val="28"/>
          <w:lang w:val="en-US" w:eastAsia="zh-CN" w:bidi="ar"/>
        </w:rPr>
        <w:t>参加本项目的投标人提前准备好电脑、耳麦等相关设备，确保开标</w:t>
      </w:r>
      <w:r>
        <w:rPr>
          <w:rFonts w:hint="eastAsia" w:ascii="仿宋" w:hAnsi="仿宋" w:eastAsia="仿宋" w:cs="仿宋"/>
          <w:snapToGrid w:val="0"/>
          <w:color w:val="000000"/>
          <w:spacing w:val="-6"/>
          <w:kern w:val="0"/>
          <w:sz w:val="28"/>
          <w:szCs w:val="28"/>
          <w:lang w:val="en-US" w:eastAsia="zh-CN" w:bidi="ar"/>
        </w:rPr>
        <w:t>顺利</w:t>
      </w:r>
      <w:r>
        <w:rPr>
          <w:rFonts w:hint="eastAsia" w:ascii="仿宋" w:hAnsi="仿宋" w:eastAsia="仿宋" w:cs="仿宋"/>
          <w:snapToGrid w:val="0"/>
          <w:color w:val="000000"/>
          <w:spacing w:val="-1"/>
          <w:kern w:val="0"/>
          <w:sz w:val="28"/>
          <w:szCs w:val="28"/>
          <w:lang w:val="en-US" w:eastAsia="zh-CN" w:bidi="ar"/>
        </w:rPr>
        <w:t>进行，如因设备造成的问题由投标人自行负责。</w:t>
      </w:r>
    </w:p>
    <w:p w14:paraId="0316BD66">
      <w:pPr>
        <w:keepNext w:val="0"/>
        <w:keepLines w:val="0"/>
        <w:widowControl/>
        <w:suppressLineNumbers w:val="0"/>
        <w:spacing w:before="2" w:beforeAutospacing="0" w:after="0" w:afterAutospacing="1" w:line="18" w:lineRule="atLeast"/>
        <w:ind w:left="3" w:right="3" w:firstLine="561"/>
        <w:jc w:val="left"/>
      </w:pPr>
      <w:r>
        <w:rPr>
          <w:rFonts w:hint="eastAsia" w:ascii="仿宋" w:hAnsi="仿宋" w:eastAsia="仿宋" w:cs="仿宋"/>
          <w:snapToGrid w:val="0"/>
          <w:color w:val="000000"/>
          <w:spacing w:val="-1"/>
          <w:kern w:val="0"/>
          <w:sz w:val="28"/>
          <w:szCs w:val="28"/>
          <w:lang w:val="en-US" w:eastAsia="zh-CN" w:bidi="ar"/>
        </w:rPr>
        <w:t>3、投标项目经理不得在其他在建工程（含已中标的待建工程）中担任</w:t>
      </w:r>
      <w:r>
        <w:rPr>
          <w:rFonts w:hint="eastAsia" w:ascii="仿宋" w:hAnsi="仿宋" w:eastAsia="仿宋" w:cs="仿宋"/>
          <w:snapToGrid w:val="0"/>
          <w:color w:val="000000"/>
          <w:spacing w:val="-5"/>
          <w:kern w:val="0"/>
          <w:sz w:val="28"/>
          <w:szCs w:val="28"/>
          <w:lang w:val="en-US" w:eastAsia="zh-CN" w:bidi="ar"/>
        </w:rPr>
        <w:t>项目经理、技术负责人、安全员、施工员、质量员。国有投资项目，均对项目经理（建造师）、技术负责人、安全员、质量员、施工员自开工之日起采</w:t>
      </w:r>
      <w:r>
        <w:rPr>
          <w:rFonts w:hint="eastAsia" w:ascii="仿宋" w:hAnsi="仿宋" w:eastAsia="仿宋" w:cs="仿宋"/>
          <w:snapToGrid w:val="0"/>
          <w:color w:val="000000"/>
          <w:spacing w:val="-6"/>
          <w:kern w:val="0"/>
          <w:sz w:val="28"/>
          <w:szCs w:val="28"/>
          <w:lang w:val="en-US" w:eastAsia="zh-CN" w:bidi="ar"/>
        </w:rPr>
        <w:t>用“IFA</w:t>
      </w:r>
      <w:r>
        <w:rPr>
          <w:rFonts w:hint="eastAsia" w:ascii="仿宋" w:hAnsi="仿宋" w:eastAsia="仿宋" w:cs="仿宋"/>
          <w:snapToGrid w:val="0"/>
          <w:color w:val="000000"/>
          <w:spacing w:val="-86"/>
          <w:kern w:val="0"/>
          <w:sz w:val="28"/>
          <w:szCs w:val="28"/>
          <w:lang w:val="en-US" w:eastAsia="zh-CN" w:bidi="ar"/>
        </w:rPr>
        <w:t xml:space="preserve"> </w:t>
      </w:r>
      <w:r>
        <w:rPr>
          <w:rFonts w:hint="eastAsia" w:ascii="仿宋" w:hAnsi="仿宋" w:eastAsia="仿宋" w:cs="仿宋"/>
          <w:snapToGrid w:val="0"/>
          <w:color w:val="000000"/>
          <w:spacing w:val="-6"/>
          <w:kern w:val="0"/>
          <w:sz w:val="28"/>
          <w:szCs w:val="28"/>
          <w:lang w:val="en-US" w:eastAsia="zh-CN" w:bidi="ar"/>
        </w:rPr>
        <w:t>”</w:t>
      </w:r>
      <w:r>
        <w:rPr>
          <w:rFonts w:hint="eastAsia" w:ascii="仿宋" w:hAnsi="仿宋" w:eastAsia="仿宋" w:cs="仿宋"/>
          <w:snapToGrid w:val="0"/>
          <w:color w:val="000000"/>
          <w:spacing w:val="-117"/>
          <w:kern w:val="0"/>
          <w:sz w:val="28"/>
          <w:szCs w:val="28"/>
          <w:lang w:val="en-US" w:eastAsia="zh-CN" w:bidi="ar"/>
        </w:rPr>
        <w:t xml:space="preserve"> </w:t>
      </w:r>
      <w:r>
        <w:rPr>
          <w:rFonts w:hint="eastAsia" w:ascii="仿宋" w:hAnsi="仿宋" w:eastAsia="仿宋" w:cs="仿宋"/>
          <w:snapToGrid w:val="0"/>
          <w:color w:val="000000"/>
          <w:spacing w:val="-6"/>
          <w:kern w:val="0"/>
          <w:sz w:val="28"/>
          <w:szCs w:val="28"/>
          <w:lang w:val="en-US" w:eastAsia="zh-CN" w:bidi="ar"/>
        </w:rPr>
        <w:t>(人脸识别)系统进行考勤、考核。</w:t>
      </w:r>
    </w:p>
    <w:p w14:paraId="107E0899">
      <w:pPr>
        <w:keepNext w:val="0"/>
        <w:keepLines w:val="0"/>
        <w:widowControl/>
        <w:suppressLineNumbers w:val="0"/>
        <w:spacing w:before="216" w:beforeAutospacing="0" w:after="0" w:afterAutospacing="1" w:line="14" w:lineRule="atLeast"/>
        <w:ind w:left="5" w:right="93" w:firstLine="549"/>
        <w:jc w:val="left"/>
      </w:pPr>
      <w:r>
        <w:rPr>
          <w:rFonts w:hint="eastAsia" w:ascii="仿宋" w:hAnsi="仿宋" w:eastAsia="仿宋" w:cs="仿宋"/>
          <w:snapToGrid w:val="0"/>
          <w:color w:val="000000"/>
          <w:spacing w:val="-6"/>
          <w:kern w:val="0"/>
          <w:sz w:val="28"/>
          <w:szCs w:val="28"/>
          <w:lang w:val="en-US" w:eastAsia="zh-CN" w:bidi="ar"/>
        </w:rPr>
        <w:t>4、本项目实行投标保证金制度和履约保证金制度，投标保证金</w:t>
      </w:r>
      <w:r>
        <w:rPr>
          <w:rFonts w:hint="eastAsia" w:ascii="仿宋" w:hAnsi="仿宋" w:eastAsia="仿宋" w:cs="仿宋"/>
          <w:snapToGrid w:val="0"/>
          <w:color w:val="000000"/>
          <w:spacing w:val="-39"/>
          <w:kern w:val="0"/>
          <w:sz w:val="28"/>
          <w:szCs w:val="28"/>
          <w:lang w:val="en-US" w:eastAsia="zh-CN" w:bidi="ar"/>
        </w:rPr>
        <w:t>1</w:t>
      </w:r>
      <w:r>
        <w:rPr>
          <w:rFonts w:hint="eastAsia" w:ascii="仿宋" w:hAnsi="仿宋" w:eastAsia="仿宋" w:cs="仿宋"/>
          <w:snapToGrid w:val="0"/>
          <w:color w:val="000000"/>
          <w:spacing w:val="-6"/>
          <w:kern w:val="0"/>
          <w:sz w:val="28"/>
          <w:szCs w:val="28"/>
          <w:lang w:val="en-US" w:eastAsia="zh-CN" w:bidi="ar"/>
        </w:rPr>
        <w:t>0万元</w:t>
      </w:r>
      <w:r>
        <w:rPr>
          <w:rFonts w:hint="eastAsia" w:ascii="仿宋" w:hAnsi="仿宋" w:eastAsia="仿宋" w:cs="仿宋"/>
          <w:snapToGrid w:val="0"/>
          <w:color w:val="000000"/>
          <w:spacing w:val="-2"/>
          <w:kern w:val="0"/>
          <w:sz w:val="28"/>
          <w:szCs w:val="28"/>
          <w:lang w:val="en-US" w:eastAsia="zh-CN" w:bidi="ar"/>
        </w:rPr>
        <w:t>整；投标人中标后应缴纳履约保证金。</w:t>
      </w:r>
    </w:p>
    <w:p w14:paraId="3187E477">
      <w:pPr>
        <w:keepNext w:val="0"/>
        <w:keepLines w:val="0"/>
        <w:widowControl/>
        <w:suppressLineNumbers w:val="0"/>
        <w:spacing w:before="215" w:beforeAutospacing="0" w:after="0" w:afterAutospacing="1" w:line="14" w:lineRule="atLeast"/>
        <w:ind w:left="13" w:right="108" w:firstLine="548"/>
        <w:jc w:val="left"/>
      </w:pPr>
      <w:r>
        <w:rPr>
          <w:rFonts w:hint="eastAsia" w:ascii="仿宋" w:hAnsi="仿宋" w:eastAsia="仿宋" w:cs="仿宋"/>
          <w:snapToGrid w:val="0"/>
          <w:color w:val="000000"/>
          <w:spacing w:val="-1"/>
          <w:kern w:val="0"/>
          <w:sz w:val="28"/>
          <w:szCs w:val="28"/>
          <w:lang w:val="en-US" w:eastAsia="zh-CN" w:bidi="ar"/>
        </w:rPr>
        <w:t>5、本项目招标文件（含初步设计及概算、答疑澄清文件等）均从六安市公共资源交易平台电子服务系统（http://ggzy.luan.gov.c</w:t>
      </w:r>
      <w:r>
        <w:rPr>
          <w:rFonts w:hint="eastAsia" w:ascii="仿宋" w:hAnsi="仿宋" w:eastAsia="仿宋" w:cs="仿宋"/>
          <w:snapToGrid w:val="0"/>
          <w:color w:val="000000"/>
          <w:spacing w:val="-2"/>
          <w:kern w:val="0"/>
          <w:sz w:val="28"/>
          <w:szCs w:val="28"/>
          <w:lang w:val="en-US" w:eastAsia="zh-CN" w:bidi="ar"/>
        </w:rPr>
        <w:t>n）下载。</w:t>
      </w:r>
    </w:p>
    <w:p w14:paraId="01A5EF05">
      <w:pPr>
        <w:keepNext w:val="0"/>
        <w:keepLines w:val="0"/>
        <w:widowControl/>
        <w:suppressLineNumbers w:val="0"/>
        <w:spacing w:before="221" w:beforeAutospacing="0" w:after="0" w:afterAutospacing="1" w:line="16" w:lineRule="atLeast"/>
        <w:ind w:left="0" w:right="88" w:firstLine="557"/>
        <w:jc w:val="left"/>
      </w:pPr>
      <w:r>
        <w:rPr>
          <w:rFonts w:hint="eastAsia" w:ascii="仿宋" w:hAnsi="仿宋" w:eastAsia="仿宋" w:cs="仿宋"/>
          <w:snapToGrid w:val="0"/>
          <w:color w:val="000000"/>
          <w:spacing w:val="9"/>
          <w:kern w:val="0"/>
          <w:sz w:val="28"/>
          <w:szCs w:val="28"/>
          <w:lang w:val="en-US" w:eastAsia="zh-CN" w:bidi="ar"/>
        </w:rPr>
        <w:t>6、投标人通过六安市公共资源电子交易系</w:t>
      </w:r>
      <w:r>
        <w:rPr>
          <w:rFonts w:hint="eastAsia" w:ascii="仿宋" w:hAnsi="仿宋" w:eastAsia="仿宋" w:cs="仿宋"/>
          <w:snapToGrid w:val="0"/>
          <w:color w:val="000000"/>
          <w:spacing w:val="-6"/>
          <w:kern w:val="0"/>
          <w:sz w:val="28"/>
          <w:szCs w:val="28"/>
          <w:lang w:val="en-US" w:eastAsia="zh-CN" w:bidi="ar"/>
        </w:rPr>
        <w:t>统提出疑问的截止时间为</w:t>
      </w:r>
      <w:r>
        <w:rPr>
          <w:rFonts w:hint="eastAsia" w:ascii="仿宋" w:hAnsi="仿宋" w:eastAsia="仿宋" w:cs="仿宋"/>
          <w:snapToGrid w:val="0"/>
          <w:color w:val="000000"/>
          <w:spacing w:val="-6"/>
          <w:kern w:val="0"/>
          <w:sz w:val="28"/>
          <w:szCs w:val="28"/>
          <w:highlight w:val="none"/>
          <w:lang w:val="en-US" w:eastAsia="zh-CN" w:bidi="ar"/>
        </w:rPr>
        <w:t xml:space="preserve">2026年  月  日  时  </w:t>
      </w:r>
      <w:r>
        <w:rPr>
          <w:rFonts w:hint="eastAsia" w:ascii="仿宋" w:hAnsi="仿宋" w:eastAsia="仿宋" w:cs="仿宋"/>
          <w:snapToGrid w:val="0"/>
          <w:color w:val="000000"/>
          <w:spacing w:val="-6"/>
          <w:kern w:val="0"/>
          <w:sz w:val="28"/>
          <w:szCs w:val="28"/>
          <w:lang w:val="en-US" w:eastAsia="zh-CN" w:bidi="ar"/>
        </w:rPr>
        <w:t>分，招标人网上集中统一答疑时间为</w:t>
      </w:r>
      <w:r>
        <w:rPr>
          <w:rFonts w:hint="eastAsia" w:ascii="仿宋" w:hAnsi="仿宋" w:eastAsia="仿宋" w:cs="仿宋"/>
          <w:snapToGrid w:val="0"/>
          <w:color w:val="000000"/>
          <w:spacing w:val="-6"/>
          <w:kern w:val="0"/>
          <w:sz w:val="28"/>
          <w:szCs w:val="28"/>
          <w:highlight w:val="none"/>
          <w:lang w:val="en-US" w:eastAsia="zh-CN" w:bidi="ar"/>
        </w:rPr>
        <w:t>2026年 月 日，开标时间与投标文件递交截止时间为同一时间即 2026年 月 日 时 分</w:t>
      </w:r>
      <w:r>
        <w:rPr>
          <w:rFonts w:hint="eastAsia" w:ascii="仿宋" w:hAnsi="仿宋" w:eastAsia="仿宋" w:cs="仿宋"/>
          <w:snapToGrid w:val="0"/>
          <w:color w:val="000000"/>
          <w:spacing w:val="-14"/>
          <w:kern w:val="0"/>
          <w:sz w:val="28"/>
          <w:szCs w:val="28"/>
          <w:highlight w:val="none"/>
          <w:lang w:val="en-US" w:eastAsia="zh-CN" w:bidi="ar"/>
        </w:rPr>
        <w:t>。</w:t>
      </w:r>
    </w:p>
    <w:p w14:paraId="442BB17B">
      <w:pPr>
        <w:keepNext w:val="0"/>
        <w:keepLines w:val="0"/>
        <w:widowControl/>
        <w:suppressLineNumbers w:val="0"/>
        <w:spacing w:before="213" w:beforeAutospacing="0" w:after="0" w:afterAutospacing="1" w:line="17" w:lineRule="atLeast"/>
        <w:ind w:left="4" w:right="187" w:firstLine="557"/>
        <w:jc w:val="left"/>
      </w:pPr>
      <w:r>
        <w:rPr>
          <w:rFonts w:hint="eastAsia" w:ascii="仿宋" w:hAnsi="仿宋" w:eastAsia="仿宋" w:cs="仿宋"/>
          <w:snapToGrid w:val="0"/>
          <w:color w:val="000000"/>
          <w:spacing w:val="-3"/>
          <w:kern w:val="0"/>
          <w:sz w:val="28"/>
          <w:szCs w:val="28"/>
          <w:lang w:val="en-US" w:eastAsia="zh-CN" w:bidi="ar"/>
        </w:rPr>
        <w:t>7、按照《中华人民共和国招标投标法实施条例》第 22 条</w:t>
      </w:r>
      <w:r>
        <w:rPr>
          <w:rFonts w:hint="eastAsia" w:ascii="仿宋" w:hAnsi="仿宋" w:eastAsia="仿宋" w:cs="仿宋"/>
          <w:snapToGrid w:val="0"/>
          <w:color w:val="000000"/>
          <w:spacing w:val="-4"/>
          <w:kern w:val="0"/>
          <w:sz w:val="28"/>
          <w:szCs w:val="28"/>
          <w:lang w:val="en-US" w:eastAsia="zh-CN" w:bidi="ar"/>
        </w:rPr>
        <w:t>规定，投标</w:t>
      </w:r>
      <w:r>
        <w:rPr>
          <w:rFonts w:hint="eastAsia" w:ascii="仿宋" w:hAnsi="仿宋" w:eastAsia="仿宋" w:cs="仿宋"/>
          <w:snapToGrid w:val="0"/>
          <w:color w:val="000000"/>
          <w:spacing w:val="1"/>
          <w:kern w:val="0"/>
          <w:sz w:val="28"/>
          <w:szCs w:val="28"/>
          <w:lang w:val="en-US" w:eastAsia="zh-CN" w:bidi="ar"/>
        </w:rPr>
        <w:t>人通过六安市公共资源电子交易系统提出异议的截止时间为投标截止时间</w:t>
      </w:r>
      <w:r>
        <w:rPr>
          <w:rFonts w:hint="eastAsia" w:ascii="仿宋" w:hAnsi="仿宋" w:eastAsia="仿宋" w:cs="仿宋"/>
          <w:snapToGrid w:val="0"/>
          <w:color w:val="000000"/>
          <w:spacing w:val="-6"/>
          <w:kern w:val="0"/>
          <w:sz w:val="28"/>
          <w:szCs w:val="28"/>
          <w:lang w:val="en-US" w:eastAsia="zh-CN" w:bidi="ar"/>
        </w:rPr>
        <w:t>10 日前。招标人自收到异议之日起</w:t>
      </w:r>
      <w:r>
        <w:rPr>
          <w:rFonts w:hint="eastAsia" w:ascii="仿宋" w:hAnsi="仿宋" w:eastAsia="仿宋" w:cs="仿宋"/>
          <w:snapToGrid w:val="0"/>
          <w:color w:val="000000"/>
          <w:spacing w:val="-37"/>
          <w:kern w:val="0"/>
          <w:sz w:val="28"/>
          <w:szCs w:val="28"/>
          <w:lang w:val="en-US" w:eastAsia="zh-CN" w:bidi="ar"/>
        </w:rPr>
        <w:t xml:space="preserve"> </w:t>
      </w:r>
      <w:r>
        <w:rPr>
          <w:rFonts w:hint="eastAsia" w:ascii="仿宋" w:hAnsi="仿宋" w:eastAsia="仿宋" w:cs="仿宋"/>
          <w:snapToGrid w:val="0"/>
          <w:color w:val="000000"/>
          <w:spacing w:val="-6"/>
          <w:kern w:val="0"/>
          <w:sz w:val="28"/>
          <w:szCs w:val="28"/>
          <w:lang w:val="en-US" w:eastAsia="zh-CN" w:bidi="ar"/>
        </w:rPr>
        <w:t>3 日内通过电子交易系统答复，所有潜</w:t>
      </w:r>
      <w:r>
        <w:rPr>
          <w:rFonts w:hint="eastAsia" w:ascii="仿宋" w:hAnsi="仿宋" w:eastAsia="仿宋" w:cs="仿宋"/>
          <w:snapToGrid w:val="0"/>
          <w:color w:val="000000"/>
          <w:spacing w:val="1"/>
          <w:kern w:val="0"/>
          <w:sz w:val="28"/>
          <w:szCs w:val="28"/>
          <w:lang w:val="en-US" w:eastAsia="zh-CN" w:bidi="ar"/>
        </w:rPr>
        <w:t>在投标人在投标截止时间前有义务自行查询，否则造成的一切后果由投标人自行承担。在规定的提出异议的截止时间前投标人未对招标文件提出异议的，凡在评审过程中涉及的任何评审争议均以招标人和招标代理机构解</w:t>
      </w:r>
      <w:r>
        <w:rPr>
          <w:rFonts w:hint="eastAsia" w:ascii="仿宋" w:hAnsi="仿宋" w:eastAsia="仿宋" w:cs="仿宋"/>
          <w:snapToGrid w:val="0"/>
          <w:color w:val="000000"/>
          <w:spacing w:val="-10"/>
          <w:kern w:val="0"/>
          <w:sz w:val="28"/>
          <w:szCs w:val="28"/>
          <w:lang w:val="en-US" w:eastAsia="zh-CN" w:bidi="ar"/>
        </w:rPr>
        <w:t>释为准。</w:t>
      </w:r>
    </w:p>
    <w:p w14:paraId="55957C07">
      <w:pPr>
        <w:keepNext w:val="0"/>
        <w:keepLines w:val="0"/>
        <w:widowControl/>
        <w:suppressLineNumbers w:val="0"/>
        <w:spacing w:before="272" w:beforeAutospacing="0" w:after="0" w:afterAutospacing="1" w:line="16" w:lineRule="atLeast"/>
        <w:ind w:left="4" w:right="91" w:firstLine="552"/>
        <w:jc w:val="left"/>
      </w:pPr>
      <w:r>
        <w:rPr>
          <w:rFonts w:hint="eastAsia" w:ascii="仿宋" w:hAnsi="仿宋" w:eastAsia="仿宋" w:cs="仿宋"/>
          <w:snapToGrid w:val="0"/>
          <w:color w:val="000000"/>
          <w:kern w:val="0"/>
          <w:sz w:val="28"/>
          <w:szCs w:val="28"/>
          <w:lang w:val="en-US" w:eastAsia="zh-CN" w:bidi="ar"/>
        </w:rPr>
        <w:t>8、有意向参与本项目投标的投标人，应在投标截止时间前自行在</w:t>
      </w:r>
      <w:r>
        <w:rPr>
          <w:rFonts w:hint="eastAsia" w:ascii="仿宋" w:hAnsi="仿宋" w:eastAsia="仿宋" w:cs="仿宋"/>
          <w:snapToGrid w:val="0"/>
          <w:color w:val="000000"/>
          <w:spacing w:val="-1"/>
          <w:kern w:val="0"/>
          <w:sz w:val="28"/>
          <w:szCs w:val="28"/>
          <w:lang w:val="en-US" w:eastAsia="zh-CN" w:bidi="ar"/>
        </w:rPr>
        <w:t>六安</w:t>
      </w:r>
      <w:r>
        <w:rPr>
          <w:rFonts w:hint="eastAsia" w:ascii="仿宋" w:hAnsi="仿宋" w:eastAsia="仿宋" w:cs="仿宋"/>
          <w:snapToGrid w:val="0"/>
          <w:color w:val="000000"/>
          <w:spacing w:val="3"/>
          <w:kern w:val="0"/>
          <w:sz w:val="28"/>
          <w:szCs w:val="28"/>
          <w:lang w:val="en-US" w:eastAsia="zh-CN" w:bidi="ar"/>
        </w:rPr>
        <w:t>市公共资源电子交易系统(</w:t>
      </w:r>
      <w:r>
        <w:rPr>
          <w:rFonts w:hint="eastAsia" w:ascii="仿宋" w:hAnsi="仿宋" w:eastAsia="仿宋" w:cs="仿宋"/>
          <w:snapToGrid w:val="0"/>
          <w:color w:val="000000"/>
          <w:kern w:val="0"/>
          <w:sz w:val="28"/>
          <w:szCs w:val="28"/>
          <w:lang w:val="en-US" w:eastAsia="zh-CN" w:bidi="ar"/>
        </w:rPr>
        <w:t>http://114.98.87.113:9016/TPBidder</w:t>
      </w:r>
      <w:r>
        <w:rPr>
          <w:rFonts w:hint="eastAsia" w:ascii="仿宋" w:hAnsi="仿宋" w:eastAsia="仿宋" w:cs="仿宋"/>
          <w:snapToGrid w:val="0"/>
          <w:color w:val="000000"/>
          <w:spacing w:val="3"/>
          <w:kern w:val="0"/>
          <w:sz w:val="28"/>
          <w:szCs w:val="28"/>
          <w:lang w:val="en-US" w:eastAsia="zh-CN" w:bidi="ar"/>
        </w:rPr>
        <w:t>)下载招</w:t>
      </w:r>
      <w:r>
        <w:rPr>
          <w:rFonts w:hint="eastAsia" w:ascii="仿宋" w:hAnsi="仿宋" w:eastAsia="仿宋" w:cs="仿宋"/>
          <w:snapToGrid w:val="0"/>
          <w:color w:val="000000"/>
          <w:spacing w:val="-2"/>
          <w:kern w:val="0"/>
          <w:sz w:val="28"/>
          <w:szCs w:val="28"/>
          <w:lang w:val="en-US" w:eastAsia="zh-CN" w:bidi="ar"/>
        </w:rPr>
        <w:t>标公告、补充公告、招标文件和澄清文件等资料。</w:t>
      </w:r>
    </w:p>
    <w:p w14:paraId="55E546AC">
      <w:pPr>
        <w:keepNext w:val="0"/>
        <w:keepLines w:val="0"/>
        <w:widowControl/>
        <w:suppressLineNumbers w:val="0"/>
        <w:spacing w:before="0" w:beforeAutospacing="1" w:after="0" w:afterAutospacing="1"/>
        <w:ind w:left="0" w:right="0" w:firstLine="0"/>
        <w:jc w:val="left"/>
        <w:rPr>
          <w:rFonts w:hint="eastAsia" w:ascii="仿宋" w:hAnsi="仿宋" w:eastAsia="仿宋" w:cs="仿宋"/>
          <w:snapToGrid w:val="0"/>
          <w:color w:val="000000"/>
          <w:spacing w:val="-2"/>
          <w:kern w:val="0"/>
          <w:sz w:val="28"/>
          <w:szCs w:val="28"/>
          <w:lang w:val="en-US" w:eastAsia="zh-CN" w:bidi="ar"/>
        </w:rPr>
      </w:pPr>
      <w:r>
        <w:rPr>
          <w:rFonts w:hint="eastAsia" w:ascii="仿宋" w:hAnsi="仿宋" w:eastAsia="仿宋" w:cs="仿宋"/>
          <w:snapToGrid w:val="0"/>
          <w:color w:val="000000"/>
          <w:spacing w:val="-6"/>
          <w:kern w:val="0"/>
          <w:sz w:val="28"/>
          <w:szCs w:val="28"/>
          <w:lang w:val="en-US" w:eastAsia="zh-CN" w:bidi="ar"/>
        </w:rPr>
        <w:t>9、投标人自行在安徽省公共资源交易市场主体库中填报企业基本信息、</w:t>
      </w:r>
      <w:r>
        <w:rPr>
          <w:rFonts w:hint="eastAsia" w:ascii="仿宋" w:hAnsi="仿宋" w:eastAsia="仿宋" w:cs="仿宋"/>
          <w:snapToGrid w:val="0"/>
          <w:color w:val="000000"/>
          <w:spacing w:val="-2"/>
          <w:kern w:val="0"/>
          <w:sz w:val="28"/>
          <w:szCs w:val="28"/>
          <w:lang w:val="en-US" w:eastAsia="zh-CN" w:bidi="ar"/>
        </w:rPr>
        <w:t>企业和项目经理业绩、企业和项目经理获奖等相关信息。投标人自行更新、维护本单位信息。以上所有信息的真实性、准确性和完整性由投标人负责。</w:t>
      </w:r>
    </w:p>
    <w:p w14:paraId="23D975F7">
      <w:pPr>
        <w:keepNext w:val="0"/>
        <w:keepLines w:val="0"/>
        <w:widowControl/>
        <w:suppressLineNumbers w:val="0"/>
        <w:spacing w:before="0" w:beforeAutospacing="1" w:after="0" w:afterAutospacing="1"/>
        <w:ind w:left="0" w:right="0" w:firstLine="0"/>
        <w:jc w:val="left"/>
      </w:pPr>
      <w:r>
        <w:rPr>
          <w:rFonts w:hint="eastAsia" w:ascii="仿宋" w:hAnsi="仿宋" w:eastAsia="仿宋" w:cs="仿宋"/>
          <w:snapToGrid w:val="0"/>
          <w:color w:val="000000"/>
          <w:spacing w:val="-2"/>
          <w:kern w:val="0"/>
          <w:sz w:val="28"/>
          <w:szCs w:val="28"/>
          <w:lang w:val="en-US" w:eastAsia="zh-CN" w:bidi="ar"/>
        </w:rPr>
        <w:t>安徽省公共资源交易市场主体库注册联系电话：010-86483801 转5-2</w:t>
      </w:r>
    </w:p>
    <w:p w14:paraId="6C587ADC">
      <w:pPr>
        <w:keepNext w:val="0"/>
        <w:keepLines w:val="0"/>
        <w:widowControl/>
        <w:suppressLineNumbers w:val="0"/>
        <w:spacing w:before="0" w:beforeAutospacing="1" w:after="0" w:afterAutospacing="1"/>
        <w:ind w:left="0" w:right="0" w:firstLine="0"/>
        <w:jc w:val="left"/>
      </w:pPr>
      <w:r>
        <w:rPr>
          <w:rFonts w:hint="eastAsia" w:ascii="仿宋" w:hAnsi="仿宋" w:eastAsia="仿宋" w:cs="仿宋"/>
          <w:snapToGrid w:val="0"/>
          <w:color w:val="000000"/>
          <w:spacing w:val="-2"/>
          <w:kern w:val="0"/>
          <w:sz w:val="28"/>
          <w:szCs w:val="28"/>
          <w:lang w:val="en-US" w:eastAsia="zh-CN" w:bidi="ar"/>
        </w:rPr>
        <w:t>六安市公共资源交易平台电子交易系统联系电话：0512-58188516</w:t>
      </w:r>
    </w:p>
    <w:p w14:paraId="7EF8369B">
      <w:pPr>
        <w:keepNext w:val="0"/>
        <w:keepLines w:val="0"/>
        <w:widowControl/>
        <w:suppressLineNumbers w:val="0"/>
        <w:spacing w:before="0" w:beforeAutospacing="1" w:after="0" w:afterAutospacing="1"/>
        <w:ind w:left="0" w:right="0" w:firstLine="0"/>
        <w:jc w:val="left"/>
      </w:pPr>
      <w:r>
        <w:rPr>
          <w:rFonts w:hint="eastAsia" w:ascii="仿宋" w:hAnsi="仿宋" w:eastAsia="仿宋" w:cs="仿宋"/>
          <w:snapToGrid w:val="0"/>
          <w:color w:val="000000"/>
          <w:spacing w:val="-2"/>
          <w:kern w:val="0"/>
          <w:sz w:val="28"/>
          <w:szCs w:val="28"/>
          <w:lang w:val="en-US" w:eastAsia="zh-CN" w:bidi="ar"/>
        </w:rPr>
        <w:t>六安市公共资源交易平台电子交易系统 CA 证书办理机构：安徽 CA（安徽省电子认证管理中心有限责任公司）联系电话：400-615-8899</w:t>
      </w:r>
    </w:p>
    <w:p w14:paraId="6B855673">
      <w:pPr>
        <w:keepNext w:val="0"/>
        <w:keepLines w:val="0"/>
        <w:widowControl/>
        <w:suppressLineNumbers w:val="0"/>
        <w:spacing w:before="0" w:beforeAutospacing="1" w:after="0" w:afterAutospacing="1"/>
        <w:ind w:left="0" w:right="0" w:firstLine="0"/>
        <w:jc w:val="left"/>
      </w:pPr>
      <w:r>
        <w:rPr>
          <w:rFonts w:hint="eastAsia" w:ascii="仿宋" w:hAnsi="仿宋" w:eastAsia="仿宋" w:cs="仿宋"/>
          <w:snapToGrid w:val="0"/>
          <w:color w:val="000000"/>
          <w:spacing w:val="-2"/>
          <w:kern w:val="0"/>
          <w:sz w:val="28"/>
          <w:szCs w:val="28"/>
          <w:lang w:val="en-US" w:eastAsia="zh-CN" w:bidi="ar"/>
        </w:rPr>
        <w:t>CFCA（江苏翔晟信息技术股份有限公司）联系电话：025-66085508</w:t>
      </w:r>
    </w:p>
    <w:p w14:paraId="446E6EB3">
      <w:pPr>
        <w:keepNext w:val="0"/>
        <w:keepLines w:val="0"/>
        <w:widowControl/>
        <w:suppressLineNumbers w:val="0"/>
        <w:spacing w:before="216" w:beforeAutospacing="0" w:after="0" w:afterAutospacing="1" w:line="17" w:lineRule="atLeast"/>
        <w:ind w:left="0" w:right="0" w:firstLine="572"/>
        <w:jc w:val="left"/>
      </w:pPr>
      <w:r>
        <w:rPr>
          <w:rFonts w:hint="eastAsia" w:ascii="仿宋" w:hAnsi="仿宋" w:eastAsia="仿宋" w:cs="仿宋"/>
          <w:snapToGrid w:val="0"/>
          <w:color w:val="000000"/>
          <w:spacing w:val="-5"/>
          <w:kern w:val="0"/>
          <w:sz w:val="28"/>
          <w:szCs w:val="28"/>
          <w:lang w:val="en-US" w:eastAsia="zh-CN" w:bidi="ar"/>
        </w:rPr>
        <w:t>10、投标人在制作投标文件时，须将招标文件要求的资质资</w:t>
      </w:r>
      <w:r>
        <w:rPr>
          <w:rFonts w:hint="eastAsia" w:ascii="仿宋" w:hAnsi="仿宋" w:eastAsia="仿宋" w:cs="仿宋"/>
          <w:snapToGrid w:val="0"/>
          <w:color w:val="000000"/>
          <w:spacing w:val="-6"/>
          <w:kern w:val="0"/>
          <w:sz w:val="28"/>
          <w:szCs w:val="28"/>
          <w:lang w:val="en-US" w:eastAsia="zh-CN" w:bidi="ar"/>
        </w:rPr>
        <w:t>格、社保缴</w:t>
      </w:r>
      <w:r>
        <w:rPr>
          <w:rFonts w:hint="eastAsia" w:ascii="仿宋" w:hAnsi="仿宋" w:eastAsia="仿宋" w:cs="仿宋"/>
          <w:snapToGrid w:val="0"/>
          <w:color w:val="000000"/>
          <w:spacing w:val="-5"/>
          <w:kern w:val="0"/>
          <w:sz w:val="28"/>
          <w:szCs w:val="28"/>
          <w:lang w:val="en-US" w:eastAsia="zh-CN" w:bidi="ar"/>
        </w:rPr>
        <w:t>费证明、奖项、业绩、荣誉等相关资料原件扫描件编入投标文件中，评标委员会在评审时以投标文件编入的信息原件扫描件为评审依据（其中：一级建造师电子注册证书的评审应按《住房和城乡建设部办公厅关于全面实行一级</w:t>
      </w:r>
      <w:r>
        <w:rPr>
          <w:rFonts w:hint="eastAsia" w:ascii="仿宋" w:hAnsi="仿宋" w:eastAsia="仿宋" w:cs="仿宋"/>
          <w:snapToGrid w:val="0"/>
          <w:color w:val="000000"/>
          <w:spacing w:val="-2"/>
          <w:kern w:val="0"/>
          <w:sz w:val="28"/>
          <w:szCs w:val="28"/>
          <w:lang w:val="en-US" w:eastAsia="zh-CN" w:bidi="ar"/>
        </w:rPr>
        <w:t>建造师电子注册证书的通知》</w:t>
      </w:r>
      <w:r>
        <w:rPr>
          <w:rFonts w:hint="eastAsia" w:ascii="仿宋" w:hAnsi="仿宋" w:eastAsia="仿宋" w:cs="仿宋"/>
          <w:snapToGrid w:val="0"/>
          <w:color w:val="000000"/>
          <w:spacing w:val="-7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(建办市〔2021〕40 号)执行，具体见技术标</w:t>
      </w:r>
      <w:r>
        <w:rPr>
          <w:rFonts w:hint="eastAsia" w:ascii="仿宋" w:hAnsi="仿宋" w:eastAsia="仿宋" w:cs="仿宋"/>
          <w:snapToGrid w:val="0"/>
          <w:color w:val="000000"/>
          <w:spacing w:val="-10"/>
          <w:kern w:val="0"/>
          <w:sz w:val="28"/>
          <w:szCs w:val="28"/>
          <w:lang w:val="en-US" w:eastAsia="zh-CN" w:bidi="ar"/>
        </w:rPr>
        <w:t>二评审说明）。编入投标文件的各种证书、证照、证明、文件、业绩、奖项、</w:t>
      </w:r>
      <w:r>
        <w:rPr>
          <w:rFonts w:hint="eastAsia" w:ascii="仿宋" w:hAnsi="仿宋" w:eastAsia="仿宋" w:cs="仿宋"/>
          <w:snapToGrid w:val="0"/>
          <w:color w:val="000000"/>
          <w:spacing w:val="-5"/>
          <w:kern w:val="0"/>
          <w:sz w:val="28"/>
          <w:szCs w:val="28"/>
          <w:lang w:val="en-US" w:eastAsia="zh-CN" w:bidi="ar"/>
        </w:rPr>
        <w:t>荣誉等相关资料的扫描件的原件，其真实性、准确性、完整性等均由投标人负责，编入投标文件的原件扫描件必须与原件一致，否则按投标无效或废标</w:t>
      </w:r>
      <w:r>
        <w:rPr>
          <w:rFonts w:hint="eastAsia" w:ascii="仿宋" w:hAnsi="仿宋" w:eastAsia="仿宋" w:cs="仿宋"/>
          <w:snapToGrid w:val="0"/>
          <w:color w:val="000000"/>
          <w:spacing w:val="-12"/>
          <w:kern w:val="0"/>
          <w:sz w:val="28"/>
          <w:szCs w:val="28"/>
          <w:lang w:val="en-US" w:eastAsia="zh-CN" w:bidi="ar"/>
        </w:rPr>
        <w:t>处理。</w:t>
      </w:r>
    </w:p>
    <w:p w14:paraId="698305B3">
      <w:pPr>
        <w:keepNext w:val="0"/>
        <w:keepLines w:val="0"/>
        <w:widowControl/>
        <w:suppressLineNumbers w:val="0"/>
        <w:spacing w:before="204" w:beforeAutospacing="0" w:after="0" w:afterAutospacing="1" w:line="16" w:lineRule="atLeast"/>
        <w:ind w:left="3" w:right="112" w:firstLine="568"/>
        <w:jc w:val="left"/>
      </w:pPr>
      <w:r>
        <w:rPr>
          <w:rFonts w:hint="eastAsia" w:ascii="仿宋" w:hAnsi="仿宋" w:eastAsia="仿宋" w:cs="仿宋"/>
          <w:snapToGrid w:val="0"/>
          <w:color w:val="000000"/>
          <w:spacing w:val="-6"/>
          <w:kern w:val="0"/>
          <w:sz w:val="28"/>
          <w:szCs w:val="28"/>
          <w:lang w:val="en-US" w:eastAsia="zh-CN" w:bidi="ar"/>
        </w:rPr>
        <w:t>11、投标人在下载招标文件（含初步设计及概算、答疑澄清文件等）过</w:t>
      </w:r>
      <w:r>
        <w:rPr>
          <w:rFonts w:hint="eastAsia" w:ascii="仿宋" w:hAnsi="仿宋" w:eastAsia="仿宋" w:cs="仿宋"/>
          <w:snapToGrid w:val="0"/>
          <w:color w:val="000000"/>
          <w:spacing w:val="-1"/>
          <w:kern w:val="0"/>
          <w:sz w:val="28"/>
          <w:szCs w:val="28"/>
          <w:lang w:val="en-US" w:eastAsia="zh-CN" w:bidi="ar"/>
        </w:rPr>
        <w:t>程中若遇到问题，请与软件技术支持联系，电话：0512-58188516。在咨询</w:t>
      </w:r>
      <w:r>
        <w:rPr>
          <w:rFonts w:hint="eastAsia" w:ascii="仿宋" w:hAnsi="仿宋" w:eastAsia="仿宋" w:cs="仿宋"/>
          <w:snapToGrid w:val="0"/>
          <w:color w:val="000000"/>
          <w:spacing w:val="-3"/>
          <w:kern w:val="0"/>
          <w:sz w:val="28"/>
          <w:szCs w:val="28"/>
          <w:lang w:val="en-US" w:eastAsia="zh-CN" w:bidi="ar"/>
        </w:rPr>
        <w:t>过程中不得透露投标人自身信息。</w:t>
      </w:r>
    </w:p>
    <w:p w14:paraId="729CB314">
      <w:pPr>
        <w:keepNext w:val="0"/>
        <w:keepLines w:val="0"/>
        <w:widowControl/>
        <w:suppressLineNumbers w:val="0"/>
        <w:spacing w:before="214" w:beforeAutospacing="0" w:after="0" w:afterAutospacing="1"/>
        <w:ind w:left="9" w:right="0"/>
        <w:jc w:val="left"/>
      </w:pPr>
      <w:r>
        <w:rPr>
          <w:rFonts w:hint="eastAsia" w:ascii="仿宋" w:hAnsi="仿宋" w:eastAsia="仿宋" w:cs="仿宋"/>
          <w:snapToGrid w:val="0"/>
          <w:color w:val="000000"/>
          <w:spacing w:val="-3"/>
          <w:kern w:val="0"/>
          <w:sz w:val="28"/>
          <w:szCs w:val="28"/>
          <w:lang w:val="en-US" w:eastAsia="zh-CN" w:bidi="ar"/>
        </w:rPr>
        <w:t>二十一、联系方式：</w:t>
      </w:r>
    </w:p>
    <w:p w14:paraId="6E4604E5">
      <w:pPr>
        <w:keepNext w:val="0"/>
        <w:keepLines w:val="0"/>
        <w:widowControl/>
        <w:suppressLineNumbers w:val="0"/>
        <w:spacing w:before="212" w:beforeAutospacing="0" w:after="0" w:afterAutospacing="1"/>
        <w:ind w:left="572" w:right="0"/>
        <w:jc w:val="left"/>
      </w:pPr>
      <w:r>
        <w:rPr>
          <w:rFonts w:hint="eastAsia" w:ascii="仿宋" w:hAnsi="仿宋" w:eastAsia="仿宋" w:cs="仿宋"/>
          <w:snapToGrid w:val="0"/>
          <w:color w:val="000000"/>
          <w:spacing w:val="-3"/>
          <w:kern w:val="0"/>
          <w:sz w:val="28"/>
          <w:szCs w:val="28"/>
          <w:lang w:val="en-US" w:eastAsia="zh-CN" w:bidi="ar"/>
        </w:rPr>
        <w:t>1、招标人：霍邱县三流乡人民政府</w:t>
      </w:r>
    </w:p>
    <w:p w14:paraId="22EE343F">
      <w:pPr>
        <w:keepNext w:val="0"/>
        <w:keepLines w:val="0"/>
        <w:widowControl/>
        <w:suppressLineNumbers w:val="0"/>
        <w:spacing w:before="214" w:beforeAutospacing="0" w:after="0" w:afterAutospacing="1"/>
        <w:ind w:left="561" w:right="0"/>
        <w:jc w:val="left"/>
      </w:pPr>
      <w:r>
        <w:rPr>
          <w:rFonts w:hint="eastAsia" w:ascii="仿宋" w:hAnsi="仿宋" w:eastAsia="仿宋" w:cs="仿宋"/>
          <w:snapToGrid w:val="0"/>
          <w:color w:val="000000"/>
          <w:spacing w:val="-1"/>
          <w:kern w:val="0"/>
          <w:sz w:val="28"/>
          <w:szCs w:val="28"/>
          <w:lang w:val="en-US" w:eastAsia="zh-CN" w:bidi="ar"/>
        </w:rPr>
        <w:t>地址：霍邱县三流乡街道</w:t>
      </w:r>
    </w:p>
    <w:p w14:paraId="01014C65">
      <w:pPr>
        <w:keepNext w:val="0"/>
        <w:keepLines w:val="0"/>
        <w:widowControl/>
        <w:suppressLineNumbers w:val="0"/>
        <w:spacing w:before="217" w:beforeAutospacing="0" w:after="0" w:afterAutospacing="1"/>
        <w:ind w:left="556" w:right="0"/>
        <w:jc w:val="left"/>
      </w:pPr>
      <w:r>
        <w:rPr>
          <w:rFonts w:hint="eastAsia" w:ascii="仿宋" w:hAnsi="仿宋" w:eastAsia="仿宋" w:cs="仿宋"/>
          <w:snapToGrid w:val="0"/>
          <w:color w:val="000000"/>
          <w:spacing w:val="-2"/>
          <w:kern w:val="0"/>
          <w:sz w:val="28"/>
          <w:szCs w:val="28"/>
          <w:lang w:val="en-US" w:eastAsia="zh-CN" w:bidi="ar"/>
        </w:rPr>
        <w:t>联系人（受理异议人</w:t>
      </w:r>
      <w:r>
        <w:rPr>
          <w:rFonts w:hint="eastAsia" w:ascii="仿宋" w:hAnsi="仿宋" w:eastAsia="仿宋" w:cs="仿宋"/>
          <w:snapToGrid w:val="0"/>
          <w:color w:val="000000"/>
          <w:spacing w:val="4"/>
          <w:kern w:val="0"/>
          <w:sz w:val="28"/>
          <w:szCs w:val="28"/>
          <w:lang w:val="en-US" w:eastAsia="zh-CN" w:bidi="ar"/>
        </w:rPr>
        <w:t>）：</w:t>
      </w:r>
      <w:r>
        <w:rPr>
          <w:rFonts w:hint="eastAsia" w:ascii="仿宋" w:hAnsi="仿宋" w:eastAsia="仿宋" w:cs="仿宋"/>
          <w:snapToGrid w:val="0"/>
          <w:color w:val="000000"/>
          <w:spacing w:val="-2"/>
          <w:kern w:val="0"/>
          <w:sz w:val="28"/>
          <w:szCs w:val="28"/>
          <w:lang w:val="en-US" w:eastAsia="zh-CN" w:bidi="ar"/>
        </w:rPr>
        <w:t>何女士</w:t>
      </w:r>
    </w:p>
    <w:p w14:paraId="68BB913E">
      <w:pPr>
        <w:keepNext w:val="0"/>
        <w:keepLines w:val="0"/>
        <w:widowControl/>
        <w:suppressLineNumbers w:val="0"/>
        <w:spacing w:before="212" w:beforeAutospacing="0" w:after="0" w:afterAutospacing="1"/>
        <w:ind w:left="554" w:right="0"/>
        <w:jc w:val="left"/>
        <w:rPr>
          <w:rFonts w:hint="eastAsia" w:ascii="仿宋" w:hAnsi="仿宋" w:eastAsia="仿宋" w:cs="仿宋"/>
          <w:snapToGrid w:val="0"/>
          <w:color w:val="000000"/>
          <w:spacing w:val="-4"/>
          <w:kern w:val="0"/>
          <w:sz w:val="28"/>
          <w:szCs w:val="28"/>
          <w:lang w:val="en-US" w:eastAsia="zh-CN" w:bidi="ar"/>
        </w:rPr>
      </w:pPr>
      <w:r>
        <w:rPr>
          <w:rFonts w:hint="eastAsia" w:ascii="仿宋" w:hAnsi="仿宋" w:eastAsia="仿宋" w:cs="仿宋"/>
          <w:snapToGrid w:val="0"/>
          <w:color w:val="000000"/>
          <w:spacing w:val="-4"/>
          <w:kern w:val="0"/>
          <w:sz w:val="28"/>
          <w:szCs w:val="28"/>
          <w:lang w:val="en-US" w:eastAsia="zh-CN" w:bidi="ar"/>
        </w:rPr>
        <w:t>电话：0564-6251003</w:t>
      </w:r>
    </w:p>
    <w:p w14:paraId="128CD0C6">
      <w:pPr>
        <w:keepNext w:val="0"/>
        <w:keepLines w:val="0"/>
        <w:widowControl/>
        <w:suppressLineNumbers w:val="0"/>
        <w:spacing w:before="212" w:beforeAutospacing="0" w:after="0" w:afterAutospacing="1"/>
        <w:ind w:left="554" w:right="0"/>
        <w:jc w:val="left"/>
      </w:pPr>
      <w:r>
        <w:rPr>
          <w:rFonts w:hint="eastAsia" w:ascii="仿宋" w:hAnsi="仿宋" w:eastAsia="仿宋" w:cs="仿宋"/>
          <w:snapToGrid w:val="0"/>
          <w:color w:val="000000"/>
          <w:spacing w:val="-1"/>
          <w:kern w:val="0"/>
          <w:sz w:val="28"/>
          <w:szCs w:val="28"/>
          <w:lang w:val="en-US" w:eastAsia="zh-CN" w:bidi="ar"/>
        </w:rPr>
        <w:t>2、招标代理机构：中盈永诚咨询集团有限公司</w:t>
      </w:r>
    </w:p>
    <w:p w14:paraId="768DA749">
      <w:pPr>
        <w:keepNext w:val="0"/>
        <w:keepLines w:val="0"/>
        <w:widowControl/>
        <w:suppressLineNumbers w:val="0"/>
        <w:spacing w:before="214" w:beforeAutospacing="0" w:after="0" w:afterAutospacing="1"/>
        <w:ind w:left="561" w:right="0"/>
        <w:jc w:val="left"/>
      </w:pPr>
      <w:r>
        <w:rPr>
          <w:rFonts w:hint="eastAsia" w:ascii="仿宋" w:hAnsi="仿宋" w:eastAsia="仿宋" w:cs="仿宋"/>
          <w:snapToGrid w:val="0"/>
          <w:color w:val="000000"/>
          <w:spacing w:val="-1"/>
          <w:kern w:val="0"/>
          <w:sz w:val="28"/>
          <w:szCs w:val="28"/>
          <w:lang w:val="en-US" w:eastAsia="zh-CN" w:bidi="ar"/>
        </w:rPr>
        <w:t>地址：</w:t>
      </w:r>
      <w:r>
        <w:rPr>
          <w:rFonts w:hint="eastAsia" w:ascii="仿宋" w:hAnsi="仿宋" w:eastAsia="仿宋" w:cs="仿宋"/>
          <w:color w:val="000000"/>
          <w:sz w:val="28"/>
          <w:szCs w:val="28"/>
          <w:highlight w:val="none"/>
          <w:lang w:val="en-US" w:eastAsia="zh-CN"/>
        </w:rPr>
        <w:t>霍邱县城关镇锦绣新世界27栋-116</w:t>
      </w:r>
    </w:p>
    <w:p w14:paraId="10DCB6C7">
      <w:pPr>
        <w:keepNext w:val="0"/>
        <w:keepLines w:val="0"/>
        <w:widowControl/>
        <w:suppressLineNumbers w:val="0"/>
        <w:spacing w:before="214" w:beforeAutospacing="0" w:after="0" w:afterAutospacing="1"/>
        <w:ind w:left="561" w:right="0"/>
        <w:jc w:val="left"/>
        <w:rPr>
          <w:rFonts w:hint="default"/>
          <w:lang w:val="en-US"/>
        </w:rPr>
      </w:pPr>
      <w:r>
        <w:rPr>
          <w:rFonts w:hint="eastAsia" w:ascii="仿宋" w:hAnsi="仿宋" w:eastAsia="仿宋" w:cs="仿宋"/>
          <w:snapToGrid w:val="0"/>
          <w:color w:val="000000"/>
          <w:spacing w:val="-1"/>
          <w:kern w:val="0"/>
          <w:sz w:val="28"/>
          <w:szCs w:val="28"/>
          <w:lang w:val="en-US" w:eastAsia="zh-CN" w:bidi="ar"/>
        </w:rPr>
        <w:t>项目负责人（受理异议人）：陈亮</w:t>
      </w:r>
    </w:p>
    <w:p w14:paraId="48140C3D">
      <w:pPr>
        <w:keepNext w:val="0"/>
        <w:keepLines w:val="0"/>
        <w:widowControl/>
        <w:suppressLineNumbers w:val="0"/>
        <w:spacing w:before="214" w:beforeAutospacing="0" w:after="0" w:afterAutospacing="1"/>
        <w:ind w:left="581" w:right="0"/>
        <w:jc w:val="left"/>
        <w:rPr>
          <w:rFonts w:hint="default"/>
          <w:lang w:val="en-US"/>
        </w:rPr>
      </w:pPr>
      <w:r>
        <w:rPr>
          <w:rFonts w:hint="eastAsia" w:ascii="仿宋" w:hAnsi="仿宋" w:eastAsia="仿宋" w:cs="仿宋"/>
          <w:snapToGrid w:val="0"/>
          <w:color w:val="000000"/>
          <w:spacing w:val="-4"/>
          <w:kern w:val="0"/>
          <w:sz w:val="28"/>
          <w:szCs w:val="28"/>
          <w:lang w:val="en-US" w:eastAsia="zh-CN" w:bidi="ar"/>
        </w:rPr>
        <w:t>电话：0564-6019345</w:t>
      </w:r>
    </w:p>
    <w:p w14:paraId="57830ADE">
      <w:pPr>
        <w:keepNext w:val="0"/>
        <w:keepLines w:val="0"/>
        <w:widowControl/>
        <w:suppressLineNumbers w:val="0"/>
        <w:spacing w:before="212" w:beforeAutospacing="0" w:after="0" w:afterAutospacing="1"/>
        <w:ind w:left="547" w:right="0"/>
        <w:jc w:val="left"/>
      </w:pPr>
      <w:r>
        <w:rPr>
          <w:rFonts w:hint="eastAsia" w:ascii="仿宋" w:hAnsi="仿宋" w:eastAsia="仿宋" w:cs="仿宋"/>
          <w:snapToGrid w:val="0"/>
          <w:color w:val="000000"/>
          <w:spacing w:val="-5"/>
          <w:kern w:val="0"/>
          <w:sz w:val="28"/>
          <w:szCs w:val="28"/>
          <w:lang w:val="en-US" w:eastAsia="zh-CN" w:bidi="ar"/>
        </w:rPr>
        <w:t>3、电子交易系统</w:t>
      </w:r>
    </w:p>
    <w:p w14:paraId="3E2331CE">
      <w:pPr>
        <w:keepNext w:val="0"/>
        <w:keepLines w:val="0"/>
        <w:widowControl/>
        <w:suppressLineNumbers w:val="0"/>
        <w:spacing w:before="212" w:beforeAutospacing="0" w:after="0" w:afterAutospacing="1"/>
        <w:ind w:left="551" w:right="0"/>
        <w:jc w:val="left"/>
      </w:pPr>
      <w:r>
        <w:rPr>
          <w:rFonts w:hint="eastAsia" w:ascii="仿宋" w:hAnsi="仿宋" w:eastAsia="仿宋" w:cs="仿宋"/>
          <w:snapToGrid w:val="0"/>
          <w:color w:val="000000"/>
          <w:spacing w:val="-1"/>
          <w:kern w:val="0"/>
          <w:sz w:val="28"/>
          <w:szCs w:val="28"/>
          <w:lang w:val="en-US" w:eastAsia="zh-CN" w:bidi="ar"/>
        </w:rPr>
        <w:t>名称:六安市公共资源电子交易系统</w:t>
      </w:r>
    </w:p>
    <w:p w14:paraId="2718884E">
      <w:pPr>
        <w:keepNext w:val="0"/>
        <w:keepLines w:val="0"/>
        <w:widowControl/>
        <w:suppressLineNumbers w:val="0"/>
        <w:spacing w:before="215" w:beforeAutospacing="0" w:after="0" w:afterAutospacing="1"/>
        <w:ind w:left="581" w:right="0"/>
        <w:jc w:val="left"/>
      </w:pPr>
      <w:r>
        <w:rPr>
          <w:rFonts w:hint="eastAsia" w:ascii="仿宋" w:hAnsi="仿宋" w:eastAsia="仿宋" w:cs="仿宋"/>
          <w:snapToGrid w:val="0"/>
          <w:color w:val="000000"/>
          <w:spacing w:val="-3"/>
          <w:kern w:val="0"/>
          <w:sz w:val="28"/>
          <w:szCs w:val="28"/>
          <w:lang w:val="en-US" w:eastAsia="zh-CN" w:bidi="ar"/>
        </w:rPr>
        <w:t>电话:0512-58188516</w:t>
      </w:r>
    </w:p>
    <w:p w14:paraId="6F9E4043">
      <w:pPr>
        <w:keepNext w:val="0"/>
        <w:keepLines w:val="0"/>
        <w:widowControl/>
        <w:suppressLineNumbers w:val="0"/>
        <w:spacing w:before="212" w:beforeAutospacing="0" w:after="0" w:afterAutospacing="1"/>
        <w:ind w:left="540" w:right="0"/>
        <w:jc w:val="left"/>
      </w:pPr>
      <w:r>
        <w:rPr>
          <w:rFonts w:hint="eastAsia" w:ascii="仿宋" w:hAnsi="仿宋" w:eastAsia="仿宋" w:cs="仿宋"/>
          <w:snapToGrid w:val="0"/>
          <w:color w:val="000000"/>
          <w:spacing w:val="-4"/>
          <w:kern w:val="0"/>
          <w:sz w:val="28"/>
          <w:szCs w:val="28"/>
          <w:lang w:val="en-US" w:eastAsia="zh-CN" w:bidi="ar"/>
        </w:rPr>
        <w:t>4、电子服务系统</w:t>
      </w:r>
    </w:p>
    <w:p w14:paraId="415C0D9E">
      <w:pPr>
        <w:keepNext w:val="0"/>
        <w:keepLines w:val="0"/>
        <w:widowControl/>
        <w:suppressLineNumbers w:val="0"/>
        <w:spacing w:before="213" w:beforeAutospacing="0" w:after="0" w:afterAutospacing="1"/>
        <w:ind w:left="551" w:right="0"/>
        <w:jc w:val="left"/>
      </w:pPr>
      <w:r>
        <w:rPr>
          <w:rFonts w:hint="eastAsia" w:ascii="仿宋" w:hAnsi="仿宋" w:eastAsia="仿宋" w:cs="仿宋"/>
          <w:snapToGrid w:val="0"/>
          <w:color w:val="000000"/>
          <w:spacing w:val="-1"/>
          <w:kern w:val="0"/>
          <w:sz w:val="28"/>
          <w:szCs w:val="28"/>
          <w:lang w:val="en-US" w:eastAsia="zh-CN" w:bidi="ar"/>
        </w:rPr>
        <w:t>名称:六安市公共资源交易电子服务</w:t>
      </w:r>
    </w:p>
    <w:p w14:paraId="129ACF37">
      <w:pPr>
        <w:keepNext w:val="0"/>
        <w:keepLines w:val="0"/>
        <w:widowControl/>
        <w:suppressLineNumbers w:val="0"/>
        <w:spacing w:before="217" w:beforeAutospacing="0" w:after="0" w:afterAutospacing="1"/>
        <w:ind w:left="561" w:right="0"/>
        <w:jc w:val="left"/>
      </w:pPr>
      <w:r>
        <w:rPr>
          <w:rFonts w:hint="eastAsia" w:ascii="仿宋" w:hAnsi="仿宋" w:eastAsia="仿宋" w:cs="仿宋"/>
          <w:snapToGrid w:val="0"/>
          <w:color w:val="000000"/>
          <w:spacing w:val="-2"/>
          <w:kern w:val="0"/>
          <w:sz w:val="28"/>
          <w:szCs w:val="28"/>
          <w:lang w:val="en-US" w:eastAsia="zh-CN" w:bidi="ar"/>
        </w:rPr>
        <w:t>系统电话:0512-58188516</w:t>
      </w:r>
    </w:p>
    <w:p w14:paraId="1F399DDA">
      <w:pPr>
        <w:keepNext w:val="0"/>
        <w:keepLines w:val="0"/>
        <w:widowControl/>
        <w:suppressLineNumbers w:val="0"/>
        <w:spacing w:before="213" w:beforeAutospacing="0" w:after="0" w:afterAutospacing="1"/>
        <w:ind w:left="547" w:right="0"/>
        <w:jc w:val="left"/>
      </w:pPr>
      <w:r>
        <w:rPr>
          <w:rFonts w:hint="eastAsia" w:ascii="仿宋" w:hAnsi="仿宋" w:eastAsia="仿宋" w:cs="仿宋"/>
          <w:snapToGrid w:val="0"/>
          <w:color w:val="000000"/>
          <w:spacing w:val="-1"/>
          <w:kern w:val="0"/>
          <w:sz w:val="28"/>
          <w:szCs w:val="28"/>
          <w:lang w:val="en-US" w:eastAsia="zh-CN" w:bidi="ar"/>
        </w:rPr>
        <w:t>5、招标监督管理机构：霍邱县公共资源交易监督管理局</w:t>
      </w:r>
    </w:p>
    <w:p w14:paraId="59ABC791">
      <w:pPr>
        <w:keepNext w:val="0"/>
        <w:keepLines w:val="0"/>
        <w:widowControl/>
        <w:suppressLineNumbers w:val="0"/>
        <w:spacing w:before="217" w:beforeAutospacing="0" w:after="0" w:afterAutospacing="1"/>
        <w:ind w:left="551" w:right="0"/>
        <w:jc w:val="left"/>
      </w:pPr>
      <w:r>
        <w:rPr>
          <w:rFonts w:hint="eastAsia" w:ascii="仿宋" w:hAnsi="仿宋" w:eastAsia="仿宋" w:cs="仿宋"/>
          <w:snapToGrid w:val="0"/>
          <w:color w:val="000000"/>
          <w:spacing w:val="-2"/>
          <w:kern w:val="0"/>
          <w:sz w:val="28"/>
          <w:szCs w:val="28"/>
          <w:lang w:val="en-US" w:eastAsia="zh-CN" w:bidi="ar"/>
        </w:rPr>
        <w:t>地址：霍邱县蓼源国控集团综合楼四层</w:t>
      </w:r>
    </w:p>
    <w:p w14:paraId="0BE87A56">
      <w:pPr>
        <w:keepNext w:val="0"/>
        <w:keepLines w:val="0"/>
        <w:widowControl/>
        <w:suppressLineNumbers w:val="0"/>
        <w:spacing w:before="217" w:beforeAutospacing="0" w:after="0" w:afterAutospacing="1"/>
        <w:ind w:left="581" w:right="0"/>
        <w:jc w:val="left"/>
      </w:pPr>
      <w:r>
        <w:rPr>
          <w:rFonts w:hint="eastAsia" w:ascii="仿宋" w:hAnsi="仿宋" w:eastAsia="仿宋" w:cs="仿宋"/>
          <w:snapToGrid w:val="0"/>
          <w:color w:val="000000"/>
          <w:spacing w:val="-3"/>
          <w:kern w:val="0"/>
          <w:sz w:val="28"/>
          <w:szCs w:val="28"/>
          <w:lang w:val="en-US" w:eastAsia="zh-CN" w:bidi="ar"/>
        </w:rPr>
        <w:t>电话：0564--2717089</w:t>
      </w:r>
    </w:p>
    <w:p w14:paraId="78D34598">
      <w:pPr>
        <w:keepNext w:val="0"/>
        <w:keepLines w:val="0"/>
        <w:widowControl/>
        <w:suppressLineNumbers w:val="0"/>
        <w:spacing w:before="213" w:beforeAutospacing="0" w:after="0" w:afterAutospacing="1"/>
        <w:ind w:right="0"/>
        <w:jc w:val="left"/>
        <w:rPr>
          <w:rFonts w:hint="eastAsia" w:ascii="仿宋" w:hAnsi="仿宋" w:eastAsia="仿宋" w:cs="仿宋"/>
          <w:snapToGrid w:val="0"/>
          <w:color w:val="000000"/>
          <w:spacing w:val="-1"/>
          <w:kern w:val="0"/>
          <w:sz w:val="28"/>
          <w:szCs w:val="28"/>
          <w:lang w:val="en-US" w:eastAsia="zh-CN" w:bidi="ar"/>
        </w:rPr>
      </w:pPr>
      <w:r>
        <w:rPr>
          <w:rFonts w:hint="eastAsia" w:ascii="仿宋" w:hAnsi="仿宋" w:eastAsia="仿宋" w:cs="仿宋"/>
          <w:snapToGrid w:val="0"/>
          <w:color w:val="000000"/>
          <w:spacing w:val="-1"/>
          <w:kern w:val="0"/>
          <w:sz w:val="28"/>
          <w:szCs w:val="28"/>
          <w:lang w:val="en-US" w:eastAsia="zh-CN" w:bidi="ar"/>
        </w:rPr>
        <w:t>二十二、投标保证金收款银行账户信息</w:t>
      </w:r>
    </w:p>
    <w:p w14:paraId="7D612A5F">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第一种方式：■网银支付■银行转账（选择一家银行进行缴费）</w:t>
      </w:r>
    </w:p>
    <w:p w14:paraId="15537700">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（1）收款人姓名：霍邱县公共资源交易中心</w:t>
      </w:r>
    </w:p>
    <w:p w14:paraId="7C0E9A3B">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汇入银行账户名称：中国银行霍邱支行</w:t>
      </w:r>
    </w:p>
    <w:p w14:paraId="791148AD">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汇入银行账号：</w:t>
      </w:r>
    </w:p>
    <w:p w14:paraId="7089371B">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（2）收款人姓名：霍邱县公共资源交易中心</w:t>
      </w:r>
    </w:p>
    <w:p w14:paraId="7FF597F9">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汇入银行账户名称：中国工商银行股份有限公司霍邱支行</w:t>
      </w:r>
    </w:p>
    <w:p w14:paraId="1E3602B5">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汇入银行账号：</w:t>
      </w:r>
    </w:p>
    <w:p w14:paraId="0924770A">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（3）收款人姓名：霍邱县公共资源交易中心</w:t>
      </w:r>
    </w:p>
    <w:p w14:paraId="333CC6B5">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汇入银行账户名称：徽商银行六安霍邱支行</w:t>
      </w:r>
    </w:p>
    <w:p w14:paraId="0F6F33DD">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汇入银行账号：</w:t>
      </w:r>
    </w:p>
    <w:p w14:paraId="4F8634E9">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（4）收款人姓名：霍邱县公共资源交易中心</w:t>
      </w:r>
    </w:p>
    <w:p w14:paraId="2179D472">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汇入银行账户名称：中国农业银行股份有限公司霍邱县支行</w:t>
      </w:r>
    </w:p>
    <w:p w14:paraId="4EC99982">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汇入银行账号：</w:t>
      </w:r>
    </w:p>
    <w:p w14:paraId="63715F03">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（5）收款人姓名：霍邱县公共资源交易中心</w:t>
      </w:r>
    </w:p>
    <w:p w14:paraId="41C3842A">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汇入银行账户名称：中国邮政储蓄银行霍邱县支行</w:t>
      </w:r>
    </w:p>
    <w:p w14:paraId="41FB14BB">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汇入银行账号：</w:t>
      </w:r>
    </w:p>
    <w:p w14:paraId="03BF8813">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（6）收款人姓名：霍邱县公共资源交易中心</w:t>
      </w:r>
    </w:p>
    <w:p w14:paraId="3A89D545">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汇入银行账户名称：中国建设银行股份有限公司霍邱政务中心支行</w:t>
      </w:r>
    </w:p>
    <w:p w14:paraId="1DBEF0FB">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汇入银行账号：</w:t>
      </w:r>
    </w:p>
    <w:p w14:paraId="3B6A8D6D">
      <w:pPr>
        <w:keepNext w:val="0"/>
        <w:keepLines w:val="0"/>
        <w:widowControl/>
        <w:suppressLineNumbers w:val="0"/>
        <w:spacing w:before="213" w:beforeAutospacing="0" w:after="0" w:afterAutospacing="1"/>
        <w:ind w:left="547" w:right="0"/>
        <w:jc w:val="left"/>
        <w:rPr>
          <w:rFonts w:hint="default"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第二种方式：■纸质银行保函■纸质保证保险、担保保函等</w:t>
      </w:r>
    </w:p>
    <w:p w14:paraId="278CCB1E">
      <w:pPr>
        <w:keepNext w:val="0"/>
        <w:keepLines w:val="0"/>
        <w:widowControl/>
        <w:suppressLineNumbers w:val="0"/>
        <w:spacing w:before="213" w:beforeAutospacing="0" w:after="0" w:afterAutospacing="1"/>
        <w:ind w:left="547" w:right="0"/>
        <w:jc w:val="left"/>
        <w:rPr>
          <w:rFonts w:hint="eastAsia" w:ascii="仿宋" w:hAnsi="仿宋" w:eastAsia="仿宋" w:cs="仿宋"/>
          <w:snapToGrid w:val="0"/>
          <w:color w:val="000000"/>
          <w:spacing w:val="-1"/>
          <w:kern w:val="0"/>
          <w:sz w:val="28"/>
          <w:szCs w:val="28"/>
          <w:lang w:val="en-US" w:eastAsia="zh-CN" w:bidi="ar"/>
        </w:rPr>
      </w:pPr>
      <w:r>
        <w:rPr>
          <w:rFonts w:hint="default" w:ascii="仿宋" w:hAnsi="仿宋" w:eastAsia="仿宋" w:cs="仿宋"/>
          <w:snapToGrid w:val="0"/>
          <w:color w:val="000000"/>
          <w:spacing w:val="-1"/>
          <w:kern w:val="0"/>
          <w:sz w:val="28"/>
          <w:szCs w:val="28"/>
          <w:lang w:val="en-US" w:eastAsia="zh-CN" w:bidi="ar"/>
        </w:rPr>
        <w:t xml:space="preserve">第三种方式：■电子银行保函■电子保证保险、担保保函等 </w:t>
      </w:r>
    </w:p>
    <w:p w14:paraId="60159F14">
      <w:pPr>
        <w:pStyle w:val="9"/>
        <w:keepNext w:val="0"/>
        <w:keepLines w:val="0"/>
        <w:widowControl/>
        <w:suppressLineNumbers w:val="0"/>
        <w:spacing w:before="0" w:beforeAutospacing="1" w:after="0" w:afterAutospacing="1" w:line="14" w:lineRule="atLeast"/>
        <w:ind w:left="0" w:right="0"/>
      </w:pPr>
      <w:r>
        <w:rPr>
          <w:rFonts w:hint="default" w:ascii="Arial" w:hAnsi="Arial" w:eastAsia="宋体" w:cs="Arial"/>
          <w:color w:val="000000"/>
          <w:kern w:val="0"/>
          <w:sz w:val="21"/>
          <w:szCs w:val="21"/>
        </w:rPr>
        <w:t xml:space="preserve"> </w:t>
      </w:r>
    </w:p>
    <w:p w14:paraId="6E688DC6">
      <w:pPr>
        <w:pStyle w:val="9"/>
        <w:keepNext w:val="0"/>
        <w:keepLines w:val="0"/>
        <w:widowControl/>
        <w:suppressLineNumbers w:val="0"/>
        <w:spacing w:before="0" w:beforeAutospacing="1" w:after="0" w:afterAutospacing="1" w:line="14" w:lineRule="atLeast"/>
        <w:ind w:left="0" w:right="0"/>
      </w:pPr>
      <w:r>
        <w:rPr>
          <w:rFonts w:hint="default" w:ascii="Arial" w:hAnsi="Arial" w:eastAsia="宋体" w:cs="Arial"/>
          <w:color w:val="000000"/>
          <w:kern w:val="0"/>
          <w:sz w:val="21"/>
          <w:szCs w:val="21"/>
        </w:rPr>
        <w:t xml:space="preserve"> </w:t>
      </w:r>
    </w:p>
    <w:p w14:paraId="2340250D">
      <w:pPr>
        <w:keepNext w:val="0"/>
        <w:keepLines w:val="0"/>
        <w:widowControl/>
        <w:suppressLineNumbers w:val="0"/>
        <w:spacing w:before="0" w:beforeAutospacing="1" w:after="0" w:afterAutospacing="1"/>
        <w:ind w:left="0" w:right="0"/>
        <w:jc w:val="right"/>
        <w:rPr>
          <w:highlight w:val="yellow"/>
        </w:rPr>
      </w:pPr>
    </w:p>
    <w:p w14:paraId="77FA5CB3">
      <w:pPr>
        <w:jc w:val="right"/>
      </w:pPr>
    </w:p>
    <w:p w14:paraId="22BA4EFC">
      <w:pPr>
        <w:spacing w:before="217" w:line="217" w:lineRule="auto"/>
        <w:ind w:left="525"/>
        <w:jc w:val="right"/>
        <w:rPr>
          <w:rFonts w:ascii="仿宋" w:hAnsi="仿宋" w:eastAsia="仿宋" w:cs="仿宋"/>
          <w:spacing w:val="-2"/>
          <w:sz w:val="28"/>
          <w:szCs w:val="28"/>
          <w:highlight w:val="none"/>
        </w:rPr>
      </w:pPr>
    </w:p>
    <w:p w14:paraId="3797EDD1">
      <w:pPr>
        <w:spacing w:line="219" w:lineRule="auto"/>
        <w:rPr>
          <w:rFonts w:ascii="仿宋" w:hAnsi="仿宋" w:eastAsia="仿宋" w:cs="仿宋"/>
          <w:sz w:val="28"/>
          <w:szCs w:val="28"/>
          <w:highlight w:val="none"/>
        </w:rPr>
        <w:sectPr>
          <w:footerReference r:id="rId6" w:type="default"/>
          <w:pgSz w:w="11907" w:h="16839"/>
          <w:pgMar w:top="1421" w:right="1171" w:bottom="1199" w:left="1785" w:header="0" w:footer="968" w:gutter="0"/>
          <w:cols w:space="720" w:num="1"/>
        </w:sectPr>
      </w:pPr>
    </w:p>
    <w:p w14:paraId="6B987B2E">
      <w:pPr>
        <w:spacing w:before="71" w:line="219" w:lineRule="auto"/>
        <w:ind w:left="3362"/>
        <w:outlineLvl w:val="0"/>
        <w:rPr>
          <w:rFonts w:ascii="宋体" w:hAnsi="宋体" w:eastAsia="宋体" w:cs="宋体"/>
          <w:sz w:val="36"/>
          <w:szCs w:val="36"/>
          <w:highlight w:val="none"/>
        </w:rPr>
      </w:pPr>
      <w:bookmarkStart w:id="2" w:name="_Toc12904"/>
      <w:r>
        <w:rPr>
          <w:rFonts w:ascii="宋体" w:hAnsi="宋体" w:eastAsia="宋体" w:cs="宋体"/>
          <w:b/>
          <w:bCs/>
          <w:spacing w:val="-5"/>
          <w:sz w:val="36"/>
          <w:szCs w:val="36"/>
          <w:highlight w:val="none"/>
        </w:rPr>
        <w:t>第二章投标须知</w:t>
      </w:r>
      <w:bookmarkEnd w:id="2"/>
    </w:p>
    <w:p w14:paraId="6F530C01">
      <w:pPr>
        <w:spacing w:before="264" w:line="224" w:lineRule="auto"/>
        <w:ind w:left="3676"/>
        <w:outlineLvl w:val="1"/>
        <w:rPr>
          <w:rFonts w:ascii="宋体" w:hAnsi="宋体" w:eastAsia="宋体" w:cs="宋体"/>
          <w:sz w:val="31"/>
          <w:szCs w:val="31"/>
          <w:highlight w:val="none"/>
        </w:rPr>
      </w:pPr>
      <w:bookmarkStart w:id="3" w:name="bookmark21"/>
      <w:bookmarkEnd w:id="3"/>
      <w:bookmarkStart w:id="4" w:name="_Toc13131"/>
      <w:r>
        <w:rPr>
          <w:rFonts w:ascii="宋体" w:hAnsi="宋体" w:eastAsia="宋体" w:cs="宋体"/>
          <w:b/>
          <w:bCs/>
          <w:spacing w:val="1"/>
          <w:sz w:val="31"/>
          <w:szCs w:val="31"/>
          <w:highlight w:val="none"/>
        </w:rPr>
        <w:t>（一）前附表</w:t>
      </w:r>
      <w:bookmarkEnd w:id="4"/>
    </w:p>
    <w:p w14:paraId="239342DA">
      <w:pPr>
        <w:spacing w:line="228" w:lineRule="exact"/>
        <w:rPr>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243A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73" w:type="dxa"/>
            <w:vAlign w:val="top"/>
          </w:tcPr>
          <w:p w14:paraId="435E1895">
            <w:pPr>
              <w:pStyle w:val="25"/>
              <w:spacing w:before="103" w:line="218" w:lineRule="auto"/>
              <w:jc w:val="right"/>
              <w:rPr>
                <w:highlight w:val="none"/>
              </w:rPr>
            </w:pPr>
            <w:r>
              <w:rPr>
                <w:spacing w:val="-30"/>
                <w:highlight w:val="none"/>
              </w:rPr>
              <w:t>序</w:t>
            </w:r>
            <w:r>
              <w:rPr>
                <w:spacing w:val="-20"/>
                <w:highlight w:val="none"/>
              </w:rPr>
              <w:t>号</w:t>
            </w:r>
          </w:p>
        </w:tc>
        <w:tc>
          <w:tcPr>
            <w:tcW w:w="2147" w:type="dxa"/>
            <w:vAlign w:val="top"/>
          </w:tcPr>
          <w:p w14:paraId="5063DE94">
            <w:pPr>
              <w:pStyle w:val="25"/>
              <w:spacing w:before="102" w:line="217" w:lineRule="auto"/>
              <w:ind w:left="601"/>
              <w:rPr>
                <w:highlight w:val="none"/>
              </w:rPr>
            </w:pPr>
            <w:r>
              <w:rPr>
                <w:spacing w:val="-3"/>
                <w:highlight w:val="none"/>
              </w:rPr>
              <w:t>序列名称</w:t>
            </w:r>
          </w:p>
        </w:tc>
        <w:tc>
          <w:tcPr>
            <w:tcW w:w="6202" w:type="dxa"/>
            <w:vAlign w:val="top"/>
          </w:tcPr>
          <w:p w14:paraId="0D1EFFF8">
            <w:pPr>
              <w:pStyle w:val="25"/>
              <w:spacing w:before="103" w:line="218" w:lineRule="auto"/>
              <w:ind w:left="2871"/>
              <w:rPr>
                <w:highlight w:val="none"/>
              </w:rPr>
            </w:pPr>
            <w:r>
              <w:rPr>
                <w:spacing w:val="-4"/>
                <w:highlight w:val="none"/>
              </w:rPr>
              <w:t>序列</w:t>
            </w:r>
          </w:p>
        </w:tc>
      </w:tr>
      <w:tr w14:paraId="3872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73" w:type="dxa"/>
            <w:vAlign w:val="top"/>
          </w:tcPr>
          <w:p w14:paraId="55344BE3">
            <w:pPr>
              <w:pStyle w:val="25"/>
              <w:spacing w:before="259" w:line="238" w:lineRule="auto"/>
              <w:ind w:left="397"/>
              <w:rPr>
                <w:highlight w:val="none"/>
              </w:rPr>
            </w:pPr>
            <w:r>
              <w:rPr>
                <w:highlight w:val="none"/>
              </w:rPr>
              <w:t>1</w:t>
            </w:r>
          </w:p>
        </w:tc>
        <w:tc>
          <w:tcPr>
            <w:tcW w:w="2147" w:type="dxa"/>
            <w:vAlign w:val="top"/>
          </w:tcPr>
          <w:p w14:paraId="6B6EB97A">
            <w:pPr>
              <w:pStyle w:val="25"/>
              <w:spacing w:before="258" w:line="217" w:lineRule="auto"/>
              <w:ind w:left="607"/>
              <w:rPr>
                <w:highlight w:val="none"/>
              </w:rPr>
            </w:pPr>
            <w:r>
              <w:rPr>
                <w:spacing w:val="-5"/>
                <w:highlight w:val="none"/>
              </w:rPr>
              <w:t>工程名称</w:t>
            </w:r>
          </w:p>
        </w:tc>
        <w:tc>
          <w:tcPr>
            <w:tcW w:w="6202" w:type="dxa"/>
            <w:vAlign w:val="top"/>
          </w:tcPr>
          <w:p w14:paraId="67C2DF4F">
            <w:pPr>
              <w:pStyle w:val="25"/>
              <w:spacing w:before="63" w:line="215" w:lineRule="auto"/>
              <w:ind w:right="2"/>
              <w:rPr>
                <w:sz w:val="28"/>
                <w:szCs w:val="28"/>
                <w:highlight w:val="none"/>
              </w:rPr>
            </w:pPr>
            <w:r>
              <w:rPr>
                <w:rFonts w:hint="eastAsia"/>
                <w:spacing w:val="-2"/>
                <w:highlight w:val="none"/>
                <w:lang w:val="en-US" w:eastAsia="zh-CN"/>
              </w:rPr>
              <w:t>2026年三流乡双塔寺村龙虾交易大市场项目(EPCO)</w:t>
            </w:r>
          </w:p>
        </w:tc>
      </w:tr>
      <w:tr w14:paraId="285EB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73" w:type="dxa"/>
            <w:vAlign w:val="top"/>
          </w:tcPr>
          <w:p w14:paraId="4516195F">
            <w:pPr>
              <w:pStyle w:val="25"/>
              <w:spacing w:before="99" w:line="238" w:lineRule="auto"/>
              <w:ind w:left="383"/>
              <w:rPr>
                <w:highlight w:val="none"/>
              </w:rPr>
            </w:pPr>
            <w:r>
              <w:rPr>
                <w:highlight w:val="none"/>
              </w:rPr>
              <w:t>2</w:t>
            </w:r>
          </w:p>
        </w:tc>
        <w:tc>
          <w:tcPr>
            <w:tcW w:w="2147" w:type="dxa"/>
            <w:vAlign w:val="top"/>
          </w:tcPr>
          <w:p w14:paraId="061A1842">
            <w:pPr>
              <w:pStyle w:val="25"/>
              <w:spacing w:before="98" w:line="220" w:lineRule="auto"/>
              <w:ind w:left="601"/>
              <w:rPr>
                <w:highlight w:val="none"/>
              </w:rPr>
            </w:pPr>
            <w:r>
              <w:rPr>
                <w:spacing w:val="-3"/>
                <w:highlight w:val="none"/>
              </w:rPr>
              <w:t>建设地点</w:t>
            </w:r>
          </w:p>
        </w:tc>
        <w:tc>
          <w:tcPr>
            <w:tcW w:w="6202" w:type="dxa"/>
            <w:vAlign w:val="top"/>
          </w:tcPr>
          <w:p w14:paraId="3BFB30BF">
            <w:pPr>
              <w:pStyle w:val="25"/>
              <w:spacing w:before="98" w:line="216" w:lineRule="auto"/>
              <w:ind w:left="19"/>
              <w:rPr>
                <w:rFonts w:hint="default" w:eastAsia="仿宋"/>
                <w:highlight w:val="none"/>
                <w:lang w:val="en-US" w:eastAsia="zh-CN"/>
              </w:rPr>
            </w:pPr>
            <w:r>
              <w:rPr>
                <w:spacing w:val="-2"/>
                <w:highlight w:val="none"/>
              </w:rPr>
              <w:t>霍邱县</w:t>
            </w:r>
            <w:r>
              <w:rPr>
                <w:rFonts w:hint="eastAsia"/>
                <w:spacing w:val="-2"/>
                <w:highlight w:val="none"/>
                <w:lang w:val="en-US" w:eastAsia="zh-CN"/>
              </w:rPr>
              <w:t>三流乡</w:t>
            </w:r>
          </w:p>
        </w:tc>
      </w:tr>
      <w:tr w14:paraId="237B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73" w:type="dxa"/>
            <w:vAlign w:val="top"/>
          </w:tcPr>
          <w:p w14:paraId="060F4F06">
            <w:pPr>
              <w:pStyle w:val="25"/>
              <w:spacing w:before="98" w:line="237" w:lineRule="auto"/>
              <w:ind w:left="384"/>
              <w:rPr>
                <w:highlight w:val="none"/>
              </w:rPr>
            </w:pPr>
            <w:r>
              <w:rPr>
                <w:highlight w:val="none"/>
              </w:rPr>
              <w:t>3</w:t>
            </w:r>
          </w:p>
        </w:tc>
        <w:tc>
          <w:tcPr>
            <w:tcW w:w="2147" w:type="dxa"/>
            <w:vAlign w:val="top"/>
          </w:tcPr>
          <w:p w14:paraId="6132CDC2">
            <w:pPr>
              <w:pStyle w:val="25"/>
              <w:spacing w:before="98" w:line="218" w:lineRule="auto"/>
              <w:ind w:left="721"/>
              <w:rPr>
                <w:highlight w:val="none"/>
              </w:rPr>
            </w:pPr>
            <w:r>
              <w:rPr>
                <w:spacing w:val="-4"/>
                <w:highlight w:val="none"/>
              </w:rPr>
              <w:t>招标人</w:t>
            </w:r>
          </w:p>
        </w:tc>
        <w:tc>
          <w:tcPr>
            <w:tcW w:w="6202" w:type="dxa"/>
            <w:vAlign w:val="top"/>
          </w:tcPr>
          <w:p w14:paraId="67AB5EA5">
            <w:pPr>
              <w:pStyle w:val="25"/>
              <w:spacing w:before="98" w:line="218" w:lineRule="auto"/>
              <w:ind w:left="19"/>
              <w:rPr>
                <w:rFonts w:hint="default" w:eastAsia="仿宋"/>
                <w:highlight w:val="none"/>
                <w:lang w:val="en-US" w:eastAsia="zh-CN"/>
              </w:rPr>
            </w:pPr>
            <w:r>
              <w:rPr>
                <w:rFonts w:hint="eastAsia"/>
                <w:spacing w:val="-2"/>
                <w:highlight w:val="none"/>
                <w:lang w:val="en-US" w:eastAsia="zh-CN"/>
              </w:rPr>
              <w:t>霍邱县三流乡人民政府</w:t>
            </w:r>
          </w:p>
        </w:tc>
      </w:tr>
      <w:tr w14:paraId="7AD93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73" w:type="dxa"/>
            <w:vAlign w:val="top"/>
          </w:tcPr>
          <w:p w14:paraId="22A74CA2">
            <w:pPr>
              <w:pStyle w:val="25"/>
              <w:spacing w:before="99" w:line="238" w:lineRule="auto"/>
              <w:ind w:left="379"/>
              <w:rPr>
                <w:highlight w:val="none"/>
              </w:rPr>
            </w:pPr>
            <w:r>
              <w:rPr>
                <w:highlight w:val="none"/>
              </w:rPr>
              <w:t>4</w:t>
            </w:r>
          </w:p>
        </w:tc>
        <w:tc>
          <w:tcPr>
            <w:tcW w:w="2147" w:type="dxa"/>
            <w:vAlign w:val="top"/>
          </w:tcPr>
          <w:p w14:paraId="7A4E5E51">
            <w:pPr>
              <w:pStyle w:val="25"/>
              <w:spacing w:before="98" w:line="217" w:lineRule="auto"/>
              <w:ind w:left="367"/>
              <w:rPr>
                <w:highlight w:val="none"/>
              </w:rPr>
            </w:pPr>
            <w:r>
              <w:rPr>
                <w:spacing w:val="-3"/>
                <w:highlight w:val="none"/>
              </w:rPr>
              <w:t>工程设计单位</w:t>
            </w:r>
          </w:p>
        </w:tc>
        <w:tc>
          <w:tcPr>
            <w:tcW w:w="6202" w:type="dxa"/>
            <w:vAlign w:val="top"/>
          </w:tcPr>
          <w:p w14:paraId="04A3E190">
            <w:pPr>
              <w:pStyle w:val="25"/>
              <w:spacing w:before="98" w:line="222" w:lineRule="auto"/>
              <w:ind w:left="9"/>
              <w:rPr>
                <w:highlight w:val="none"/>
              </w:rPr>
            </w:pPr>
            <w:r>
              <w:rPr>
                <w:highlight w:val="none"/>
              </w:rPr>
              <w:t>/</w:t>
            </w:r>
          </w:p>
        </w:tc>
      </w:tr>
      <w:tr w14:paraId="46D4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73" w:type="dxa"/>
            <w:vAlign w:val="top"/>
          </w:tcPr>
          <w:p w14:paraId="2D6BE91F">
            <w:pPr>
              <w:pStyle w:val="25"/>
              <w:spacing w:before="99" w:line="237" w:lineRule="auto"/>
              <w:ind w:left="384"/>
              <w:rPr>
                <w:highlight w:val="none"/>
              </w:rPr>
            </w:pPr>
            <w:r>
              <w:rPr>
                <w:highlight w:val="none"/>
              </w:rPr>
              <w:t>5</w:t>
            </w:r>
          </w:p>
        </w:tc>
        <w:tc>
          <w:tcPr>
            <w:tcW w:w="2147" w:type="dxa"/>
            <w:vAlign w:val="top"/>
          </w:tcPr>
          <w:p w14:paraId="0B541D4F">
            <w:pPr>
              <w:pStyle w:val="25"/>
              <w:spacing w:before="98" w:line="219" w:lineRule="auto"/>
              <w:ind w:left="601"/>
              <w:rPr>
                <w:highlight w:val="none"/>
              </w:rPr>
            </w:pPr>
            <w:r>
              <w:rPr>
                <w:spacing w:val="-3"/>
                <w:highlight w:val="none"/>
              </w:rPr>
              <w:t>建设规模</w:t>
            </w:r>
          </w:p>
        </w:tc>
        <w:tc>
          <w:tcPr>
            <w:tcW w:w="6202" w:type="dxa"/>
            <w:vAlign w:val="top"/>
          </w:tcPr>
          <w:p w14:paraId="22A79535">
            <w:pPr>
              <w:pStyle w:val="25"/>
              <w:spacing w:before="98" w:line="217" w:lineRule="auto"/>
              <w:ind w:left="18"/>
              <w:rPr>
                <w:highlight w:val="none"/>
              </w:rPr>
            </w:pPr>
            <w:r>
              <w:rPr>
                <w:spacing w:val="-2"/>
                <w:highlight w:val="none"/>
              </w:rPr>
              <w:t>详见本项目招标公告</w:t>
            </w:r>
          </w:p>
        </w:tc>
      </w:tr>
      <w:tr w14:paraId="565A2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73" w:type="dxa"/>
            <w:vAlign w:val="top"/>
          </w:tcPr>
          <w:p w14:paraId="297AB362">
            <w:pPr>
              <w:pStyle w:val="25"/>
              <w:spacing w:before="99" w:line="237" w:lineRule="auto"/>
              <w:ind w:left="382"/>
              <w:rPr>
                <w:highlight w:val="none"/>
              </w:rPr>
            </w:pPr>
            <w:r>
              <w:rPr>
                <w:highlight w:val="none"/>
              </w:rPr>
              <w:t>6</w:t>
            </w:r>
          </w:p>
        </w:tc>
        <w:tc>
          <w:tcPr>
            <w:tcW w:w="2147" w:type="dxa"/>
            <w:vAlign w:val="top"/>
          </w:tcPr>
          <w:p w14:paraId="27D443B1">
            <w:pPr>
              <w:pStyle w:val="25"/>
              <w:spacing w:before="98" w:line="217" w:lineRule="auto"/>
              <w:ind w:left="127"/>
              <w:rPr>
                <w:highlight w:val="none"/>
              </w:rPr>
            </w:pPr>
            <w:r>
              <w:rPr>
                <w:spacing w:val="-3"/>
                <w:highlight w:val="none"/>
              </w:rPr>
              <w:t>工程概况简要说明</w:t>
            </w:r>
          </w:p>
        </w:tc>
        <w:tc>
          <w:tcPr>
            <w:tcW w:w="6202" w:type="dxa"/>
            <w:vAlign w:val="top"/>
          </w:tcPr>
          <w:p w14:paraId="51123E90">
            <w:pPr>
              <w:pStyle w:val="25"/>
              <w:spacing w:before="98" w:line="217" w:lineRule="auto"/>
              <w:ind w:left="18"/>
              <w:rPr>
                <w:highlight w:val="none"/>
              </w:rPr>
            </w:pPr>
            <w:r>
              <w:rPr>
                <w:spacing w:val="-2"/>
                <w:highlight w:val="none"/>
              </w:rPr>
              <w:t>详见本项目招标公告</w:t>
            </w:r>
          </w:p>
        </w:tc>
      </w:tr>
      <w:tr w14:paraId="1C07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73" w:type="dxa"/>
            <w:vAlign w:val="top"/>
          </w:tcPr>
          <w:p w14:paraId="546CBFC9">
            <w:pPr>
              <w:pStyle w:val="25"/>
              <w:spacing w:before="276" w:line="237" w:lineRule="auto"/>
              <w:ind w:left="385"/>
              <w:rPr>
                <w:highlight w:val="none"/>
              </w:rPr>
            </w:pPr>
            <w:r>
              <w:rPr>
                <w:highlight w:val="none"/>
              </w:rPr>
              <w:t>7</w:t>
            </w:r>
          </w:p>
        </w:tc>
        <w:tc>
          <w:tcPr>
            <w:tcW w:w="2147" w:type="dxa"/>
            <w:vAlign w:val="top"/>
          </w:tcPr>
          <w:p w14:paraId="0C07E686">
            <w:pPr>
              <w:pStyle w:val="25"/>
              <w:spacing w:before="284" w:line="218" w:lineRule="auto"/>
              <w:ind w:left="601"/>
              <w:rPr>
                <w:highlight w:val="none"/>
              </w:rPr>
            </w:pPr>
            <w:r>
              <w:rPr>
                <w:spacing w:val="-3"/>
                <w:highlight w:val="none"/>
              </w:rPr>
              <w:t>招标范围</w:t>
            </w:r>
          </w:p>
        </w:tc>
        <w:tc>
          <w:tcPr>
            <w:tcW w:w="6202" w:type="dxa"/>
            <w:vAlign w:val="top"/>
          </w:tcPr>
          <w:p w14:paraId="1B51C415">
            <w:pPr>
              <w:pStyle w:val="25"/>
              <w:spacing w:before="99" w:line="218" w:lineRule="auto"/>
              <w:ind w:left="31"/>
              <w:rPr>
                <w:highlight w:val="none"/>
              </w:rPr>
            </w:pPr>
            <w:r>
              <w:rPr>
                <w:spacing w:val="-3"/>
                <w:sz w:val="21"/>
                <w:szCs w:val="21"/>
                <w:highlight w:val="none"/>
              </w:rPr>
              <w:t>■</w:t>
            </w:r>
            <w:r>
              <w:rPr>
                <w:spacing w:val="-3"/>
                <w:highlight w:val="none"/>
              </w:rPr>
              <w:t>招标公告及图纸设计范围</w:t>
            </w:r>
          </w:p>
          <w:p w14:paraId="67BB8813">
            <w:pPr>
              <w:pStyle w:val="25"/>
              <w:spacing w:before="86" w:line="217" w:lineRule="auto"/>
              <w:ind w:left="35"/>
              <w:rPr>
                <w:highlight w:val="none"/>
              </w:rPr>
            </w:pPr>
            <w:r>
              <w:rPr>
                <w:rFonts w:ascii="宋体" w:hAnsi="宋体" w:eastAsia="宋体" w:cs="宋体"/>
                <w:spacing w:val="-16"/>
                <w:highlight w:val="none"/>
              </w:rPr>
              <w:t>□</w:t>
            </w:r>
            <w:r>
              <w:rPr>
                <w:rFonts w:ascii="宋体" w:hAnsi="宋体" w:eastAsia="宋体" w:cs="宋体"/>
                <w:spacing w:val="21"/>
                <w:highlight w:val="none"/>
              </w:rPr>
              <w:t xml:space="preserve"> </w:t>
            </w:r>
            <w:r>
              <w:rPr>
                <w:spacing w:val="-16"/>
                <w:highlight w:val="none"/>
              </w:rPr>
              <w:t>其他说明：</w:t>
            </w:r>
          </w:p>
        </w:tc>
      </w:tr>
      <w:tr w14:paraId="2C15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73" w:type="dxa"/>
            <w:vAlign w:val="top"/>
          </w:tcPr>
          <w:p w14:paraId="5326BEA6">
            <w:pPr>
              <w:pStyle w:val="25"/>
              <w:spacing w:before="92" w:line="237" w:lineRule="auto"/>
              <w:ind w:left="381"/>
              <w:rPr>
                <w:highlight w:val="none"/>
              </w:rPr>
            </w:pPr>
            <w:r>
              <w:rPr>
                <w:highlight w:val="none"/>
              </w:rPr>
              <w:t>8</w:t>
            </w:r>
          </w:p>
        </w:tc>
        <w:tc>
          <w:tcPr>
            <w:tcW w:w="2147" w:type="dxa"/>
            <w:vAlign w:val="top"/>
          </w:tcPr>
          <w:p w14:paraId="5C4FB5E8">
            <w:pPr>
              <w:pStyle w:val="25"/>
              <w:spacing w:before="92" w:line="218" w:lineRule="auto"/>
              <w:ind w:left="601"/>
              <w:rPr>
                <w:highlight w:val="none"/>
              </w:rPr>
            </w:pPr>
            <w:r>
              <w:rPr>
                <w:spacing w:val="-3"/>
                <w:highlight w:val="none"/>
              </w:rPr>
              <w:t>标段划分</w:t>
            </w:r>
          </w:p>
        </w:tc>
        <w:tc>
          <w:tcPr>
            <w:tcW w:w="6202" w:type="dxa"/>
            <w:vAlign w:val="top"/>
          </w:tcPr>
          <w:p w14:paraId="6FC097C3">
            <w:pPr>
              <w:pStyle w:val="25"/>
              <w:spacing w:before="99" w:line="218" w:lineRule="auto"/>
              <w:ind w:left="28"/>
              <w:rPr>
                <w:highlight w:val="none"/>
              </w:rPr>
            </w:pPr>
            <w:r>
              <w:rPr>
                <w:spacing w:val="-10"/>
                <w:highlight w:val="none"/>
              </w:rPr>
              <w:t>1</w:t>
            </w:r>
            <w:r>
              <w:rPr>
                <w:spacing w:val="-42"/>
                <w:highlight w:val="none"/>
              </w:rPr>
              <w:t xml:space="preserve"> </w:t>
            </w:r>
            <w:r>
              <w:rPr>
                <w:spacing w:val="-10"/>
                <w:highlight w:val="none"/>
              </w:rPr>
              <w:t>个标段</w:t>
            </w:r>
          </w:p>
        </w:tc>
      </w:tr>
      <w:tr w14:paraId="723C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73" w:type="dxa"/>
            <w:vAlign w:val="top"/>
          </w:tcPr>
          <w:p w14:paraId="620B4D05">
            <w:pPr>
              <w:pStyle w:val="25"/>
              <w:spacing w:before="94" w:line="237" w:lineRule="auto"/>
              <w:ind w:left="381"/>
              <w:rPr>
                <w:highlight w:val="none"/>
              </w:rPr>
            </w:pPr>
            <w:r>
              <w:rPr>
                <w:highlight w:val="none"/>
              </w:rPr>
              <w:t>9</w:t>
            </w:r>
          </w:p>
        </w:tc>
        <w:tc>
          <w:tcPr>
            <w:tcW w:w="2147" w:type="dxa"/>
            <w:vAlign w:val="top"/>
          </w:tcPr>
          <w:p w14:paraId="077480C3">
            <w:pPr>
              <w:pStyle w:val="25"/>
              <w:spacing w:before="94" w:line="219" w:lineRule="auto"/>
              <w:ind w:left="601"/>
              <w:rPr>
                <w:highlight w:val="none"/>
              </w:rPr>
            </w:pPr>
            <w:r>
              <w:rPr>
                <w:spacing w:val="-3"/>
                <w:highlight w:val="none"/>
              </w:rPr>
              <w:t>承包方式</w:t>
            </w:r>
          </w:p>
        </w:tc>
        <w:tc>
          <w:tcPr>
            <w:tcW w:w="6202" w:type="dxa"/>
            <w:vAlign w:val="top"/>
          </w:tcPr>
          <w:p w14:paraId="0C86270C">
            <w:pPr>
              <w:pStyle w:val="25"/>
              <w:spacing w:before="101" w:line="218" w:lineRule="auto"/>
              <w:ind w:left="7"/>
              <w:rPr>
                <w:highlight w:val="none"/>
              </w:rPr>
            </w:pPr>
            <w:r>
              <w:rPr>
                <w:spacing w:val="-2"/>
                <w:highlight w:val="none"/>
              </w:rPr>
              <w:t>EPCO（即设计、采购、施工、运营）</w:t>
            </w:r>
          </w:p>
        </w:tc>
      </w:tr>
      <w:tr w14:paraId="3CCDD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32FF5828">
            <w:pPr>
              <w:pStyle w:val="25"/>
              <w:spacing w:before="185" w:line="237" w:lineRule="auto"/>
              <w:ind w:left="337"/>
              <w:rPr>
                <w:highlight w:val="none"/>
              </w:rPr>
            </w:pPr>
            <w:r>
              <w:rPr>
                <w:spacing w:val="-7"/>
                <w:highlight w:val="none"/>
              </w:rPr>
              <w:t>10</w:t>
            </w:r>
          </w:p>
        </w:tc>
        <w:tc>
          <w:tcPr>
            <w:tcW w:w="2147" w:type="dxa"/>
            <w:vAlign w:val="top"/>
          </w:tcPr>
          <w:p w14:paraId="1EDBEB73">
            <w:pPr>
              <w:pStyle w:val="25"/>
              <w:spacing w:before="35" w:line="215" w:lineRule="auto"/>
              <w:ind w:left="960" w:right="116" w:hanging="838"/>
              <w:rPr>
                <w:highlight w:val="none"/>
              </w:rPr>
            </w:pPr>
            <w:r>
              <w:rPr>
                <w:spacing w:val="-3"/>
                <w:highlight w:val="none"/>
              </w:rPr>
              <w:t>是否允许联合体投</w:t>
            </w:r>
            <w:r>
              <w:rPr>
                <w:highlight w:val="none"/>
              </w:rPr>
              <w:t>标</w:t>
            </w:r>
          </w:p>
        </w:tc>
        <w:tc>
          <w:tcPr>
            <w:tcW w:w="6202" w:type="dxa"/>
            <w:vAlign w:val="top"/>
          </w:tcPr>
          <w:p w14:paraId="74EC97DD">
            <w:pPr>
              <w:pStyle w:val="25"/>
              <w:spacing w:before="186" w:line="220" w:lineRule="auto"/>
              <w:ind w:left="18"/>
              <w:rPr>
                <w:highlight w:val="none"/>
              </w:rPr>
            </w:pPr>
            <w:r>
              <w:rPr>
                <w:highlight w:val="none"/>
              </w:rPr>
              <w:t>是</w:t>
            </w:r>
          </w:p>
        </w:tc>
      </w:tr>
      <w:tr w14:paraId="0A48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73" w:type="dxa"/>
            <w:vAlign w:val="top"/>
          </w:tcPr>
          <w:p w14:paraId="40433F71">
            <w:pPr>
              <w:pStyle w:val="25"/>
              <w:spacing w:before="35" w:line="199" w:lineRule="auto"/>
              <w:ind w:left="337"/>
              <w:rPr>
                <w:highlight w:val="none"/>
              </w:rPr>
            </w:pPr>
            <w:r>
              <w:rPr>
                <w:spacing w:val="-7"/>
                <w:highlight w:val="none"/>
              </w:rPr>
              <w:t>11</w:t>
            </w:r>
          </w:p>
        </w:tc>
        <w:tc>
          <w:tcPr>
            <w:tcW w:w="2147" w:type="dxa"/>
            <w:vAlign w:val="top"/>
          </w:tcPr>
          <w:p w14:paraId="7B64D1D3">
            <w:pPr>
              <w:pStyle w:val="25"/>
              <w:spacing w:before="35" w:line="199" w:lineRule="auto"/>
              <w:ind w:left="614"/>
              <w:rPr>
                <w:highlight w:val="none"/>
              </w:rPr>
            </w:pPr>
            <w:r>
              <w:rPr>
                <w:spacing w:val="-6"/>
                <w:highlight w:val="none"/>
              </w:rPr>
              <w:t>资金来源</w:t>
            </w:r>
          </w:p>
        </w:tc>
        <w:tc>
          <w:tcPr>
            <w:tcW w:w="6202" w:type="dxa"/>
            <w:vAlign w:val="top"/>
          </w:tcPr>
          <w:p w14:paraId="07CDCF15">
            <w:pPr>
              <w:pStyle w:val="25"/>
              <w:spacing w:before="35" w:line="199" w:lineRule="auto"/>
              <w:ind w:left="62"/>
              <w:rPr>
                <w:rFonts w:hint="default" w:eastAsia="仿宋"/>
                <w:highlight w:val="none"/>
                <w:lang w:val="en-US" w:eastAsia="zh-CN"/>
              </w:rPr>
            </w:pPr>
            <w:r>
              <w:rPr>
                <w:rFonts w:hint="default" w:eastAsia="仿宋"/>
                <w:highlight w:val="none"/>
                <w:lang w:val="en-US" w:eastAsia="zh-CN"/>
              </w:rPr>
              <w:t>财政资金+自筹资金</w:t>
            </w:r>
          </w:p>
        </w:tc>
      </w:tr>
      <w:tr w14:paraId="3A09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8" w:hRule="atLeast"/>
        </w:trPr>
        <w:tc>
          <w:tcPr>
            <w:tcW w:w="873" w:type="dxa"/>
            <w:vAlign w:val="top"/>
          </w:tcPr>
          <w:p w14:paraId="3D60E38D">
            <w:pPr>
              <w:spacing w:line="262" w:lineRule="auto"/>
              <w:rPr>
                <w:rFonts w:ascii="Arial"/>
                <w:sz w:val="21"/>
                <w:highlight w:val="none"/>
              </w:rPr>
            </w:pPr>
          </w:p>
          <w:p w14:paraId="37443B2A">
            <w:pPr>
              <w:spacing w:line="262" w:lineRule="auto"/>
              <w:rPr>
                <w:rFonts w:ascii="Arial"/>
                <w:sz w:val="21"/>
                <w:highlight w:val="none"/>
              </w:rPr>
            </w:pPr>
          </w:p>
          <w:p w14:paraId="60F85CE6">
            <w:pPr>
              <w:spacing w:line="263" w:lineRule="auto"/>
              <w:rPr>
                <w:rFonts w:ascii="Arial"/>
                <w:sz w:val="21"/>
                <w:highlight w:val="none"/>
              </w:rPr>
            </w:pPr>
          </w:p>
          <w:p w14:paraId="0823516E">
            <w:pPr>
              <w:spacing w:line="263" w:lineRule="auto"/>
              <w:rPr>
                <w:rFonts w:ascii="Arial"/>
                <w:sz w:val="21"/>
                <w:highlight w:val="none"/>
              </w:rPr>
            </w:pPr>
          </w:p>
          <w:p w14:paraId="18699CD4">
            <w:pPr>
              <w:spacing w:line="263" w:lineRule="auto"/>
              <w:rPr>
                <w:rFonts w:ascii="Arial"/>
                <w:sz w:val="21"/>
                <w:highlight w:val="none"/>
              </w:rPr>
            </w:pPr>
          </w:p>
          <w:p w14:paraId="2FB70D53">
            <w:pPr>
              <w:pStyle w:val="25"/>
              <w:spacing w:before="78" w:line="238" w:lineRule="auto"/>
              <w:ind w:left="337"/>
              <w:rPr>
                <w:highlight w:val="none"/>
              </w:rPr>
            </w:pPr>
            <w:r>
              <w:rPr>
                <w:spacing w:val="-7"/>
                <w:highlight w:val="none"/>
              </w:rPr>
              <w:t>12</w:t>
            </w:r>
          </w:p>
        </w:tc>
        <w:tc>
          <w:tcPr>
            <w:tcW w:w="2147" w:type="dxa"/>
            <w:vAlign w:val="top"/>
          </w:tcPr>
          <w:p w14:paraId="0A247762">
            <w:pPr>
              <w:spacing w:line="264" w:lineRule="auto"/>
              <w:rPr>
                <w:rFonts w:ascii="Arial"/>
                <w:sz w:val="21"/>
                <w:highlight w:val="none"/>
              </w:rPr>
            </w:pPr>
          </w:p>
          <w:p w14:paraId="56CFF92D">
            <w:pPr>
              <w:spacing w:line="264" w:lineRule="auto"/>
              <w:rPr>
                <w:rFonts w:ascii="Arial"/>
                <w:sz w:val="21"/>
                <w:highlight w:val="none"/>
              </w:rPr>
            </w:pPr>
          </w:p>
          <w:p w14:paraId="0D830140">
            <w:pPr>
              <w:spacing w:line="264" w:lineRule="auto"/>
              <w:rPr>
                <w:rFonts w:ascii="Arial"/>
                <w:sz w:val="21"/>
                <w:highlight w:val="none"/>
              </w:rPr>
            </w:pPr>
          </w:p>
          <w:p w14:paraId="56F9588B">
            <w:pPr>
              <w:spacing w:line="264" w:lineRule="auto"/>
              <w:rPr>
                <w:rFonts w:ascii="Arial"/>
                <w:sz w:val="21"/>
                <w:highlight w:val="none"/>
              </w:rPr>
            </w:pPr>
          </w:p>
          <w:p w14:paraId="2278C672">
            <w:pPr>
              <w:spacing w:line="264" w:lineRule="auto"/>
              <w:rPr>
                <w:rFonts w:ascii="Arial"/>
                <w:sz w:val="21"/>
                <w:highlight w:val="none"/>
              </w:rPr>
            </w:pPr>
          </w:p>
          <w:p w14:paraId="071D194B">
            <w:pPr>
              <w:pStyle w:val="25"/>
              <w:spacing w:before="78" w:line="218" w:lineRule="auto"/>
              <w:ind w:left="601"/>
              <w:rPr>
                <w:highlight w:val="none"/>
              </w:rPr>
            </w:pPr>
            <w:r>
              <w:rPr>
                <w:spacing w:val="-3"/>
                <w:highlight w:val="none"/>
              </w:rPr>
              <w:t>计价方式</w:t>
            </w:r>
          </w:p>
        </w:tc>
        <w:tc>
          <w:tcPr>
            <w:tcW w:w="6202" w:type="dxa"/>
            <w:vAlign w:val="top"/>
          </w:tcPr>
          <w:p w14:paraId="2DCB9CAC">
            <w:pPr>
              <w:pStyle w:val="25"/>
              <w:spacing w:before="102" w:line="247" w:lineRule="auto"/>
              <w:ind w:left="18" w:right="4"/>
              <w:jc w:val="both"/>
              <w:rPr>
                <w:highlight w:val="none"/>
              </w:rPr>
            </w:pPr>
            <w:r>
              <w:rPr>
                <w:spacing w:val="-3"/>
                <w:highlight w:val="none"/>
              </w:rPr>
              <w:t>本项目采用百分比报价方式（审定预算价的百分比）竞标，</w:t>
            </w:r>
            <w:r>
              <w:rPr>
                <w:spacing w:val="-7"/>
                <w:highlight w:val="none"/>
              </w:rPr>
              <w:t>由各投标人根据企业自身状况、工程特点等自行报价，</w:t>
            </w:r>
            <w:r>
              <w:rPr>
                <w:spacing w:val="-8"/>
                <w:highlight w:val="none"/>
              </w:rPr>
              <w:t>但不</w:t>
            </w:r>
            <w:r>
              <w:rPr>
                <w:spacing w:val="-4"/>
                <w:highlight w:val="none"/>
              </w:rPr>
              <w:t>得大于招标人公布的最高限价（本项目最高限价为审定预算</w:t>
            </w:r>
            <w:r>
              <w:rPr>
                <w:spacing w:val="-2"/>
                <w:highlight w:val="none"/>
              </w:rPr>
              <w:t>价的</w:t>
            </w:r>
            <w:r>
              <w:rPr>
                <w:spacing w:val="-11"/>
                <w:highlight w:val="none"/>
              </w:rPr>
              <w:t xml:space="preserve"> </w:t>
            </w:r>
            <w:r>
              <w:rPr>
                <w:spacing w:val="-2"/>
                <w:highlight w:val="none"/>
              </w:rPr>
              <w:t>100.00%）。报价保留至百分号前小数点后两位小数，</w:t>
            </w:r>
            <w:r>
              <w:rPr>
                <w:spacing w:val="-3"/>
                <w:highlight w:val="none"/>
              </w:rPr>
              <w:t>如</w:t>
            </w:r>
            <w:r>
              <w:rPr>
                <w:spacing w:val="-54"/>
                <w:highlight w:val="none"/>
              </w:rPr>
              <w:t xml:space="preserve"> </w:t>
            </w:r>
            <w:r>
              <w:rPr>
                <w:spacing w:val="-3"/>
                <w:highlight w:val="none"/>
              </w:rPr>
              <w:t>bb.bb%。</w:t>
            </w:r>
          </w:p>
          <w:p w14:paraId="1F52D394">
            <w:pPr>
              <w:pStyle w:val="25"/>
              <w:spacing w:before="41" w:line="244" w:lineRule="auto"/>
              <w:ind w:left="17" w:right="5" w:firstLine="2"/>
              <w:jc w:val="both"/>
              <w:rPr>
                <w:highlight w:val="none"/>
              </w:rPr>
            </w:pPr>
            <w:r>
              <w:rPr>
                <w:spacing w:val="-3"/>
                <w:highlight w:val="none"/>
              </w:rPr>
              <w:t>此外，本项目设计费不单独报价，由各投标人充分考虑在投标报价（百分比）内，后续招标人不另行计算及支付；本项目运营费不在本次报价范围内，后续由招标人根据招标文件</w:t>
            </w:r>
            <w:r>
              <w:rPr>
                <w:spacing w:val="-2"/>
                <w:highlight w:val="none"/>
              </w:rPr>
              <w:t>约定另行计算及支付。</w:t>
            </w:r>
          </w:p>
        </w:tc>
      </w:tr>
      <w:tr w14:paraId="11CC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73" w:type="dxa"/>
            <w:vAlign w:val="top"/>
          </w:tcPr>
          <w:p w14:paraId="084467DE">
            <w:pPr>
              <w:pStyle w:val="25"/>
              <w:spacing w:before="39" w:line="198" w:lineRule="auto"/>
              <w:ind w:left="337"/>
              <w:rPr>
                <w:highlight w:val="none"/>
              </w:rPr>
            </w:pPr>
            <w:r>
              <w:rPr>
                <w:spacing w:val="-7"/>
                <w:highlight w:val="none"/>
              </w:rPr>
              <w:t>13</w:t>
            </w:r>
          </w:p>
        </w:tc>
        <w:tc>
          <w:tcPr>
            <w:tcW w:w="2147" w:type="dxa"/>
            <w:vAlign w:val="top"/>
          </w:tcPr>
          <w:p w14:paraId="28709513">
            <w:pPr>
              <w:pStyle w:val="25"/>
              <w:spacing w:before="39" w:line="198" w:lineRule="auto"/>
              <w:ind w:left="602"/>
              <w:rPr>
                <w:highlight w:val="none"/>
              </w:rPr>
            </w:pPr>
            <w:r>
              <w:rPr>
                <w:spacing w:val="-4"/>
                <w:highlight w:val="none"/>
              </w:rPr>
              <w:t>项目期限</w:t>
            </w:r>
          </w:p>
        </w:tc>
        <w:tc>
          <w:tcPr>
            <w:tcW w:w="6202" w:type="dxa"/>
            <w:vAlign w:val="top"/>
          </w:tcPr>
          <w:p w14:paraId="04EF1D66">
            <w:pPr>
              <w:pStyle w:val="25"/>
              <w:spacing w:before="39" w:line="198" w:lineRule="auto"/>
              <w:ind w:left="18"/>
              <w:rPr>
                <w:highlight w:val="none"/>
              </w:rPr>
            </w:pPr>
            <w:r>
              <w:rPr>
                <w:spacing w:val="-2"/>
                <w:highlight w:val="none"/>
              </w:rPr>
              <w:t>详见本项目招标公告</w:t>
            </w:r>
          </w:p>
        </w:tc>
      </w:tr>
      <w:tr w14:paraId="11BA7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73" w:type="dxa"/>
            <w:vAlign w:val="top"/>
          </w:tcPr>
          <w:p w14:paraId="6F068BAC">
            <w:pPr>
              <w:spacing w:line="352" w:lineRule="auto"/>
              <w:rPr>
                <w:rFonts w:ascii="Arial"/>
                <w:sz w:val="21"/>
                <w:highlight w:val="none"/>
              </w:rPr>
            </w:pPr>
          </w:p>
          <w:p w14:paraId="51FCB8C5">
            <w:pPr>
              <w:spacing w:line="352" w:lineRule="auto"/>
              <w:rPr>
                <w:rFonts w:ascii="Arial"/>
                <w:sz w:val="21"/>
                <w:highlight w:val="none"/>
              </w:rPr>
            </w:pPr>
          </w:p>
          <w:p w14:paraId="5E9E7EC4">
            <w:pPr>
              <w:pStyle w:val="25"/>
              <w:spacing w:before="78" w:line="238" w:lineRule="auto"/>
              <w:ind w:left="337"/>
              <w:rPr>
                <w:highlight w:val="none"/>
              </w:rPr>
            </w:pPr>
            <w:r>
              <w:rPr>
                <w:spacing w:val="-7"/>
                <w:highlight w:val="none"/>
              </w:rPr>
              <w:t>14</w:t>
            </w:r>
          </w:p>
        </w:tc>
        <w:tc>
          <w:tcPr>
            <w:tcW w:w="2147" w:type="dxa"/>
            <w:vAlign w:val="top"/>
          </w:tcPr>
          <w:p w14:paraId="4FA2A58B">
            <w:pPr>
              <w:spacing w:line="352" w:lineRule="auto"/>
              <w:rPr>
                <w:rFonts w:ascii="Arial"/>
                <w:sz w:val="21"/>
                <w:highlight w:val="none"/>
              </w:rPr>
            </w:pPr>
          </w:p>
          <w:p w14:paraId="1E46EEB7">
            <w:pPr>
              <w:spacing w:line="352" w:lineRule="auto"/>
              <w:rPr>
                <w:rFonts w:ascii="Arial"/>
                <w:sz w:val="21"/>
                <w:highlight w:val="none"/>
              </w:rPr>
            </w:pPr>
          </w:p>
          <w:p w14:paraId="4029DFD0">
            <w:pPr>
              <w:pStyle w:val="25"/>
              <w:spacing w:before="78" w:line="218" w:lineRule="auto"/>
              <w:ind w:left="367"/>
              <w:rPr>
                <w:highlight w:val="none"/>
              </w:rPr>
            </w:pPr>
            <w:r>
              <w:rPr>
                <w:spacing w:val="-3"/>
                <w:highlight w:val="none"/>
              </w:rPr>
              <w:t>质量标准要求</w:t>
            </w:r>
          </w:p>
        </w:tc>
        <w:tc>
          <w:tcPr>
            <w:tcW w:w="6202" w:type="dxa"/>
            <w:vAlign w:val="top"/>
          </w:tcPr>
          <w:p w14:paraId="6C789C3D">
            <w:pPr>
              <w:pStyle w:val="25"/>
              <w:spacing w:before="37" w:line="231" w:lineRule="auto"/>
              <w:ind w:left="17" w:right="7"/>
              <w:rPr>
                <w:highlight w:val="none"/>
              </w:rPr>
            </w:pPr>
            <w:r>
              <w:rPr>
                <w:spacing w:val="-3"/>
                <w:highlight w:val="none"/>
              </w:rPr>
              <w:t>设计要求的质量标准：符合现行国家、地方及行业相关设计</w:t>
            </w:r>
            <w:r>
              <w:rPr>
                <w:spacing w:val="-4"/>
                <w:highlight w:val="none"/>
              </w:rPr>
              <w:t>规范要求，确保通过有关部门的审查；</w:t>
            </w:r>
          </w:p>
          <w:p w14:paraId="3676E42D">
            <w:pPr>
              <w:pStyle w:val="25"/>
              <w:spacing w:line="218" w:lineRule="auto"/>
              <w:ind w:left="19"/>
              <w:rPr>
                <w:highlight w:val="none"/>
              </w:rPr>
            </w:pPr>
            <w:r>
              <w:rPr>
                <w:spacing w:val="-5"/>
                <w:highlight w:val="none"/>
              </w:rPr>
              <w:t>采购要求的质量标准：合格；</w:t>
            </w:r>
          </w:p>
          <w:p w14:paraId="1F16F211">
            <w:pPr>
              <w:pStyle w:val="25"/>
              <w:spacing w:before="15" w:line="231" w:lineRule="auto"/>
              <w:ind w:left="25" w:right="5" w:hanging="8"/>
              <w:rPr>
                <w:highlight w:val="none"/>
              </w:rPr>
            </w:pPr>
            <w:r>
              <w:rPr>
                <w:spacing w:val="-9"/>
                <w:highlight w:val="none"/>
              </w:rPr>
              <w:t>施工要求的质量标准：满足国家、省市行业等相</w:t>
            </w:r>
            <w:r>
              <w:rPr>
                <w:spacing w:val="-10"/>
                <w:highlight w:val="none"/>
              </w:rPr>
              <w:t>关要求，达</w:t>
            </w:r>
            <w:r>
              <w:rPr>
                <w:spacing w:val="-11"/>
                <w:highlight w:val="none"/>
              </w:rPr>
              <w:t>到合格标准；</w:t>
            </w:r>
          </w:p>
          <w:p w14:paraId="34F6E336">
            <w:pPr>
              <w:pStyle w:val="25"/>
              <w:spacing w:line="197" w:lineRule="auto"/>
              <w:ind w:left="19"/>
              <w:rPr>
                <w:highlight w:val="none"/>
              </w:rPr>
            </w:pPr>
            <w:r>
              <w:rPr>
                <w:spacing w:val="-4"/>
                <w:highlight w:val="none"/>
              </w:rPr>
              <w:t>运营要求的质量标准：合格。</w:t>
            </w:r>
          </w:p>
        </w:tc>
      </w:tr>
      <w:tr w14:paraId="0DF79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6FA60B0B">
            <w:pPr>
              <w:pStyle w:val="25"/>
              <w:spacing w:before="186" w:line="237" w:lineRule="auto"/>
              <w:ind w:left="337"/>
              <w:rPr>
                <w:highlight w:val="none"/>
              </w:rPr>
            </w:pPr>
            <w:r>
              <w:rPr>
                <w:spacing w:val="-7"/>
                <w:highlight w:val="none"/>
              </w:rPr>
              <w:t>15</w:t>
            </w:r>
          </w:p>
        </w:tc>
        <w:tc>
          <w:tcPr>
            <w:tcW w:w="2147" w:type="dxa"/>
            <w:vAlign w:val="top"/>
          </w:tcPr>
          <w:p w14:paraId="0DF937B3">
            <w:pPr>
              <w:pStyle w:val="25"/>
              <w:spacing w:before="37" w:line="214" w:lineRule="auto"/>
              <w:ind w:left="726" w:right="5" w:hanging="707"/>
              <w:rPr>
                <w:highlight w:val="none"/>
              </w:rPr>
            </w:pPr>
            <w:r>
              <w:rPr>
                <w:spacing w:val="-5"/>
                <w:highlight w:val="none"/>
              </w:rPr>
              <w:t>暂列金额、专业工程暂估价</w:t>
            </w:r>
          </w:p>
        </w:tc>
        <w:tc>
          <w:tcPr>
            <w:tcW w:w="6202" w:type="dxa"/>
            <w:vAlign w:val="top"/>
          </w:tcPr>
          <w:p w14:paraId="7D95C96D">
            <w:pPr>
              <w:pStyle w:val="25"/>
              <w:spacing w:before="186" w:line="217" w:lineRule="auto"/>
              <w:ind w:left="18"/>
              <w:rPr>
                <w:highlight w:val="none"/>
              </w:rPr>
            </w:pPr>
            <w:r>
              <w:rPr>
                <w:spacing w:val="-5"/>
                <w:highlight w:val="none"/>
              </w:rPr>
              <w:t>详见清单编制说明。</w:t>
            </w:r>
          </w:p>
        </w:tc>
      </w:tr>
      <w:tr w14:paraId="2C1F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73" w:type="dxa"/>
            <w:vAlign w:val="top"/>
          </w:tcPr>
          <w:p w14:paraId="35C8BD88">
            <w:pPr>
              <w:spacing w:line="254" w:lineRule="auto"/>
              <w:rPr>
                <w:rFonts w:ascii="Arial"/>
                <w:sz w:val="21"/>
                <w:highlight w:val="none"/>
              </w:rPr>
            </w:pPr>
          </w:p>
          <w:p w14:paraId="25D4AAF6">
            <w:pPr>
              <w:pStyle w:val="25"/>
              <w:spacing w:before="78" w:line="237" w:lineRule="auto"/>
              <w:ind w:left="517"/>
              <w:rPr>
                <w:highlight w:val="none"/>
              </w:rPr>
            </w:pPr>
            <w:r>
              <w:rPr>
                <w:spacing w:val="-7"/>
                <w:highlight w:val="none"/>
              </w:rPr>
              <w:t>16</w:t>
            </w:r>
          </w:p>
        </w:tc>
        <w:tc>
          <w:tcPr>
            <w:tcW w:w="2147" w:type="dxa"/>
            <w:vAlign w:val="top"/>
          </w:tcPr>
          <w:p w14:paraId="53DAA3C2">
            <w:pPr>
              <w:spacing w:line="259" w:lineRule="auto"/>
              <w:rPr>
                <w:rFonts w:ascii="Arial"/>
                <w:sz w:val="21"/>
                <w:highlight w:val="none"/>
              </w:rPr>
            </w:pPr>
          </w:p>
          <w:p w14:paraId="10732841">
            <w:pPr>
              <w:pStyle w:val="25"/>
              <w:spacing w:before="78" w:line="218" w:lineRule="auto"/>
              <w:ind w:left="362"/>
              <w:rPr>
                <w:highlight w:val="none"/>
              </w:rPr>
            </w:pPr>
            <w:r>
              <w:rPr>
                <w:spacing w:val="-3"/>
                <w:highlight w:val="none"/>
              </w:rPr>
              <w:t>评标定标办法</w:t>
            </w:r>
          </w:p>
        </w:tc>
        <w:tc>
          <w:tcPr>
            <w:tcW w:w="6202" w:type="dxa"/>
            <w:vAlign w:val="top"/>
          </w:tcPr>
          <w:p w14:paraId="7DF590FF">
            <w:pPr>
              <w:pStyle w:val="25"/>
              <w:spacing w:before="37" w:line="221" w:lineRule="auto"/>
              <w:ind w:left="20" w:right="5" w:hanging="3"/>
              <w:jc w:val="both"/>
              <w:rPr>
                <w:highlight w:val="none"/>
              </w:rPr>
            </w:pPr>
            <w:r>
              <w:rPr>
                <w:spacing w:val="-3"/>
                <w:highlight w:val="none"/>
              </w:rPr>
              <w:t>经评审的综合评价法：商务报价得分和技术标得分累计第一的投标人为第一中标候选人，得分第二、第三的投标人依次作为第二中标候选人和第三中标候选人。</w:t>
            </w:r>
          </w:p>
        </w:tc>
      </w:tr>
    </w:tbl>
    <w:p w14:paraId="608DECDA">
      <w:pPr>
        <w:pStyle w:val="3"/>
        <w:rPr>
          <w:highlight w:val="none"/>
        </w:rPr>
      </w:pPr>
    </w:p>
    <w:p w14:paraId="23B64585">
      <w:pPr>
        <w:rPr>
          <w:highlight w:val="none"/>
        </w:rPr>
        <w:sectPr>
          <w:footerReference r:id="rId7" w:type="default"/>
          <w:pgSz w:w="11907" w:h="16839"/>
          <w:pgMar w:top="1419" w:right="1018" w:bottom="1199" w:left="1661" w:header="0" w:footer="966" w:gutter="0"/>
          <w:cols w:space="720" w:num="1"/>
        </w:sectPr>
      </w:pPr>
    </w:p>
    <w:p w14:paraId="12FDF835">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433E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3" w:type="dxa"/>
            <w:vAlign w:val="top"/>
          </w:tcPr>
          <w:p w14:paraId="6D824127">
            <w:pPr>
              <w:pStyle w:val="25"/>
              <w:spacing w:before="37" w:line="210" w:lineRule="auto"/>
              <w:ind w:left="517"/>
              <w:rPr>
                <w:highlight w:val="none"/>
              </w:rPr>
            </w:pPr>
            <w:r>
              <w:rPr>
                <w:spacing w:val="-7"/>
                <w:highlight w:val="none"/>
              </w:rPr>
              <w:t>17</w:t>
            </w:r>
          </w:p>
        </w:tc>
        <w:tc>
          <w:tcPr>
            <w:tcW w:w="2147" w:type="dxa"/>
            <w:vAlign w:val="top"/>
          </w:tcPr>
          <w:p w14:paraId="16187D55">
            <w:pPr>
              <w:pStyle w:val="25"/>
              <w:spacing w:before="45" w:line="204" w:lineRule="auto"/>
              <w:ind w:left="374"/>
              <w:rPr>
                <w:highlight w:val="none"/>
              </w:rPr>
            </w:pPr>
            <w:r>
              <w:rPr>
                <w:spacing w:val="-4"/>
                <w:highlight w:val="none"/>
              </w:rPr>
              <w:t>资格审查方式</w:t>
            </w:r>
          </w:p>
        </w:tc>
        <w:tc>
          <w:tcPr>
            <w:tcW w:w="6202" w:type="dxa"/>
            <w:vAlign w:val="top"/>
          </w:tcPr>
          <w:p w14:paraId="76F7A428">
            <w:pPr>
              <w:pStyle w:val="25"/>
              <w:spacing w:before="45" w:line="204" w:lineRule="auto"/>
              <w:ind w:left="35"/>
              <w:rPr>
                <w:highlight w:val="none"/>
              </w:rPr>
            </w:pPr>
            <w:r>
              <w:rPr>
                <w:b/>
                <w:bCs/>
                <w:spacing w:val="-4"/>
                <w:highlight w:val="none"/>
              </w:rPr>
              <w:t>□</w:t>
            </w:r>
            <w:r>
              <w:rPr>
                <w:spacing w:val="-4"/>
                <w:highlight w:val="none"/>
              </w:rPr>
              <w:t>资格预审</w:t>
            </w:r>
            <w:r>
              <w:rPr>
                <w:spacing w:val="-4"/>
                <w:sz w:val="21"/>
                <w:szCs w:val="21"/>
                <w:highlight w:val="none"/>
              </w:rPr>
              <w:t>■</w:t>
            </w:r>
            <w:r>
              <w:rPr>
                <w:spacing w:val="-4"/>
                <w:highlight w:val="none"/>
              </w:rPr>
              <w:t>资格后审</w:t>
            </w:r>
          </w:p>
        </w:tc>
      </w:tr>
      <w:tr w14:paraId="770E8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73" w:type="dxa"/>
            <w:vAlign w:val="top"/>
          </w:tcPr>
          <w:p w14:paraId="5F23567A">
            <w:pPr>
              <w:pStyle w:val="25"/>
              <w:spacing w:before="190" w:line="237" w:lineRule="auto"/>
              <w:ind w:left="517"/>
              <w:rPr>
                <w:highlight w:val="none"/>
              </w:rPr>
            </w:pPr>
            <w:r>
              <w:rPr>
                <w:spacing w:val="-7"/>
                <w:highlight w:val="none"/>
              </w:rPr>
              <w:t>18</w:t>
            </w:r>
          </w:p>
        </w:tc>
        <w:tc>
          <w:tcPr>
            <w:tcW w:w="2147" w:type="dxa"/>
            <w:vAlign w:val="top"/>
          </w:tcPr>
          <w:p w14:paraId="3F7D2057">
            <w:pPr>
              <w:pStyle w:val="25"/>
              <w:spacing w:before="34" w:line="218" w:lineRule="auto"/>
              <w:ind w:left="121"/>
              <w:rPr>
                <w:highlight w:val="none"/>
              </w:rPr>
            </w:pPr>
            <w:r>
              <w:rPr>
                <w:spacing w:val="-2"/>
                <w:highlight w:val="none"/>
              </w:rPr>
              <w:t>投标人资质等级要</w:t>
            </w:r>
          </w:p>
          <w:p w14:paraId="01B98655">
            <w:pPr>
              <w:pStyle w:val="25"/>
              <w:spacing w:before="28" w:line="207" w:lineRule="auto"/>
              <w:ind w:left="968"/>
              <w:rPr>
                <w:highlight w:val="none"/>
              </w:rPr>
            </w:pPr>
            <w:r>
              <w:rPr>
                <w:highlight w:val="none"/>
              </w:rPr>
              <w:t>求</w:t>
            </w:r>
          </w:p>
        </w:tc>
        <w:tc>
          <w:tcPr>
            <w:tcW w:w="6202" w:type="dxa"/>
            <w:vAlign w:val="top"/>
          </w:tcPr>
          <w:p w14:paraId="58241E93">
            <w:pPr>
              <w:pStyle w:val="25"/>
              <w:spacing w:before="194" w:line="217" w:lineRule="auto"/>
              <w:ind w:left="18"/>
              <w:rPr>
                <w:highlight w:val="none"/>
              </w:rPr>
            </w:pPr>
            <w:r>
              <w:rPr>
                <w:spacing w:val="-3"/>
                <w:highlight w:val="none"/>
              </w:rPr>
              <w:t>详见招标公告</w:t>
            </w:r>
          </w:p>
        </w:tc>
      </w:tr>
      <w:tr w14:paraId="7972B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5" w:hRule="atLeast"/>
        </w:trPr>
        <w:tc>
          <w:tcPr>
            <w:tcW w:w="873" w:type="dxa"/>
            <w:vAlign w:val="top"/>
          </w:tcPr>
          <w:p w14:paraId="5FA74D25">
            <w:pPr>
              <w:spacing w:line="241" w:lineRule="auto"/>
              <w:rPr>
                <w:rFonts w:ascii="Arial"/>
                <w:sz w:val="21"/>
                <w:highlight w:val="none"/>
              </w:rPr>
            </w:pPr>
          </w:p>
          <w:p w14:paraId="4B1B4BCF">
            <w:pPr>
              <w:spacing w:line="241" w:lineRule="auto"/>
              <w:rPr>
                <w:rFonts w:ascii="Arial"/>
                <w:sz w:val="21"/>
                <w:highlight w:val="none"/>
              </w:rPr>
            </w:pPr>
          </w:p>
          <w:p w14:paraId="10E8227A">
            <w:pPr>
              <w:spacing w:line="241" w:lineRule="auto"/>
              <w:rPr>
                <w:rFonts w:ascii="Arial"/>
                <w:sz w:val="21"/>
                <w:highlight w:val="none"/>
              </w:rPr>
            </w:pPr>
          </w:p>
          <w:p w14:paraId="1E7FA42A">
            <w:pPr>
              <w:spacing w:line="241" w:lineRule="auto"/>
              <w:rPr>
                <w:rFonts w:ascii="Arial"/>
                <w:sz w:val="21"/>
                <w:highlight w:val="none"/>
              </w:rPr>
            </w:pPr>
          </w:p>
          <w:p w14:paraId="2B99E08C">
            <w:pPr>
              <w:spacing w:line="241" w:lineRule="auto"/>
              <w:rPr>
                <w:rFonts w:ascii="Arial"/>
                <w:sz w:val="21"/>
                <w:highlight w:val="none"/>
              </w:rPr>
            </w:pPr>
          </w:p>
          <w:p w14:paraId="3828D5FB">
            <w:pPr>
              <w:spacing w:line="241" w:lineRule="auto"/>
              <w:rPr>
                <w:rFonts w:ascii="Arial"/>
                <w:sz w:val="21"/>
                <w:highlight w:val="none"/>
              </w:rPr>
            </w:pPr>
          </w:p>
          <w:p w14:paraId="5DD3112A">
            <w:pPr>
              <w:spacing w:line="242" w:lineRule="auto"/>
              <w:rPr>
                <w:rFonts w:ascii="Arial"/>
                <w:sz w:val="21"/>
                <w:highlight w:val="none"/>
              </w:rPr>
            </w:pPr>
          </w:p>
          <w:p w14:paraId="7E9661A2">
            <w:pPr>
              <w:spacing w:line="242" w:lineRule="auto"/>
              <w:rPr>
                <w:rFonts w:ascii="Arial"/>
                <w:sz w:val="21"/>
                <w:highlight w:val="none"/>
              </w:rPr>
            </w:pPr>
          </w:p>
          <w:p w14:paraId="3148EBC6">
            <w:pPr>
              <w:spacing w:line="242" w:lineRule="auto"/>
              <w:rPr>
                <w:rFonts w:ascii="Arial"/>
                <w:sz w:val="21"/>
                <w:highlight w:val="none"/>
              </w:rPr>
            </w:pPr>
          </w:p>
          <w:p w14:paraId="41C5D7C9">
            <w:pPr>
              <w:spacing w:line="242" w:lineRule="auto"/>
              <w:rPr>
                <w:rFonts w:ascii="Arial"/>
                <w:sz w:val="21"/>
                <w:highlight w:val="none"/>
              </w:rPr>
            </w:pPr>
          </w:p>
          <w:p w14:paraId="0265240B">
            <w:pPr>
              <w:spacing w:line="242" w:lineRule="auto"/>
              <w:rPr>
                <w:rFonts w:ascii="Arial"/>
                <w:sz w:val="21"/>
                <w:highlight w:val="none"/>
              </w:rPr>
            </w:pPr>
          </w:p>
          <w:p w14:paraId="554CC348">
            <w:pPr>
              <w:spacing w:line="242" w:lineRule="auto"/>
              <w:rPr>
                <w:rFonts w:ascii="Arial"/>
                <w:sz w:val="21"/>
                <w:highlight w:val="none"/>
              </w:rPr>
            </w:pPr>
          </w:p>
          <w:p w14:paraId="38BB9079">
            <w:pPr>
              <w:spacing w:line="242" w:lineRule="auto"/>
              <w:rPr>
                <w:rFonts w:ascii="Arial"/>
                <w:sz w:val="21"/>
                <w:highlight w:val="none"/>
              </w:rPr>
            </w:pPr>
          </w:p>
          <w:p w14:paraId="5DE1F247">
            <w:pPr>
              <w:spacing w:line="242" w:lineRule="auto"/>
              <w:rPr>
                <w:rFonts w:ascii="Arial"/>
                <w:sz w:val="21"/>
                <w:highlight w:val="none"/>
              </w:rPr>
            </w:pPr>
          </w:p>
          <w:p w14:paraId="34A0036B">
            <w:pPr>
              <w:pStyle w:val="25"/>
              <w:spacing w:before="78" w:line="237" w:lineRule="auto"/>
              <w:ind w:left="517"/>
              <w:rPr>
                <w:highlight w:val="none"/>
              </w:rPr>
            </w:pPr>
            <w:r>
              <w:rPr>
                <w:spacing w:val="-7"/>
                <w:highlight w:val="none"/>
              </w:rPr>
              <w:t>19</w:t>
            </w:r>
          </w:p>
        </w:tc>
        <w:tc>
          <w:tcPr>
            <w:tcW w:w="2147" w:type="dxa"/>
            <w:vAlign w:val="top"/>
          </w:tcPr>
          <w:p w14:paraId="7CB436B1">
            <w:pPr>
              <w:spacing w:line="257" w:lineRule="auto"/>
              <w:rPr>
                <w:rFonts w:ascii="Arial"/>
                <w:sz w:val="21"/>
                <w:highlight w:val="none"/>
              </w:rPr>
            </w:pPr>
          </w:p>
          <w:p w14:paraId="34B71632">
            <w:pPr>
              <w:spacing w:line="257" w:lineRule="auto"/>
              <w:rPr>
                <w:rFonts w:ascii="Arial"/>
                <w:sz w:val="21"/>
                <w:highlight w:val="none"/>
              </w:rPr>
            </w:pPr>
          </w:p>
          <w:p w14:paraId="4390CF68">
            <w:pPr>
              <w:spacing w:line="257" w:lineRule="auto"/>
              <w:rPr>
                <w:rFonts w:ascii="Arial"/>
                <w:sz w:val="21"/>
                <w:highlight w:val="none"/>
              </w:rPr>
            </w:pPr>
          </w:p>
          <w:p w14:paraId="521CE986">
            <w:pPr>
              <w:spacing w:line="257" w:lineRule="auto"/>
              <w:rPr>
                <w:rFonts w:ascii="Arial"/>
                <w:sz w:val="21"/>
                <w:highlight w:val="none"/>
              </w:rPr>
            </w:pPr>
          </w:p>
          <w:p w14:paraId="7E6466E7">
            <w:pPr>
              <w:spacing w:line="257" w:lineRule="auto"/>
              <w:rPr>
                <w:rFonts w:ascii="Arial"/>
                <w:sz w:val="21"/>
                <w:highlight w:val="none"/>
              </w:rPr>
            </w:pPr>
          </w:p>
          <w:p w14:paraId="6E168243">
            <w:pPr>
              <w:spacing w:line="257" w:lineRule="auto"/>
              <w:rPr>
                <w:rFonts w:ascii="Arial"/>
                <w:sz w:val="21"/>
                <w:highlight w:val="none"/>
              </w:rPr>
            </w:pPr>
          </w:p>
          <w:p w14:paraId="5BBDD796">
            <w:pPr>
              <w:spacing w:line="257" w:lineRule="auto"/>
              <w:rPr>
                <w:rFonts w:ascii="Arial"/>
                <w:sz w:val="21"/>
                <w:highlight w:val="none"/>
              </w:rPr>
            </w:pPr>
          </w:p>
          <w:p w14:paraId="10B39006">
            <w:pPr>
              <w:spacing w:line="258" w:lineRule="auto"/>
              <w:rPr>
                <w:rFonts w:ascii="Arial"/>
                <w:sz w:val="21"/>
                <w:highlight w:val="none"/>
              </w:rPr>
            </w:pPr>
          </w:p>
          <w:p w14:paraId="73E35CB9">
            <w:pPr>
              <w:spacing w:line="258" w:lineRule="auto"/>
              <w:rPr>
                <w:rFonts w:ascii="Arial"/>
                <w:sz w:val="21"/>
                <w:highlight w:val="none"/>
              </w:rPr>
            </w:pPr>
          </w:p>
          <w:p w14:paraId="71C8900C">
            <w:pPr>
              <w:spacing w:line="258" w:lineRule="auto"/>
              <w:rPr>
                <w:rFonts w:ascii="Arial"/>
                <w:sz w:val="21"/>
                <w:highlight w:val="none"/>
              </w:rPr>
            </w:pPr>
          </w:p>
          <w:p w14:paraId="6F2F38EA">
            <w:pPr>
              <w:spacing w:line="258" w:lineRule="auto"/>
              <w:rPr>
                <w:rFonts w:ascii="Arial"/>
                <w:sz w:val="21"/>
                <w:highlight w:val="none"/>
              </w:rPr>
            </w:pPr>
          </w:p>
          <w:p w14:paraId="33AF7249">
            <w:pPr>
              <w:spacing w:line="258" w:lineRule="auto"/>
              <w:rPr>
                <w:rFonts w:ascii="Arial"/>
                <w:sz w:val="21"/>
                <w:highlight w:val="none"/>
              </w:rPr>
            </w:pPr>
          </w:p>
          <w:p w14:paraId="5F35C2F3">
            <w:pPr>
              <w:pStyle w:val="25"/>
              <w:spacing w:before="78" w:line="218" w:lineRule="auto"/>
              <w:ind w:left="13"/>
              <w:rPr>
                <w:highlight w:val="none"/>
              </w:rPr>
            </w:pPr>
            <w:r>
              <w:rPr>
                <w:spacing w:val="-6"/>
                <w:highlight w:val="none"/>
              </w:rPr>
              <w:t>投标人设计负责人、</w:t>
            </w:r>
          </w:p>
          <w:p w14:paraId="6120CA21">
            <w:pPr>
              <w:pStyle w:val="25"/>
              <w:spacing w:before="16" w:line="218" w:lineRule="auto"/>
              <w:ind w:left="122"/>
              <w:rPr>
                <w:highlight w:val="none"/>
              </w:rPr>
            </w:pPr>
            <w:r>
              <w:rPr>
                <w:spacing w:val="-2"/>
                <w:highlight w:val="none"/>
              </w:rPr>
              <w:t>项目经理资质要求</w:t>
            </w:r>
          </w:p>
          <w:p w14:paraId="6E8062EF">
            <w:pPr>
              <w:pStyle w:val="25"/>
              <w:spacing w:before="16" w:line="218" w:lineRule="auto"/>
              <w:ind w:left="244"/>
              <w:rPr>
                <w:highlight w:val="none"/>
              </w:rPr>
            </w:pPr>
            <w:r>
              <w:rPr>
                <w:spacing w:val="-3"/>
                <w:highlight w:val="none"/>
              </w:rPr>
              <w:t>及项目班子要求</w:t>
            </w:r>
          </w:p>
        </w:tc>
        <w:tc>
          <w:tcPr>
            <w:tcW w:w="6202" w:type="dxa"/>
            <w:vAlign w:val="top"/>
          </w:tcPr>
          <w:p w14:paraId="2D085487">
            <w:pPr>
              <w:pStyle w:val="25"/>
              <w:spacing w:before="36" w:line="217" w:lineRule="auto"/>
              <w:ind w:left="17"/>
              <w:rPr>
                <w:highlight w:val="none"/>
              </w:rPr>
            </w:pPr>
            <w:r>
              <w:rPr>
                <w:spacing w:val="-1"/>
                <w:highlight w:val="none"/>
              </w:rPr>
              <w:t>设计负责人资质要求：详见本项目招标公告</w:t>
            </w:r>
          </w:p>
          <w:p w14:paraId="3D169645">
            <w:pPr>
              <w:pStyle w:val="25"/>
              <w:spacing w:before="17" w:line="231" w:lineRule="auto"/>
              <w:ind w:left="18" w:right="1875"/>
              <w:rPr>
                <w:highlight w:val="none"/>
              </w:rPr>
            </w:pPr>
            <w:r>
              <w:rPr>
                <w:spacing w:val="-1"/>
                <w:highlight w:val="none"/>
              </w:rPr>
              <w:t>项目经理资质要求：详见本项目招标公告</w:t>
            </w:r>
            <w:r>
              <w:rPr>
                <w:spacing w:val="-12"/>
                <w:highlight w:val="none"/>
              </w:rPr>
              <w:t>其它要求：</w:t>
            </w:r>
          </w:p>
          <w:p w14:paraId="71B0C494">
            <w:pPr>
              <w:pStyle w:val="25"/>
              <w:spacing w:before="10" w:line="228" w:lineRule="auto"/>
              <w:ind w:left="17" w:right="4"/>
              <w:rPr>
                <w:highlight w:val="none"/>
              </w:rPr>
            </w:pPr>
            <w:r>
              <w:rPr>
                <w:spacing w:val="2"/>
                <w:highlight w:val="none"/>
              </w:rPr>
              <w:t>（1）企业不得出借本企业资质、证照以及本企</w:t>
            </w:r>
            <w:r>
              <w:rPr>
                <w:spacing w:val="1"/>
                <w:highlight w:val="none"/>
              </w:rPr>
              <w:t>业注册建造</w:t>
            </w:r>
            <w:r>
              <w:rPr>
                <w:spacing w:val="-9"/>
                <w:highlight w:val="none"/>
              </w:rPr>
              <w:t>师等工作人员的资质、证照供他人投标，对出借资</w:t>
            </w:r>
            <w:r>
              <w:rPr>
                <w:spacing w:val="-10"/>
                <w:highlight w:val="none"/>
              </w:rPr>
              <w:t>质、证照</w:t>
            </w:r>
            <w:r>
              <w:rPr>
                <w:spacing w:val="-3"/>
                <w:highlight w:val="none"/>
              </w:rPr>
              <w:t>的，无论何时发现，属于投标未中标的，给予投标人及其拟</w:t>
            </w:r>
            <w:r>
              <w:rPr>
                <w:highlight w:val="none"/>
              </w:rPr>
              <w:t>投标的项目班子成员在工程建设市场1-3年的投标资格限</w:t>
            </w:r>
            <w:r>
              <w:rPr>
                <w:spacing w:val="-3"/>
                <w:highlight w:val="none"/>
              </w:rPr>
              <w:t>制；属于已中标的，将取消其中标资格或终止合同，其履约保证金不予退还，同时给予投标人及其投标的项目班子成员</w:t>
            </w:r>
            <w:r>
              <w:rPr>
                <w:spacing w:val="-4"/>
                <w:highlight w:val="none"/>
              </w:rPr>
              <w:t>在工程建设市场</w:t>
            </w:r>
            <w:r>
              <w:rPr>
                <w:spacing w:val="-43"/>
                <w:highlight w:val="none"/>
              </w:rPr>
              <w:t xml:space="preserve"> </w:t>
            </w:r>
            <w:r>
              <w:rPr>
                <w:spacing w:val="-4"/>
                <w:highlight w:val="none"/>
              </w:rPr>
              <w:t>3</w:t>
            </w:r>
            <w:r>
              <w:rPr>
                <w:spacing w:val="-40"/>
                <w:highlight w:val="none"/>
              </w:rPr>
              <w:t xml:space="preserve"> </w:t>
            </w:r>
            <w:r>
              <w:rPr>
                <w:spacing w:val="-4"/>
                <w:highlight w:val="none"/>
              </w:rPr>
              <w:t>年的投标资格限制，情节严重的将提请执</w:t>
            </w:r>
            <w:r>
              <w:rPr>
                <w:spacing w:val="-2"/>
                <w:highlight w:val="none"/>
              </w:rPr>
              <w:t>法机关查处，直至追究刑事责任，并向社会公开曝光。</w:t>
            </w:r>
          </w:p>
          <w:p w14:paraId="432D5243">
            <w:pPr>
              <w:pStyle w:val="25"/>
              <w:spacing w:before="21" w:line="227" w:lineRule="auto"/>
              <w:ind w:left="17"/>
              <w:rPr>
                <w:highlight w:val="none"/>
              </w:rPr>
            </w:pPr>
            <w:r>
              <w:rPr>
                <w:spacing w:val="-1"/>
                <w:highlight w:val="none"/>
              </w:rPr>
              <w:t>（2）投标设计负责人、项目经理和技术负责人必须是投标</w:t>
            </w:r>
            <w:r>
              <w:rPr>
                <w:spacing w:val="-6"/>
                <w:highlight w:val="none"/>
              </w:rPr>
              <w:t>人本单位工作人员，投标项目经理不得在其他在建工程（含</w:t>
            </w:r>
            <w:r>
              <w:rPr>
                <w:spacing w:val="-11"/>
                <w:highlight w:val="none"/>
              </w:rPr>
              <w:t>已中标的待建工程）中担任项目经理、技术负责人</w:t>
            </w:r>
            <w:r>
              <w:rPr>
                <w:spacing w:val="-12"/>
                <w:highlight w:val="none"/>
              </w:rPr>
              <w:t>、安全员、</w:t>
            </w:r>
            <w:r>
              <w:rPr>
                <w:spacing w:val="-5"/>
                <w:highlight w:val="none"/>
              </w:rPr>
              <w:t>施工员、质量员，否则，已中标的取消该投标人中标资格。</w:t>
            </w:r>
          </w:p>
          <w:p w14:paraId="5B1E4862">
            <w:pPr>
              <w:pStyle w:val="25"/>
              <w:spacing w:before="18" w:line="227" w:lineRule="auto"/>
              <w:ind w:left="17" w:right="4"/>
              <w:rPr>
                <w:highlight w:val="none"/>
              </w:rPr>
            </w:pPr>
            <w:r>
              <w:rPr>
                <w:rFonts w:hint="eastAsia"/>
                <w:highlight w:val="none"/>
                <w:lang w:val="en-US" w:eastAsia="zh-CN"/>
              </w:rPr>
              <w:t>（3）拟投本项目的投标项目经理在参与本项目投标前已有在建工程或有中标待建工程（无论市内、市外工程），项目经理发生变更的，至少须在投标截止时间前一日已办理完成变更了《施工许可证》，变更时间以《施工许可证》发放时间为准）。变更后的《施工许可证》《竣工验收报告》等相关材料投标时无需提供，如有异议、投诉等情况时，须在招标人、招标投标监管部门限定的期限内提供，否则由招标人取消该投标人中标候选人资格。</w:t>
            </w:r>
          </w:p>
        </w:tc>
      </w:tr>
      <w:tr w14:paraId="2CC8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73" w:type="dxa"/>
            <w:vAlign w:val="top"/>
          </w:tcPr>
          <w:p w14:paraId="4A07992A">
            <w:pPr>
              <w:pStyle w:val="25"/>
              <w:spacing w:before="219" w:line="237" w:lineRule="auto"/>
              <w:ind w:left="323"/>
              <w:rPr>
                <w:highlight w:val="none"/>
              </w:rPr>
            </w:pPr>
            <w:r>
              <w:rPr>
                <w:spacing w:val="-3"/>
                <w:highlight w:val="none"/>
              </w:rPr>
              <w:t>20</w:t>
            </w:r>
          </w:p>
        </w:tc>
        <w:tc>
          <w:tcPr>
            <w:tcW w:w="2147" w:type="dxa"/>
            <w:vAlign w:val="top"/>
          </w:tcPr>
          <w:p w14:paraId="5F53803E">
            <w:pPr>
              <w:pStyle w:val="25"/>
              <w:spacing w:before="220" w:line="218" w:lineRule="auto"/>
              <w:ind w:left="121"/>
              <w:rPr>
                <w:highlight w:val="none"/>
              </w:rPr>
            </w:pPr>
            <w:r>
              <w:rPr>
                <w:spacing w:val="-2"/>
                <w:highlight w:val="none"/>
              </w:rPr>
              <w:t>投标人的替代方案</w:t>
            </w:r>
          </w:p>
        </w:tc>
        <w:tc>
          <w:tcPr>
            <w:tcW w:w="6202" w:type="dxa"/>
            <w:vAlign w:val="top"/>
          </w:tcPr>
          <w:p w14:paraId="05BA56F8">
            <w:pPr>
              <w:pStyle w:val="25"/>
              <w:spacing w:before="220" w:line="218" w:lineRule="auto"/>
              <w:ind w:left="23"/>
              <w:rPr>
                <w:highlight w:val="none"/>
              </w:rPr>
            </w:pPr>
            <w:r>
              <w:rPr>
                <w:spacing w:val="-5"/>
                <w:highlight w:val="none"/>
              </w:rPr>
              <w:t>不采用</w:t>
            </w:r>
          </w:p>
        </w:tc>
      </w:tr>
      <w:tr w14:paraId="18FC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873" w:type="dxa"/>
            <w:vAlign w:val="top"/>
          </w:tcPr>
          <w:p w14:paraId="1375CA9D">
            <w:pPr>
              <w:spacing w:line="285" w:lineRule="auto"/>
              <w:rPr>
                <w:rFonts w:ascii="Arial"/>
                <w:sz w:val="21"/>
                <w:highlight w:val="none"/>
              </w:rPr>
            </w:pPr>
          </w:p>
          <w:p w14:paraId="21726C0C">
            <w:pPr>
              <w:spacing w:line="285" w:lineRule="auto"/>
              <w:rPr>
                <w:rFonts w:ascii="Arial"/>
                <w:sz w:val="21"/>
                <w:highlight w:val="none"/>
              </w:rPr>
            </w:pPr>
          </w:p>
          <w:p w14:paraId="17E65887">
            <w:pPr>
              <w:spacing w:line="285" w:lineRule="auto"/>
              <w:rPr>
                <w:rFonts w:ascii="Arial"/>
                <w:sz w:val="21"/>
                <w:highlight w:val="none"/>
              </w:rPr>
            </w:pPr>
          </w:p>
          <w:p w14:paraId="2AE8E590">
            <w:pPr>
              <w:pStyle w:val="25"/>
              <w:spacing w:before="78" w:line="238" w:lineRule="auto"/>
              <w:ind w:left="323"/>
              <w:rPr>
                <w:highlight w:val="none"/>
              </w:rPr>
            </w:pPr>
            <w:r>
              <w:rPr>
                <w:spacing w:val="-3"/>
                <w:highlight w:val="none"/>
              </w:rPr>
              <w:t>21</w:t>
            </w:r>
          </w:p>
        </w:tc>
        <w:tc>
          <w:tcPr>
            <w:tcW w:w="2147" w:type="dxa"/>
            <w:vAlign w:val="top"/>
          </w:tcPr>
          <w:p w14:paraId="0DB4EA86">
            <w:pPr>
              <w:spacing w:line="285" w:lineRule="auto"/>
              <w:rPr>
                <w:rFonts w:ascii="Arial"/>
                <w:sz w:val="21"/>
                <w:highlight w:val="none"/>
              </w:rPr>
            </w:pPr>
          </w:p>
          <w:p w14:paraId="67449584">
            <w:pPr>
              <w:spacing w:line="285" w:lineRule="auto"/>
              <w:rPr>
                <w:rFonts w:ascii="Arial"/>
                <w:sz w:val="21"/>
                <w:highlight w:val="none"/>
              </w:rPr>
            </w:pPr>
          </w:p>
          <w:p w14:paraId="04360D3C">
            <w:pPr>
              <w:spacing w:line="285" w:lineRule="auto"/>
              <w:rPr>
                <w:rFonts w:ascii="Arial"/>
                <w:sz w:val="21"/>
                <w:highlight w:val="none"/>
              </w:rPr>
            </w:pPr>
          </w:p>
          <w:p w14:paraId="59B554C9">
            <w:pPr>
              <w:pStyle w:val="25"/>
              <w:spacing w:before="78" w:line="218" w:lineRule="auto"/>
              <w:ind w:left="601"/>
              <w:rPr>
                <w:highlight w:val="none"/>
              </w:rPr>
            </w:pPr>
            <w:r>
              <w:rPr>
                <w:spacing w:val="-3"/>
                <w:highlight w:val="none"/>
              </w:rPr>
              <w:t>投标文件</w:t>
            </w:r>
          </w:p>
        </w:tc>
        <w:tc>
          <w:tcPr>
            <w:tcW w:w="6202" w:type="dxa"/>
            <w:vAlign w:val="top"/>
          </w:tcPr>
          <w:p w14:paraId="5F69FC5C">
            <w:pPr>
              <w:pStyle w:val="25"/>
              <w:spacing w:before="39" w:line="224" w:lineRule="auto"/>
              <w:ind w:left="17" w:right="23" w:firstLine="11"/>
              <w:rPr>
                <w:highlight w:val="none"/>
              </w:rPr>
            </w:pPr>
            <w:r>
              <w:rPr>
                <w:spacing w:val="1"/>
                <w:highlight w:val="none"/>
              </w:rPr>
              <w:t>1、加密电子版投标文件（通过六安市公共资源交易平</w:t>
            </w:r>
            <w:r>
              <w:rPr>
                <w:highlight w:val="none"/>
              </w:rPr>
              <w:t>台投</w:t>
            </w:r>
            <w:r>
              <w:rPr>
                <w:spacing w:val="-6"/>
                <w:highlight w:val="none"/>
              </w:rPr>
              <w:t>标人系统上传）。</w:t>
            </w:r>
          </w:p>
          <w:p w14:paraId="6C99D2C0">
            <w:pPr>
              <w:pStyle w:val="25"/>
              <w:spacing w:before="16" w:line="224" w:lineRule="auto"/>
              <w:ind w:left="17" w:hanging="4"/>
              <w:rPr>
                <w:highlight w:val="none"/>
              </w:rPr>
            </w:pPr>
            <w:r>
              <w:rPr>
                <w:spacing w:val="-7"/>
                <w:highlight w:val="none"/>
              </w:rPr>
              <w:t>2、投标人一旦被确定为预中标人，在领取中标通知书之前，</w:t>
            </w:r>
            <w:r>
              <w:rPr>
                <w:spacing w:val="4"/>
                <w:highlight w:val="none"/>
              </w:rPr>
              <w:t>应立即向招标人提供与项目评标时所使用的电子版投标文</w:t>
            </w:r>
            <w:r>
              <w:rPr>
                <w:spacing w:val="-5"/>
                <w:highlight w:val="none"/>
              </w:rPr>
              <w:t>件相同的纸质版投标文件（一正三副并加盖单位公章）。如</w:t>
            </w:r>
            <w:r>
              <w:rPr>
                <w:spacing w:val="4"/>
                <w:highlight w:val="none"/>
              </w:rPr>
              <w:t>若提供的纸质版投标文件与电子版不符，将视其为弄虚作</w:t>
            </w:r>
            <w:r>
              <w:rPr>
                <w:spacing w:val="-6"/>
                <w:highlight w:val="none"/>
              </w:rPr>
              <w:t>假，并取消其中标资格。</w:t>
            </w:r>
          </w:p>
        </w:tc>
      </w:tr>
      <w:tr w14:paraId="3328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73" w:type="dxa"/>
            <w:vAlign w:val="top"/>
          </w:tcPr>
          <w:p w14:paraId="3C22EE2B">
            <w:pPr>
              <w:spacing w:line="260" w:lineRule="auto"/>
              <w:rPr>
                <w:rFonts w:ascii="Arial"/>
                <w:sz w:val="21"/>
                <w:highlight w:val="none"/>
              </w:rPr>
            </w:pPr>
          </w:p>
          <w:p w14:paraId="5D7EDDBC">
            <w:pPr>
              <w:pStyle w:val="25"/>
              <w:spacing w:before="78" w:line="238" w:lineRule="auto"/>
              <w:ind w:left="323"/>
              <w:rPr>
                <w:highlight w:val="none"/>
              </w:rPr>
            </w:pPr>
            <w:r>
              <w:rPr>
                <w:spacing w:val="-3"/>
                <w:highlight w:val="none"/>
              </w:rPr>
              <w:t>22</w:t>
            </w:r>
          </w:p>
        </w:tc>
        <w:tc>
          <w:tcPr>
            <w:tcW w:w="2147" w:type="dxa"/>
            <w:vAlign w:val="top"/>
          </w:tcPr>
          <w:p w14:paraId="22C6DF48">
            <w:pPr>
              <w:spacing w:line="260" w:lineRule="auto"/>
              <w:rPr>
                <w:rFonts w:ascii="Arial"/>
                <w:sz w:val="21"/>
                <w:highlight w:val="none"/>
              </w:rPr>
            </w:pPr>
          </w:p>
          <w:p w14:paraId="01EEE895">
            <w:pPr>
              <w:pStyle w:val="25"/>
              <w:spacing w:before="78" w:line="218" w:lineRule="auto"/>
              <w:ind w:left="481"/>
              <w:rPr>
                <w:highlight w:val="none"/>
              </w:rPr>
            </w:pPr>
            <w:r>
              <w:rPr>
                <w:spacing w:val="-3"/>
                <w:highlight w:val="none"/>
              </w:rPr>
              <w:t>投标有效期</w:t>
            </w:r>
          </w:p>
        </w:tc>
        <w:tc>
          <w:tcPr>
            <w:tcW w:w="6202" w:type="dxa"/>
            <w:vAlign w:val="top"/>
          </w:tcPr>
          <w:p w14:paraId="0577A85D">
            <w:pPr>
              <w:spacing w:line="260" w:lineRule="auto"/>
              <w:rPr>
                <w:rFonts w:ascii="Arial"/>
                <w:sz w:val="21"/>
                <w:highlight w:val="none"/>
              </w:rPr>
            </w:pPr>
          </w:p>
          <w:p w14:paraId="00F8E239">
            <w:pPr>
              <w:pStyle w:val="25"/>
              <w:spacing w:before="78" w:line="218" w:lineRule="auto"/>
              <w:ind w:left="17"/>
              <w:rPr>
                <w:highlight w:val="none"/>
              </w:rPr>
            </w:pPr>
            <w:r>
              <w:rPr>
                <w:spacing w:val="-3"/>
                <w:highlight w:val="none"/>
              </w:rPr>
              <w:t>投标文件提交截止时间后：</w:t>
            </w:r>
            <w:r>
              <w:rPr>
                <w:rFonts w:hint="eastAsia"/>
                <w:spacing w:val="-3"/>
                <w:highlight w:val="none"/>
                <w:lang w:val="en-US" w:eastAsia="zh-CN"/>
              </w:rPr>
              <w:t>9</w:t>
            </w:r>
            <w:r>
              <w:rPr>
                <w:spacing w:val="-3"/>
                <w:highlight w:val="none"/>
              </w:rPr>
              <w:t>0</w:t>
            </w:r>
            <w:r>
              <w:rPr>
                <w:spacing w:val="-41"/>
                <w:highlight w:val="none"/>
              </w:rPr>
              <w:t xml:space="preserve"> </w:t>
            </w:r>
            <w:r>
              <w:rPr>
                <w:spacing w:val="-3"/>
                <w:highlight w:val="none"/>
              </w:rPr>
              <w:t>天内有效。</w:t>
            </w:r>
          </w:p>
        </w:tc>
      </w:tr>
      <w:tr w14:paraId="3399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873" w:type="dxa"/>
            <w:vAlign w:val="top"/>
          </w:tcPr>
          <w:p w14:paraId="1340BFC1">
            <w:pPr>
              <w:spacing w:line="353" w:lineRule="auto"/>
              <w:rPr>
                <w:rFonts w:ascii="Arial"/>
                <w:sz w:val="21"/>
                <w:highlight w:val="none"/>
              </w:rPr>
            </w:pPr>
          </w:p>
          <w:p w14:paraId="32385B85">
            <w:pPr>
              <w:spacing w:line="354" w:lineRule="auto"/>
              <w:rPr>
                <w:rFonts w:ascii="Arial"/>
                <w:sz w:val="21"/>
                <w:highlight w:val="none"/>
              </w:rPr>
            </w:pPr>
          </w:p>
          <w:p w14:paraId="7CA9598D">
            <w:pPr>
              <w:pStyle w:val="25"/>
              <w:spacing w:before="78" w:line="237" w:lineRule="auto"/>
              <w:ind w:left="323"/>
              <w:rPr>
                <w:highlight w:val="none"/>
              </w:rPr>
            </w:pPr>
            <w:r>
              <w:rPr>
                <w:spacing w:val="-3"/>
                <w:highlight w:val="none"/>
              </w:rPr>
              <w:t>23</w:t>
            </w:r>
          </w:p>
        </w:tc>
        <w:tc>
          <w:tcPr>
            <w:tcW w:w="2147" w:type="dxa"/>
            <w:vAlign w:val="top"/>
          </w:tcPr>
          <w:p w14:paraId="11474D8A">
            <w:pPr>
              <w:spacing w:line="278" w:lineRule="auto"/>
              <w:rPr>
                <w:rFonts w:ascii="Arial"/>
                <w:sz w:val="21"/>
                <w:highlight w:val="none"/>
              </w:rPr>
            </w:pPr>
          </w:p>
          <w:p w14:paraId="7BF5213D">
            <w:pPr>
              <w:spacing w:line="279" w:lineRule="auto"/>
              <w:rPr>
                <w:rFonts w:ascii="Arial"/>
                <w:sz w:val="21"/>
                <w:highlight w:val="none"/>
              </w:rPr>
            </w:pPr>
          </w:p>
          <w:p w14:paraId="5DE93C72">
            <w:pPr>
              <w:pStyle w:val="25"/>
              <w:spacing w:before="78" w:line="218" w:lineRule="auto"/>
              <w:ind w:left="781"/>
              <w:rPr>
                <w:highlight w:val="none"/>
              </w:rPr>
            </w:pPr>
            <w:r>
              <w:rPr>
                <w:spacing w:val="-4"/>
                <w:highlight w:val="none"/>
              </w:rPr>
              <w:t>投标人</w:t>
            </w:r>
          </w:p>
          <w:p w14:paraId="56AC8A00">
            <w:pPr>
              <w:pStyle w:val="25"/>
              <w:spacing w:before="16" w:line="217" w:lineRule="auto"/>
              <w:ind w:left="541"/>
              <w:rPr>
                <w:highlight w:val="none"/>
              </w:rPr>
            </w:pPr>
            <w:r>
              <w:rPr>
                <w:spacing w:val="-3"/>
                <w:highlight w:val="none"/>
              </w:rPr>
              <w:t>投标保证金</w:t>
            </w:r>
          </w:p>
        </w:tc>
        <w:tc>
          <w:tcPr>
            <w:tcW w:w="6202" w:type="dxa"/>
            <w:vAlign w:val="top"/>
          </w:tcPr>
          <w:p w14:paraId="42CC41CF">
            <w:pPr>
              <w:pStyle w:val="25"/>
              <w:spacing w:before="38" w:line="217" w:lineRule="auto"/>
              <w:ind w:left="148"/>
              <w:rPr>
                <w:highlight w:val="none"/>
              </w:rPr>
            </w:pPr>
            <w:r>
              <w:rPr>
                <w:spacing w:val="-7"/>
                <w:highlight w:val="none"/>
              </w:rPr>
              <w:t>1、投标保证金数额：人民币</w:t>
            </w:r>
            <w:r>
              <w:rPr>
                <w:rFonts w:hint="eastAsia"/>
                <w:spacing w:val="-7"/>
                <w:highlight w:val="none"/>
                <w:lang w:val="en-US" w:eastAsia="zh-CN"/>
              </w:rPr>
              <w:t>1</w:t>
            </w:r>
            <w:r>
              <w:rPr>
                <w:spacing w:val="-7"/>
                <w:highlight w:val="none"/>
              </w:rPr>
              <w:t>0万元整。</w:t>
            </w:r>
          </w:p>
          <w:p w14:paraId="02181365">
            <w:pPr>
              <w:pStyle w:val="25"/>
              <w:spacing w:before="17" w:line="217" w:lineRule="auto"/>
              <w:ind w:left="133"/>
              <w:rPr>
                <w:highlight w:val="none"/>
              </w:rPr>
            </w:pPr>
            <w:r>
              <w:rPr>
                <w:spacing w:val="-4"/>
                <w:highlight w:val="none"/>
              </w:rPr>
              <w:t>2、是否要求投标人递交投标保证金：</w:t>
            </w:r>
          </w:p>
          <w:p w14:paraId="081B95DE">
            <w:pPr>
              <w:pStyle w:val="25"/>
              <w:spacing w:before="17" w:line="231" w:lineRule="auto"/>
              <w:ind w:left="17" w:right="12" w:firstLine="138"/>
              <w:rPr>
                <w:highlight w:val="none"/>
              </w:rPr>
            </w:pPr>
            <w:r>
              <w:rPr>
                <w:spacing w:val="-10"/>
                <w:sz w:val="21"/>
                <w:szCs w:val="21"/>
                <w:highlight w:val="none"/>
              </w:rPr>
              <w:t>■</w:t>
            </w:r>
            <w:r>
              <w:rPr>
                <w:spacing w:val="6"/>
                <w:highlight w:val="none"/>
              </w:rPr>
              <w:t>免收,投标人须填写投标文件格式中免缴投标保</w:t>
            </w:r>
            <w:r>
              <w:rPr>
                <w:spacing w:val="5"/>
                <w:highlight w:val="none"/>
              </w:rPr>
              <w:t>证金承</w:t>
            </w:r>
            <w:r>
              <w:rPr>
                <w:spacing w:val="-4"/>
                <w:highlight w:val="none"/>
              </w:rPr>
              <w:t>诺函。否则，投标无效。</w:t>
            </w:r>
          </w:p>
          <w:p w14:paraId="460E7E60">
            <w:pPr>
              <w:pStyle w:val="25"/>
              <w:spacing w:before="1" w:line="219" w:lineRule="auto"/>
              <w:ind w:left="137"/>
              <w:rPr>
                <w:highlight w:val="none"/>
              </w:rPr>
            </w:pPr>
            <w:r>
              <w:rPr>
                <w:spacing w:val="6"/>
                <w:highlight w:val="none"/>
              </w:rPr>
              <w:t>□</w:t>
            </w:r>
            <w:r>
              <w:rPr>
                <w:spacing w:val="-10"/>
                <w:highlight w:val="none"/>
              </w:rPr>
              <w:t>递交</w:t>
            </w:r>
          </w:p>
          <w:p w14:paraId="5368E585">
            <w:pPr>
              <w:pStyle w:val="25"/>
              <w:spacing w:before="14" w:line="200" w:lineRule="auto"/>
              <w:ind w:left="135"/>
              <w:rPr>
                <w:highlight w:val="none"/>
              </w:rPr>
            </w:pPr>
            <w:r>
              <w:rPr>
                <w:spacing w:val="-1"/>
                <w:highlight w:val="none"/>
              </w:rPr>
              <w:t>3、投标保证金允许方式(由招标人自行选择具体方式)：</w:t>
            </w:r>
          </w:p>
        </w:tc>
      </w:tr>
    </w:tbl>
    <w:p w14:paraId="0F9BF540">
      <w:pPr>
        <w:pStyle w:val="3"/>
        <w:rPr>
          <w:highlight w:val="none"/>
        </w:rPr>
      </w:pPr>
    </w:p>
    <w:p w14:paraId="115033A0">
      <w:pPr>
        <w:rPr>
          <w:highlight w:val="none"/>
        </w:rPr>
        <w:sectPr>
          <w:footerReference r:id="rId8" w:type="default"/>
          <w:pgSz w:w="11907" w:h="16839"/>
          <w:pgMar w:top="1431" w:right="1018" w:bottom="1199" w:left="1661" w:header="0" w:footer="966" w:gutter="0"/>
          <w:cols w:space="720" w:num="1"/>
        </w:sectPr>
      </w:pPr>
    </w:p>
    <w:p w14:paraId="1D65C664">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1CA3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1" w:hRule="atLeast"/>
        </w:trPr>
        <w:tc>
          <w:tcPr>
            <w:tcW w:w="873" w:type="dxa"/>
            <w:vAlign w:val="top"/>
          </w:tcPr>
          <w:p w14:paraId="6ACB13AE">
            <w:pPr>
              <w:rPr>
                <w:rFonts w:ascii="Arial"/>
                <w:sz w:val="21"/>
                <w:highlight w:val="none"/>
              </w:rPr>
            </w:pPr>
          </w:p>
        </w:tc>
        <w:tc>
          <w:tcPr>
            <w:tcW w:w="2147" w:type="dxa"/>
            <w:vAlign w:val="top"/>
          </w:tcPr>
          <w:p w14:paraId="7917B6C2">
            <w:pPr>
              <w:rPr>
                <w:rFonts w:ascii="Arial"/>
                <w:sz w:val="21"/>
                <w:highlight w:val="none"/>
              </w:rPr>
            </w:pPr>
          </w:p>
        </w:tc>
        <w:tc>
          <w:tcPr>
            <w:tcW w:w="6202" w:type="dxa"/>
            <w:vAlign w:val="top"/>
          </w:tcPr>
          <w:p w14:paraId="604D8ADB">
            <w:pPr>
              <w:pStyle w:val="25"/>
              <w:spacing w:before="39" w:line="214" w:lineRule="auto"/>
              <w:ind w:left="148"/>
              <w:rPr>
                <w:highlight w:val="none"/>
              </w:rPr>
            </w:pPr>
            <w:r>
              <w:rPr>
                <w:spacing w:val="-4"/>
                <w:highlight w:val="none"/>
              </w:rPr>
              <w:t>第一种方式：</w:t>
            </w:r>
            <w:r>
              <w:rPr>
                <w:spacing w:val="-81"/>
                <w:highlight w:val="none"/>
              </w:rPr>
              <w:t xml:space="preserve"> </w:t>
            </w:r>
            <w:r>
              <w:rPr>
                <w:spacing w:val="-4"/>
                <w:sz w:val="21"/>
                <w:szCs w:val="21"/>
                <w:highlight w:val="none"/>
              </w:rPr>
              <w:t>■</w:t>
            </w:r>
            <w:r>
              <w:rPr>
                <w:spacing w:val="-4"/>
                <w:highlight w:val="none"/>
              </w:rPr>
              <w:t>网银支付</w:t>
            </w:r>
            <w:r>
              <w:rPr>
                <w:spacing w:val="-4"/>
                <w:sz w:val="21"/>
                <w:szCs w:val="21"/>
                <w:highlight w:val="none"/>
              </w:rPr>
              <w:t>■</w:t>
            </w:r>
            <w:r>
              <w:rPr>
                <w:spacing w:val="-4"/>
                <w:highlight w:val="none"/>
              </w:rPr>
              <w:t>银行转账</w:t>
            </w:r>
          </w:p>
          <w:p w14:paraId="5EBE12B1">
            <w:pPr>
              <w:pStyle w:val="25"/>
              <w:spacing w:before="21" w:line="217" w:lineRule="auto"/>
              <w:ind w:right="5"/>
              <w:jc w:val="right"/>
              <w:rPr>
                <w:highlight w:val="none"/>
              </w:rPr>
            </w:pPr>
            <w:r>
              <w:rPr>
                <w:spacing w:val="-6"/>
                <w:highlight w:val="none"/>
              </w:rPr>
              <w:t>第二种方式：</w:t>
            </w:r>
            <w:r>
              <w:rPr>
                <w:spacing w:val="-6"/>
                <w:sz w:val="21"/>
                <w:szCs w:val="21"/>
                <w:highlight w:val="none"/>
              </w:rPr>
              <w:t>■</w:t>
            </w:r>
            <w:r>
              <w:rPr>
                <w:spacing w:val="-6"/>
                <w:highlight w:val="none"/>
              </w:rPr>
              <w:t>纸质银行保函</w:t>
            </w:r>
            <w:r>
              <w:rPr>
                <w:spacing w:val="-6"/>
                <w:sz w:val="21"/>
                <w:szCs w:val="21"/>
                <w:highlight w:val="none"/>
              </w:rPr>
              <w:t>■</w:t>
            </w:r>
            <w:r>
              <w:rPr>
                <w:spacing w:val="-6"/>
                <w:highlight w:val="none"/>
              </w:rPr>
              <w:t>纸质保证保险、担保保函等</w:t>
            </w:r>
          </w:p>
          <w:p w14:paraId="01ECD34A">
            <w:pPr>
              <w:pStyle w:val="25"/>
              <w:spacing w:before="17" w:line="231" w:lineRule="auto"/>
              <w:ind w:left="129" w:right="5" w:firstLine="18"/>
              <w:rPr>
                <w:highlight w:val="none"/>
              </w:rPr>
            </w:pPr>
            <w:r>
              <w:rPr>
                <w:spacing w:val="-6"/>
                <w:highlight w:val="none"/>
              </w:rPr>
              <w:t>第三种方式：</w:t>
            </w:r>
            <w:r>
              <w:rPr>
                <w:spacing w:val="-6"/>
                <w:sz w:val="21"/>
                <w:szCs w:val="21"/>
                <w:highlight w:val="none"/>
              </w:rPr>
              <w:t>■</w:t>
            </w:r>
            <w:r>
              <w:rPr>
                <w:spacing w:val="-6"/>
                <w:highlight w:val="none"/>
              </w:rPr>
              <w:t>电子银行保函</w:t>
            </w:r>
            <w:r>
              <w:rPr>
                <w:spacing w:val="-6"/>
                <w:sz w:val="21"/>
                <w:szCs w:val="21"/>
                <w:highlight w:val="none"/>
              </w:rPr>
              <w:t>■</w:t>
            </w:r>
            <w:r>
              <w:rPr>
                <w:spacing w:val="-6"/>
                <w:highlight w:val="none"/>
              </w:rPr>
              <w:t>电子保证保险、担保保函等</w:t>
            </w:r>
            <w:r>
              <w:rPr>
                <w:spacing w:val="-8"/>
                <w:highlight w:val="none"/>
              </w:rPr>
              <w:t>4、递交要求：</w:t>
            </w:r>
          </w:p>
          <w:p w14:paraId="45BFF9A0">
            <w:pPr>
              <w:pStyle w:val="25"/>
              <w:spacing w:before="2" w:line="226" w:lineRule="auto"/>
              <w:ind w:left="20" w:firstLine="116"/>
              <w:rPr>
                <w:highlight w:val="none"/>
              </w:rPr>
            </w:pPr>
            <w:r>
              <w:rPr>
                <w:spacing w:val="-3"/>
                <w:highlight w:val="none"/>
              </w:rPr>
              <w:t>（1）如投标人采用第一种方式（即网银支付、银行转账）</w:t>
            </w:r>
            <w:r>
              <w:rPr>
                <w:spacing w:val="-4"/>
                <w:highlight w:val="none"/>
              </w:rPr>
              <w:t>递交的，根据《中华人民共和国招标投标法实施条例》第二</w:t>
            </w:r>
            <w:r>
              <w:rPr>
                <w:spacing w:val="-6"/>
                <w:highlight w:val="none"/>
              </w:rPr>
              <w:t>十六条规定之精神，需遵循下列规定：</w:t>
            </w:r>
          </w:p>
          <w:p w14:paraId="28A037B4">
            <w:pPr>
              <w:pStyle w:val="25"/>
              <w:spacing w:before="14" w:line="229" w:lineRule="auto"/>
              <w:ind w:left="17" w:right="5" w:firstLine="113"/>
              <w:rPr>
                <w:highlight w:val="none"/>
              </w:rPr>
            </w:pPr>
            <w:r>
              <w:rPr>
                <w:spacing w:val="2"/>
                <w:highlight w:val="none"/>
              </w:rPr>
              <w:t>①汇出银行要求。应为投标人的基本账户开户银行。投标</w:t>
            </w:r>
            <w:r>
              <w:rPr>
                <w:spacing w:val="6"/>
                <w:highlight w:val="none"/>
              </w:rPr>
              <w:t>人的投标保证金应从投标人在安徽省公共资源交易市场主</w:t>
            </w:r>
            <w:r>
              <w:rPr>
                <w:spacing w:val="-3"/>
                <w:highlight w:val="none"/>
              </w:rPr>
              <w:t>体库中公布的银行基本账户转出，否则一律视为无效，其投标无效。投标人的投标保证金是否从市场主体库中公布的银行基本账户转出，由招标人在开标、评标时通过开评标系统展示判断；若因系统故障无法展示，则以银行到账凭据作为</w:t>
            </w:r>
            <w:r>
              <w:rPr>
                <w:spacing w:val="-7"/>
                <w:highlight w:val="none"/>
              </w:rPr>
              <w:t>判断的依据。</w:t>
            </w:r>
          </w:p>
          <w:p w14:paraId="01EBD621">
            <w:pPr>
              <w:pStyle w:val="25"/>
              <w:spacing w:before="14" w:line="230" w:lineRule="auto"/>
              <w:ind w:left="15" w:right="5" w:firstLine="114"/>
              <w:rPr>
                <w:highlight w:val="none"/>
              </w:rPr>
            </w:pPr>
            <w:r>
              <w:rPr>
                <w:spacing w:val="2"/>
                <w:highlight w:val="none"/>
              </w:rPr>
              <w:t>②投标人对在安徽省公共资源交易市场主体库中公布的银</w:t>
            </w:r>
            <w:r>
              <w:rPr>
                <w:spacing w:val="-3"/>
                <w:highlight w:val="none"/>
              </w:rPr>
              <w:t>行基本账户信息真实性、准确性负责。投标人有基本账户开户许可证的，应在投标文件中提供含有基本账户信息的基本</w:t>
            </w:r>
            <w:r>
              <w:rPr>
                <w:spacing w:val="7"/>
                <w:highlight w:val="none"/>
              </w:rPr>
              <w:t>账户开户许可证的原件扫描件；没有基本账</w:t>
            </w:r>
            <w:r>
              <w:rPr>
                <w:spacing w:val="6"/>
                <w:highlight w:val="none"/>
              </w:rPr>
              <w:t>户开户许可证</w:t>
            </w:r>
            <w:r>
              <w:rPr>
                <w:spacing w:val="-3"/>
                <w:highlight w:val="none"/>
              </w:rPr>
              <w:t>的，应在投标文件中提供投标人基本账户开户银行出具的该投标人基本存款账户信息原件扫描件，并按所附格式承诺真实有效。由评标委员会在评标时审查认定基本账户是否与主</w:t>
            </w:r>
            <w:r>
              <w:rPr>
                <w:spacing w:val="2"/>
                <w:highlight w:val="none"/>
              </w:rPr>
              <w:t>体信息库信息一致,基本账户与主体信息库信息不一</w:t>
            </w:r>
            <w:r>
              <w:rPr>
                <w:spacing w:val="1"/>
                <w:highlight w:val="none"/>
              </w:rPr>
              <w:t>致的，</w:t>
            </w:r>
            <w:r>
              <w:rPr>
                <w:spacing w:val="-3"/>
                <w:highlight w:val="none"/>
              </w:rPr>
              <w:t>其投标无效。未在投标文件中提供基本账户开户许可证的原</w:t>
            </w:r>
            <w:r>
              <w:rPr>
                <w:spacing w:val="7"/>
                <w:highlight w:val="none"/>
              </w:rPr>
              <w:t>件扫描件或基本账户开户银行出具的该投标人基本存</w:t>
            </w:r>
            <w:r>
              <w:rPr>
                <w:spacing w:val="6"/>
                <w:highlight w:val="none"/>
              </w:rPr>
              <w:t>款账</w:t>
            </w:r>
            <w:r>
              <w:rPr>
                <w:spacing w:val="-3"/>
                <w:highlight w:val="none"/>
              </w:rPr>
              <w:t>户信息证明的原件扫描件，将视为基本账户不正确，导致投</w:t>
            </w:r>
            <w:r>
              <w:rPr>
                <w:spacing w:val="-9"/>
                <w:highlight w:val="none"/>
              </w:rPr>
              <w:t>标无效。</w:t>
            </w:r>
          </w:p>
          <w:p w14:paraId="2ED5A07E">
            <w:pPr>
              <w:pStyle w:val="25"/>
              <w:spacing w:before="18" w:line="228" w:lineRule="auto"/>
              <w:ind w:left="15" w:right="5" w:firstLine="114"/>
              <w:rPr>
                <w:highlight w:val="none"/>
              </w:rPr>
            </w:pPr>
            <w:r>
              <w:rPr>
                <w:spacing w:val="2"/>
                <w:highlight w:val="none"/>
              </w:rPr>
              <w:t>③网银支付、银行转账转入时限。投标截止时间前必须到</w:t>
            </w:r>
            <w:r>
              <w:rPr>
                <w:spacing w:val="-3"/>
                <w:highlight w:val="none"/>
              </w:rPr>
              <w:t>下列指定的收款人账户，转入时间应满足网银支付、银行转账数据交换的时间需求。收款人名称、汇入银行及汇入账号</w:t>
            </w:r>
            <w:r>
              <w:rPr>
                <w:spacing w:val="-7"/>
                <w:highlight w:val="none"/>
              </w:rPr>
              <w:t>应严格按照下列收款人名称、汇入银行及汇入账号填写， 不</w:t>
            </w:r>
            <w:r>
              <w:rPr>
                <w:spacing w:val="-3"/>
                <w:highlight w:val="none"/>
              </w:rPr>
              <w:t>出错,不得多字少字，否则责任自负。</w:t>
            </w:r>
          </w:p>
          <w:p w14:paraId="0A6B3A5B">
            <w:pPr>
              <w:pStyle w:val="25"/>
              <w:spacing w:before="16" w:line="216" w:lineRule="auto"/>
              <w:ind w:left="150"/>
              <w:rPr>
                <w:highlight w:val="none"/>
              </w:rPr>
            </w:pPr>
            <w:r>
              <w:rPr>
                <w:spacing w:val="-2"/>
                <w:highlight w:val="none"/>
              </w:rPr>
              <w:t>收款人名称：见本项目招标公告公布的名称</w:t>
            </w:r>
          </w:p>
          <w:p w14:paraId="25F6D9D9">
            <w:pPr>
              <w:pStyle w:val="25"/>
              <w:spacing w:before="19" w:line="216" w:lineRule="auto"/>
              <w:ind w:left="146"/>
              <w:rPr>
                <w:highlight w:val="none"/>
              </w:rPr>
            </w:pPr>
            <w:r>
              <w:rPr>
                <w:spacing w:val="-2"/>
                <w:highlight w:val="none"/>
              </w:rPr>
              <w:t>汇入银行名称：见本项目招标公告公布的名称</w:t>
            </w:r>
          </w:p>
          <w:p w14:paraId="253C0DB2">
            <w:pPr>
              <w:pStyle w:val="25"/>
              <w:spacing w:before="19" w:line="216" w:lineRule="auto"/>
              <w:ind w:left="146"/>
              <w:rPr>
                <w:highlight w:val="none"/>
              </w:rPr>
            </w:pPr>
            <w:r>
              <w:rPr>
                <w:spacing w:val="-2"/>
                <w:highlight w:val="none"/>
              </w:rPr>
              <w:t>汇入银行账号：见本项目招标公告公布的账号</w:t>
            </w:r>
          </w:p>
          <w:p w14:paraId="665DC7B5">
            <w:pPr>
              <w:pStyle w:val="25"/>
              <w:spacing w:before="18" w:line="228" w:lineRule="auto"/>
              <w:ind w:left="19" w:firstLine="117"/>
              <w:rPr>
                <w:highlight w:val="none"/>
              </w:rPr>
            </w:pPr>
            <w:r>
              <w:rPr>
                <w:spacing w:val="-3"/>
                <w:highlight w:val="none"/>
              </w:rPr>
              <w:t>（2）如采用第二种方式（纸质银行保函、纸质保证保险、</w:t>
            </w:r>
            <w:r>
              <w:rPr>
                <w:spacing w:val="1"/>
                <w:highlight w:val="none"/>
              </w:rPr>
              <w:t>纸质担保保函等,见投标文件格式）递交，根据《中华人民</w:t>
            </w:r>
            <w:r>
              <w:rPr>
                <w:spacing w:val="-8"/>
                <w:highlight w:val="none"/>
              </w:rPr>
              <w:t>共和国招标投标法实施条例》第二十六条规定之精神， 需遵</w:t>
            </w:r>
            <w:r>
              <w:rPr>
                <w:spacing w:val="-11"/>
                <w:highlight w:val="none"/>
              </w:rPr>
              <w:t>循下列规定：</w:t>
            </w:r>
          </w:p>
          <w:p w14:paraId="6C7E448C">
            <w:pPr>
              <w:pStyle w:val="25"/>
              <w:spacing w:before="17" w:line="227" w:lineRule="auto"/>
              <w:ind w:left="17" w:firstLine="111"/>
              <w:rPr>
                <w:highlight w:val="none"/>
              </w:rPr>
            </w:pPr>
            <w:r>
              <w:rPr>
                <w:spacing w:val="-1"/>
                <w:highlight w:val="none"/>
              </w:rPr>
              <w:t>①采用纸质银行保函、纸质保证保险、纸质担保保函，该</w:t>
            </w:r>
            <w:r>
              <w:rPr>
                <w:spacing w:val="-3"/>
                <w:highlight w:val="none"/>
              </w:rPr>
              <w:t>保函、保险应当是无条件见索即付的银行保函、保证保险、</w:t>
            </w:r>
            <w:r>
              <w:rPr>
                <w:spacing w:val="-11"/>
                <w:highlight w:val="none"/>
              </w:rPr>
              <w:t>担保保函（具体要求：见招标文件所附的银行保函</w:t>
            </w:r>
            <w:r>
              <w:rPr>
                <w:spacing w:val="-12"/>
                <w:highlight w:val="none"/>
              </w:rPr>
              <w:t>格式文本、</w:t>
            </w:r>
            <w:r>
              <w:rPr>
                <w:spacing w:val="-6"/>
                <w:highlight w:val="none"/>
              </w:rPr>
              <w:t>保证保险格式文本、担保保险格式文本载明的要素与包括权</w:t>
            </w:r>
            <w:r>
              <w:rPr>
                <w:spacing w:val="-3"/>
                <w:highlight w:val="none"/>
              </w:rPr>
              <w:t>利义务方面的内容要求</w:t>
            </w:r>
            <w:r>
              <w:rPr>
                <w:spacing w:val="5"/>
                <w:highlight w:val="none"/>
              </w:rPr>
              <w:t>），</w:t>
            </w:r>
            <w:r>
              <w:rPr>
                <w:spacing w:val="-3"/>
                <w:highlight w:val="none"/>
              </w:rPr>
              <w:t>保函期限必须大于投标有效期，</w:t>
            </w:r>
            <w:r>
              <w:rPr>
                <w:spacing w:val="-6"/>
                <w:highlight w:val="none"/>
              </w:rPr>
              <w:t>受益人应为招标人。投标人须将采用的纸质保函、保险原件扫描件编入投标文件，未编入的视为未提供投标担保，其投</w:t>
            </w:r>
            <w:r>
              <w:rPr>
                <w:spacing w:val="-10"/>
                <w:highlight w:val="none"/>
              </w:rPr>
              <w:t>标无效；虽提交了纸质保函、保险原件扫描件， 但其载明的</w:t>
            </w:r>
          </w:p>
        </w:tc>
      </w:tr>
    </w:tbl>
    <w:p w14:paraId="390BA825">
      <w:pPr>
        <w:pStyle w:val="3"/>
        <w:rPr>
          <w:highlight w:val="none"/>
        </w:rPr>
      </w:pPr>
    </w:p>
    <w:p w14:paraId="4A476570">
      <w:pPr>
        <w:rPr>
          <w:highlight w:val="none"/>
        </w:rPr>
        <w:sectPr>
          <w:footerReference r:id="rId9" w:type="default"/>
          <w:pgSz w:w="11907" w:h="16839"/>
          <w:pgMar w:top="1431" w:right="1018" w:bottom="1199" w:left="1661" w:header="0" w:footer="968" w:gutter="0"/>
          <w:cols w:space="720" w:num="1"/>
        </w:sectPr>
      </w:pPr>
    </w:p>
    <w:p w14:paraId="7A2CA998">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1B34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1" w:hRule="atLeast"/>
        </w:trPr>
        <w:tc>
          <w:tcPr>
            <w:tcW w:w="873" w:type="dxa"/>
            <w:vAlign w:val="top"/>
          </w:tcPr>
          <w:p w14:paraId="01B85F2A">
            <w:pPr>
              <w:rPr>
                <w:rFonts w:ascii="Arial"/>
                <w:sz w:val="21"/>
                <w:highlight w:val="none"/>
              </w:rPr>
            </w:pPr>
          </w:p>
        </w:tc>
        <w:tc>
          <w:tcPr>
            <w:tcW w:w="2147" w:type="dxa"/>
            <w:vAlign w:val="top"/>
          </w:tcPr>
          <w:p w14:paraId="7D89BB25">
            <w:pPr>
              <w:rPr>
                <w:rFonts w:ascii="Arial"/>
                <w:sz w:val="21"/>
                <w:highlight w:val="none"/>
              </w:rPr>
            </w:pPr>
          </w:p>
        </w:tc>
        <w:tc>
          <w:tcPr>
            <w:tcW w:w="6202" w:type="dxa"/>
            <w:vAlign w:val="top"/>
          </w:tcPr>
          <w:p w14:paraId="079DD739">
            <w:pPr>
              <w:pStyle w:val="25"/>
              <w:spacing w:before="37" w:line="231" w:lineRule="auto"/>
              <w:ind w:left="17" w:right="4" w:firstLine="5"/>
              <w:jc w:val="both"/>
              <w:rPr>
                <w:highlight w:val="none"/>
              </w:rPr>
            </w:pPr>
            <w:r>
              <w:rPr>
                <w:spacing w:val="-3"/>
                <w:highlight w:val="none"/>
              </w:rPr>
              <w:t>要素与权利义务的要求，不符合格式文本要求，没有按照招标文件约定、投标人的承诺承担所有保证事项或者不是无条</w:t>
            </w:r>
            <w:r>
              <w:rPr>
                <w:spacing w:val="-9"/>
                <w:highlight w:val="none"/>
              </w:rPr>
              <w:t>件见索即付式的保函、保险，视为未提交保函保险，其投标</w:t>
            </w:r>
            <w:r>
              <w:rPr>
                <w:spacing w:val="-11"/>
                <w:highlight w:val="none"/>
              </w:rPr>
              <w:t>无效。</w:t>
            </w:r>
          </w:p>
          <w:p w14:paraId="14174331">
            <w:pPr>
              <w:pStyle w:val="25"/>
              <w:spacing w:before="1" w:line="230" w:lineRule="auto"/>
              <w:ind w:left="16" w:firstLine="113"/>
              <w:rPr>
                <w:highlight w:val="none"/>
              </w:rPr>
            </w:pPr>
            <w:r>
              <w:rPr>
                <w:spacing w:val="2"/>
                <w:highlight w:val="none"/>
              </w:rPr>
              <w:t>②采用纸质银行保函、纸质保证保险、纸质担保</w:t>
            </w:r>
            <w:r>
              <w:rPr>
                <w:spacing w:val="1"/>
                <w:highlight w:val="none"/>
              </w:rPr>
              <w:t>保函，其</w:t>
            </w:r>
            <w:r>
              <w:rPr>
                <w:spacing w:val="-3"/>
                <w:highlight w:val="none"/>
              </w:rPr>
              <w:t>办理保函或保证保险所需的费用，应从投标人在安徽省公共资源交易市场主体库中公布的银行基本账户汇（支）出，并承诺真实有效。费用是否从投标人在安徽省公共资源交易市场主体库中公布的银行基本账户汇（支）出，由投标人将本</w:t>
            </w:r>
            <w:r>
              <w:rPr>
                <w:spacing w:val="-4"/>
                <w:highlight w:val="none"/>
              </w:rPr>
              <w:t>单位从基本账户汇出该项费用的原始凭证（载有基本账户信</w:t>
            </w:r>
            <w:r>
              <w:rPr>
                <w:spacing w:val="-3"/>
                <w:highlight w:val="none"/>
              </w:rPr>
              <w:t>息、收取该费用的承担出具保函保险的单位名称、账户信息的原始凭证；属于基本账户银行出具保函的除外）扫描件、</w:t>
            </w:r>
            <w:r>
              <w:rPr>
                <w:spacing w:val="-4"/>
                <w:highlight w:val="none"/>
              </w:rPr>
              <w:t>基本账户开户许可证（或基本账户开户银行出具的该投标人</w:t>
            </w:r>
            <w:r>
              <w:rPr>
                <w:spacing w:val="6"/>
                <w:highlight w:val="none"/>
              </w:rPr>
              <w:t>基本存款账户信息证明材料）的原件扫描件编入投标文件</w:t>
            </w:r>
            <w:r>
              <w:rPr>
                <w:spacing w:val="-3"/>
                <w:highlight w:val="none"/>
              </w:rPr>
              <w:t>中，由评标委员会在评标时审查认定。未从投标人在安徽省公共资源交易市场主体库中公布的银行基本账户汇（支）出或基本账户弄虚作假的，其投标无效。未在投标文件中提供本单位从基本账户支付该项费用的原始凭证扫描件、或未提</w:t>
            </w:r>
            <w:r>
              <w:rPr>
                <w:spacing w:val="6"/>
                <w:highlight w:val="none"/>
              </w:rPr>
              <w:t>供基本账户开户许可证的原件扫描件或基本账户开户银行</w:t>
            </w:r>
            <w:r>
              <w:rPr>
                <w:spacing w:val="-3"/>
                <w:highlight w:val="none"/>
              </w:rPr>
              <w:t>出具的该投标人基本存款账户信息证明的原件扫描件的，将视为基本账户不正确，导致投标无效。</w:t>
            </w:r>
          </w:p>
          <w:p w14:paraId="26345BCE">
            <w:pPr>
              <w:pStyle w:val="25"/>
              <w:spacing w:before="15" w:line="227" w:lineRule="auto"/>
              <w:ind w:left="19" w:right="7" w:firstLine="109"/>
              <w:rPr>
                <w:highlight w:val="none"/>
              </w:rPr>
            </w:pPr>
            <w:r>
              <w:rPr>
                <w:spacing w:val="2"/>
                <w:highlight w:val="none"/>
              </w:rPr>
              <w:t>③投标人提交的纸质保函保险，必须明确载明有效的查询</w:t>
            </w:r>
            <w:r>
              <w:rPr>
                <w:spacing w:val="-3"/>
                <w:highlight w:val="none"/>
              </w:rPr>
              <w:t>途径（包括电话、网址链接及查询方式</w:t>
            </w:r>
            <w:r>
              <w:rPr>
                <w:highlight w:val="none"/>
              </w:rPr>
              <w:t>），</w:t>
            </w:r>
            <w:r>
              <w:rPr>
                <w:spacing w:val="-3"/>
                <w:highlight w:val="none"/>
              </w:rPr>
              <w:t>否则该保函保险</w:t>
            </w:r>
            <w:r>
              <w:rPr>
                <w:spacing w:val="-12"/>
                <w:highlight w:val="none"/>
              </w:rPr>
              <w:t>无效。</w:t>
            </w:r>
          </w:p>
          <w:p w14:paraId="6CB3EEF6">
            <w:pPr>
              <w:pStyle w:val="25"/>
              <w:spacing w:before="12" w:line="229" w:lineRule="auto"/>
              <w:ind w:left="17" w:right="5" w:firstLine="111"/>
              <w:rPr>
                <w:highlight w:val="none"/>
              </w:rPr>
            </w:pPr>
            <w:r>
              <w:rPr>
                <w:spacing w:val="-2"/>
                <w:highlight w:val="none"/>
              </w:rPr>
              <w:t>④中标候选人须在中标候选人公示期满后 3 个</w:t>
            </w:r>
            <w:r>
              <w:rPr>
                <w:spacing w:val="-3"/>
                <w:highlight w:val="none"/>
              </w:rPr>
              <w:t>工作日内，将其开具至本项目的纸质保函保险原件提交招标人，其他非</w:t>
            </w:r>
            <w:r>
              <w:rPr>
                <w:spacing w:val="2"/>
                <w:highlight w:val="none"/>
              </w:rPr>
              <w:t>中标候选人的纸质保函保险原件留存备查,且原件须与投标</w:t>
            </w:r>
            <w:r>
              <w:rPr>
                <w:spacing w:val="6"/>
                <w:highlight w:val="none"/>
              </w:rPr>
              <w:t>文件中提供的扫描件一致。招标人及监管部门需查询查核</w:t>
            </w:r>
            <w:r>
              <w:rPr>
                <w:spacing w:val="-3"/>
                <w:highlight w:val="none"/>
              </w:rPr>
              <w:t>时，投标人应当提供原件，如存在未按规定提交原件或提交内容不一致，或发现弄虚作假的，招标人将视情况给予三年以内投标资格限制，并报监管部门依法处理。</w:t>
            </w:r>
          </w:p>
          <w:p w14:paraId="0A2E2C90">
            <w:pPr>
              <w:pStyle w:val="25"/>
              <w:spacing w:before="17" w:line="227" w:lineRule="auto"/>
              <w:ind w:left="19" w:right="7" w:firstLine="118"/>
              <w:rPr>
                <w:highlight w:val="none"/>
              </w:rPr>
            </w:pPr>
            <w:r>
              <w:rPr>
                <w:spacing w:val="-4"/>
                <w:highlight w:val="none"/>
              </w:rPr>
              <w:t>（3）如采用第三种方式即电子保函递交，根据《中华人民</w:t>
            </w:r>
            <w:r>
              <w:rPr>
                <w:spacing w:val="-7"/>
                <w:highlight w:val="none"/>
              </w:rPr>
              <w:t>共和国招标投标法实施条例》第二十六条规定之精神，</w:t>
            </w:r>
            <w:r>
              <w:rPr>
                <w:spacing w:val="-8"/>
                <w:highlight w:val="none"/>
              </w:rPr>
              <w:t>需遵</w:t>
            </w:r>
            <w:r>
              <w:rPr>
                <w:spacing w:val="-10"/>
                <w:highlight w:val="none"/>
              </w:rPr>
              <w:t>循下列规定：</w:t>
            </w:r>
          </w:p>
          <w:p w14:paraId="787FD52C">
            <w:pPr>
              <w:pStyle w:val="25"/>
              <w:spacing w:before="15" w:line="229" w:lineRule="auto"/>
              <w:ind w:left="17" w:right="4" w:firstLine="113"/>
              <w:rPr>
                <w:highlight w:val="none"/>
              </w:rPr>
            </w:pPr>
            <w:r>
              <w:rPr>
                <w:spacing w:val="12"/>
                <w:highlight w:val="none"/>
              </w:rPr>
              <w:t>①办理银行电子保函所需费用，应从投标人基本账户汇</w:t>
            </w:r>
            <w:r>
              <w:rPr>
                <w:spacing w:val="-3"/>
                <w:highlight w:val="none"/>
              </w:rPr>
              <w:t>（支）出，并通过出具电子保函的银行系统校验，未通过校验的，投标无效。受益人应为招标人。投标人须在投标文件</w:t>
            </w:r>
            <w:r>
              <w:rPr>
                <w:spacing w:val="6"/>
                <w:highlight w:val="none"/>
              </w:rPr>
              <w:t>递交截止时间前提供与六安市公共资源交易中心交易系统</w:t>
            </w:r>
            <w:r>
              <w:rPr>
                <w:spacing w:val="-3"/>
                <w:highlight w:val="none"/>
              </w:rPr>
              <w:t>对接的电子保函，否则视为投标保证金未按规定要求提交，</w:t>
            </w:r>
            <w:r>
              <w:rPr>
                <w:spacing w:val="-4"/>
                <w:highlight w:val="none"/>
              </w:rPr>
              <w:t>由评标委员会否决其投标。</w:t>
            </w:r>
          </w:p>
          <w:p w14:paraId="55E6AA41">
            <w:pPr>
              <w:pStyle w:val="25"/>
              <w:spacing w:before="17" w:line="228" w:lineRule="auto"/>
              <w:ind w:left="17" w:right="5" w:firstLine="111"/>
              <w:rPr>
                <w:highlight w:val="none"/>
              </w:rPr>
            </w:pPr>
            <w:r>
              <w:rPr>
                <w:spacing w:val="2"/>
                <w:highlight w:val="none"/>
              </w:rPr>
              <w:t>②保险电子保函、担保电子保函由投标人协商委托的保险</w:t>
            </w:r>
            <w:r>
              <w:rPr>
                <w:spacing w:val="-10"/>
                <w:highlight w:val="none"/>
              </w:rPr>
              <w:t>机构、担保机构出具，</w:t>
            </w:r>
            <w:r>
              <w:rPr>
                <w:spacing w:val="72"/>
                <w:highlight w:val="none"/>
              </w:rPr>
              <w:t xml:space="preserve"> </w:t>
            </w:r>
            <w:r>
              <w:rPr>
                <w:spacing w:val="-10"/>
                <w:highlight w:val="none"/>
              </w:rPr>
              <w:t>受益人为招标人。投标人须在投标文</w:t>
            </w:r>
            <w:r>
              <w:rPr>
                <w:spacing w:val="6"/>
                <w:highlight w:val="none"/>
              </w:rPr>
              <w:t>件递交截止时间前提供与六安市公共资源交易中心交易系统对接的电子保函，否则视为投标保证金未按规定要求提</w:t>
            </w:r>
            <w:r>
              <w:rPr>
                <w:spacing w:val="-4"/>
                <w:highlight w:val="none"/>
              </w:rPr>
              <w:t>交，由评标委员会否决其投标。</w:t>
            </w:r>
          </w:p>
          <w:p w14:paraId="0906587E">
            <w:pPr>
              <w:pStyle w:val="25"/>
              <w:spacing w:before="18" w:line="200" w:lineRule="auto"/>
              <w:ind w:left="135"/>
              <w:rPr>
                <w:highlight w:val="none"/>
              </w:rPr>
            </w:pPr>
            <w:r>
              <w:rPr>
                <w:spacing w:val="-1"/>
                <w:highlight w:val="none"/>
              </w:rPr>
              <w:t>5、招标人对中小微企业可免交投标保证金:</w:t>
            </w:r>
          </w:p>
        </w:tc>
      </w:tr>
    </w:tbl>
    <w:p w14:paraId="73627BAA">
      <w:pPr>
        <w:pStyle w:val="3"/>
        <w:rPr>
          <w:highlight w:val="none"/>
        </w:rPr>
      </w:pPr>
    </w:p>
    <w:p w14:paraId="0D8488CD">
      <w:pPr>
        <w:rPr>
          <w:highlight w:val="none"/>
        </w:rPr>
        <w:sectPr>
          <w:footerReference r:id="rId10" w:type="default"/>
          <w:pgSz w:w="11907" w:h="16839"/>
          <w:pgMar w:top="1431" w:right="1018" w:bottom="1199" w:left="1661" w:header="0" w:footer="966" w:gutter="0"/>
          <w:cols w:space="720" w:num="1"/>
        </w:sectPr>
      </w:pPr>
    </w:p>
    <w:p w14:paraId="4D69C7E3">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34FA8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7" w:hRule="atLeast"/>
        </w:trPr>
        <w:tc>
          <w:tcPr>
            <w:tcW w:w="873" w:type="dxa"/>
            <w:vAlign w:val="top"/>
          </w:tcPr>
          <w:p w14:paraId="711AB45C">
            <w:pPr>
              <w:rPr>
                <w:rFonts w:ascii="Arial"/>
                <w:sz w:val="21"/>
                <w:highlight w:val="none"/>
              </w:rPr>
            </w:pPr>
          </w:p>
        </w:tc>
        <w:tc>
          <w:tcPr>
            <w:tcW w:w="2147" w:type="dxa"/>
            <w:vAlign w:val="top"/>
          </w:tcPr>
          <w:p w14:paraId="6A430A00">
            <w:pPr>
              <w:rPr>
                <w:rFonts w:ascii="Arial"/>
                <w:sz w:val="21"/>
                <w:highlight w:val="none"/>
              </w:rPr>
            </w:pPr>
          </w:p>
        </w:tc>
        <w:tc>
          <w:tcPr>
            <w:tcW w:w="6202" w:type="dxa"/>
            <w:vAlign w:val="top"/>
          </w:tcPr>
          <w:p w14:paraId="46D20D1C">
            <w:pPr>
              <w:pStyle w:val="25"/>
              <w:spacing w:before="37" w:line="217" w:lineRule="auto"/>
              <w:ind w:left="138"/>
              <w:rPr>
                <w:rFonts w:hint="default" w:eastAsia="仿宋"/>
                <w:highlight w:val="none"/>
                <w:lang w:val="en-US" w:eastAsia="zh-CN"/>
              </w:rPr>
            </w:pPr>
            <w:r>
              <w:rPr>
                <w:spacing w:val="-2"/>
                <w:highlight w:val="none"/>
              </w:rPr>
              <w:t>是否免交投标保证金：</w:t>
            </w:r>
            <w:r>
              <w:rPr>
                <w:spacing w:val="-2"/>
                <w:sz w:val="21"/>
                <w:szCs w:val="21"/>
                <w:highlight w:val="none"/>
              </w:rPr>
              <w:t>■</w:t>
            </w:r>
            <w:r>
              <w:rPr>
                <w:spacing w:val="-86"/>
                <w:highlight w:val="none"/>
              </w:rPr>
              <w:t xml:space="preserve"> </w:t>
            </w:r>
            <w:r>
              <w:rPr>
                <w:spacing w:val="-2"/>
                <w:highlight w:val="none"/>
              </w:rPr>
              <w:t>是□否，本项目免交对象</w:t>
            </w:r>
            <w:r>
              <w:rPr>
                <w:spacing w:val="-3"/>
                <w:highlight w:val="none"/>
              </w:rPr>
              <w:t>是</w:t>
            </w:r>
            <w:r>
              <w:rPr>
                <w:rFonts w:hint="eastAsia"/>
                <w:spacing w:val="-3"/>
                <w:highlight w:val="none"/>
                <w:lang w:val="en-US" w:eastAsia="zh-CN"/>
              </w:rPr>
              <w:t>所有投标人</w:t>
            </w:r>
          </w:p>
          <w:p w14:paraId="61319812">
            <w:pPr>
              <w:pStyle w:val="25"/>
              <w:spacing w:before="18" w:line="226" w:lineRule="auto"/>
              <w:ind w:left="23" w:right="7" w:firstLine="108"/>
              <w:rPr>
                <w:highlight w:val="none"/>
              </w:rPr>
            </w:pPr>
            <w:r>
              <w:rPr>
                <w:spacing w:val="-3"/>
                <w:highlight w:val="none"/>
              </w:rPr>
              <w:t>6、中标候选人若采用电子保函、纸质保函、电子保险、纸</w:t>
            </w:r>
            <w:r>
              <w:rPr>
                <w:spacing w:val="1"/>
                <w:highlight w:val="none"/>
              </w:rPr>
              <w:t>质保险形式递交投标保证金的,其电子保函、纸质保函、电</w:t>
            </w:r>
            <w:r>
              <w:rPr>
                <w:spacing w:val="-2"/>
                <w:highlight w:val="none"/>
              </w:rPr>
              <w:t>子保险、纸质保险将随中标</w:t>
            </w:r>
            <w:r>
              <w:rPr>
                <w:rFonts w:hint="eastAsia"/>
                <w:spacing w:val="-2"/>
                <w:highlight w:val="none"/>
                <w:lang w:val="en-US" w:eastAsia="zh-CN"/>
              </w:rPr>
              <w:t>候选人</w:t>
            </w:r>
            <w:r>
              <w:rPr>
                <w:spacing w:val="-2"/>
                <w:highlight w:val="none"/>
              </w:rPr>
              <w:t>公示一并</w:t>
            </w:r>
            <w:r>
              <w:rPr>
                <w:spacing w:val="-3"/>
                <w:highlight w:val="none"/>
              </w:rPr>
              <w:t>公示。</w:t>
            </w:r>
          </w:p>
          <w:p w14:paraId="6CBA3FE7">
            <w:pPr>
              <w:pStyle w:val="25"/>
              <w:spacing w:before="19" w:line="217" w:lineRule="auto"/>
              <w:ind w:left="136"/>
              <w:rPr>
                <w:highlight w:val="none"/>
              </w:rPr>
            </w:pPr>
            <w:r>
              <w:rPr>
                <w:spacing w:val="-7"/>
                <w:highlight w:val="none"/>
              </w:rPr>
              <w:t>7、其他注意事项：</w:t>
            </w:r>
          </w:p>
          <w:p w14:paraId="48CA5B84">
            <w:pPr>
              <w:pStyle w:val="25"/>
              <w:spacing w:before="17" w:line="226" w:lineRule="auto"/>
              <w:ind w:left="24" w:right="21" w:firstLine="113"/>
              <w:rPr>
                <w:highlight w:val="none"/>
              </w:rPr>
            </w:pPr>
            <w:r>
              <w:rPr>
                <w:spacing w:val="-3"/>
                <w:highlight w:val="none"/>
              </w:rPr>
              <w:t>（1）投标人提交的保函保险（纸质）不符合</w:t>
            </w:r>
            <w:r>
              <w:rPr>
                <w:spacing w:val="-4"/>
                <w:highlight w:val="none"/>
              </w:rPr>
              <w:t>本招标文件所附格式保函保险第一、二、三、四、五、六、七条款内容要</w:t>
            </w:r>
            <w:r>
              <w:rPr>
                <w:spacing w:val="-3"/>
                <w:highlight w:val="none"/>
              </w:rPr>
              <w:t>求的，视为未提交投标保函保险，其投标无效。</w:t>
            </w:r>
          </w:p>
          <w:p w14:paraId="20BE4655">
            <w:pPr>
              <w:pStyle w:val="25"/>
              <w:spacing w:before="20" w:line="229" w:lineRule="auto"/>
              <w:ind w:left="17" w:right="5" w:firstLine="120"/>
              <w:rPr>
                <w:highlight w:val="none"/>
              </w:rPr>
            </w:pPr>
            <w:r>
              <w:rPr>
                <w:spacing w:val="-3"/>
                <w:highlight w:val="none"/>
              </w:rPr>
              <w:t>（2）投标人采用虚假保函、虚假保证保险方式提交投标保证金的，除依法承担弄虚作假的法律责任外，仍应根据招标文件规定承担投标保证金不予退还的民事责任，其承担方式为限时足额缴纳招标文件所列全部投标保证金，投标人在招</w:t>
            </w:r>
            <w:r>
              <w:rPr>
                <w:spacing w:val="6"/>
                <w:highlight w:val="none"/>
              </w:rPr>
              <w:t>标人发出追缴通知后的规定缴纳时间内不能足额支付投标</w:t>
            </w:r>
            <w:r>
              <w:rPr>
                <w:spacing w:val="-3"/>
                <w:highlight w:val="none"/>
              </w:rPr>
              <w:t>保证金的，招标人将依法提起诉讼追缴，招标人因此发生的诉讼费、律师代理费等费用均由投标人承担。不缴纳或不足额缴纳的，将承担不良行为记录、行政处罚、投标资格限制</w:t>
            </w:r>
            <w:r>
              <w:rPr>
                <w:spacing w:val="-2"/>
                <w:highlight w:val="none"/>
              </w:rPr>
              <w:t>的处理，直至移送司法机关承担弄虚作假的刑事责任。</w:t>
            </w:r>
          </w:p>
          <w:p w14:paraId="0ADCAE1F">
            <w:pPr>
              <w:pStyle w:val="25"/>
              <w:spacing w:before="18" w:line="231" w:lineRule="auto"/>
              <w:ind w:left="17" w:right="5" w:firstLine="114"/>
              <w:rPr>
                <w:highlight w:val="none"/>
              </w:rPr>
            </w:pPr>
            <w:r>
              <w:rPr>
                <w:spacing w:val="1"/>
                <w:highlight w:val="none"/>
              </w:rPr>
              <w:t>8、退回时限</w:t>
            </w:r>
            <w:r>
              <w:rPr>
                <w:spacing w:val="-1"/>
                <w:highlight w:val="none"/>
              </w:rPr>
              <w:t>：（</w:t>
            </w:r>
            <w:r>
              <w:rPr>
                <w:spacing w:val="1"/>
                <w:highlight w:val="none"/>
              </w:rPr>
              <w:t>1）、非中标候选人投标保证金的退还。</w:t>
            </w:r>
            <w:r>
              <w:rPr>
                <w:spacing w:val="-3"/>
                <w:highlight w:val="none"/>
              </w:rPr>
              <w:t>中标候选人公示期满次工作日，电子交易系统自动提交除中</w:t>
            </w:r>
            <w:r>
              <w:rPr>
                <w:spacing w:val="6"/>
                <w:highlight w:val="none"/>
              </w:rPr>
              <w:t>标候选人外的其他投标人的投标保证金及银行同期存款活</w:t>
            </w:r>
            <w:r>
              <w:rPr>
                <w:spacing w:val="-5"/>
                <w:highlight w:val="none"/>
              </w:rPr>
              <w:t>期利息的退还指令。</w:t>
            </w:r>
          </w:p>
          <w:p w14:paraId="0C32DFB1">
            <w:pPr>
              <w:pStyle w:val="25"/>
              <w:spacing w:before="3" w:line="225" w:lineRule="auto"/>
              <w:ind w:left="17" w:right="5" w:firstLine="120"/>
              <w:rPr>
                <w:highlight w:val="none"/>
              </w:rPr>
            </w:pPr>
            <w:r>
              <w:rPr>
                <w:spacing w:val="-3"/>
                <w:highlight w:val="none"/>
              </w:rPr>
              <w:t>（2）、中标候选人投标保证金的退还。中标通知书发出后次工作日，电子交易系统自动提交除中标人外的其他中标候</w:t>
            </w:r>
            <w:r>
              <w:rPr>
                <w:spacing w:val="-2"/>
                <w:highlight w:val="none"/>
              </w:rPr>
              <w:t>选人的投标保证金及银行同期存款活期利息的退还指令。</w:t>
            </w:r>
          </w:p>
          <w:p w14:paraId="497DBD93">
            <w:pPr>
              <w:pStyle w:val="25"/>
              <w:spacing w:before="19" w:line="217" w:lineRule="auto"/>
              <w:ind w:left="137"/>
              <w:rPr>
                <w:highlight w:val="none"/>
              </w:rPr>
            </w:pPr>
            <w:r>
              <w:rPr>
                <w:spacing w:val="-3"/>
                <w:highlight w:val="none"/>
              </w:rPr>
              <w:t>（3）、中标人投标保证金的退还。</w:t>
            </w:r>
          </w:p>
          <w:p w14:paraId="2A17249B">
            <w:pPr>
              <w:pStyle w:val="25"/>
              <w:spacing w:before="19" w:line="227" w:lineRule="auto"/>
              <w:ind w:left="27" w:firstLine="102"/>
              <w:rPr>
                <w:highlight w:val="none"/>
              </w:rPr>
            </w:pPr>
            <w:r>
              <w:rPr>
                <w:spacing w:val="-2"/>
                <w:highlight w:val="none"/>
              </w:rPr>
              <w:t>①及时完成合同签订与公开的。中标通知书发出之日起</w:t>
            </w:r>
            <w:r>
              <w:rPr>
                <w:spacing w:val="-20"/>
                <w:highlight w:val="none"/>
              </w:rPr>
              <w:t xml:space="preserve"> </w:t>
            </w:r>
            <w:r>
              <w:rPr>
                <w:spacing w:val="-2"/>
                <w:highlight w:val="none"/>
              </w:rPr>
              <w:t>30</w:t>
            </w:r>
            <w:r>
              <w:rPr>
                <w:spacing w:val="-4"/>
                <w:highlight w:val="none"/>
              </w:rPr>
              <w:t>日内，招标人与中标人及时完成合同签订，并通过电子交易系统完成合同线上公开的，次工作日电子交易系统自动提交</w:t>
            </w:r>
            <w:r>
              <w:rPr>
                <w:spacing w:val="-3"/>
                <w:highlight w:val="none"/>
              </w:rPr>
              <w:t>中标人的投标保证金及银行同期存款活期利息的退还指令。</w:t>
            </w:r>
          </w:p>
          <w:p w14:paraId="69B94B4C">
            <w:pPr>
              <w:pStyle w:val="25"/>
              <w:spacing w:before="18" w:line="228" w:lineRule="auto"/>
              <w:ind w:left="15" w:right="5" w:firstLine="114"/>
              <w:rPr>
                <w:highlight w:val="none"/>
              </w:rPr>
            </w:pPr>
            <w:r>
              <w:rPr>
                <w:spacing w:val="2"/>
                <w:highlight w:val="none"/>
              </w:rPr>
              <w:t>②未及时完成合同签订与公开的。中标通知书发出之日起</w:t>
            </w:r>
            <w:r>
              <w:rPr>
                <w:spacing w:val="-7"/>
                <w:highlight w:val="none"/>
              </w:rPr>
              <w:t>30日内，招标人与中标人未及时完成合同签订和合同线上公</w:t>
            </w:r>
            <w:r>
              <w:rPr>
                <w:spacing w:val="-4"/>
                <w:highlight w:val="none"/>
              </w:rPr>
              <w:t>开的，电子交易系统于中标通知书发出后第31日（如果当</w:t>
            </w:r>
            <w:r>
              <w:rPr>
                <w:spacing w:val="-3"/>
                <w:highlight w:val="none"/>
              </w:rPr>
              <w:t>天为节假日，则顺延至下一工作日）自动提交中标人的投标保证金及银行同期存款活期利息的退还指令。</w:t>
            </w:r>
          </w:p>
          <w:p w14:paraId="33A07F11">
            <w:pPr>
              <w:pStyle w:val="25"/>
              <w:spacing w:before="19" w:line="224" w:lineRule="auto"/>
              <w:ind w:left="17" w:right="4" w:firstLine="120"/>
              <w:rPr>
                <w:highlight w:val="none"/>
              </w:rPr>
            </w:pPr>
            <w:r>
              <w:rPr>
                <w:spacing w:val="-2"/>
                <w:highlight w:val="none"/>
              </w:rPr>
              <w:t>（4）、特殊情况投标保证金的退还按六交易（2023）2</w:t>
            </w:r>
            <w:r>
              <w:rPr>
                <w:spacing w:val="-11"/>
                <w:highlight w:val="none"/>
              </w:rPr>
              <w:t xml:space="preserve"> </w:t>
            </w:r>
            <w:r>
              <w:rPr>
                <w:spacing w:val="-2"/>
                <w:highlight w:val="none"/>
              </w:rPr>
              <w:t>号</w:t>
            </w:r>
            <w:r>
              <w:rPr>
                <w:spacing w:val="-9"/>
                <w:highlight w:val="none"/>
              </w:rPr>
              <w:t>文执行。</w:t>
            </w:r>
          </w:p>
          <w:p w14:paraId="033ABB77">
            <w:pPr>
              <w:pStyle w:val="25"/>
              <w:spacing w:before="19" w:line="214" w:lineRule="auto"/>
              <w:ind w:left="19" w:right="5" w:firstLine="111"/>
              <w:rPr>
                <w:highlight w:val="none"/>
              </w:rPr>
            </w:pPr>
            <w:r>
              <w:rPr>
                <w:spacing w:val="-2"/>
                <w:highlight w:val="none"/>
              </w:rPr>
              <w:t>9、中标人应按投标须知前附表第 25 条的规定</w:t>
            </w:r>
            <w:r>
              <w:rPr>
                <w:spacing w:val="-3"/>
                <w:highlight w:val="none"/>
              </w:rPr>
              <w:t>另行交纳履</w:t>
            </w:r>
            <w:r>
              <w:rPr>
                <w:spacing w:val="-8"/>
                <w:highlight w:val="none"/>
              </w:rPr>
              <w:t>约保证金。</w:t>
            </w:r>
          </w:p>
        </w:tc>
      </w:tr>
      <w:tr w14:paraId="297F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1FB85FBC">
            <w:pPr>
              <w:pStyle w:val="25"/>
              <w:spacing w:before="189" w:line="238" w:lineRule="auto"/>
              <w:ind w:left="323"/>
              <w:rPr>
                <w:highlight w:val="none"/>
              </w:rPr>
            </w:pPr>
            <w:r>
              <w:rPr>
                <w:spacing w:val="-3"/>
                <w:highlight w:val="none"/>
              </w:rPr>
              <w:t>24</w:t>
            </w:r>
          </w:p>
        </w:tc>
        <w:tc>
          <w:tcPr>
            <w:tcW w:w="2147" w:type="dxa"/>
            <w:vAlign w:val="top"/>
          </w:tcPr>
          <w:p w14:paraId="134A7096">
            <w:pPr>
              <w:pStyle w:val="25"/>
              <w:spacing w:before="37" w:line="214" w:lineRule="auto"/>
              <w:ind w:left="843" w:right="116" w:hanging="722"/>
              <w:rPr>
                <w:highlight w:val="none"/>
              </w:rPr>
            </w:pPr>
            <w:r>
              <w:rPr>
                <w:spacing w:val="-2"/>
                <w:highlight w:val="none"/>
              </w:rPr>
              <w:t>招标人工程款支付</w:t>
            </w:r>
            <w:r>
              <w:rPr>
                <w:spacing w:val="-5"/>
                <w:highlight w:val="none"/>
              </w:rPr>
              <w:t>担保</w:t>
            </w:r>
          </w:p>
        </w:tc>
        <w:tc>
          <w:tcPr>
            <w:tcW w:w="6202" w:type="dxa"/>
            <w:vAlign w:val="top"/>
          </w:tcPr>
          <w:p w14:paraId="5C5F5E28">
            <w:pPr>
              <w:pStyle w:val="25"/>
              <w:spacing w:before="37" w:line="214" w:lineRule="auto"/>
              <w:ind w:left="19" w:right="11"/>
              <w:rPr>
                <w:highlight w:val="none"/>
              </w:rPr>
            </w:pPr>
            <w:r>
              <w:rPr>
                <w:spacing w:val="6"/>
                <w:highlight w:val="none"/>
              </w:rPr>
              <w:t>具体要求以工程项目施工合同中对工程款支付担保的相关</w:t>
            </w:r>
            <w:r>
              <w:rPr>
                <w:spacing w:val="-8"/>
                <w:highlight w:val="none"/>
              </w:rPr>
              <w:t>约定为准。</w:t>
            </w:r>
          </w:p>
        </w:tc>
      </w:tr>
      <w:tr w14:paraId="6D10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873" w:type="dxa"/>
            <w:vAlign w:val="top"/>
          </w:tcPr>
          <w:p w14:paraId="0440A835">
            <w:pPr>
              <w:spacing w:line="353" w:lineRule="auto"/>
              <w:rPr>
                <w:rFonts w:ascii="Arial"/>
                <w:sz w:val="21"/>
                <w:highlight w:val="none"/>
              </w:rPr>
            </w:pPr>
          </w:p>
          <w:p w14:paraId="5AD08582">
            <w:pPr>
              <w:spacing w:line="354" w:lineRule="auto"/>
              <w:rPr>
                <w:rFonts w:ascii="Arial"/>
                <w:sz w:val="21"/>
                <w:highlight w:val="none"/>
              </w:rPr>
            </w:pPr>
          </w:p>
          <w:p w14:paraId="5F8552DF">
            <w:pPr>
              <w:pStyle w:val="25"/>
              <w:spacing w:before="78" w:line="237" w:lineRule="auto"/>
              <w:ind w:left="323"/>
              <w:rPr>
                <w:highlight w:val="none"/>
              </w:rPr>
            </w:pPr>
            <w:r>
              <w:rPr>
                <w:spacing w:val="-3"/>
                <w:highlight w:val="none"/>
              </w:rPr>
              <w:t>25</w:t>
            </w:r>
          </w:p>
        </w:tc>
        <w:tc>
          <w:tcPr>
            <w:tcW w:w="2147" w:type="dxa"/>
            <w:vAlign w:val="top"/>
          </w:tcPr>
          <w:p w14:paraId="048C05F1">
            <w:pPr>
              <w:spacing w:line="279" w:lineRule="auto"/>
              <w:rPr>
                <w:rFonts w:ascii="Arial"/>
                <w:sz w:val="21"/>
                <w:highlight w:val="none"/>
              </w:rPr>
            </w:pPr>
          </w:p>
          <w:p w14:paraId="51A8D000">
            <w:pPr>
              <w:spacing w:line="280" w:lineRule="auto"/>
              <w:rPr>
                <w:rFonts w:ascii="Arial"/>
                <w:sz w:val="21"/>
                <w:highlight w:val="none"/>
              </w:rPr>
            </w:pPr>
          </w:p>
          <w:p w14:paraId="0AC5B1E8">
            <w:pPr>
              <w:pStyle w:val="25"/>
              <w:spacing w:before="78" w:line="218" w:lineRule="auto"/>
              <w:ind w:left="752"/>
              <w:rPr>
                <w:highlight w:val="none"/>
              </w:rPr>
            </w:pPr>
            <w:r>
              <w:rPr>
                <w:spacing w:val="-11"/>
                <w:highlight w:val="none"/>
              </w:rPr>
              <w:t>中标人</w:t>
            </w:r>
          </w:p>
          <w:p w14:paraId="7243FF40">
            <w:pPr>
              <w:pStyle w:val="25"/>
              <w:spacing w:before="16" w:line="217" w:lineRule="auto"/>
              <w:ind w:left="486"/>
              <w:rPr>
                <w:highlight w:val="none"/>
              </w:rPr>
            </w:pPr>
            <w:r>
              <w:rPr>
                <w:spacing w:val="-4"/>
                <w:highlight w:val="none"/>
              </w:rPr>
              <w:t>履约保证金</w:t>
            </w:r>
          </w:p>
        </w:tc>
        <w:tc>
          <w:tcPr>
            <w:tcW w:w="6202" w:type="dxa"/>
            <w:vAlign w:val="top"/>
          </w:tcPr>
          <w:p w14:paraId="79D48125">
            <w:pPr>
              <w:pStyle w:val="25"/>
              <w:spacing w:before="40" w:line="231" w:lineRule="auto"/>
              <w:ind w:left="18"/>
              <w:jc w:val="both"/>
              <w:rPr>
                <w:highlight w:val="none"/>
              </w:rPr>
            </w:pPr>
            <w:r>
              <w:rPr>
                <w:spacing w:val="-3"/>
                <w:highlight w:val="none"/>
              </w:rPr>
              <w:t>保证方式：中标人可以通过转账、网银支付、汇票、支票、担保保函、保证保险、保函（含电子保函）等方式提交履约</w:t>
            </w:r>
            <w:r>
              <w:rPr>
                <w:spacing w:val="-10"/>
                <w:highlight w:val="none"/>
              </w:rPr>
              <w:t>保证金。</w:t>
            </w:r>
          </w:p>
          <w:p w14:paraId="15E8F19E">
            <w:pPr>
              <w:pStyle w:val="25"/>
              <w:spacing w:before="1" w:line="230" w:lineRule="auto"/>
              <w:ind w:left="21" w:right="25"/>
              <w:jc w:val="both"/>
              <w:rPr>
                <w:highlight w:val="none"/>
              </w:rPr>
            </w:pPr>
            <w:r>
              <w:rPr>
                <w:spacing w:val="-2"/>
                <w:highlight w:val="none"/>
              </w:rPr>
              <w:t>保证金数额：中标人按合同总价额即中标价的</w:t>
            </w:r>
            <w:r>
              <w:rPr>
                <w:spacing w:val="-39"/>
                <w:highlight w:val="none"/>
              </w:rPr>
              <w:t xml:space="preserve"> </w:t>
            </w:r>
            <w:r>
              <w:rPr>
                <w:spacing w:val="-2"/>
                <w:highlight w:val="none"/>
              </w:rPr>
              <w:t>2％提交履约</w:t>
            </w:r>
            <w:r>
              <w:rPr>
                <w:spacing w:val="-10"/>
                <w:highlight w:val="none"/>
              </w:rPr>
              <w:t>保证金。</w:t>
            </w:r>
          </w:p>
          <w:p w14:paraId="7B4430B1">
            <w:pPr>
              <w:pStyle w:val="25"/>
              <w:spacing w:line="200" w:lineRule="auto"/>
              <w:ind w:right="3"/>
              <w:jc w:val="right"/>
              <w:rPr>
                <w:highlight w:val="none"/>
              </w:rPr>
            </w:pPr>
            <w:r>
              <w:rPr>
                <w:spacing w:val="-4"/>
                <w:highlight w:val="none"/>
              </w:rPr>
              <w:t>中标人以现金进行履约保证的，应将现金提交到以下指</w:t>
            </w:r>
          </w:p>
        </w:tc>
      </w:tr>
    </w:tbl>
    <w:p w14:paraId="6EDC87F6">
      <w:pPr>
        <w:pStyle w:val="3"/>
        <w:rPr>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4561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7" w:hRule="atLeast"/>
        </w:trPr>
        <w:tc>
          <w:tcPr>
            <w:tcW w:w="873" w:type="dxa"/>
            <w:vAlign w:val="top"/>
          </w:tcPr>
          <w:p w14:paraId="6DBC1DA8">
            <w:pPr>
              <w:rPr>
                <w:rFonts w:ascii="Arial"/>
                <w:sz w:val="21"/>
                <w:highlight w:val="none"/>
              </w:rPr>
            </w:pPr>
          </w:p>
        </w:tc>
        <w:tc>
          <w:tcPr>
            <w:tcW w:w="2147" w:type="dxa"/>
            <w:vAlign w:val="top"/>
          </w:tcPr>
          <w:p w14:paraId="3A79A235">
            <w:pPr>
              <w:rPr>
                <w:rFonts w:ascii="Arial"/>
                <w:sz w:val="21"/>
                <w:highlight w:val="none"/>
              </w:rPr>
            </w:pPr>
          </w:p>
        </w:tc>
        <w:tc>
          <w:tcPr>
            <w:tcW w:w="6202" w:type="dxa"/>
            <w:vAlign w:val="top"/>
          </w:tcPr>
          <w:p w14:paraId="71B5B85C">
            <w:pPr>
              <w:pStyle w:val="25"/>
              <w:spacing w:before="37" w:line="217" w:lineRule="auto"/>
              <w:ind w:left="22"/>
              <w:rPr>
                <w:highlight w:val="none"/>
              </w:rPr>
            </w:pPr>
            <w:r>
              <w:rPr>
                <w:spacing w:val="-7"/>
                <w:highlight w:val="none"/>
              </w:rPr>
              <w:t>定的银行账户。</w:t>
            </w:r>
          </w:p>
          <w:p w14:paraId="56C780F3">
            <w:pPr>
              <w:pStyle w:val="25"/>
              <w:spacing w:before="16" w:line="231" w:lineRule="auto"/>
              <w:ind w:left="17" w:right="4" w:firstLine="501"/>
              <w:jc w:val="both"/>
              <w:rPr>
                <w:highlight w:val="none"/>
              </w:rPr>
            </w:pPr>
            <w:r>
              <w:rPr>
                <w:spacing w:val="-4"/>
                <w:highlight w:val="none"/>
              </w:rPr>
              <w:t>中标人以银行履约保函或保证保险方式担保履约的，应</w:t>
            </w:r>
            <w:r>
              <w:rPr>
                <w:spacing w:val="-3"/>
                <w:highlight w:val="none"/>
              </w:rPr>
              <w:t>将银行履约保函或保证保险交至招标人保管。中标人提交银</w:t>
            </w:r>
            <w:r>
              <w:rPr>
                <w:spacing w:val="6"/>
                <w:highlight w:val="none"/>
              </w:rPr>
              <w:t>行履约保函或保证保险的担保期限不得少于中标项目的合</w:t>
            </w:r>
            <w:r>
              <w:rPr>
                <w:spacing w:val="-3"/>
                <w:highlight w:val="none"/>
              </w:rPr>
              <w:t>同期限。银行履约保函或保证保险担保期限到期但中标项目</w:t>
            </w:r>
            <w:r>
              <w:rPr>
                <w:spacing w:val="4"/>
                <w:highlight w:val="none"/>
              </w:rPr>
              <w:t>尚未竣工验收的，</w:t>
            </w:r>
            <w:r>
              <w:rPr>
                <w:spacing w:val="-54"/>
                <w:highlight w:val="none"/>
              </w:rPr>
              <w:t xml:space="preserve"> </w:t>
            </w:r>
            <w:r>
              <w:rPr>
                <w:spacing w:val="4"/>
                <w:highlight w:val="none"/>
              </w:rPr>
              <w:t>中标人应当进行续保或者补缴履约保证</w:t>
            </w:r>
            <w:r>
              <w:rPr>
                <w:spacing w:val="-3"/>
                <w:highlight w:val="none"/>
              </w:rPr>
              <w:t>金。中标人应当续保或者补缴履约保证金而没有续保或者补缴履约保证金的，招标人可以暂停支付中标人同等金额的项</w:t>
            </w:r>
            <w:r>
              <w:rPr>
                <w:spacing w:val="-8"/>
                <w:highlight w:val="none"/>
              </w:rPr>
              <w:t>目工程款。</w:t>
            </w:r>
          </w:p>
          <w:p w14:paraId="67E648E1">
            <w:pPr>
              <w:pStyle w:val="25"/>
              <w:spacing w:before="3" w:line="230" w:lineRule="auto"/>
              <w:ind w:left="17" w:right="4" w:firstLine="472"/>
              <w:jc w:val="both"/>
              <w:rPr>
                <w:highlight w:val="none"/>
              </w:rPr>
            </w:pPr>
            <w:r>
              <w:rPr>
                <w:spacing w:val="-2"/>
                <w:highlight w:val="none"/>
              </w:rPr>
              <w:t xml:space="preserve">提交时限：中标人收到中标通知书次日起 </w:t>
            </w:r>
            <w:r>
              <w:rPr>
                <w:spacing w:val="-3"/>
                <w:highlight w:val="none"/>
              </w:rPr>
              <w:t>10 个工作日</w:t>
            </w:r>
            <w:r>
              <w:rPr>
                <w:spacing w:val="-4"/>
                <w:highlight w:val="none"/>
              </w:rPr>
              <w:t>内提交履约保证金，并在提交完毕次日起 10</w:t>
            </w:r>
            <w:r>
              <w:rPr>
                <w:spacing w:val="42"/>
                <w:highlight w:val="none"/>
              </w:rPr>
              <w:t xml:space="preserve"> </w:t>
            </w:r>
            <w:r>
              <w:rPr>
                <w:spacing w:val="-4"/>
                <w:highlight w:val="none"/>
              </w:rPr>
              <w:t>日内与招标人</w:t>
            </w:r>
            <w:r>
              <w:rPr>
                <w:spacing w:val="-5"/>
                <w:highlight w:val="none"/>
              </w:rPr>
              <w:t>（发包人）签订合同。</w:t>
            </w:r>
          </w:p>
          <w:p w14:paraId="2E22B4D9">
            <w:pPr>
              <w:pStyle w:val="25"/>
              <w:spacing w:line="216" w:lineRule="auto"/>
              <w:ind w:left="499"/>
              <w:rPr>
                <w:highlight w:val="none"/>
              </w:rPr>
            </w:pPr>
            <w:r>
              <w:rPr>
                <w:b/>
                <w:bCs/>
                <w:spacing w:val="-7"/>
                <w:highlight w:val="none"/>
              </w:rPr>
              <w:t>汇入账户名称：</w:t>
            </w:r>
            <w:r>
              <w:rPr>
                <w:spacing w:val="-69"/>
                <w:highlight w:val="none"/>
              </w:rPr>
              <w:t xml:space="preserve"> </w:t>
            </w:r>
            <w:r>
              <w:rPr>
                <w:b/>
                <w:bCs/>
                <w:spacing w:val="-7"/>
                <w:highlight w:val="none"/>
              </w:rPr>
              <w:t>中标后另行提供</w:t>
            </w:r>
          </w:p>
          <w:p w14:paraId="588BCB7E">
            <w:pPr>
              <w:pStyle w:val="25"/>
              <w:spacing w:before="18" w:line="217" w:lineRule="auto"/>
              <w:ind w:left="499"/>
              <w:rPr>
                <w:highlight w:val="none"/>
              </w:rPr>
            </w:pPr>
            <w:r>
              <w:rPr>
                <w:b/>
                <w:bCs/>
                <w:spacing w:val="-7"/>
                <w:highlight w:val="none"/>
              </w:rPr>
              <w:t>汇入银行名称：</w:t>
            </w:r>
            <w:r>
              <w:rPr>
                <w:spacing w:val="-69"/>
                <w:highlight w:val="none"/>
              </w:rPr>
              <w:t xml:space="preserve"> </w:t>
            </w:r>
            <w:r>
              <w:rPr>
                <w:b/>
                <w:bCs/>
                <w:spacing w:val="-7"/>
                <w:highlight w:val="none"/>
              </w:rPr>
              <w:t>中标后另行提供</w:t>
            </w:r>
          </w:p>
          <w:p w14:paraId="5B0E3D5F">
            <w:pPr>
              <w:pStyle w:val="25"/>
              <w:spacing w:before="18" w:line="217" w:lineRule="auto"/>
              <w:ind w:left="499"/>
              <w:rPr>
                <w:highlight w:val="none"/>
              </w:rPr>
            </w:pPr>
            <w:r>
              <w:rPr>
                <w:b/>
                <w:bCs/>
                <w:spacing w:val="-7"/>
                <w:highlight w:val="none"/>
              </w:rPr>
              <w:t>汇入银行账号：</w:t>
            </w:r>
            <w:r>
              <w:rPr>
                <w:spacing w:val="-69"/>
                <w:highlight w:val="none"/>
              </w:rPr>
              <w:t xml:space="preserve"> </w:t>
            </w:r>
            <w:r>
              <w:rPr>
                <w:b/>
                <w:bCs/>
                <w:spacing w:val="-7"/>
                <w:highlight w:val="none"/>
              </w:rPr>
              <w:t>中标后另行提供</w:t>
            </w:r>
          </w:p>
          <w:p w14:paraId="6DDD49A3">
            <w:pPr>
              <w:pStyle w:val="25"/>
              <w:spacing w:before="18" w:line="231" w:lineRule="auto"/>
              <w:ind w:left="19" w:right="5" w:firstLine="487"/>
              <w:jc w:val="both"/>
              <w:rPr>
                <w:highlight w:val="none"/>
              </w:rPr>
            </w:pPr>
            <w:r>
              <w:rPr>
                <w:spacing w:val="-3"/>
                <w:highlight w:val="none"/>
              </w:rPr>
              <w:t>市直预算单位作为招标人收取的履约保证金</w:t>
            </w:r>
            <w:r>
              <w:rPr>
                <w:spacing w:val="-4"/>
                <w:highlight w:val="none"/>
              </w:rPr>
              <w:t>，纳入市财</w:t>
            </w:r>
            <w:r>
              <w:rPr>
                <w:spacing w:val="-3"/>
                <w:highlight w:val="none"/>
              </w:rPr>
              <w:t>政代为管理的预算单位往来资金账户管理。其他单位作为招</w:t>
            </w:r>
            <w:r>
              <w:rPr>
                <w:spacing w:val="-2"/>
                <w:highlight w:val="none"/>
              </w:rPr>
              <w:t>标人收取的履约保证金，由招标人自行指定账户管理。</w:t>
            </w:r>
          </w:p>
          <w:p w14:paraId="21AB8B32">
            <w:pPr>
              <w:pStyle w:val="25"/>
              <w:spacing w:before="2" w:line="225" w:lineRule="auto"/>
              <w:ind w:left="19" w:right="5" w:firstLine="511"/>
              <w:jc w:val="both"/>
              <w:rPr>
                <w:highlight w:val="none"/>
              </w:rPr>
            </w:pPr>
            <w:r>
              <w:rPr>
                <w:spacing w:val="-5"/>
                <w:highlight w:val="none"/>
              </w:rPr>
              <w:t>中标人必须按上述要求提交履约保证金并与招标人</w:t>
            </w:r>
            <w:r>
              <w:rPr>
                <w:spacing w:val="-6"/>
                <w:highlight w:val="none"/>
              </w:rPr>
              <w:t>（发</w:t>
            </w:r>
            <w:r>
              <w:rPr>
                <w:spacing w:val="-3"/>
                <w:highlight w:val="none"/>
              </w:rPr>
              <w:t>包人）签订合同，超过时限未提交履约保证金或因中标人自身原因未在招标文件约定时限内签订合同的，其中标资格无效，招标人依据《中华人民共和国招标投标法实施条例》第</w:t>
            </w:r>
            <w:r>
              <w:rPr>
                <w:spacing w:val="6"/>
                <w:highlight w:val="none"/>
              </w:rPr>
              <w:t>五十五条规定依次确定其他中标候选人为中标人或重新招</w:t>
            </w:r>
            <w:r>
              <w:rPr>
                <w:spacing w:val="-12"/>
                <w:highlight w:val="none"/>
              </w:rPr>
              <w:t>标。</w:t>
            </w:r>
          </w:p>
        </w:tc>
      </w:tr>
      <w:tr w14:paraId="13F4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73" w:type="dxa"/>
            <w:vAlign w:val="top"/>
          </w:tcPr>
          <w:p w14:paraId="6C606E2E">
            <w:pPr>
              <w:pStyle w:val="25"/>
              <w:spacing w:before="37" w:line="198" w:lineRule="auto"/>
              <w:ind w:left="323"/>
              <w:rPr>
                <w:highlight w:val="none"/>
              </w:rPr>
            </w:pPr>
            <w:r>
              <w:rPr>
                <w:spacing w:val="-3"/>
                <w:highlight w:val="none"/>
              </w:rPr>
              <w:t>26</w:t>
            </w:r>
          </w:p>
        </w:tc>
        <w:tc>
          <w:tcPr>
            <w:tcW w:w="2147" w:type="dxa"/>
            <w:vAlign w:val="top"/>
          </w:tcPr>
          <w:p w14:paraId="5324F243">
            <w:pPr>
              <w:pStyle w:val="25"/>
              <w:spacing w:before="37" w:line="198" w:lineRule="auto"/>
              <w:ind w:left="364"/>
              <w:rPr>
                <w:highlight w:val="none"/>
              </w:rPr>
            </w:pPr>
            <w:r>
              <w:rPr>
                <w:spacing w:val="-3"/>
                <w:highlight w:val="none"/>
              </w:rPr>
              <w:t>安全文明要求</w:t>
            </w:r>
          </w:p>
        </w:tc>
        <w:tc>
          <w:tcPr>
            <w:tcW w:w="6202" w:type="dxa"/>
            <w:vAlign w:val="top"/>
          </w:tcPr>
          <w:p w14:paraId="7D0DD770">
            <w:pPr>
              <w:pStyle w:val="25"/>
              <w:spacing w:before="37" w:line="198" w:lineRule="auto"/>
              <w:ind w:left="21"/>
              <w:rPr>
                <w:highlight w:val="none"/>
              </w:rPr>
            </w:pPr>
            <w:r>
              <w:rPr>
                <w:spacing w:val="-1"/>
                <w:highlight w:val="none"/>
              </w:rPr>
              <w:t>必须确保安全文明施工，依据国家现行相关规定执行</w:t>
            </w:r>
          </w:p>
        </w:tc>
      </w:tr>
      <w:tr w14:paraId="4F63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73" w:type="dxa"/>
            <w:vAlign w:val="top"/>
          </w:tcPr>
          <w:p w14:paraId="5780A2B6">
            <w:pPr>
              <w:pStyle w:val="25"/>
              <w:spacing w:before="195" w:line="237" w:lineRule="auto"/>
              <w:ind w:left="323"/>
              <w:rPr>
                <w:highlight w:val="none"/>
              </w:rPr>
            </w:pPr>
            <w:r>
              <w:rPr>
                <w:spacing w:val="-3"/>
                <w:highlight w:val="none"/>
              </w:rPr>
              <w:t>27</w:t>
            </w:r>
          </w:p>
        </w:tc>
        <w:tc>
          <w:tcPr>
            <w:tcW w:w="2147" w:type="dxa"/>
            <w:vAlign w:val="top"/>
          </w:tcPr>
          <w:p w14:paraId="72DF376A">
            <w:pPr>
              <w:pStyle w:val="25"/>
              <w:spacing w:before="194" w:line="220" w:lineRule="auto"/>
              <w:ind w:left="252"/>
              <w:rPr>
                <w:highlight w:val="none"/>
              </w:rPr>
            </w:pPr>
            <w:r>
              <w:rPr>
                <w:spacing w:val="-4"/>
                <w:highlight w:val="none"/>
              </w:rPr>
              <w:t>总包及分包规定</w:t>
            </w:r>
          </w:p>
        </w:tc>
        <w:tc>
          <w:tcPr>
            <w:tcW w:w="6202" w:type="dxa"/>
            <w:vAlign w:val="top"/>
          </w:tcPr>
          <w:p w14:paraId="4EB43F42">
            <w:pPr>
              <w:pStyle w:val="25"/>
              <w:spacing w:before="195" w:line="218" w:lineRule="auto"/>
              <w:ind w:left="23"/>
              <w:rPr>
                <w:highlight w:val="none"/>
              </w:rPr>
            </w:pPr>
            <w:r>
              <w:rPr>
                <w:spacing w:val="-7"/>
                <w:highlight w:val="none"/>
              </w:rPr>
              <w:t>不得违法分包。</w:t>
            </w:r>
          </w:p>
        </w:tc>
      </w:tr>
      <w:tr w14:paraId="44F7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1749A415">
            <w:pPr>
              <w:pStyle w:val="25"/>
              <w:spacing w:before="192" w:line="237" w:lineRule="auto"/>
              <w:ind w:left="323"/>
              <w:rPr>
                <w:highlight w:val="none"/>
              </w:rPr>
            </w:pPr>
            <w:r>
              <w:rPr>
                <w:spacing w:val="-3"/>
                <w:highlight w:val="none"/>
              </w:rPr>
              <w:t>28</w:t>
            </w:r>
          </w:p>
        </w:tc>
        <w:tc>
          <w:tcPr>
            <w:tcW w:w="2147" w:type="dxa"/>
            <w:vAlign w:val="top"/>
          </w:tcPr>
          <w:p w14:paraId="7BB57189">
            <w:pPr>
              <w:pStyle w:val="25"/>
              <w:spacing w:before="188" w:line="216" w:lineRule="auto"/>
              <w:ind w:left="368"/>
              <w:rPr>
                <w:highlight w:val="none"/>
              </w:rPr>
            </w:pPr>
            <w:r>
              <w:rPr>
                <w:spacing w:val="-4"/>
                <w:highlight w:val="none"/>
              </w:rPr>
              <w:t>主要材料要求</w:t>
            </w:r>
          </w:p>
        </w:tc>
        <w:tc>
          <w:tcPr>
            <w:tcW w:w="6202" w:type="dxa"/>
            <w:vAlign w:val="top"/>
          </w:tcPr>
          <w:p w14:paraId="5841A4B9">
            <w:pPr>
              <w:pStyle w:val="25"/>
              <w:spacing w:before="37" w:line="214" w:lineRule="auto"/>
              <w:ind w:left="21" w:right="195" w:firstLine="20"/>
              <w:rPr>
                <w:highlight w:val="none"/>
              </w:rPr>
            </w:pPr>
            <w:r>
              <w:rPr>
                <w:spacing w:val="-2"/>
                <w:highlight w:val="none"/>
              </w:rPr>
              <w:t>因中标人自行采购的材料质量引起的工程质量问题由中标</w:t>
            </w:r>
            <w:r>
              <w:rPr>
                <w:spacing w:val="-4"/>
                <w:highlight w:val="none"/>
              </w:rPr>
              <w:t>人承担所造成的一切损失。</w:t>
            </w:r>
          </w:p>
        </w:tc>
      </w:tr>
      <w:tr w14:paraId="3E40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73" w:type="dxa"/>
            <w:vAlign w:val="top"/>
          </w:tcPr>
          <w:p w14:paraId="5FA85AB8">
            <w:pPr>
              <w:pStyle w:val="25"/>
              <w:spacing w:before="95" w:line="237" w:lineRule="auto"/>
              <w:ind w:left="323"/>
              <w:rPr>
                <w:highlight w:val="none"/>
              </w:rPr>
            </w:pPr>
            <w:r>
              <w:rPr>
                <w:spacing w:val="-3"/>
                <w:highlight w:val="none"/>
              </w:rPr>
              <w:t>29</w:t>
            </w:r>
          </w:p>
        </w:tc>
        <w:tc>
          <w:tcPr>
            <w:tcW w:w="2147" w:type="dxa"/>
            <w:vAlign w:val="top"/>
          </w:tcPr>
          <w:p w14:paraId="172AAE2F">
            <w:pPr>
              <w:pStyle w:val="25"/>
              <w:spacing w:before="102" w:line="218" w:lineRule="auto"/>
              <w:ind w:left="601"/>
              <w:rPr>
                <w:highlight w:val="none"/>
              </w:rPr>
            </w:pPr>
            <w:r>
              <w:rPr>
                <w:spacing w:val="-3"/>
                <w:highlight w:val="none"/>
              </w:rPr>
              <w:t>现场条件</w:t>
            </w:r>
          </w:p>
        </w:tc>
        <w:tc>
          <w:tcPr>
            <w:tcW w:w="6202" w:type="dxa"/>
            <w:vAlign w:val="top"/>
          </w:tcPr>
          <w:p w14:paraId="677D2C18">
            <w:pPr>
              <w:pStyle w:val="25"/>
              <w:spacing w:before="102" w:line="218" w:lineRule="auto"/>
              <w:ind w:left="20"/>
              <w:rPr>
                <w:highlight w:val="none"/>
              </w:rPr>
            </w:pPr>
            <w:r>
              <w:rPr>
                <w:spacing w:val="-3"/>
                <w:highlight w:val="none"/>
              </w:rPr>
              <w:t>具备开工条件</w:t>
            </w:r>
          </w:p>
        </w:tc>
      </w:tr>
      <w:tr w14:paraId="714B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3" w:type="dxa"/>
            <w:vAlign w:val="top"/>
          </w:tcPr>
          <w:p w14:paraId="39816AC1">
            <w:pPr>
              <w:spacing w:line="278" w:lineRule="auto"/>
              <w:rPr>
                <w:rFonts w:ascii="Arial"/>
                <w:sz w:val="21"/>
                <w:highlight w:val="none"/>
              </w:rPr>
            </w:pPr>
          </w:p>
          <w:p w14:paraId="045DF949">
            <w:pPr>
              <w:spacing w:line="278" w:lineRule="auto"/>
              <w:rPr>
                <w:rFonts w:ascii="Arial"/>
                <w:sz w:val="21"/>
                <w:highlight w:val="none"/>
              </w:rPr>
            </w:pPr>
          </w:p>
          <w:p w14:paraId="2E2DB4EF">
            <w:pPr>
              <w:pStyle w:val="25"/>
              <w:spacing w:before="78" w:line="237" w:lineRule="auto"/>
              <w:ind w:left="325"/>
              <w:rPr>
                <w:highlight w:val="none"/>
              </w:rPr>
            </w:pPr>
            <w:r>
              <w:rPr>
                <w:spacing w:val="-4"/>
                <w:highlight w:val="none"/>
              </w:rPr>
              <w:t>30</w:t>
            </w:r>
          </w:p>
        </w:tc>
        <w:tc>
          <w:tcPr>
            <w:tcW w:w="2147" w:type="dxa"/>
            <w:vAlign w:val="top"/>
          </w:tcPr>
          <w:p w14:paraId="4D124EA1">
            <w:pPr>
              <w:spacing w:line="258" w:lineRule="auto"/>
              <w:rPr>
                <w:rFonts w:ascii="Arial"/>
                <w:sz w:val="21"/>
                <w:highlight w:val="none"/>
              </w:rPr>
            </w:pPr>
          </w:p>
          <w:p w14:paraId="76D11F5D">
            <w:pPr>
              <w:pStyle w:val="25"/>
              <w:spacing w:before="78" w:line="218" w:lineRule="auto"/>
              <w:ind w:left="121"/>
              <w:rPr>
                <w:highlight w:val="none"/>
              </w:rPr>
            </w:pPr>
            <w:r>
              <w:rPr>
                <w:spacing w:val="-2"/>
                <w:highlight w:val="none"/>
              </w:rPr>
              <w:t>招标人提供的招标</w:t>
            </w:r>
          </w:p>
          <w:p w14:paraId="1C6D574F">
            <w:pPr>
              <w:pStyle w:val="25"/>
              <w:spacing w:before="16" w:line="217" w:lineRule="auto"/>
              <w:ind w:left="13"/>
              <w:rPr>
                <w:highlight w:val="none"/>
              </w:rPr>
            </w:pPr>
            <w:r>
              <w:rPr>
                <w:spacing w:val="-5"/>
                <w:highlight w:val="none"/>
              </w:rPr>
              <w:t>文件、图纸及其他资</w:t>
            </w:r>
          </w:p>
          <w:p w14:paraId="59F6F348">
            <w:pPr>
              <w:pStyle w:val="25"/>
              <w:spacing w:before="17" w:line="216" w:lineRule="auto"/>
              <w:ind w:left="961"/>
              <w:rPr>
                <w:highlight w:val="none"/>
              </w:rPr>
            </w:pPr>
            <w:r>
              <w:rPr>
                <w:highlight w:val="none"/>
              </w:rPr>
              <w:t>料</w:t>
            </w:r>
          </w:p>
        </w:tc>
        <w:tc>
          <w:tcPr>
            <w:tcW w:w="6202" w:type="dxa"/>
            <w:vAlign w:val="top"/>
          </w:tcPr>
          <w:p w14:paraId="1173230F">
            <w:pPr>
              <w:pStyle w:val="25"/>
              <w:spacing w:before="37" w:line="216" w:lineRule="auto"/>
              <w:ind w:left="35"/>
              <w:rPr>
                <w:highlight w:val="none"/>
              </w:rPr>
            </w:pPr>
            <w:r>
              <w:rPr>
                <w:spacing w:val="-3"/>
                <w:highlight w:val="none"/>
              </w:rPr>
              <w:t>■招标文件（含附件资料）</w:t>
            </w:r>
          </w:p>
          <w:p w14:paraId="1DC38DCB">
            <w:pPr>
              <w:pStyle w:val="25"/>
              <w:spacing w:before="18" w:line="217" w:lineRule="auto"/>
              <w:ind w:left="35"/>
              <w:rPr>
                <w:highlight w:val="none"/>
              </w:rPr>
            </w:pPr>
            <w:r>
              <w:rPr>
                <w:spacing w:val="-5"/>
                <w:highlight w:val="none"/>
              </w:rPr>
              <w:t>□清单文本一份</w:t>
            </w:r>
          </w:p>
          <w:p w14:paraId="19C836E7">
            <w:pPr>
              <w:pStyle w:val="25"/>
              <w:spacing w:before="18" w:line="216" w:lineRule="auto"/>
              <w:ind w:left="35"/>
              <w:rPr>
                <w:highlight w:val="none"/>
              </w:rPr>
            </w:pPr>
            <w:r>
              <w:rPr>
                <w:spacing w:val="-8"/>
                <w:highlight w:val="none"/>
              </w:rPr>
              <w:t>□勘察资料套份。</w:t>
            </w:r>
          </w:p>
          <w:p w14:paraId="79DD3AF9">
            <w:pPr>
              <w:pStyle w:val="25"/>
              <w:spacing w:before="19" w:line="218" w:lineRule="auto"/>
              <w:ind w:left="35"/>
              <w:rPr>
                <w:highlight w:val="none"/>
              </w:rPr>
            </w:pPr>
            <w:r>
              <w:rPr>
                <w:spacing w:val="-4"/>
                <w:highlight w:val="none"/>
              </w:rPr>
              <w:t>□图纸目录，施工全图，设计变更文件份。</w:t>
            </w:r>
          </w:p>
          <w:p w14:paraId="7E499830">
            <w:pPr>
              <w:pStyle w:val="25"/>
              <w:spacing w:before="16" w:line="197" w:lineRule="auto"/>
              <w:ind w:left="35"/>
              <w:rPr>
                <w:highlight w:val="none"/>
              </w:rPr>
            </w:pPr>
            <w:r>
              <w:rPr>
                <w:spacing w:val="-3"/>
                <w:highlight w:val="none"/>
              </w:rPr>
              <w:t>□建设单位有关技术规定</w:t>
            </w:r>
          </w:p>
        </w:tc>
      </w:tr>
      <w:tr w14:paraId="6866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73" w:type="dxa"/>
            <w:vAlign w:val="top"/>
          </w:tcPr>
          <w:p w14:paraId="0618A223">
            <w:pPr>
              <w:pStyle w:val="25"/>
              <w:spacing w:before="187" w:line="237" w:lineRule="auto"/>
              <w:ind w:left="325"/>
              <w:rPr>
                <w:highlight w:val="none"/>
              </w:rPr>
            </w:pPr>
            <w:r>
              <w:rPr>
                <w:spacing w:val="-4"/>
                <w:highlight w:val="none"/>
              </w:rPr>
              <w:t>31</w:t>
            </w:r>
          </w:p>
        </w:tc>
        <w:tc>
          <w:tcPr>
            <w:tcW w:w="2147" w:type="dxa"/>
            <w:vAlign w:val="top"/>
          </w:tcPr>
          <w:p w14:paraId="2BCFB0FF">
            <w:pPr>
              <w:pStyle w:val="25"/>
              <w:spacing w:before="38" w:line="214" w:lineRule="auto"/>
              <w:ind w:left="484" w:right="116" w:hanging="363"/>
              <w:rPr>
                <w:highlight w:val="none"/>
              </w:rPr>
            </w:pPr>
            <w:r>
              <w:rPr>
                <w:spacing w:val="-2"/>
                <w:highlight w:val="none"/>
              </w:rPr>
              <w:t>投标文件递交截止</w:t>
            </w:r>
            <w:r>
              <w:rPr>
                <w:spacing w:val="-3"/>
                <w:highlight w:val="none"/>
              </w:rPr>
              <w:t>及开标时间</w:t>
            </w:r>
          </w:p>
        </w:tc>
        <w:tc>
          <w:tcPr>
            <w:tcW w:w="6202" w:type="dxa"/>
            <w:vAlign w:val="top"/>
          </w:tcPr>
          <w:p w14:paraId="04183CF2">
            <w:pPr>
              <w:pStyle w:val="25"/>
              <w:spacing w:before="195" w:line="218" w:lineRule="auto"/>
              <w:ind w:left="13"/>
              <w:rPr>
                <w:highlight w:val="none"/>
              </w:rPr>
            </w:pPr>
            <w:r>
              <w:rPr>
                <w:spacing w:val="-15"/>
                <w:highlight w:val="none"/>
              </w:rPr>
              <w:t>202</w:t>
            </w:r>
            <w:r>
              <w:rPr>
                <w:spacing w:val="-1"/>
                <w:highlight w:val="none"/>
              </w:rPr>
              <w:t>6年</w:t>
            </w:r>
            <w:r>
              <w:rPr>
                <w:rFonts w:hint="eastAsia"/>
                <w:spacing w:val="-1"/>
                <w:highlight w:val="none"/>
                <w:lang w:val="en-US" w:eastAsia="zh-CN"/>
              </w:rPr>
              <w:t>06</w:t>
            </w:r>
            <w:r>
              <w:rPr>
                <w:spacing w:val="-1"/>
                <w:highlight w:val="none"/>
              </w:rPr>
              <w:t>月</w:t>
            </w:r>
            <w:r>
              <w:rPr>
                <w:rFonts w:hint="eastAsia"/>
                <w:spacing w:val="-1"/>
                <w:highlight w:val="none"/>
                <w:lang w:val="en-US" w:eastAsia="zh-CN"/>
              </w:rPr>
              <w:t xml:space="preserve"> </w:t>
            </w:r>
            <w:r>
              <w:rPr>
                <w:spacing w:val="-1"/>
                <w:highlight w:val="none"/>
              </w:rPr>
              <w:t>日</w:t>
            </w:r>
            <w:r>
              <w:rPr>
                <w:rFonts w:hint="eastAsia"/>
                <w:spacing w:val="-1"/>
                <w:highlight w:val="none"/>
                <w:lang w:val="en-US" w:eastAsia="zh-CN"/>
              </w:rPr>
              <w:t xml:space="preserve"> </w:t>
            </w:r>
            <w:r>
              <w:rPr>
                <w:spacing w:val="-1"/>
                <w:highlight w:val="none"/>
              </w:rPr>
              <w:t>时</w:t>
            </w:r>
            <w:r>
              <w:rPr>
                <w:rFonts w:hint="eastAsia"/>
                <w:spacing w:val="-1"/>
                <w:highlight w:val="none"/>
                <w:lang w:val="en-US" w:eastAsia="zh-CN"/>
              </w:rPr>
              <w:t xml:space="preserve"> </w:t>
            </w:r>
            <w:r>
              <w:rPr>
                <w:spacing w:val="-1"/>
                <w:highlight w:val="none"/>
              </w:rPr>
              <w:t>分</w:t>
            </w:r>
          </w:p>
        </w:tc>
      </w:tr>
      <w:tr w14:paraId="2EAD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873" w:type="dxa"/>
            <w:vAlign w:val="top"/>
          </w:tcPr>
          <w:p w14:paraId="630A038A">
            <w:pPr>
              <w:spacing w:line="259" w:lineRule="auto"/>
              <w:rPr>
                <w:rFonts w:ascii="Arial"/>
                <w:sz w:val="21"/>
                <w:highlight w:val="none"/>
              </w:rPr>
            </w:pPr>
          </w:p>
          <w:p w14:paraId="6C332D78">
            <w:pPr>
              <w:spacing w:line="259" w:lineRule="auto"/>
              <w:rPr>
                <w:rFonts w:ascii="Arial"/>
                <w:sz w:val="21"/>
                <w:highlight w:val="none"/>
              </w:rPr>
            </w:pPr>
          </w:p>
          <w:p w14:paraId="04F10F04">
            <w:pPr>
              <w:pStyle w:val="25"/>
              <w:spacing w:before="78" w:line="237" w:lineRule="auto"/>
              <w:ind w:left="325"/>
              <w:rPr>
                <w:highlight w:val="none"/>
              </w:rPr>
            </w:pPr>
            <w:r>
              <w:rPr>
                <w:spacing w:val="-4"/>
                <w:highlight w:val="none"/>
              </w:rPr>
              <w:t>32</w:t>
            </w:r>
          </w:p>
        </w:tc>
        <w:tc>
          <w:tcPr>
            <w:tcW w:w="2147" w:type="dxa"/>
            <w:vAlign w:val="top"/>
          </w:tcPr>
          <w:p w14:paraId="33776773">
            <w:pPr>
              <w:spacing w:line="259" w:lineRule="auto"/>
              <w:rPr>
                <w:rFonts w:ascii="Arial"/>
                <w:sz w:val="21"/>
                <w:highlight w:val="none"/>
              </w:rPr>
            </w:pPr>
          </w:p>
          <w:p w14:paraId="6CA703C3">
            <w:pPr>
              <w:spacing w:line="260" w:lineRule="auto"/>
              <w:rPr>
                <w:rFonts w:ascii="Arial"/>
                <w:sz w:val="21"/>
                <w:highlight w:val="none"/>
              </w:rPr>
            </w:pPr>
          </w:p>
          <w:p w14:paraId="5BED8EC0">
            <w:pPr>
              <w:pStyle w:val="25"/>
              <w:spacing w:before="78" w:line="218" w:lineRule="auto"/>
              <w:ind w:left="601"/>
              <w:rPr>
                <w:highlight w:val="none"/>
              </w:rPr>
            </w:pPr>
            <w:r>
              <w:rPr>
                <w:spacing w:val="-3"/>
                <w:highlight w:val="none"/>
              </w:rPr>
              <w:t>开标地点</w:t>
            </w:r>
          </w:p>
        </w:tc>
        <w:tc>
          <w:tcPr>
            <w:tcW w:w="6202" w:type="dxa"/>
            <w:vAlign w:val="top"/>
          </w:tcPr>
          <w:p w14:paraId="27CDAFBD">
            <w:pPr>
              <w:pStyle w:val="25"/>
              <w:spacing w:before="102" w:line="248" w:lineRule="auto"/>
              <w:ind w:left="24" w:right="195" w:hanging="7"/>
              <w:rPr>
                <w:highlight w:val="none"/>
              </w:rPr>
            </w:pPr>
            <w:r>
              <w:rPr>
                <w:spacing w:val="-1"/>
                <w:highlight w:val="none"/>
              </w:rPr>
              <w:t>投标人</w:t>
            </w:r>
            <w:r>
              <w:rPr>
                <w:rFonts w:hint="eastAsia"/>
                <w:spacing w:val="-1"/>
                <w:highlight w:val="none"/>
                <w:lang w:eastAsia="zh-CN"/>
              </w:rPr>
              <w:t>登录</w:t>
            </w:r>
            <w:r>
              <w:rPr>
                <w:spacing w:val="-1"/>
                <w:highlight w:val="none"/>
              </w:rPr>
              <w:t>六安市公共资源交易不见面开标系统参加开标</w:t>
            </w:r>
            <w:r>
              <w:rPr>
                <w:spacing w:val="-13"/>
                <w:highlight w:val="none"/>
              </w:rPr>
              <w:t>活动。</w:t>
            </w:r>
          </w:p>
          <w:p w14:paraId="14F51367">
            <w:pPr>
              <w:pStyle w:val="25"/>
              <w:spacing w:before="45"/>
              <w:ind w:left="22" w:right="195" w:hanging="5"/>
              <w:rPr>
                <w:highlight w:val="none"/>
              </w:rPr>
            </w:pPr>
            <w:r>
              <w:rPr>
                <w:spacing w:val="-1"/>
                <w:highlight w:val="none"/>
              </w:rPr>
              <w:t>招标人代表及代理机构工作人员在霍邱县公共资源交易中</w:t>
            </w:r>
            <w:r>
              <w:rPr>
                <w:spacing w:val="-2"/>
                <w:highlight w:val="none"/>
              </w:rPr>
              <w:t>心不见面开标</w:t>
            </w:r>
            <w:r>
              <w:rPr>
                <w:rFonts w:hint="eastAsia"/>
                <w:spacing w:val="-2"/>
                <w:highlight w:val="none"/>
                <w:lang w:val="en-US" w:eastAsia="zh-CN"/>
              </w:rPr>
              <w:t xml:space="preserve">   </w:t>
            </w:r>
            <w:r>
              <w:rPr>
                <w:spacing w:val="-2"/>
                <w:highlight w:val="none"/>
              </w:rPr>
              <w:t>组织开标</w:t>
            </w:r>
          </w:p>
        </w:tc>
      </w:tr>
      <w:tr w14:paraId="2226F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3" w:type="dxa"/>
            <w:vAlign w:val="top"/>
          </w:tcPr>
          <w:p w14:paraId="7D944058">
            <w:pPr>
              <w:pStyle w:val="25"/>
              <w:spacing w:before="269" w:line="237" w:lineRule="auto"/>
              <w:ind w:left="325"/>
              <w:rPr>
                <w:highlight w:val="none"/>
              </w:rPr>
            </w:pPr>
            <w:r>
              <w:rPr>
                <w:spacing w:val="-4"/>
                <w:highlight w:val="none"/>
              </w:rPr>
              <w:t>33</w:t>
            </w:r>
          </w:p>
        </w:tc>
        <w:tc>
          <w:tcPr>
            <w:tcW w:w="2147" w:type="dxa"/>
            <w:vAlign w:val="top"/>
          </w:tcPr>
          <w:p w14:paraId="13C14674">
            <w:pPr>
              <w:pStyle w:val="25"/>
              <w:spacing w:before="119" w:line="232" w:lineRule="auto"/>
              <w:ind w:left="841" w:right="111" w:hanging="719"/>
              <w:rPr>
                <w:highlight w:val="none"/>
              </w:rPr>
            </w:pPr>
            <w:r>
              <w:rPr>
                <w:b/>
                <w:bCs/>
                <w:spacing w:val="-5"/>
                <w:highlight w:val="none"/>
              </w:rPr>
              <w:t>递交投标文件注意</w:t>
            </w:r>
            <w:r>
              <w:rPr>
                <w:b/>
                <w:bCs/>
                <w:spacing w:val="-6"/>
                <w:highlight w:val="none"/>
              </w:rPr>
              <w:t>事项</w:t>
            </w:r>
          </w:p>
        </w:tc>
        <w:tc>
          <w:tcPr>
            <w:tcW w:w="6202" w:type="dxa"/>
            <w:vAlign w:val="top"/>
          </w:tcPr>
          <w:p w14:paraId="7AD47856">
            <w:pPr>
              <w:pStyle w:val="25"/>
              <w:spacing w:before="265" w:line="215" w:lineRule="auto"/>
              <w:ind w:left="17"/>
              <w:rPr>
                <w:highlight w:val="none"/>
              </w:rPr>
            </w:pPr>
            <w:r>
              <w:rPr>
                <w:b/>
                <w:bCs/>
                <w:spacing w:val="-3"/>
                <w:highlight w:val="none"/>
              </w:rPr>
              <w:t>加密电子版投标文件必须在投标截止时间前网上递交。</w:t>
            </w:r>
          </w:p>
        </w:tc>
      </w:tr>
    </w:tbl>
    <w:p w14:paraId="272692B2">
      <w:pPr>
        <w:pStyle w:val="3"/>
        <w:rPr>
          <w:highlight w:val="none"/>
        </w:rPr>
      </w:pPr>
    </w:p>
    <w:p w14:paraId="402500FB">
      <w:pPr>
        <w:rPr>
          <w:highlight w:val="none"/>
        </w:rPr>
        <w:sectPr>
          <w:footerReference r:id="rId11" w:type="default"/>
          <w:pgSz w:w="11907" w:h="16839"/>
          <w:pgMar w:top="1431" w:right="1018" w:bottom="1199" w:left="1661" w:header="0" w:footer="968" w:gutter="0"/>
          <w:cols w:space="720" w:num="1"/>
        </w:sectPr>
      </w:pPr>
    </w:p>
    <w:p w14:paraId="013808F0">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035EB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5" w:hRule="atLeast"/>
        </w:trPr>
        <w:tc>
          <w:tcPr>
            <w:tcW w:w="873" w:type="dxa"/>
            <w:vAlign w:val="top"/>
          </w:tcPr>
          <w:p w14:paraId="18B524B2">
            <w:pPr>
              <w:spacing w:line="260" w:lineRule="auto"/>
              <w:rPr>
                <w:rFonts w:ascii="Arial"/>
                <w:sz w:val="21"/>
                <w:highlight w:val="none"/>
              </w:rPr>
            </w:pPr>
          </w:p>
          <w:p w14:paraId="7F272EE5">
            <w:pPr>
              <w:spacing w:line="260" w:lineRule="auto"/>
              <w:rPr>
                <w:rFonts w:ascii="Arial"/>
                <w:sz w:val="21"/>
                <w:highlight w:val="none"/>
              </w:rPr>
            </w:pPr>
          </w:p>
          <w:p w14:paraId="564FEDD5">
            <w:pPr>
              <w:spacing w:line="260" w:lineRule="auto"/>
              <w:rPr>
                <w:rFonts w:ascii="Arial"/>
                <w:sz w:val="21"/>
                <w:highlight w:val="none"/>
              </w:rPr>
            </w:pPr>
          </w:p>
          <w:p w14:paraId="5FE12982">
            <w:pPr>
              <w:spacing w:line="260" w:lineRule="auto"/>
              <w:rPr>
                <w:rFonts w:ascii="Arial"/>
                <w:sz w:val="21"/>
                <w:highlight w:val="none"/>
              </w:rPr>
            </w:pPr>
          </w:p>
          <w:p w14:paraId="30438435">
            <w:pPr>
              <w:spacing w:line="261" w:lineRule="auto"/>
              <w:rPr>
                <w:rFonts w:ascii="Arial"/>
                <w:sz w:val="21"/>
                <w:highlight w:val="none"/>
              </w:rPr>
            </w:pPr>
          </w:p>
          <w:p w14:paraId="39B82197">
            <w:pPr>
              <w:spacing w:line="261" w:lineRule="auto"/>
              <w:rPr>
                <w:rFonts w:ascii="Arial"/>
                <w:sz w:val="21"/>
                <w:highlight w:val="none"/>
              </w:rPr>
            </w:pPr>
          </w:p>
          <w:p w14:paraId="610B8F08">
            <w:pPr>
              <w:spacing w:line="261" w:lineRule="auto"/>
              <w:rPr>
                <w:rFonts w:ascii="Arial"/>
                <w:sz w:val="21"/>
                <w:highlight w:val="none"/>
              </w:rPr>
            </w:pPr>
          </w:p>
          <w:p w14:paraId="6CE64730">
            <w:pPr>
              <w:pStyle w:val="25"/>
              <w:spacing w:before="78" w:line="237" w:lineRule="auto"/>
              <w:ind w:left="325"/>
              <w:rPr>
                <w:highlight w:val="none"/>
              </w:rPr>
            </w:pPr>
            <w:r>
              <w:rPr>
                <w:spacing w:val="-4"/>
                <w:highlight w:val="none"/>
              </w:rPr>
              <w:t>34</w:t>
            </w:r>
          </w:p>
        </w:tc>
        <w:tc>
          <w:tcPr>
            <w:tcW w:w="2147" w:type="dxa"/>
            <w:vAlign w:val="top"/>
          </w:tcPr>
          <w:p w14:paraId="6732BB71">
            <w:pPr>
              <w:spacing w:line="260" w:lineRule="auto"/>
              <w:rPr>
                <w:rFonts w:ascii="Arial"/>
                <w:sz w:val="21"/>
                <w:highlight w:val="none"/>
              </w:rPr>
            </w:pPr>
          </w:p>
          <w:p w14:paraId="295E1A7F">
            <w:pPr>
              <w:spacing w:line="260" w:lineRule="auto"/>
              <w:rPr>
                <w:rFonts w:ascii="Arial"/>
                <w:sz w:val="21"/>
                <w:highlight w:val="none"/>
              </w:rPr>
            </w:pPr>
          </w:p>
          <w:p w14:paraId="25142453">
            <w:pPr>
              <w:spacing w:line="260" w:lineRule="auto"/>
              <w:rPr>
                <w:rFonts w:ascii="Arial"/>
                <w:sz w:val="21"/>
                <w:highlight w:val="none"/>
              </w:rPr>
            </w:pPr>
          </w:p>
          <w:p w14:paraId="4A01743F">
            <w:pPr>
              <w:spacing w:line="261" w:lineRule="auto"/>
              <w:rPr>
                <w:rFonts w:ascii="Arial"/>
                <w:sz w:val="21"/>
                <w:highlight w:val="none"/>
              </w:rPr>
            </w:pPr>
          </w:p>
          <w:p w14:paraId="05ED842D">
            <w:pPr>
              <w:spacing w:line="261" w:lineRule="auto"/>
              <w:rPr>
                <w:rFonts w:ascii="Arial"/>
                <w:sz w:val="21"/>
                <w:highlight w:val="none"/>
              </w:rPr>
            </w:pPr>
          </w:p>
          <w:p w14:paraId="735F0032">
            <w:pPr>
              <w:spacing w:line="261" w:lineRule="auto"/>
              <w:rPr>
                <w:rFonts w:ascii="Arial"/>
                <w:sz w:val="21"/>
                <w:highlight w:val="none"/>
              </w:rPr>
            </w:pPr>
          </w:p>
          <w:p w14:paraId="2A798BE8">
            <w:pPr>
              <w:spacing w:line="261" w:lineRule="auto"/>
              <w:rPr>
                <w:rFonts w:ascii="Arial"/>
                <w:sz w:val="21"/>
                <w:highlight w:val="none"/>
              </w:rPr>
            </w:pPr>
          </w:p>
          <w:p w14:paraId="1AC8F691">
            <w:pPr>
              <w:pStyle w:val="25"/>
              <w:spacing w:before="78" w:line="218" w:lineRule="auto"/>
              <w:ind w:left="601"/>
              <w:rPr>
                <w:highlight w:val="none"/>
              </w:rPr>
            </w:pPr>
            <w:r>
              <w:rPr>
                <w:b/>
                <w:bCs/>
                <w:spacing w:val="-6"/>
                <w:highlight w:val="none"/>
              </w:rPr>
              <w:t>解密要求</w:t>
            </w:r>
          </w:p>
        </w:tc>
        <w:tc>
          <w:tcPr>
            <w:tcW w:w="6202" w:type="dxa"/>
            <w:vAlign w:val="top"/>
          </w:tcPr>
          <w:p w14:paraId="3EC8DA20">
            <w:pPr>
              <w:pStyle w:val="25"/>
              <w:spacing w:before="39" w:line="232" w:lineRule="auto"/>
              <w:ind w:left="17" w:right="5" w:firstLine="10"/>
              <w:rPr>
                <w:highlight w:val="none"/>
              </w:rPr>
            </w:pPr>
            <w:r>
              <w:rPr>
                <w:spacing w:val="1"/>
                <w:highlight w:val="none"/>
              </w:rPr>
              <w:t>1、对加密电子版投标文件进行两次解密，开标时由投标人</w:t>
            </w:r>
            <w:r>
              <w:rPr>
                <w:spacing w:val="-3"/>
                <w:highlight w:val="none"/>
              </w:rPr>
              <w:t>用 CA 锁先行解密，然后由招标人或其代理机构对投标文件</w:t>
            </w:r>
            <w:r>
              <w:rPr>
                <w:spacing w:val="-8"/>
                <w:highlight w:val="none"/>
              </w:rPr>
              <w:t>进行解密。</w:t>
            </w:r>
          </w:p>
          <w:p w14:paraId="62D868FA">
            <w:pPr>
              <w:pStyle w:val="25"/>
              <w:spacing w:before="23" w:line="237" w:lineRule="auto"/>
              <w:ind w:left="16" w:right="5" w:hanging="3"/>
              <w:rPr>
                <w:highlight w:val="none"/>
              </w:rPr>
            </w:pPr>
            <w:r>
              <w:rPr>
                <w:spacing w:val="1"/>
                <w:highlight w:val="none"/>
              </w:rPr>
              <w:t>2、本项目采用不见面开标（网上解密）方式，投标人无需</w:t>
            </w:r>
            <w:r>
              <w:rPr>
                <w:spacing w:val="-3"/>
                <w:highlight w:val="none"/>
              </w:rPr>
              <w:t>至开标现场进行解密，采取网上解密方式解密投标文件。投标人在开标时间前使用 CA 数字证书登录“六安市公共资源交易不见面开标系统”，等待开标并按系统提示进行相应的投标人解密等事项，采用本方式可以观看开标现场音视频直播并进行互动交流。具体操作方法见六安市公共资源交易中心网站“服务指引—交易微课堂”栏目中“六安市公共资源交易不见面开标系统操作手册（投标人）”。</w:t>
            </w:r>
          </w:p>
          <w:p w14:paraId="34DF44D0">
            <w:pPr>
              <w:pStyle w:val="25"/>
              <w:spacing w:before="30" w:line="224" w:lineRule="auto"/>
              <w:ind w:left="24" w:right="4" w:hanging="9"/>
              <w:rPr>
                <w:highlight w:val="none"/>
              </w:rPr>
            </w:pPr>
            <w:r>
              <w:rPr>
                <w:spacing w:val="2"/>
                <w:highlight w:val="none"/>
              </w:rPr>
              <w:t>3、解密时间：解密程序开始后每个投标人均应在解密指令</w:t>
            </w:r>
            <w:r>
              <w:rPr>
                <w:spacing w:val="-4"/>
                <w:highlight w:val="none"/>
              </w:rPr>
              <w:t>发出后</w:t>
            </w:r>
            <w:r>
              <w:rPr>
                <w:spacing w:val="-36"/>
                <w:highlight w:val="none"/>
              </w:rPr>
              <w:t xml:space="preserve"> </w:t>
            </w:r>
            <w:r>
              <w:rPr>
                <w:spacing w:val="-4"/>
                <w:highlight w:val="none"/>
              </w:rPr>
              <w:t>30</w:t>
            </w:r>
            <w:r>
              <w:rPr>
                <w:spacing w:val="-41"/>
                <w:highlight w:val="none"/>
              </w:rPr>
              <w:t xml:space="preserve"> </w:t>
            </w:r>
            <w:r>
              <w:rPr>
                <w:spacing w:val="-4"/>
                <w:highlight w:val="none"/>
              </w:rPr>
              <w:t>分钟内完成解密，否则响应文件将被拒绝。</w:t>
            </w:r>
          </w:p>
        </w:tc>
      </w:tr>
      <w:tr w14:paraId="49DB0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73" w:type="dxa"/>
            <w:vAlign w:val="top"/>
          </w:tcPr>
          <w:p w14:paraId="16650099">
            <w:pPr>
              <w:spacing w:line="434" w:lineRule="auto"/>
              <w:rPr>
                <w:rFonts w:ascii="Arial"/>
                <w:sz w:val="21"/>
                <w:highlight w:val="none"/>
              </w:rPr>
            </w:pPr>
          </w:p>
          <w:p w14:paraId="0F3412DE">
            <w:pPr>
              <w:pStyle w:val="25"/>
              <w:spacing w:before="78" w:line="237" w:lineRule="auto"/>
              <w:ind w:left="325"/>
              <w:rPr>
                <w:highlight w:val="none"/>
              </w:rPr>
            </w:pPr>
            <w:r>
              <w:rPr>
                <w:spacing w:val="-4"/>
                <w:highlight w:val="none"/>
              </w:rPr>
              <w:t>35</w:t>
            </w:r>
          </w:p>
        </w:tc>
        <w:tc>
          <w:tcPr>
            <w:tcW w:w="2147" w:type="dxa"/>
            <w:vAlign w:val="top"/>
          </w:tcPr>
          <w:p w14:paraId="0CE3D2CB">
            <w:pPr>
              <w:spacing w:line="434" w:lineRule="auto"/>
              <w:rPr>
                <w:rFonts w:ascii="Arial"/>
                <w:sz w:val="21"/>
                <w:highlight w:val="none"/>
              </w:rPr>
            </w:pPr>
          </w:p>
          <w:p w14:paraId="2D0EF411">
            <w:pPr>
              <w:pStyle w:val="25"/>
              <w:spacing w:before="78" w:line="218" w:lineRule="auto"/>
              <w:ind w:left="361"/>
              <w:rPr>
                <w:highlight w:val="none"/>
              </w:rPr>
            </w:pPr>
            <w:r>
              <w:rPr>
                <w:spacing w:val="-3"/>
                <w:highlight w:val="none"/>
              </w:rPr>
              <w:t>开标注意事项</w:t>
            </w:r>
          </w:p>
        </w:tc>
        <w:tc>
          <w:tcPr>
            <w:tcW w:w="6202" w:type="dxa"/>
            <w:vAlign w:val="top"/>
          </w:tcPr>
          <w:p w14:paraId="11568EEC">
            <w:pPr>
              <w:pStyle w:val="25"/>
              <w:spacing w:before="130" w:line="288" w:lineRule="auto"/>
              <w:ind w:left="18" w:right="4" w:firstLine="2"/>
              <w:jc w:val="both"/>
              <w:rPr>
                <w:highlight w:val="none"/>
              </w:rPr>
            </w:pPr>
            <w:r>
              <w:rPr>
                <w:spacing w:val="-3"/>
                <w:highlight w:val="none"/>
              </w:rPr>
              <w:t>参加本项目的投标人应提前准备好电脑、耳麦等相关设备，</w:t>
            </w:r>
            <w:r>
              <w:rPr>
                <w:spacing w:val="6"/>
                <w:highlight w:val="none"/>
              </w:rPr>
              <w:t>确保开标顺利进行，如因设备造成的问题由投标人自行负</w:t>
            </w:r>
            <w:r>
              <w:rPr>
                <w:spacing w:val="-9"/>
                <w:highlight w:val="none"/>
              </w:rPr>
              <w:t>责。</w:t>
            </w:r>
          </w:p>
        </w:tc>
      </w:tr>
      <w:tr w14:paraId="0D76A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3" w:type="dxa"/>
            <w:vAlign w:val="top"/>
          </w:tcPr>
          <w:p w14:paraId="669C8AA1">
            <w:pPr>
              <w:spacing w:line="272" w:lineRule="auto"/>
              <w:rPr>
                <w:rFonts w:ascii="Arial"/>
                <w:sz w:val="21"/>
                <w:highlight w:val="none"/>
              </w:rPr>
            </w:pPr>
          </w:p>
          <w:p w14:paraId="7EA44CF9">
            <w:pPr>
              <w:pStyle w:val="25"/>
              <w:spacing w:before="78" w:line="237" w:lineRule="auto"/>
              <w:ind w:left="325"/>
              <w:rPr>
                <w:highlight w:val="none"/>
              </w:rPr>
            </w:pPr>
            <w:r>
              <w:rPr>
                <w:spacing w:val="-4"/>
                <w:highlight w:val="none"/>
              </w:rPr>
              <w:t>36</w:t>
            </w:r>
          </w:p>
        </w:tc>
        <w:tc>
          <w:tcPr>
            <w:tcW w:w="2147" w:type="dxa"/>
            <w:vAlign w:val="top"/>
          </w:tcPr>
          <w:p w14:paraId="2FD65481">
            <w:pPr>
              <w:spacing w:line="273" w:lineRule="auto"/>
              <w:rPr>
                <w:rFonts w:ascii="Arial"/>
                <w:sz w:val="21"/>
                <w:highlight w:val="none"/>
              </w:rPr>
            </w:pPr>
          </w:p>
          <w:p w14:paraId="31D84CDD">
            <w:pPr>
              <w:pStyle w:val="25"/>
              <w:spacing w:before="78" w:line="218" w:lineRule="auto"/>
              <w:ind w:left="240"/>
              <w:rPr>
                <w:highlight w:val="none"/>
              </w:rPr>
            </w:pPr>
            <w:r>
              <w:rPr>
                <w:b/>
                <w:bCs/>
                <w:spacing w:val="-4"/>
                <w:highlight w:val="none"/>
              </w:rPr>
              <w:t>评标委员会组建</w:t>
            </w:r>
          </w:p>
        </w:tc>
        <w:tc>
          <w:tcPr>
            <w:tcW w:w="6202" w:type="dxa"/>
            <w:vAlign w:val="top"/>
          </w:tcPr>
          <w:p w14:paraId="76259DB5">
            <w:pPr>
              <w:pStyle w:val="25"/>
              <w:spacing w:before="36" w:line="229" w:lineRule="auto"/>
              <w:ind w:left="17" w:right="5"/>
              <w:rPr>
                <w:highlight w:val="none"/>
              </w:rPr>
            </w:pPr>
            <w:r>
              <w:rPr>
                <w:spacing w:val="-4"/>
                <w:highlight w:val="none"/>
              </w:rPr>
              <w:t>评标委员会构成：</w:t>
            </w:r>
            <w:r>
              <w:rPr>
                <w:rFonts w:hint="eastAsia"/>
                <w:spacing w:val="-4"/>
                <w:highlight w:val="none"/>
                <w:lang w:val="en-US" w:eastAsia="zh-CN"/>
              </w:rPr>
              <w:t>7</w:t>
            </w:r>
            <w:r>
              <w:rPr>
                <w:spacing w:val="-4"/>
                <w:highlight w:val="none"/>
              </w:rPr>
              <w:t>人，其中招标人代表</w:t>
            </w:r>
            <w:r>
              <w:rPr>
                <w:spacing w:val="-48"/>
                <w:highlight w:val="none"/>
              </w:rPr>
              <w:t xml:space="preserve"> </w:t>
            </w:r>
            <w:r>
              <w:rPr>
                <w:rFonts w:hint="eastAsia"/>
                <w:spacing w:val="-4"/>
                <w:highlight w:val="none"/>
                <w:lang w:val="en-US" w:eastAsia="zh-CN"/>
              </w:rPr>
              <w:t>2</w:t>
            </w:r>
            <w:r>
              <w:rPr>
                <w:spacing w:val="-4"/>
                <w:highlight w:val="none"/>
              </w:rPr>
              <w:t>人，专家</w:t>
            </w:r>
            <w:r>
              <w:rPr>
                <w:rFonts w:hint="eastAsia"/>
                <w:spacing w:val="-47"/>
                <w:highlight w:val="none"/>
                <w:lang w:val="en-US" w:eastAsia="zh-CN"/>
              </w:rPr>
              <w:t>5</w:t>
            </w:r>
            <w:r>
              <w:rPr>
                <w:spacing w:val="-4"/>
                <w:highlight w:val="none"/>
              </w:rPr>
              <w:t>人。</w:t>
            </w:r>
            <w:r>
              <w:rPr>
                <w:spacing w:val="-3"/>
                <w:highlight w:val="none"/>
              </w:rPr>
              <w:t>评标专家确定方式：依法从安徽省综合评标评审专家库中随</w:t>
            </w:r>
            <w:r>
              <w:rPr>
                <w:spacing w:val="-9"/>
                <w:highlight w:val="none"/>
              </w:rPr>
              <w:t>机抽取。</w:t>
            </w:r>
          </w:p>
        </w:tc>
      </w:tr>
      <w:tr w14:paraId="12ED1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0" w:hRule="atLeast"/>
        </w:trPr>
        <w:tc>
          <w:tcPr>
            <w:tcW w:w="873" w:type="dxa"/>
            <w:vAlign w:val="top"/>
          </w:tcPr>
          <w:p w14:paraId="672945F7">
            <w:pPr>
              <w:spacing w:line="259" w:lineRule="auto"/>
              <w:rPr>
                <w:rFonts w:ascii="Arial"/>
                <w:sz w:val="21"/>
                <w:highlight w:val="none"/>
              </w:rPr>
            </w:pPr>
          </w:p>
          <w:p w14:paraId="4E14F62C">
            <w:pPr>
              <w:spacing w:line="260" w:lineRule="auto"/>
              <w:rPr>
                <w:rFonts w:ascii="Arial"/>
                <w:sz w:val="21"/>
                <w:highlight w:val="none"/>
              </w:rPr>
            </w:pPr>
          </w:p>
          <w:p w14:paraId="250B996E">
            <w:pPr>
              <w:spacing w:line="260" w:lineRule="auto"/>
              <w:rPr>
                <w:rFonts w:ascii="Arial"/>
                <w:sz w:val="21"/>
                <w:highlight w:val="none"/>
              </w:rPr>
            </w:pPr>
          </w:p>
          <w:p w14:paraId="73CAD924">
            <w:pPr>
              <w:spacing w:line="260" w:lineRule="auto"/>
              <w:rPr>
                <w:rFonts w:ascii="Arial"/>
                <w:sz w:val="21"/>
                <w:highlight w:val="none"/>
              </w:rPr>
            </w:pPr>
          </w:p>
          <w:p w14:paraId="7C9C1E8F">
            <w:pPr>
              <w:spacing w:line="260" w:lineRule="auto"/>
              <w:rPr>
                <w:rFonts w:ascii="Arial"/>
                <w:sz w:val="21"/>
                <w:highlight w:val="none"/>
              </w:rPr>
            </w:pPr>
          </w:p>
          <w:p w14:paraId="5229372D">
            <w:pPr>
              <w:spacing w:line="260" w:lineRule="auto"/>
              <w:rPr>
                <w:rFonts w:ascii="Arial"/>
                <w:sz w:val="21"/>
                <w:highlight w:val="none"/>
              </w:rPr>
            </w:pPr>
          </w:p>
          <w:p w14:paraId="26B33537">
            <w:pPr>
              <w:spacing w:line="260" w:lineRule="auto"/>
              <w:rPr>
                <w:rFonts w:ascii="Arial"/>
                <w:sz w:val="21"/>
                <w:highlight w:val="none"/>
              </w:rPr>
            </w:pPr>
          </w:p>
          <w:p w14:paraId="2291C560">
            <w:pPr>
              <w:pStyle w:val="25"/>
              <w:spacing w:before="78" w:line="237" w:lineRule="auto"/>
              <w:ind w:left="325"/>
              <w:rPr>
                <w:highlight w:val="none"/>
              </w:rPr>
            </w:pPr>
            <w:r>
              <w:rPr>
                <w:spacing w:val="-4"/>
                <w:highlight w:val="none"/>
              </w:rPr>
              <w:t>37</w:t>
            </w:r>
          </w:p>
        </w:tc>
        <w:tc>
          <w:tcPr>
            <w:tcW w:w="2147" w:type="dxa"/>
            <w:vAlign w:val="top"/>
          </w:tcPr>
          <w:p w14:paraId="17E7F680">
            <w:pPr>
              <w:spacing w:line="259" w:lineRule="auto"/>
              <w:rPr>
                <w:rFonts w:ascii="Arial"/>
                <w:sz w:val="21"/>
                <w:highlight w:val="none"/>
              </w:rPr>
            </w:pPr>
          </w:p>
          <w:p w14:paraId="44722BC2">
            <w:pPr>
              <w:spacing w:line="260" w:lineRule="auto"/>
              <w:rPr>
                <w:rFonts w:ascii="Arial"/>
                <w:sz w:val="21"/>
                <w:highlight w:val="none"/>
              </w:rPr>
            </w:pPr>
          </w:p>
          <w:p w14:paraId="423F23C4">
            <w:pPr>
              <w:spacing w:line="260" w:lineRule="auto"/>
              <w:rPr>
                <w:rFonts w:ascii="Arial"/>
                <w:sz w:val="21"/>
                <w:highlight w:val="none"/>
              </w:rPr>
            </w:pPr>
          </w:p>
          <w:p w14:paraId="7461C0EB">
            <w:pPr>
              <w:spacing w:line="260" w:lineRule="auto"/>
              <w:rPr>
                <w:rFonts w:ascii="Arial"/>
                <w:sz w:val="21"/>
                <w:highlight w:val="none"/>
              </w:rPr>
            </w:pPr>
          </w:p>
          <w:p w14:paraId="7FFAA31E">
            <w:pPr>
              <w:spacing w:line="260" w:lineRule="auto"/>
              <w:rPr>
                <w:rFonts w:ascii="Arial"/>
                <w:sz w:val="21"/>
                <w:highlight w:val="none"/>
              </w:rPr>
            </w:pPr>
          </w:p>
          <w:p w14:paraId="313002A7">
            <w:pPr>
              <w:spacing w:line="260" w:lineRule="auto"/>
              <w:rPr>
                <w:rFonts w:ascii="Arial"/>
                <w:sz w:val="21"/>
                <w:highlight w:val="none"/>
              </w:rPr>
            </w:pPr>
          </w:p>
          <w:p w14:paraId="61E2FEBC">
            <w:pPr>
              <w:spacing w:line="260" w:lineRule="auto"/>
              <w:rPr>
                <w:rFonts w:ascii="Arial"/>
                <w:sz w:val="21"/>
                <w:highlight w:val="none"/>
              </w:rPr>
            </w:pPr>
          </w:p>
          <w:p w14:paraId="648AF8D7">
            <w:pPr>
              <w:pStyle w:val="25"/>
              <w:spacing w:before="78" w:line="218" w:lineRule="auto"/>
              <w:ind w:left="360"/>
              <w:rPr>
                <w:highlight w:val="none"/>
              </w:rPr>
            </w:pPr>
            <w:r>
              <w:rPr>
                <w:b/>
                <w:bCs/>
                <w:spacing w:val="-5"/>
                <w:highlight w:val="none"/>
              </w:rPr>
              <w:t>评标注意事项</w:t>
            </w:r>
          </w:p>
        </w:tc>
        <w:tc>
          <w:tcPr>
            <w:tcW w:w="6202" w:type="dxa"/>
            <w:vAlign w:val="top"/>
          </w:tcPr>
          <w:p w14:paraId="73C21AC8">
            <w:pPr>
              <w:pStyle w:val="25"/>
              <w:spacing w:before="29" w:line="238" w:lineRule="auto"/>
              <w:ind w:left="17" w:firstLine="485"/>
              <w:rPr>
                <w:highlight w:val="none"/>
              </w:rPr>
            </w:pPr>
            <w:r>
              <w:rPr>
                <w:spacing w:val="-1"/>
                <w:highlight w:val="none"/>
              </w:rPr>
              <w:t>1、投标人在制作投标文件时，须将招标文件要求的资</w:t>
            </w:r>
            <w:r>
              <w:rPr>
                <w:spacing w:val="-5"/>
                <w:highlight w:val="none"/>
              </w:rPr>
              <w:t>质资格、社保缴费证明、奖项、业绩、荣誉等相关资料</w:t>
            </w:r>
            <w:r>
              <w:rPr>
                <w:spacing w:val="-6"/>
                <w:highlight w:val="none"/>
              </w:rPr>
              <w:t>原件</w:t>
            </w:r>
            <w:r>
              <w:rPr>
                <w:spacing w:val="-5"/>
                <w:highlight w:val="none"/>
              </w:rPr>
              <w:t>的扫描件编入投标文件中，评标委员会在评审时以投标</w:t>
            </w:r>
            <w:r>
              <w:rPr>
                <w:spacing w:val="-6"/>
                <w:highlight w:val="none"/>
              </w:rPr>
              <w:t>文件</w:t>
            </w:r>
            <w:r>
              <w:rPr>
                <w:spacing w:val="-5"/>
                <w:highlight w:val="none"/>
              </w:rPr>
              <w:t>编入的信息原件扫描件为评审依据（其中：一级建造师</w:t>
            </w:r>
            <w:r>
              <w:rPr>
                <w:spacing w:val="-6"/>
                <w:highlight w:val="none"/>
              </w:rPr>
              <w:t>电子注册证书的评审应按《住房和城乡建设部办公厅关于全面实</w:t>
            </w:r>
            <w:r>
              <w:rPr>
                <w:spacing w:val="-7"/>
                <w:highlight w:val="none"/>
              </w:rPr>
              <w:t>行一级建造师电子注册证书的通知》(建办市〔2021〕40</w:t>
            </w:r>
            <w:r>
              <w:rPr>
                <w:spacing w:val="-39"/>
                <w:highlight w:val="none"/>
              </w:rPr>
              <w:t xml:space="preserve"> </w:t>
            </w:r>
            <w:r>
              <w:rPr>
                <w:spacing w:val="-8"/>
                <w:highlight w:val="none"/>
              </w:rPr>
              <w:t>号)</w:t>
            </w:r>
            <w:r>
              <w:rPr>
                <w:spacing w:val="-5"/>
                <w:highlight w:val="none"/>
              </w:rPr>
              <w:t>执行，具体见技术标二评审说明）。编入投标文件的各种证书、证照、证明、文件、业绩、奖项、荣誉等相关资</w:t>
            </w:r>
            <w:r>
              <w:rPr>
                <w:spacing w:val="-6"/>
                <w:highlight w:val="none"/>
              </w:rPr>
              <w:t>料的扫</w:t>
            </w:r>
            <w:r>
              <w:rPr>
                <w:spacing w:val="-11"/>
                <w:highlight w:val="none"/>
              </w:rPr>
              <w:t>描件的原件，其真实性、准确性、完整性等均由投</w:t>
            </w:r>
            <w:r>
              <w:rPr>
                <w:spacing w:val="-12"/>
                <w:highlight w:val="none"/>
              </w:rPr>
              <w:t>标人负责，</w:t>
            </w:r>
            <w:r>
              <w:rPr>
                <w:spacing w:val="-5"/>
                <w:highlight w:val="none"/>
              </w:rPr>
              <w:t>编入投标文件的原件扫描件必须与原件一致，否则按投</w:t>
            </w:r>
            <w:r>
              <w:rPr>
                <w:spacing w:val="-6"/>
                <w:highlight w:val="none"/>
              </w:rPr>
              <w:t>标无</w:t>
            </w:r>
            <w:r>
              <w:rPr>
                <w:spacing w:val="-8"/>
                <w:highlight w:val="none"/>
              </w:rPr>
              <w:t>效或废标处理。</w:t>
            </w:r>
          </w:p>
          <w:p w14:paraId="436C8AC0">
            <w:pPr>
              <w:pStyle w:val="25"/>
              <w:spacing w:before="26" w:line="223" w:lineRule="auto"/>
              <w:ind w:left="19" w:right="26" w:firstLine="473"/>
              <w:rPr>
                <w:highlight w:val="none"/>
              </w:rPr>
            </w:pPr>
            <w:r>
              <w:rPr>
                <w:spacing w:val="1"/>
                <w:highlight w:val="none"/>
              </w:rPr>
              <w:t>2、评标顺序：先开评技术标一、再开评技术标二，最</w:t>
            </w:r>
            <w:r>
              <w:rPr>
                <w:spacing w:val="-7"/>
                <w:highlight w:val="none"/>
              </w:rPr>
              <w:t>后开评商务标。</w:t>
            </w:r>
          </w:p>
        </w:tc>
      </w:tr>
      <w:tr w14:paraId="592A6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73" w:type="dxa"/>
            <w:vAlign w:val="top"/>
          </w:tcPr>
          <w:p w14:paraId="1FD729DC">
            <w:pPr>
              <w:pStyle w:val="25"/>
              <w:spacing w:before="119" w:line="237" w:lineRule="auto"/>
              <w:ind w:left="325"/>
              <w:rPr>
                <w:highlight w:val="none"/>
              </w:rPr>
            </w:pPr>
            <w:r>
              <w:rPr>
                <w:spacing w:val="-4"/>
                <w:highlight w:val="none"/>
              </w:rPr>
              <w:t>38</w:t>
            </w:r>
          </w:p>
        </w:tc>
        <w:tc>
          <w:tcPr>
            <w:tcW w:w="2147" w:type="dxa"/>
            <w:vAlign w:val="top"/>
          </w:tcPr>
          <w:p w14:paraId="66B359FC">
            <w:pPr>
              <w:pStyle w:val="25"/>
              <w:spacing w:before="119" w:line="218" w:lineRule="auto"/>
              <w:ind w:left="723"/>
              <w:rPr>
                <w:highlight w:val="none"/>
              </w:rPr>
            </w:pPr>
            <w:r>
              <w:rPr>
                <w:spacing w:val="-4"/>
                <w:highlight w:val="none"/>
              </w:rPr>
              <w:t>解释权</w:t>
            </w:r>
          </w:p>
        </w:tc>
        <w:tc>
          <w:tcPr>
            <w:tcW w:w="6202" w:type="dxa"/>
            <w:vAlign w:val="top"/>
          </w:tcPr>
          <w:p w14:paraId="69C6C9A6">
            <w:pPr>
              <w:pStyle w:val="25"/>
              <w:spacing w:before="119" w:line="215" w:lineRule="auto"/>
              <w:ind w:left="18"/>
              <w:rPr>
                <w:highlight w:val="none"/>
              </w:rPr>
            </w:pPr>
            <w:r>
              <w:rPr>
                <w:spacing w:val="-4"/>
                <w:highlight w:val="none"/>
              </w:rPr>
              <w:t>本招标文件的解释权在招标人。</w:t>
            </w:r>
          </w:p>
        </w:tc>
      </w:tr>
      <w:tr w14:paraId="6997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873" w:type="dxa"/>
            <w:vAlign w:val="top"/>
          </w:tcPr>
          <w:p w14:paraId="610E7A8E">
            <w:pPr>
              <w:rPr>
                <w:rFonts w:ascii="Arial"/>
                <w:sz w:val="21"/>
                <w:highlight w:val="none"/>
              </w:rPr>
            </w:pPr>
          </w:p>
          <w:p w14:paraId="46D1EE39">
            <w:pPr>
              <w:spacing w:line="241" w:lineRule="auto"/>
              <w:rPr>
                <w:rFonts w:ascii="Arial"/>
                <w:sz w:val="21"/>
                <w:highlight w:val="none"/>
              </w:rPr>
            </w:pPr>
          </w:p>
          <w:p w14:paraId="490FA0CE">
            <w:pPr>
              <w:spacing w:line="241" w:lineRule="auto"/>
              <w:rPr>
                <w:rFonts w:ascii="Arial"/>
                <w:sz w:val="21"/>
                <w:highlight w:val="none"/>
              </w:rPr>
            </w:pPr>
          </w:p>
          <w:p w14:paraId="3BC75286">
            <w:pPr>
              <w:spacing w:line="241" w:lineRule="auto"/>
              <w:rPr>
                <w:rFonts w:ascii="Arial"/>
                <w:sz w:val="21"/>
                <w:highlight w:val="none"/>
              </w:rPr>
            </w:pPr>
          </w:p>
          <w:p w14:paraId="13D637ED">
            <w:pPr>
              <w:spacing w:line="241" w:lineRule="auto"/>
              <w:rPr>
                <w:rFonts w:ascii="Arial"/>
                <w:sz w:val="21"/>
                <w:highlight w:val="none"/>
              </w:rPr>
            </w:pPr>
          </w:p>
          <w:p w14:paraId="11AA5F82">
            <w:pPr>
              <w:pStyle w:val="25"/>
              <w:spacing w:before="78" w:line="237" w:lineRule="auto"/>
              <w:ind w:left="325"/>
              <w:rPr>
                <w:highlight w:val="none"/>
              </w:rPr>
            </w:pPr>
            <w:r>
              <w:rPr>
                <w:spacing w:val="-4"/>
                <w:highlight w:val="none"/>
              </w:rPr>
              <w:t>39</w:t>
            </w:r>
          </w:p>
        </w:tc>
        <w:tc>
          <w:tcPr>
            <w:tcW w:w="2147" w:type="dxa"/>
            <w:vAlign w:val="top"/>
          </w:tcPr>
          <w:p w14:paraId="322F0575">
            <w:pPr>
              <w:spacing w:line="263" w:lineRule="auto"/>
              <w:rPr>
                <w:rFonts w:ascii="Arial"/>
                <w:sz w:val="21"/>
                <w:highlight w:val="none"/>
              </w:rPr>
            </w:pPr>
          </w:p>
          <w:p w14:paraId="3C3B25B0">
            <w:pPr>
              <w:spacing w:line="263" w:lineRule="auto"/>
              <w:rPr>
                <w:rFonts w:ascii="Arial"/>
                <w:sz w:val="21"/>
                <w:highlight w:val="none"/>
              </w:rPr>
            </w:pPr>
          </w:p>
          <w:p w14:paraId="48128F4F">
            <w:pPr>
              <w:spacing w:line="264" w:lineRule="auto"/>
              <w:rPr>
                <w:rFonts w:ascii="Arial"/>
                <w:sz w:val="21"/>
                <w:highlight w:val="none"/>
              </w:rPr>
            </w:pPr>
          </w:p>
          <w:p w14:paraId="0F63648D">
            <w:pPr>
              <w:spacing w:line="264" w:lineRule="auto"/>
              <w:rPr>
                <w:rFonts w:ascii="Arial"/>
                <w:sz w:val="21"/>
                <w:highlight w:val="none"/>
              </w:rPr>
            </w:pPr>
          </w:p>
          <w:p w14:paraId="0A1A702B">
            <w:pPr>
              <w:pStyle w:val="25"/>
              <w:spacing w:before="78" w:line="232" w:lineRule="auto"/>
              <w:ind w:left="605" w:right="596"/>
              <w:rPr>
                <w:highlight w:val="none"/>
              </w:rPr>
            </w:pPr>
            <w:r>
              <w:rPr>
                <w:spacing w:val="-5"/>
                <w:highlight w:val="none"/>
              </w:rPr>
              <w:t>人员到岗</w:t>
            </w:r>
            <w:r>
              <w:rPr>
                <w:spacing w:val="-6"/>
                <w:highlight w:val="none"/>
              </w:rPr>
              <w:t>履职要求</w:t>
            </w:r>
          </w:p>
        </w:tc>
        <w:tc>
          <w:tcPr>
            <w:tcW w:w="6202" w:type="dxa"/>
            <w:vAlign w:val="top"/>
          </w:tcPr>
          <w:p w14:paraId="0EA82773">
            <w:pPr>
              <w:pStyle w:val="25"/>
              <w:spacing w:before="115" w:line="295" w:lineRule="auto"/>
              <w:ind w:left="17" w:right="4" w:firstLine="479"/>
              <w:jc w:val="both"/>
              <w:rPr>
                <w:highlight w:val="none"/>
              </w:rPr>
            </w:pPr>
            <w:r>
              <w:rPr>
                <w:spacing w:val="-3"/>
                <w:highlight w:val="none"/>
              </w:rPr>
              <w:t>投标人一旦中标，资格审查申请书或投标文件所报本项目的项目经理（建造师）、技术负责人、安全负责人、施工员等，在整个项目施工期间必须在岗在位，</w:t>
            </w:r>
            <w:r>
              <w:rPr>
                <w:spacing w:val="-4"/>
                <w:highlight w:val="none"/>
              </w:rPr>
              <w:t>项目经理（建造</w:t>
            </w:r>
            <w:r>
              <w:rPr>
                <w:spacing w:val="2"/>
                <w:highlight w:val="none"/>
              </w:rPr>
              <w:t>师）每天在岗工作时间不得少于8个小时，每月不得少于22</w:t>
            </w:r>
            <w:r>
              <w:rPr>
                <w:spacing w:val="-3"/>
                <w:highlight w:val="none"/>
              </w:rPr>
              <w:t>天。中标人（承包人）及其项目班子成员未能按照承诺到岗尽职的，招标人（发包人）将视情况的严重程度对其作出相应处理，给予警告、责令整改、直至终止合同。对于终止合</w:t>
            </w:r>
          </w:p>
        </w:tc>
      </w:tr>
    </w:tbl>
    <w:p w14:paraId="1CEAADB5">
      <w:pPr>
        <w:pStyle w:val="3"/>
        <w:rPr>
          <w:highlight w:val="none"/>
        </w:rPr>
      </w:pPr>
    </w:p>
    <w:p w14:paraId="1A232696">
      <w:pPr>
        <w:rPr>
          <w:highlight w:val="none"/>
        </w:rPr>
        <w:sectPr>
          <w:footerReference r:id="rId12" w:type="default"/>
          <w:pgSz w:w="11907" w:h="16839"/>
          <w:pgMar w:top="1431" w:right="1018" w:bottom="1199" w:left="1661" w:header="0" w:footer="968" w:gutter="0"/>
          <w:cols w:space="720" w:num="1"/>
        </w:sectPr>
      </w:pPr>
    </w:p>
    <w:p w14:paraId="443A908F">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1A2D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1" w:hRule="atLeast"/>
        </w:trPr>
        <w:tc>
          <w:tcPr>
            <w:tcW w:w="873" w:type="dxa"/>
            <w:vAlign w:val="top"/>
          </w:tcPr>
          <w:p w14:paraId="5EB65CA7">
            <w:pPr>
              <w:rPr>
                <w:rFonts w:ascii="Arial"/>
                <w:sz w:val="21"/>
                <w:highlight w:val="none"/>
              </w:rPr>
            </w:pPr>
          </w:p>
        </w:tc>
        <w:tc>
          <w:tcPr>
            <w:tcW w:w="2147" w:type="dxa"/>
            <w:vAlign w:val="top"/>
          </w:tcPr>
          <w:p w14:paraId="07B30F47">
            <w:pPr>
              <w:rPr>
                <w:rFonts w:ascii="Arial"/>
                <w:sz w:val="21"/>
                <w:highlight w:val="none"/>
              </w:rPr>
            </w:pPr>
          </w:p>
        </w:tc>
        <w:tc>
          <w:tcPr>
            <w:tcW w:w="6202" w:type="dxa"/>
            <w:vAlign w:val="top"/>
          </w:tcPr>
          <w:p w14:paraId="12A6467A">
            <w:pPr>
              <w:pStyle w:val="25"/>
              <w:spacing w:before="116" w:line="308" w:lineRule="auto"/>
              <w:ind w:left="19" w:right="5" w:firstLine="26"/>
              <w:jc w:val="both"/>
              <w:rPr>
                <w:highlight w:val="none"/>
              </w:rPr>
            </w:pPr>
            <w:r>
              <w:rPr>
                <w:spacing w:val="-4"/>
                <w:highlight w:val="none"/>
              </w:rPr>
              <w:t>同的，招标人（发包人）可以停止支付工程款项，扣留任何</w:t>
            </w:r>
            <w:r>
              <w:rPr>
                <w:spacing w:val="-3"/>
                <w:highlight w:val="none"/>
              </w:rPr>
              <w:t>未付的工程进度款，以补偿建设单位受到的损失包括工期延</w:t>
            </w:r>
            <w:r>
              <w:rPr>
                <w:spacing w:val="-10"/>
                <w:highlight w:val="none"/>
              </w:rPr>
              <w:t>误损失。</w:t>
            </w:r>
          </w:p>
          <w:p w14:paraId="52271407">
            <w:pPr>
              <w:pStyle w:val="25"/>
              <w:spacing w:before="19" w:line="307" w:lineRule="auto"/>
              <w:ind w:left="13" w:right="3" w:firstLine="515"/>
              <w:jc w:val="both"/>
              <w:rPr>
                <w:highlight w:val="none"/>
              </w:rPr>
            </w:pPr>
            <w:r>
              <w:rPr>
                <w:spacing w:val="-4"/>
                <w:highlight w:val="none"/>
              </w:rPr>
              <w:t>中标人（承包人）不得擅自更换资格审查和投标</w:t>
            </w:r>
            <w:r>
              <w:rPr>
                <w:spacing w:val="-5"/>
                <w:highlight w:val="none"/>
              </w:rPr>
              <w:t>时所报</w:t>
            </w:r>
            <w:r>
              <w:rPr>
                <w:spacing w:val="-3"/>
                <w:highlight w:val="none"/>
              </w:rPr>
              <w:t>项目经理（建造师）、技术负责人和其他班子成员。因病且</w:t>
            </w:r>
            <w:r>
              <w:rPr>
                <w:spacing w:val="-12"/>
                <w:highlight w:val="none"/>
              </w:rPr>
              <w:t>长期（至少在六个月及其以上）不能履行职责确需更换的（短</w:t>
            </w:r>
            <w:r>
              <w:rPr>
                <w:spacing w:val="-3"/>
                <w:highlight w:val="none"/>
              </w:rPr>
              <w:t>期即六个月以内因病不能履行岗位职责的，由中标人临时指定不低于该生病人员资质、资历和技术水平的人员代为行使</w:t>
            </w:r>
            <w:r>
              <w:rPr>
                <w:spacing w:val="-2"/>
                <w:highlight w:val="none"/>
              </w:rPr>
              <w:t>职责，康复后应立即返岗履职</w:t>
            </w:r>
            <w:r>
              <w:rPr>
                <w:spacing w:val="-8"/>
                <w:highlight w:val="none"/>
              </w:rPr>
              <w:t>），</w:t>
            </w:r>
            <w:r>
              <w:rPr>
                <w:spacing w:val="-2"/>
                <w:highlight w:val="none"/>
              </w:rPr>
              <w:t>须凭县级及以上医院出具</w:t>
            </w:r>
            <w:r>
              <w:rPr>
                <w:spacing w:val="-3"/>
                <w:highlight w:val="none"/>
              </w:rPr>
              <w:t>的盖有医院公章的证明、病历原件提前14天通知招标人</w:t>
            </w:r>
            <w:r>
              <w:rPr>
                <w:spacing w:val="-4"/>
                <w:highlight w:val="none"/>
              </w:rPr>
              <w:t>（发</w:t>
            </w:r>
            <w:r>
              <w:rPr>
                <w:spacing w:val="-3"/>
                <w:highlight w:val="none"/>
              </w:rPr>
              <w:t>包人）并取得招标人同意；更换后的人员不得低于中标人投标时所报人员资质（资格）、业绩、奖项、信誉等。中标人（承包人）更换项目经理或班子成员，即使征得了发包人同意，该行为仍视为中标人（承包人）违约（属于去世或突发性事故、灾难致残、病危或因癌症等原因已失去履行岗位职责能力的除外</w:t>
            </w:r>
            <w:r>
              <w:rPr>
                <w:spacing w:val="5"/>
                <w:highlight w:val="none"/>
              </w:rPr>
              <w:t>），</w:t>
            </w:r>
            <w:r>
              <w:rPr>
                <w:spacing w:val="-3"/>
                <w:highlight w:val="none"/>
              </w:rPr>
              <w:t>若更换项目经理（建造师）的，按中标价</w:t>
            </w:r>
            <w:r>
              <w:rPr>
                <w:spacing w:val="-2"/>
                <w:highlight w:val="none"/>
              </w:rPr>
              <w:t>的1%支付违约金，按中标价的1%计算金额少于</w:t>
            </w:r>
            <w:r>
              <w:rPr>
                <w:spacing w:val="-3"/>
                <w:highlight w:val="none"/>
              </w:rPr>
              <w:t>20万元的，按</w:t>
            </w:r>
            <w:r>
              <w:rPr>
                <w:spacing w:val="-2"/>
                <w:highlight w:val="none"/>
              </w:rPr>
              <w:t>20万元支付违约金；更换班子其他人员按中标价的0.</w:t>
            </w:r>
            <w:r>
              <w:rPr>
                <w:spacing w:val="-3"/>
                <w:highlight w:val="none"/>
              </w:rPr>
              <w:t>5%支付</w:t>
            </w:r>
            <w:r>
              <w:rPr>
                <w:spacing w:val="-2"/>
                <w:highlight w:val="none"/>
              </w:rPr>
              <w:t>违约金，按中标价的0.5%计算金额少于10万元的，</w:t>
            </w:r>
            <w:r>
              <w:rPr>
                <w:spacing w:val="-3"/>
                <w:highlight w:val="none"/>
              </w:rPr>
              <w:t>按10万元支付违约金。因病被更换的项目经理（建造师）或项目班子成员在治疗及康复期内（至少六个月）参与项目投标的，作投标无效处理。招标人认为中标人有不能胜任工作的项目班子成员的，可要求中标人（承包人）更换和调整，直到满意</w:t>
            </w:r>
            <w:r>
              <w:rPr>
                <w:spacing w:val="-10"/>
                <w:highlight w:val="none"/>
              </w:rPr>
              <w:t>为止。</w:t>
            </w:r>
          </w:p>
          <w:p w14:paraId="3359FE92">
            <w:pPr>
              <w:pStyle w:val="25"/>
              <w:spacing w:before="7" w:line="298" w:lineRule="auto"/>
              <w:ind w:left="17" w:right="4" w:firstLine="511"/>
              <w:rPr>
                <w:highlight w:val="none"/>
              </w:rPr>
            </w:pPr>
            <w:r>
              <w:rPr>
                <w:spacing w:val="-4"/>
                <w:highlight w:val="none"/>
              </w:rPr>
              <w:t>中标人（承包人）的项目经理（建造师）或班</w:t>
            </w:r>
            <w:r>
              <w:rPr>
                <w:spacing w:val="-5"/>
                <w:highlight w:val="none"/>
              </w:rPr>
              <w:t>子成员需</w:t>
            </w:r>
            <w:r>
              <w:rPr>
                <w:spacing w:val="-3"/>
                <w:highlight w:val="none"/>
              </w:rPr>
              <w:t>请假离开现场的，时间在半天以内的须经工程师书面同意；</w:t>
            </w:r>
            <w:r>
              <w:rPr>
                <w:spacing w:val="-4"/>
                <w:highlight w:val="none"/>
              </w:rPr>
              <w:t>半天以上两天以内的须经工程师出具书面意见报招标人（发</w:t>
            </w:r>
            <w:r>
              <w:rPr>
                <w:spacing w:val="-3"/>
                <w:highlight w:val="none"/>
              </w:rPr>
              <w:t>包人）现场负责人同意；时间超过两天以上的，需经招标人（发包人）现场负责人出具书面意见报招标人（发包人）审</w:t>
            </w:r>
            <w:r>
              <w:rPr>
                <w:spacing w:val="-7"/>
                <w:highlight w:val="none"/>
              </w:rPr>
              <w:t>核同意。请假人离开前应书面指定临时代表， 代为行使项目</w:t>
            </w:r>
            <w:r>
              <w:rPr>
                <w:spacing w:val="-12"/>
                <w:highlight w:val="none"/>
              </w:rPr>
              <w:t>经理或班子成员的权力；该临时代表的一切行为，招标人（发</w:t>
            </w:r>
            <w:r>
              <w:rPr>
                <w:spacing w:val="-3"/>
                <w:highlight w:val="none"/>
              </w:rPr>
              <w:t>包人）均认为是项目经理或该班子成员的行为。政府投资项目，中标人（承包人）的项目经理（建造师）未按前述程序规定取得书面同意离岗的，第一次离岗按中标价的0.1%支付</w:t>
            </w:r>
          </w:p>
        </w:tc>
      </w:tr>
    </w:tbl>
    <w:p w14:paraId="543187DC">
      <w:pPr>
        <w:pStyle w:val="3"/>
        <w:rPr>
          <w:highlight w:val="none"/>
        </w:rPr>
      </w:pPr>
    </w:p>
    <w:p w14:paraId="01ED9AA6">
      <w:pPr>
        <w:rPr>
          <w:highlight w:val="none"/>
        </w:rPr>
        <w:sectPr>
          <w:footerReference r:id="rId13" w:type="default"/>
          <w:pgSz w:w="11907" w:h="16839"/>
          <w:pgMar w:top="1431" w:right="1018" w:bottom="1199" w:left="1661" w:header="0" w:footer="968" w:gutter="0"/>
          <w:cols w:space="720" w:num="1"/>
        </w:sectPr>
      </w:pPr>
    </w:p>
    <w:p w14:paraId="65B04631">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2C99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0" w:hRule="atLeast"/>
        </w:trPr>
        <w:tc>
          <w:tcPr>
            <w:tcW w:w="873" w:type="dxa"/>
            <w:vAlign w:val="top"/>
          </w:tcPr>
          <w:p w14:paraId="4A79F65F">
            <w:pPr>
              <w:rPr>
                <w:rFonts w:ascii="Arial"/>
                <w:sz w:val="21"/>
                <w:highlight w:val="none"/>
              </w:rPr>
            </w:pPr>
          </w:p>
        </w:tc>
        <w:tc>
          <w:tcPr>
            <w:tcW w:w="2147" w:type="dxa"/>
            <w:vAlign w:val="top"/>
          </w:tcPr>
          <w:p w14:paraId="02E86510">
            <w:pPr>
              <w:rPr>
                <w:rFonts w:ascii="Arial"/>
                <w:sz w:val="21"/>
                <w:highlight w:val="none"/>
              </w:rPr>
            </w:pPr>
          </w:p>
        </w:tc>
        <w:tc>
          <w:tcPr>
            <w:tcW w:w="6202" w:type="dxa"/>
            <w:vAlign w:val="top"/>
          </w:tcPr>
          <w:p w14:paraId="66C2690E">
            <w:pPr>
              <w:pStyle w:val="25"/>
              <w:spacing w:before="121" w:line="296" w:lineRule="auto"/>
              <w:ind w:left="17" w:firstLine="2"/>
              <w:jc w:val="both"/>
              <w:rPr>
                <w:highlight w:val="none"/>
              </w:rPr>
            </w:pPr>
            <w:r>
              <w:rPr>
                <w:spacing w:val="-4"/>
                <w:highlight w:val="none"/>
              </w:rPr>
              <w:t>违约金；第二次离岗按中标价的0.2%支付违约金；第三次及其以后每次均按中标价的0.5%支付违约金（缺席、离岗次数</w:t>
            </w:r>
            <w:r>
              <w:rPr>
                <w:spacing w:val="-8"/>
                <w:highlight w:val="none"/>
              </w:rPr>
              <w:t>以天为计</w:t>
            </w:r>
            <w:r>
              <w:rPr>
                <w:spacing w:val="-1"/>
                <w:highlight w:val="none"/>
              </w:rPr>
              <w:t>），</w:t>
            </w:r>
            <w:r>
              <w:rPr>
                <w:spacing w:val="-8"/>
                <w:highlight w:val="none"/>
              </w:rPr>
              <w:t>合计（缺席、离岗） 次数超过10天</w:t>
            </w:r>
            <w:r>
              <w:rPr>
                <w:spacing w:val="-9"/>
                <w:highlight w:val="none"/>
              </w:rPr>
              <w:t>的或者年度</w:t>
            </w:r>
            <w:r>
              <w:rPr>
                <w:spacing w:val="-2"/>
                <w:highlight w:val="none"/>
              </w:rPr>
              <w:t>累计请假超过26天的，按违约处理，除由</w:t>
            </w:r>
            <w:r>
              <w:rPr>
                <w:spacing w:val="-3"/>
                <w:highlight w:val="none"/>
              </w:rPr>
              <w:t>中标人（承包人）支付违约金、罚款外，招标人（发包人）按规定清除出场，招标人（发包人）将中标人（承包人）违约事实形成证据，</w:t>
            </w:r>
            <w:r>
              <w:rPr>
                <w:spacing w:val="-5"/>
                <w:highlight w:val="none"/>
              </w:rPr>
              <w:t>由招标人或相关行业主管部门处理（项目班子其他成员有前</w:t>
            </w:r>
            <w:r>
              <w:rPr>
                <w:spacing w:val="-3"/>
                <w:highlight w:val="none"/>
              </w:rPr>
              <w:t>述行为的，按前述标准的50%支付违约金）。</w:t>
            </w:r>
          </w:p>
        </w:tc>
      </w:tr>
      <w:tr w14:paraId="3CAE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4" w:hRule="atLeast"/>
        </w:trPr>
        <w:tc>
          <w:tcPr>
            <w:tcW w:w="873" w:type="dxa"/>
            <w:vAlign w:val="top"/>
          </w:tcPr>
          <w:p w14:paraId="47E1C177">
            <w:pPr>
              <w:spacing w:line="243" w:lineRule="auto"/>
              <w:rPr>
                <w:rFonts w:ascii="Arial"/>
                <w:sz w:val="21"/>
                <w:highlight w:val="none"/>
              </w:rPr>
            </w:pPr>
          </w:p>
          <w:p w14:paraId="5837E9AA">
            <w:pPr>
              <w:spacing w:line="243" w:lineRule="auto"/>
              <w:rPr>
                <w:rFonts w:ascii="Arial"/>
                <w:sz w:val="21"/>
                <w:highlight w:val="none"/>
              </w:rPr>
            </w:pPr>
          </w:p>
          <w:p w14:paraId="32E19B31">
            <w:pPr>
              <w:spacing w:line="243" w:lineRule="auto"/>
              <w:rPr>
                <w:rFonts w:ascii="Arial"/>
                <w:sz w:val="21"/>
                <w:highlight w:val="none"/>
              </w:rPr>
            </w:pPr>
          </w:p>
          <w:p w14:paraId="43CFC6D8">
            <w:pPr>
              <w:spacing w:line="243" w:lineRule="auto"/>
              <w:rPr>
                <w:rFonts w:ascii="Arial"/>
                <w:sz w:val="21"/>
                <w:highlight w:val="none"/>
              </w:rPr>
            </w:pPr>
          </w:p>
          <w:p w14:paraId="04B2A064">
            <w:pPr>
              <w:spacing w:line="244" w:lineRule="auto"/>
              <w:rPr>
                <w:rFonts w:ascii="Arial"/>
                <w:sz w:val="21"/>
                <w:highlight w:val="none"/>
              </w:rPr>
            </w:pPr>
          </w:p>
          <w:p w14:paraId="607A2A8F">
            <w:pPr>
              <w:spacing w:line="244" w:lineRule="auto"/>
              <w:rPr>
                <w:rFonts w:ascii="Arial"/>
                <w:sz w:val="21"/>
                <w:highlight w:val="none"/>
              </w:rPr>
            </w:pPr>
          </w:p>
          <w:p w14:paraId="41650298">
            <w:pPr>
              <w:spacing w:line="244" w:lineRule="auto"/>
              <w:rPr>
                <w:rFonts w:ascii="Arial"/>
                <w:sz w:val="21"/>
                <w:highlight w:val="none"/>
              </w:rPr>
            </w:pPr>
          </w:p>
          <w:p w14:paraId="37E7EA43">
            <w:pPr>
              <w:spacing w:line="244" w:lineRule="auto"/>
              <w:rPr>
                <w:rFonts w:ascii="Arial"/>
                <w:sz w:val="21"/>
                <w:highlight w:val="none"/>
              </w:rPr>
            </w:pPr>
          </w:p>
          <w:p w14:paraId="5092846F">
            <w:pPr>
              <w:spacing w:line="244" w:lineRule="auto"/>
              <w:rPr>
                <w:rFonts w:ascii="Arial"/>
                <w:sz w:val="21"/>
                <w:highlight w:val="none"/>
              </w:rPr>
            </w:pPr>
          </w:p>
          <w:p w14:paraId="00519BDF">
            <w:pPr>
              <w:pStyle w:val="25"/>
              <w:spacing w:before="78" w:line="237" w:lineRule="auto"/>
              <w:ind w:left="319"/>
              <w:rPr>
                <w:highlight w:val="none"/>
              </w:rPr>
            </w:pPr>
            <w:r>
              <w:rPr>
                <w:spacing w:val="-2"/>
                <w:highlight w:val="none"/>
              </w:rPr>
              <w:t>40</w:t>
            </w:r>
          </w:p>
        </w:tc>
        <w:tc>
          <w:tcPr>
            <w:tcW w:w="2147" w:type="dxa"/>
            <w:vAlign w:val="top"/>
          </w:tcPr>
          <w:p w14:paraId="769DCB52">
            <w:pPr>
              <w:spacing w:line="243" w:lineRule="auto"/>
              <w:rPr>
                <w:rFonts w:ascii="Arial"/>
                <w:sz w:val="21"/>
                <w:highlight w:val="none"/>
              </w:rPr>
            </w:pPr>
          </w:p>
          <w:p w14:paraId="27AE8A1D">
            <w:pPr>
              <w:spacing w:line="243" w:lineRule="auto"/>
              <w:rPr>
                <w:rFonts w:ascii="Arial"/>
                <w:sz w:val="21"/>
                <w:highlight w:val="none"/>
              </w:rPr>
            </w:pPr>
          </w:p>
          <w:p w14:paraId="0E842C27">
            <w:pPr>
              <w:spacing w:line="243" w:lineRule="auto"/>
              <w:rPr>
                <w:rFonts w:ascii="Arial"/>
                <w:sz w:val="21"/>
                <w:highlight w:val="none"/>
              </w:rPr>
            </w:pPr>
          </w:p>
          <w:p w14:paraId="0AED5BD5">
            <w:pPr>
              <w:spacing w:line="243" w:lineRule="auto"/>
              <w:rPr>
                <w:rFonts w:ascii="Arial"/>
                <w:sz w:val="21"/>
                <w:highlight w:val="none"/>
              </w:rPr>
            </w:pPr>
          </w:p>
          <w:p w14:paraId="31890BFE">
            <w:pPr>
              <w:spacing w:line="244" w:lineRule="auto"/>
              <w:rPr>
                <w:rFonts w:ascii="Arial"/>
                <w:sz w:val="21"/>
                <w:highlight w:val="none"/>
              </w:rPr>
            </w:pPr>
          </w:p>
          <w:p w14:paraId="566C7A63">
            <w:pPr>
              <w:spacing w:line="244" w:lineRule="auto"/>
              <w:rPr>
                <w:rFonts w:ascii="Arial"/>
                <w:sz w:val="21"/>
                <w:highlight w:val="none"/>
              </w:rPr>
            </w:pPr>
          </w:p>
          <w:p w14:paraId="56CF477E">
            <w:pPr>
              <w:spacing w:line="244" w:lineRule="auto"/>
              <w:rPr>
                <w:rFonts w:ascii="Arial"/>
                <w:sz w:val="21"/>
                <w:highlight w:val="none"/>
              </w:rPr>
            </w:pPr>
          </w:p>
          <w:p w14:paraId="36B9EAF1">
            <w:pPr>
              <w:spacing w:line="244" w:lineRule="auto"/>
              <w:rPr>
                <w:rFonts w:ascii="Arial"/>
                <w:sz w:val="21"/>
                <w:highlight w:val="none"/>
              </w:rPr>
            </w:pPr>
          </w:p>
          <w:p w14:paraId="069BDD61">
            <w:pPr>
              <w:spacing w:line="244" w:lineRule="auto"/>
              <w:rPr>
                <w:rFonts w:ascii="Arial"/>
                <w:sz w:val="21"/>
                <w:highlight w:val="none"/>
              </w:rPr>
            </w:pPr>
          </w:p>
          <w:p w14:paraId="55BB56B9">
            <w:pPr>
              <w:pStyle w:val="25"/>
              <w:spacing w:before="78" w:line="216" w:lineRule="auto"/>
              <w:ind w:left="601"/>
              <w:rPr>
                <w:highlight w:val="none"/>
              </w:rPr>
            </w:pPr>
            <w:r>
              <w:rPr>
                <w:spacing w:val="-3"/>
                <w:highlight w:val="none"/>
              </w:rPr>
              <w:t>材料要求</w:t>
            </w:r>
          </w:p>
        </w:tc>
        <w:tc>
          <w:tcPr>
            <w:tcW w:w="6202" w:type="dxa"/>
            <w:vAlign w:val="top"/>
          </w:tcPr>
          <w:p w14:paraId="1E6CA342">
            <w:pPr>
              <w:pStyle w:val="25"/>
              <w:spacing w:before="115" w:line="295" w:lineRule="auto"/>
              <w:ind w:left="15" w:right="4" w:firstLine="492"/>
              <w:rPr>
                <w:highlight w:val="none"/>
              </w:rPr>
            </w:pPr>
            <w:r>
              <w:rPr>
                <w:spacing w:val="4"/>
                <w:highlight w:val="none"/>
              </w:rPr>
              <w:t>1.</w:t>
            </w:r>
            <w:r>
              <w:rPr>
                <w:spacing w:val="-59"/>
                <w:highlight w:val="none"/>
              </w:rPr>
              <w:t xml:space="preserve"> </w:t>
            </w:r>
            <w:r>
              <w:rPr>
                <w:spacing w:val="4"/>
                <w:highlight w:val="none"/>
              </w:rPr>
              <w:t>中标人自行采购的材料应满足设计和规范要求的质</w:t>
            </w:r>
            <w:r>
              <w:rPr>
                <w:spacing w:val="-3"/>
                <w:highlight w:val="none"/>
              </w:rPr>
              <w:t>量等级，并须按有关技术规范要求对材料质量进行检验。中</w:t>
            </w:r>
            <w:r>
              <w:rPr>
                <w:spacing w:val="7"/>
                <w:highlight w:val="none"/>
              </w:rPr>
              <w:t>标人选定的材料供应厂家和价格须经招标人和</w:t>
            </w:r>
            <w:r>
              <w:rPr>
                <w:spacing w:val="6"/>
                <w:highlight w:val="none"/>
              </w:rPr>
              <w:t>监理单位认</w:t>
            </w:r>
            <w:r>
              <w:rPr>
                <w:spacing w:val="-3"/>
                <w:highlight w:val="none"/>
              </w:rPr>
              <w:t>可。如招标人和监理单位对某种或某些材料的质量有异议，有权提出停止使用，中标人必须服从。若该材料经权威检验部门鉴定确有质量问题，由此发生的一切费用由中标人自行</w:t>
            </w:r>
            <w:r>
              <w:rPr>
                <w:spacing w:val="-11"/>
                <w:highlight w:val="none"/>
              </w:rPr>
              <w:t>承担。</w:t>
            </w:r>
          </w:p>
          <w:p w14:paraId="1AFC91AD">
            <w:pPr>
              <w:pStyle w:val="25"/>
              <w:spacing w:before="113" w:line="263" w:lineRule="auto"/>
              <w:ind w:left="48" w:right="10" w:firstLine="444"/>
              <w:rPr>
                <w:highlight w:val="none"/>
              </w:rPr>
            </w:pPr>
            <w:r>
              <w:rPr>
                <w:spacing w:val="5"/>
                <w:highlight w:val="none"/>
              </w:rPr>
              <w:t>2.</w:t>
            </w:r>
            <w:r>
              <w:rPr>
                <w:spacing w:val="-68"/>
                <w:highlight w:val="none"/>
              </w:rPr>
              <w:t xml:space="preserve"> </w:t>
            </w:r>
            <w:r>
              <w:rPr>
                <w:spacing w:val="5"/>
                <w:highlight w:val="none"/>
              </w:rPr>
              <w:t>因中标人自行采购的材料质量引起的工程质量问题</w:t>
            </w:r>
            <w:r>
              <w:rPr>
                <w:spacing w:val="-5"/>
                <w:highlight w:val="none"/>
              </w:rPr>
              <w:t>由中标人承担所造成的一切损失。</w:t>
            </w:r>
          </w:p>
          <w:p w14:paraId="5DC4EC33">
            <w:pPr>
              <w:pStyle w:val="25"/>
              <w:spacing w:before="116" w:line="277" w:lineRule="auto"/>
              <w:ind w:left="17" w:right="5" w:firstLine="477"/>
              <w:rPr>
                <w:highlight w:val="none"/>
              </w:rPr>
            </w:pPr>
            <w:r>
              <w:rPr>
                <w:spacing w:val="-3"/>
                <w:highlight w:val="none"/>
              </w:rPr>
              <w:t>3.如业主对工程质量有特殊需求的，对主要设备及材料应提供不少于三个的参考品牌，推荐品牌仅供参考，投标人</w:t>
            </w:r>
            <w:r>
              <w:rPr>
                <w:spacing w:val="-2"/>
                <w:highlight w:val="none"/>
              </w:rPr>
              <w:t>可选择技术性能、参数不低于推荐品牌的其它产品投标。</w:t>
            </w:r>
          </w:p>
        </w:tc>
      </w:tr>
      <w:tr w14:paraId="0044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61D02E51">
            <w:pPr>
              <w:pStyle w:val="25"/>
              <w:spacing w:before="185" w:line="238" w:lineRule="auto"/>
              <w:ind w:left="319"/>
              <w:rPr>
                <w:highlight w:val="none"/>
              </w:rPr>
            </w:pPr>
            <w:r>
              <w:rPr>
                <w:spacing w:val="-2"/>
                <w:highlight w:val="none"/>
              </w:rPr>
              <w:t>41</w:t>
            </w:r>
          </w:p>
        </w:tc>
        <w:tc>
          <w:tcPr>
            <w:tcW w:w="2147" w:type="dxa"/>
            <w:vAlign w:val="top"/>
          </w:tcPr>
          <w:p w14:paraId="3390555C">
            <w:pPr>
              <w:pStyle w:val="25"/>
              <w:spacing w:before="185" w:line="218" w:lineRule="auto"/>
              <w:ind w:left="607"/>
              <w:rPr>
                <w:highlight w:val="none"/>
              </w:rPr>
            </w:pPr>
            <w:r>
              <w:rPr>
                <w:spacing w:val="-5"/>
                <w:highlight w:val="none"/>
              </w:rPr>
              <w:t>工期要求</w:t>
            </w:r>
          </w:p>
        </w:tc>
        <w:tc>
          <w:tcPr>
            <w:tcW w:w="6202" w:type="dxa"/>
            <w:vAlign w:val="top"/>
          </w:tcPr>
          <w:p w14:paraId="1EC6D225">
            <w:pPr>
              <w:pStyle w:val="25"/>
              <w:spacing w:before="37" w:line="214" w:lineRule="auto"/>
              <w:ind w:left="31" w:right="7" w:hanging="13"/>
              <w:rPr>
                <w:highlight w:val="none"/>
              </w:rPr>
            </w:pPr>
            <w:r>
              <w:rPr>
                <w:spacing w:val="-3"/>
                <w:highlight w:val="none"/>
              </w:rPr>
              <w:t>本项目工期，严格执行招标文件确定的期限。违背工期管理的，将按合同专用条款及专用条款的补充条款进行处理。</w:t>
            </w:r>
          </w:p>
        </w:tc>
      </w:tr>
      <w:tr w14:paraId="65AD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3" w:type="dxa"/>
            <w:vAlign w:val="top"/>
          </w:tcPr>
          <w:p w14:paraId="7F64D774">
            <w:pPr>
              <w:spacing w:line="408" w:lineRule="auto"/>
              <w:rPr>
                <w:rFonts w:ascii="Arial"/>
                <w:sz w:val="21"/>
                <w:highlight w:val="none"/>
              </w:rPr>
            </w:pPr>
          </w:p>
          <w:p w14:paraId="697ADE64">
            <w:pPr>
              <w:pStyle w:val="25"/>
              <w:spacing w:before="78" w:line="238" w:lineRule="auto"/>
              <w:ind w:left="319"/>
              <w:rPr>
                <w:highlight w:val="none"/>
              </w:rPr>
            </w:pPr>
            <w:r>
              <w:rPr>
                <w:spacing w:val="-2"/>
                <w:highlight w:val="none"/>
              </w:rPr>
              <w:t>42</w:t>
            </w:r>
          </w:p>
        </w:tc>
        <w:tc>
          <w:tcPr>
            <w:tcW w:w="2147" w:type="dxa"/>
            <w:vAlign w:val="top"/>
          </w:tcPr>
          <w:p w14:paraId="66397B92">
            <w:pPr>
              <w:pStyle w:val="25"/>
              <w:spacing w:before="188" w:line="218" w:lineRule="auto"/>
              <w:ind w:left="13"/>
              <w:rPr>
                <w:highlight w:val="none"/>
              </w:rPr>
            </w:pPr>
            <w:r>
              <w:rPr>
                <w:spacing w:val="-6"/>
                <w:highlight w:val="none"/>
              </w:rPr>
              <w:t>施工重点、难点（由</w:t>
            </w:r>
          </w:p>
          <w:p w14:paraId="406CAE60">
            <w:pPr>
              <w:pStyle w:val="25"/>
              <w:spacing w:before="16" w:line="217" w:lineRule="auto"/>
              <w:ind w:left="121"/>
              <w:rPr>
                <w:highlight w:val="none"/>
              </w:rPr>
            </w:pPr>
            <w:r>
              <w:rPr>
                <w:spacing w:val="-2"/>
                <w:highlight w:val="none"/>
              </w:rPr>
              <w:t>招标人根据本项目</w:t>
            </w:r>
          </w:p>
          <w:p w14:paraId="5B2229E9">
            <w:pPr>
              <w:pStyle w:val="25"/>
              <w:spacing w:before="18" w:line="218" w:lineRule="auto"/>
              <w:ind w:left="135"/>
              <w:rPr>
                <w:highlight w:val="none"/>
              </w:rPr>
            </w:pPr>
            <w:r>
              <w:rPr>
                <w:spacing w:val="-6"/>
                <w:highlight w:val="none"/>
              </w:rPr>
              <w:t>的具体情况列明）</w:t>
            </w:r>
          </w:p>
        </w:tc>
        <w:tc>
          <w:tcPr>
            <w:tcW w:w="6202" w:type="dxa"/>
            <w:vAlign w:val="top"/>
          </w:tcPr>
          <w:p w14:paraId="328DC792">
            <w:pPr>
              <w:pStyle w:val="25"/>
              <w:spacing w:before="117" w:line="262" w:lineRule="auto"/>
              <w:ind w:left="19" w:right="5" w:firstLine="488"/>
              <w:rPr>
                <w:highlight w:val="none"/>
              </w:rPr>
            </w:pPr>
            <w:r>
              <w:rPr>
                <w:spacing w:val="-9"/>
                <w:highlight w:val="none"/>
              </w:rPr>
              <w:t>1.施工重点、难点：由投标人根据本项目</w:t>
            </w:r>
            <w:r>
              <w:rPr>
                <w:spacing w:val="-10"/>
                <w:highlight w:val="none"/>
              </w:rPr>
              <w:t>的具体情况自行考虑。</w:t>
            </w:r>
          </w:p>
          <w:p w14:paraId="07E10443">
            <w:pPr>
              <w:pStyle w:val="25"/>
              <w:spacing w:before="116" w:line="214" w:lineRule="auto"/>
              <w:ind w:left="493"/>
              <w:rPr>
                <w:highlight w:val="none"/>
              </w:rPr>
            </w:pPr>
            <w:r>
              <w:rPr>
                <w:spacing w:val="-2"/>
                <w:highlight w:val="none"/>
              </w:rPr>
              <w:t>2.本招标项目危险性较大的分部分项工程清单：无。</w:t>
            </w:r>
          </w:p>
        </w:tc>
      </w:tr>
      <w:tr w14:paraId="4CB56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9" w:hRule="atLeast"/>
        </w:trPr>
        <w:tc>
          <w:tcPr>
            <w:tcW w:w="873" w:type="dxa"/>
            <w:vAlign w:val="top"/>
          </w:tcPr>
          <w:p w14:paraId="18913609">
            <w:pPr>
              <w:spacing w:line="257" w:lineRule="auto"/>
              <w:rPr>
                <w:rFonts w:ascii="Arial"/>
                <w:sz w:val="21"/>
                <w:highlight w:val="none"/>
              </w:rPr>
            </w:pPr>
          </w:p>
          <w:p w14:paraId="3F2AB332">
            <w:pPr>
              <w:spacing w:line="257" w:lineRule="auto"/>
              <w:rPr>
                <w:rFonts w:ascii="Arial"/>
                <w:sz w:val="21"/>
                <w:highlight w:val="none"/>
              </w:rPr>
            </w:pPr>
          </w:p>
          <w:p w14:paraId="258B4187">
            <w:pPr>
              <w:spacing w:line="257" w:lineRule="auto"/>
              <w:rPr>
                <w:rFonts w:ascii="Arial"/>
                <w:sz w:val="21"/>
                <w:highlight w:val="none"/>
              </w:rPr>
            </w:pPr>
          </w:p>
          <w:p w14:paraId="0C7CA7E6">
            <w:pPr>
              <w:spacing w:line="257" w:lineRule="auto"/>
              <w:rPr>
                <w:rFonts w:ascii="Arial"/>
                <w:sz w:val="21"/>
                <w:highlight w:val="none"/>
              </w:rPr>
            </w:pPr>
          </w:p>
          <w:p w14:paraId="753C4AB3">
            <w:pPr>
              <w:spacing w:line="257" w:lineRule="auto"/>
              <w:rPr>
                <w:rFonts w:ascii="Arial"/>
                <w:sz w:val="21"/>
                <w:highlight w:val="none"/>
              </w:rPr>
            </w:pPr>
          </w:p>
          <w:p w14:paraId="7A7733F7">
            <w:pPr>
              <w:spacing w:line="257" w:lineRule="auto"/>
              <w:rPr>
                <w:rFonts w:ascii="Arial"/>
                <w:sz w:val="21"/>
                <w:highlight w:val="none"/>
              </w:rPr>
            </w:pPr>
          </w:p>
          <w:p w14:paraId="4286226B">
            <w:pPr>
              <w:spacing w:line="257" w:lineRule="auto"/>
              <w:rPr>
                <w:rFonts w:ascii="Arial"/>
                <w:sz w:val="21"/>
                <w:highlight w:val="none"/>
              </w:rPr>
            </w:pPr>
          </w:p>
          <w:p w14:paraId="4C70F04C">
            <w:pPr>
              <w:pStyle w:val="25"/>
              <w:spacing w:before="78" w:line="237" w:lineRule="auto"/>
              <w:ind w:left="319"/>
              <w:rPr>
                <w:highlight w:val="none"/>
              </w:rPr>
            </w:pPr>
            <w:r>
              <w:rPr>
                <w:spacing w:val="-2"/>
                <w:highlight w:val="none"/>
              </w:rPr>
              <w:t>43</w:t>
            </w:r>
          </w:p>
        </w:tc>
        <w:tc>
          <w:tcPr>
            <w:tcW w:w="2147" w:type="dxa"/>
            <w:vAlign w:val="top"/>
          </w:tcPr>
          <w:p w14:paraId="7448B054">
            <w:pPr>
              <w:spacing w:line="257" w:lineRule="auto"/>
              <w:rPr>
                <w:rFonts w:ascii="Arial"/>
                <w:sz w:val="21"/>
                <w:highlight w:val="none"/>
              </w:rPr>
            </w:pPr>
          </w:p>
          <w:p w14:paraId="5756A97B">
            <w:pPr>
              <w:spacing w:line="257" w:lineRule="auto"/>
              <w:rPr>
                <w:rFonts w:ascii="Arial"/>
                <w:sz w:val="21"/>
                <w:highlight w:val="none"/>
              </w:rPr>
            </w:pPr>
          </w:p>
          <w:p w14:paraId="1BB016CE">
            <w:pPr>
              <w:spacing w:line="257" w:lineRule="auto"/>
              <w:rPr>
                <w:rFonts w:ascii="Arial"/>
                <w:sz w:val="21"/>
                <w:highlight w:val="none"/>
              </w:rPr>
            </w:pPr>
          </w:p>
          <w:p w14:paraId="61D146D1">
            <w:pPr>
              <w:spacing w:line="257" w:lineRule="auto"/>
              <w:rPr>
                <w:rFonts w:ascii="Arial"/>
                <w:sz w:val="21"/>
                <w:highlight w:val="none"/>
              </w:rPr>
            </w:pPr>
          </w:p>
          <w:p w14:paraId="2E597D99">
            <w:pPr>
              <w:spacing w:line="257" w:lineRule="auto"/>
              <w:rPr>
                <w:rFonts w:ascii="Arial"/>
                <w:sz w:val="21"/>
                <w:highlight w:val="none"/>
              </w:rPr>
            </w:pPr>
          </w:p>
          <w:p w14:paraId="4165BA6F">
            <w:pPr>
              <w:spacing w:line="257" w:lineRule="auto"/>
              <w:rPr>
                <w:rFonts w:ascii="Arial"/>
                <w:sz w:val="21"/>
                <w:highlight w:val="none"/>
              </w:rPr>
            </w:pPr>
          </w:p>
          <w:p w14:paraId="71E8217B">
            <w:pPr>
              <w:spacing w:line="257" w:lineRule="auto"/>
              <w:rPr>
                <w:rFonts w:ascii="Arial"/>
                <w:sz w:val="21"/>
                <w:highlight w:val="none"/>
              </w:rPr>
            </w:pPr>
          </w:p>
          <w:p w14:paraId="4009E520">
            <w:pPr>
              <w:pStyle w:val="25"/>
              <w:spacing w:before="78" w:line="215" w:lineRule="auto"/>
              <w:ind w:left="146"/>
              <w:rPr>
                <w:highlight w:val="none"/>
              </w:rPr>
            </w:pPr>
            <w:r>
              <w:rPr>
                <w:spacing w:val="-5"/>
                <w:highlight w:val="none"/>
              </w:rPr>
              <w:t>围、串标行为认定</w:t>
            </w:r>
          </w:p>
        </w:tc>
        <w:tc>
          <w:tcPr>
            <w:tcW w:w="6202" w:type="dxa"/>
            <w:vAlign w:val="top"/>
          </w:tcPr>
          <w:p w14:paraId="104A3897">
            <w:pPr>
              <w:pStyle w:val="25"/>
              <w:spacing w:before="116" w:line="308" w:lineRule="auto"/>
              <w:ind w:left="17" w:right="5" w:firstLine="480"/>
              <w:jc w:val="both"/>
              <w:rPr>
                <w:highlight w:val="none"/>
              </w:rPr>
            </w:pPr>
            <w:r>
              <w:rPr>
                <w:spacing w:val="-3"/>
                <w:highlight w:val="none"/>
              </w:rPr>
              <w:t>本项目开评标过程中，有下列情形之一的，评标委员会应依法否决相应的投标，并将具体情况报告公共资源交易监</w:t>
            </w:r>
            <w:r>
              <w:rPr>
                <w:spacing w:val="-4"/>
                <w:highlight w:val="none"/>
              </w:rPr>
              <w:t>督管理机关，依法进行处理。</w:t>
            </w:r>
          </w:p>
          <w:p w14:paraId="078ECAE6">
            <w:pPr>
              <w:pStyle w:val="25"/>
              <w:spacing w:line="263" w:lineRule="auto"/>
              <w:ind w:left="20" w:right="48" w:firstLine="477"/>
              <w:rPr>
                <w:highlight w:val="none"/>
              </w:rPr>
            </w:pPr>
            <w:r>
              <w:rPr>
                <w:highlight w:val="none"/>
              </w:rPr>
              <w:t>（1）投标人之间协商投标报价等投标文件的实质性内</w:t>
            </w:r>
            <w:r>
              <w:rPr>
                <w:spacing w:val="-18"/>
                <w:highlight w:val="none"/>
              </w:rPr>
              <w:t>容；</w:t>
            </w:r>
          </w:p>
          <w:p w14:paraId="06B62619">
            <w:pPr>
              <w:pStyle w:val="25"/>
              <w:spacing w:before="117" w:line="218" w:lineRule="auto"/>
              <w:ind w:left="497"/>
              <w:rPr>
                <w:highlight w:val="none"/>
              </w:rPr>
            </w:pPr>
            <w:r>
              <w:rPr>
                <w:spacing w:val="-5"/>
                <w:highlight w:val="none"/>
              </w:rPr>
              <w:t>（2）投标人之间约定中标人；</w:t>
            </w:r>
          </w:p>
          <w:p w14:paraId="5E3F634C">
            <w:pPr>
              <w:pStyle w:val="25"/>
              <w:spacing w:before="114" w:line="218" w:lineRule="auto"/>
              <w:ind w:left="497"/>
              <w:rPr>
                <w:highlight w:val="none"/>
              </w:rPr>
            </w:pPr>
            <w:r>
              <w:rPr>
                <w:spacing w:val="-3"/>
                <w:highlight w:val="none"/>
              </w:rPr>
              <w:t>（3）投标人之间约定部分投标人放弃投标或者中标；</w:t>
            </w:r>
          </w:p>
          <w:p w14:paraId="11DA62F0">
            <w:pPr>
              <w:pStyle w:val="25"/>
              <w:spacing w:before="118" w:line="263" w:lineRule="auto"/>
              <w:ind w:left="17" w:right="10" w:firstLine="480"/>
              <w:rPr>
                <w:highlight w:val="none"/>
              </w:rPr>
            </w:pPr>
            <w:r>
              <w:rPr>
                <w:spacing w:val="2"/>
                <w:highlight w:val="none"/>
              </w:rPr>
              <w:t>（4）属于同一集团、协会、商会等组织成员的投标人</w:t>
            </w:r>
            <w:r>
              <w:rPr>
                <w:spacing w:val="-6"/>
                <w:highlight w:val="none"/>
              </w:rPr>
              <w:t>按照该组织要求协同投标；</w:t>
            </w:r>
          </w:p>
          <w:p w14:paraId="7A8D5168">
            <w:pPr>
              <w:pStyle w:val="25"/>
              <w:spacing w:before="115" w:line="215" w:lineRule="auto"/>
              <w:ind w:right="12"/>
              <w:jc w:val="right"/>
              <w:rPr>
                <w:highlight w:val="none"/>
              </w:rPr>
            </w:pPr>
            <w:r>
              <w:rPr>
                <w:spacing w:val="2"/>
                <w:highlight w:val="none"/>
              </w:rPr>
              <w:t>（5）投标人之间为谋取中标或者排斥特定投标</w:t>
            </w:r>
            <w:r>
              <w:rPr>
                <w:spacing w:val="1"/>
                <w:highlight w:val="none"/>
              </w:rPr>
              <w:t>人而采</w:t>
            </w:r>
          </w:p>
        </w:tc>
      </w:tr>
    </w:tbl>
    <w:p w14:paraId="006CDD18">
      <w:pPr>
        <w:pStyle w:val="3"/>
        <w:rPr>
          <w:highlight w:val="none"/>
        </w:rPr>
      </w:pPr>
    </w:p>
    <w:p w14:paraId="578C9093">
      <w:pPr>
        <w:rPr>
          <w:highlight w:val="none"/>
        </w:rPr>
        <w:sectPr>
          <w:footerReference r:id="rId14" w:type="default"/>
          <w:pgSz w:w="11907" w:h="16839"/>
          <w:pgMar w:top="1431" w:right="1018" w:bottom="1199" w:left="1661" w:header="0" w:footer="968" w:gutter="0"/>
          <w:cols w:space="720" w:num="1"/>
        </w:sectPr>
      </w:pPr>
    </w:p>
    <w:p w14:paraId="0B9A4A5D">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0A02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9" w:hRule="atLeast"/>
        </w:trPr>
        <w:tc>
          <w:tcPr>
            <w:tcW w:w="873" w:type="dxa"/>
            <w:vAlign w:val="top"/>
          </w:tcPr>
          <w:p w14:paraId="7AAD904D">
            <w:pPr>
              <w:rPr>
                <w:rFonts w:ascii="Arial"/>
                <w:sz w:val="21"/>
                <w:highlight w:val="none"/>
              </w:rPr>
            </w:pPr>
          </w:p>
        </w:tc>
        <w:tc>
          <w:tcPr>
            <w:tcW w:w="2147" w:type="dxa"/>
            <w:vAlign w:val="top"/>
          </w:tcPr>
          <w:p w14:paraId="6738E65F">
            <w:pPr>
              <w:rPr>
                <w:rFonts w:ascii="Arial"/>
                <w:sz w:val="21"/>
                <w:highlight w:val="none"/>
              </w:rPr>
            </w:pPr>
          </w:p>
        </w:tc>
        <w:tc>
          <w:tcPr>
            <w:tcW w:w="6202" w:type="dxa"/>
            <w:vAlign w:val="top"/>
          </w:tcPr>
          <w:p w14:paraId="066ABC28">
            <w:pPr>
              <w:pStyle w:val="25"/>
              <w:spacing w:before="117" w:line="217" w:lineRule="auto"/>
              <w:ind w:left="18"/>
              <w:rPr>
                <w:highlight w:val="none"/>
              </w:rPr>
            </w:pPr>
            <w:r>
              <w:rPr>
                <w:spacing w:val="-7"/>
                <w:highlight w:val="none"/>
              </w:rPr>
              <w:t>取的其他联合行动；</w:t>
            </w:r>
          </w:p>
          <w:p w14:paraId="3FB6BC6B">
            <w:pPr>
              <w:pStyle w:val="25"/>
              <w:spacing w:before="119" w:line="217" w:lineRule="auto"/>
              <w:jc w:val="right"/>
              <w:rPr>
                <w:highlight w:val="none"/>
              </w:rPr>
            </w:pPr>
            <w:r>
              <w:rPr>
                <w:spacing w:val="-8"/>
                <w:highlight w:val="none"/>
              </w:rPr>
              <w:t>（6）不同投标人的投标文件由同一单位或者个人编制；</w:t>
            </w:r>
          </w:p>
          <w:p w14:paraId="6450B025">
            <w:pPr>
              <w:pStyle w:val="25"/>
              <w:spacing w:before="118" w:line="217" w:lineRule="auto"/>
              <w:jc w:val="right"/>
              <w:rPr>
                <w:highlight w:val="none"/>
              </w:rPr>
            </w:pPr>
            <w:r>
              <w:rPr>
                <w:spacing w:val="-8"/>
                <w:highlight w:val="none"/>
              </w:rPr>
              <w:t>（7）不同投标人委托同一单位或者个人办理投标事宜；</w:t>
            </w:r>
          </w:p>
          <w:p w14:paraId="17082F87">
            <w:pPr>
              <w:pStyle w:val="25"/>
              <w:spacing w:before="117" w:line="263" w:lineRule="auto"/>
              <w:ind w:left="21" w:right="50" w:firstLine="476"/>
              <w:rPr>
                <w:highlight w:val="none"/>
              </w:rPr>
            </w:pPr>
            <w:r>
              <w:rPr>
                <w:highlight w:val="none"/>
              </w:rPr>
              <w:t>（8）不同投标人的投标文件载明的项目管理成员为同</w:t>
            </w:r>
            <w:r>
              <w:rPr>
                <w:spacing w:val="-16"/>
                <w:highlight w:val="none"/>
              </w:rPr>
              <w:t>一人；</w:t>
            </w:r>
          </w:p>
          <w:p w14:paraId="7E76CA05">
            <w:pPr>
              <w:pStyle w:val="25"/>
              <w:spacing w:before="117" w:line="261" w:lineRule="auto"/>
              <w:ind w:left="17" w:right="10" w:firstLine="480"/>
              <w:rPr>
                <w:highlight w:val="none"/>
              </w:rPr>
            </w:pPr>
            <w:r>
              <w:rPr>
                <w:spacing w:val="2"/>
                <w:highlight w:val="none"/>
              </w:rPr>
              <w:t>（9）不同投标人的投标文件异常一致或者投标报价呈</w:t>
            </w:r>
            <w:r>
              <w:rPr>
                <w:spacing w:val="-10"/>
                <w:highlight w:val="none"/>
              </w:rPr>
              <w:t>规律性差异；</w:t>
            </w:r>
          </w:p>
          <w:p w14:paraId="3B7866D7">
            <w:pPr>
              <w:pStyle w:val="25"/>
              <w:spacing w:before="120" w:line="217" w:lineRule="auto"/>
              <w:ind w:left="497"/>
              <w:rPr>
                <w:highlight w:val="none"/>
              </w:rPr>
            </w:pPr>
            <w:r>
              <w:rPr>
                <w:spacing w:val="-4"/>
                <w:highlight w:val="none"/>
              </w:rPr>
              <w:t>（10）不同投标人的投标文件相互混装；</w:t>
            </w:r>
          </w:p>
          <w:p w14:paraId="1FE71033">
            <w:pPr>
              <w:pStyle w:val="25"/>
              <w:spacing w:before="118" w:line="261" w:lineRule="auto"/>
              <w:ind w:left="15" w:right="5" w:firstLine="482"/>
              <w:rPr>
                <w:highlight w:val="none"/>
              </w:rPr>
            </w:pPr>
            <w:r>
              <w:rPr>
                <w:spacing w:val="-3"/>
                <w:highlight w:val="none"/>
              </w:rPr>
              <w:t>（11）不同投标人的投标保证金从同一单位或者个人的账户转出。</w:t>
            </w:r>
          </w:p>
        </w:tc>
      </w:tr>
      <w:tr w14:paraId="55D33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7" w:hRule="atLeast"/>
        </w:trPr>
        <w:tc>
          <w:tcPr>
            <w:tcW w:w="873" w:type="dxa"/>
            <w:vAlign w:val="top"/>
          </w:tcPr>
          <w:p w14:paraId="75D9249C">
            <w:pPr>
              <w:spacing w:line="241" w:lineRule="auto"/>
              <w:rPr>
                <w:rFonts w:ascii="Arial"/>
                <w:sz w:val="21"/>
                <w:highlight w:val="none"/>
              </w:rPr>
            </w:pPr>
          </w:p>
          <w:p w14:paraId="74E475CC">
            <w:pPr>
              <w:spacing w:line="241" w:lineRule="auto"/>
              <w:rPr>
                <w:rFonts w:ascii="Arial"/>
                <w:sz w:val="21"/>
                <w:highlight w:val="none"/>
              </w:rPr>
            </w:pPr>
          </w:p>
          <w:p w14:paraId="0BA9C5B2">
            <w:pPr>
              <w:spacing w:line="241" w:lineRule="auto"/>
              <w:rPr>
                <w:rFonts w:ascii="Arial"/>
                <w:sz w:val="21"/>
                <w:highlight w:val="none"/>
              </w:rPr>
            </w:pPr>
          </w:p>
          <w:p w14:paraId="3525C0BC">
            <w:pPr>
              <w:spacing w:line="241" w:lineRule="auto"/>
              <w:rPr>
                <w:rFonts w:ascii="Arial"/>
                <w:sz w:val="21"/>
                <w:highlight w:val="none"/>
              </w:rPr>
            </w:pPr>
          </w:p>
          <w:p w14:paraId="4E8C4319">
            <w:pPr>
              <w:spacing w:line="241" w:lineRule="auto"/>
              <w:rPr>
                <w:rFonts w:ascii="Arial"/>
                <w:sz w:val="21"/>
                <w:highlight w:val="none"/>
              </w:rPr>
            </w:pPr>
          </w:p>
          <w:p w14:paraId="0DD0444B">
            <w:pPr>
              <w:spacing w:line="241" w:lineRule="auto"/>
              <w:rPr>
                <w:rFonts w:ascii="Arial"/>
                <w:sz w:val="21"/>
                <w:highlight w:val="none"/>
              </w:rPr>
            </w:pPr>
          </w:p>
          <w:p w14:paraId="1FFE0D4F">
            <w:pPr>
              <w:spacing w:line="241" w:lineRule="auto"/>
              <w:rPr>
                <w:rFonts w:ascii="Arial"/>
                <w:sz w:val="21"/>
                <w:highlight w:val="none"/>
              </w:rPr>
            </w:pPr>
          </w:p>
          <w:p w14:paraId="3CD28F72">
            <w:pPr>
              <w:spacing w:line="241" w:lineRule="auto"/>
              <w:rPr>
                <w:rFonts w:ascii="Arial"/>
                <w:sz w:val="21"/>
                <w:highlight w:val="none"/>
              </w:rPr>
            </w:pPr>
          </w:p>
          <w:p w14:paraId="3F4404F9">
            <w:pPr>
              <w:spacing w:line="241" w:lineRule="auto"/>
              <w:rPr>
                <w:rFonts w:ascii="Arial"/>
                <w:sz w:val="21"/>
                <w:highlight w:val="none"/>
              </w:rPr>
            </w:pPr>
          </w:p>
          <w:p w14:paraId="1AD3DE07">
            <w:pPr>
              <w:spacing w:line="241" w:lineRule="auto"/>
              <w:rPr>
                <w:rFonts w:ascii="Arial"/>
                <w:sz w:val="21"/>
                <w:highlight w:val="none"/>
              </w:rPr>
            </w:pPr>
          </w:p>
          <w:p w14:paraId="13C5972A">
            <w:pPr>
              <w:spacing w:line="241" w:lineRule="auto"/>
              <w:rPr>
                <w:rFonts w:ascii="Arial"/>
                <w:sz w:val="21"/>
                <w:highlight w:val="none"/>
              </w:rPr>
            </w:pPr>
          </w:p>
          <w:p w14:paraId="0B607685">
            <w:pPr>
              <w:spacing w:line="241" w:lineRule="auto"/>
              <w:rPr>
                <w:rFonts w:ascii="Arial"/>
                <w:sz w:val="21"/>
                <w:highlight w:val="none"/>
              </w:rPr>
            </w:pPr>
          </w:p>
          <w:p w14:paraId="285EBCDC">
            <w:pPr>
              <w:spacing w:line="241" w:lineRule="auto"/>
              <w:rPr>
                <w:rFonts w:ascii="Arial"/>
                <w:sz w:val="21"/>
                <w:highlight w:val="none"/>
              </w:rPr>
            </w:pPr>
          </w:p>
          <w:p w14:paraId="1760B797">
            <w:pPr>
              <w:spacing w:line="241" w:lineRule="auto"/>
              <w:rPr>
                <w:rFonts w:ascii="Arial"/>
                <w:sz w:val="21"/>
                <w:highlight w:val="none"/>
              </w:rPr>
            </w:pPr>
          </w:p>
          <w:p w14:paraId="5C230E87">
            <w:pPr>
              <w:spacing w:line="241" w:lineRule="auto"/>
              <w:rPr>
                <w:rFonts w:ascii="Arial"/>
                <w:sz w:val="21"/>
                <w:highlight w:val="none"/>
              </w:rPr>
            </w:pPr>
          </w:p>
          <w:p w14:paraId="1800AAF1">
            <w:pPr>
              <w:spacing w:line="241" w:lineRule="auto"/>
              <w:rPr>
                <w:rFonts w:ascii="Arial"/>
                <w:sz w:val="21"/>
                <w:highlight w:val="none"/>
              </w:rPr>
            </w:pPr>
          </w:p>
          <w:p w14:paraId="4A0B2905">
            <w:pPr>
              <w:spacing w:line="241" w:lineRule="auto"/>
              <w:rPr>
                <w:rFonts w:ascii="Arial"/>
                <w:sz w:val="21"/>
                <w:highlight w:val="none"/>
              </w:rPr>
            </w:pPr>
          </w:p>
          <w:p w14:paraId="5213B270">
            <w:pPr>
              <w:spacing w:line="242" w:lineRule="auto"/>
              <w:rPr>
                <w:rFonts w:ascii="Arial"/>
                <w:sz w:val="21"/>
                <w:highlight w:val="none"/>
              </w:rPr>
            </w:pPr>
          </w:p>
          <w:p w14:paraId="3A6DE7D6">
            <w:pPr>
              <w:spacing w:line="242" w:lineRule="auto"/>
              <w:rPr>
                <w:rFonts w:ascii="Arial"/>
                <w:sz w:val="21"/>
                <w:highlight w:val="none"/>
              </w:rPr>
            </w:pPr>
          </w:p>
          <w:p w14:paraId="542B3594">
            <w:pPr>
              <w:pStyle w:val="25"/>
              <w:spacing w:before="78" w:line="238" w:lineRule="auto"/>
              <w:ind w:left="319"/>
              <w:rPr>
                <w:highlight w:val="none"/>
              </w:rPr>
            </w:pPr>
            <w:r>
              <w:rPr>
                <w:spacing w:val="-2"/>
                <w:highlight w:val="none"/>
              </w:rPr>
              <w:t>44</w:t>
            </w:r>
          </w:p>
        </w:tc>
        <w:tc>
          <w:tcPr>
            <w:tcW w:w="2147" w:type="dxa"/>
            <w:vAlign w:val="top"/>
          </w:tcPr>
          <w:p w14:paraId="5C59AF11">
            <w:pPr>
              <w:spacing w:line="245" w:lineRule="auto"/>
              <w:rPr>
                <w:rFonts w:ascii="Arial"/>
                <w:sz w:val="21"/>
                <w:highlight w:val="none"/>
              </w:rPr>
            </w:pPr>
          </w:p>
          <w:p w14:paraId="685675AD">
            <w:pPr>
              <w:spacing w:line="245" w:lineRule="auto"/>
              <w:rPr>
                <w:rFonts w:ascii="Arial"/>
                <w:sz w:val="21"/>
                <w:highlight w:val="none"/>
              </w:rPr>
            </w:pPr>
          </w:p>
          <w:p w14:paraId="435A2D4B">
            <w:pPr>
              <w:spacing w:line="246" w:lineRule="auto"/>
              <w:rPr>
                <w:rFonts w:ascii="Arial"/>
                <w:sz w:val="21"/>
                <w:highlight w:val="none"/>
              </w:rPr>
            </w:pPr>
          </w:p>
          <w:p w14:paraId="7DBA01A4">
            <w:pPr>
              <w:spacing w:line="246" w:lineRule="auto"/>
              <w:rPr>
                <w:rFonts w:ascii="Arial"/>
                <w:sz w:val="21"/>
                <w:highlight w:val="none"/>
              </w:rPr>
            </w:pPr>
          </w:p>
          <w:p w14:paraId="2ED2994D">
            <w:pPr>
              <w:spacing w:line="246" w:lineRule="auto"/>
              <w:rPr>
                <w:rFonts w:ascii="Arial"/>
                <w:sz w:val="21"/>
                <w:highlight w:val="none"/>
              </w:rPr>
            </w:pPr>
          </w:p>
          <w:p w14:paraId="0487B42F">
            <w:pPr>
              <w:spacing w:line="246" w:lineRule="auto"/>
              <w:rPr>
                <w:rFonts w:ascii="Arial"/>
                <w:sz w:val="21"/>
                <w:highlight w:val="none"/>
              </w:rPr>
            </w:pPr>
          </w:p>
          <w:p w14:paraId="41BBB2FD">
            <w:pPr>
              <w:spacing w:line="246" w:lineRule="auto"/>
              <w:rPr>
                <w:rFonts w:ascii="Arial"/>
                <w:sz w:val="21"/>
                <w:highlight w:val="none"/>
              </w:rPr>
            </w:pPr>
          </w:p>
          <w:p w14:paraId="02D19EBF">
            <w:pPr>
              <w:spacing w:line="246" w:lineRule="auto"/>
              <w:rPr>
                <w:rFonts w:ascii="Arial"/>
                <w:sz w:val="21"/>
                <w:highlight w:val="none"/>
              </w:rPr>
            </w:pPr>
          </w:p>
          <w:p w14:paraId="4AC8E40B">
            <w:pPr>
              <w:spacing w:line="246" w:lineRule="auto"/>
              <w:rPr>
                <w:rFonts w:ascii="Arial"/>
                <w:sz w:val="21"/>
                <w:highlight w:val="none"/>
              </w:rPr>
            </w:pPr>
          </w:p>
          <w:p w14:paraId="367C2EF8">
            <w:pPr>
              <w:spacing w:line="246" w:lineRule="auto"/>
              <w:rPr>
                <w:rFonts w:ascii="Arial"/>
                <w:sz w:val="21"/>
                <w:highlight w:val="none"/>
              </w:rPr>
            </w:pPr>
          </w:p>
          <w:p w14:paraId="280D3871">
            <w:pPr>
              <w:spacing w:line="246" w:lineRule="auto"/>
              <w:rPr>
                <w:rFonts w:ascii="Arial"/>
                <w:sz w:val="21"/>
                <w:highlight w:val="none"/>
              </w:rPr>
            </w:pPr>
          </w:p>
          <w:p w14:paraId="784BD6CC">
            <w:pPr>
              <w:spacing w:line="246" w:lineRule="auto"/>
              <w:rPr>
                <w:rFonts w:ascii="Arial"/>
                <w:sz w:val="21"/>
                <w:highlight w:val="none"/>
              </w:rPr>
            </w:pPr>
          </w:p>
          <w:p w14:paraId="5C8FF12D">
            <w:pPr>
              <w:spacing w:line="246" w:lineRule="auto"/>
              <w:rPr>
                <w:rFonts w:ascii="Arial"/>
                <w:sz w:val="21"/>
                <w:highlight w:val="none"/>
              </w:rPr>
            </w:pPr>
          </w:p>
          <w:p w14:paraId="4D9D7A6F">
            <w:pPr>
              <w:spacing w:line="246" w:lineRule="auto"/>
              <w:rPr>
                <w:rFonts w:ascii="Arial"/>
                <w:sz w:val="21"/>
                <w:highlight w:val="none"/>
              </w:rPr>
            </w:pPr>
          </w:p>
          <w:p w14:paraId="6AD04C57">
            <w:pPr>
              <w:spacing w:line="246" w:lineRule="auto"/>
              <w:rPr>
                <w:rFonts w:ascii="Arial"/>
                <w:sz w:val="21"/>
                <w:highlight w:val="none"/>
              </w:rPr>
            </w:pPr>
          </w:p>
          <w:p w14:paraId="248485F1">
            <w:pPr>
              <w:spacing w:line="246" w:lineRule="auto"/>
              <w:rPr>
                <w:rFonts w:ascii="Arial"/>
                <w:sz w:val="21"/>
                <w:highlight w:val="none"/>
              </w:rPr>
            </w:pPr>
          </w:p>
          <w:p w14:paraId="4957BEB3">
            <w:pPr>
              <w:spacing w:line="246" w:lineRule="auto"/>
              <w:rPr>
                <w:rFonts w:ascii="Arial"/>
                <w:sz w:val="21"/>
                <w:highlight w:val="none"/>
              </w:rPr>
            </w:pPr>
          </w:p>
          <w:p w14:paraId="7AD45B2B">
            <w:pPr>
              <w:spacing w:line="246" w:lineRule="auto"/>
              <w:rPr>
                <w:rFonts w:ascii="Arial"/>
                <w:sz w:val="21"/>
                <w:highlight w:val="none"/>
              </w:rPr>
            </w:pPr>
          </w:p>
          <w:p w14:paraId="4DBE447A">
            <w:pPr>
              <w:pStyle w:val="25"/>
              <w:spacing w:before="78" w:line="217" w:lineRule="auto"/>
              <w:ind w:left="363"/>
              <w:rPr>
                <w:highlight w:val="none"/>
              </w:rPr>
            </w:pPr>
            <w:r>
              <w:rPr>
                <w:spacing w:val="-3"/>
                <w:highlight w:val="none"/>
              </w:rPr>
              <w:t>相关政策要求</w:t>
            </w:r>
          </w:p>
        </w:tc>
        <w:tc>
          <w:tcPr>
            <w:tcW w:w="6202" w:type="dxa"/>
            <w:vAlign w:val="top"/>
          </w:tcPr>
          <w:p w14:paraId="6F8C2137">
            <w:pPr>
              <w:pStyle w:val="25"/>
              <w:spacing w:before="113" w:line="293" w:lineRule="auto"/>
              <w:ind w:left="12" w:right="5" w:firstLine="485"/>
              <w:rPr>
                <w:highlight w:val="none"/>
              </w:rPr>
            </w:pPr>
            <w:r>
              <w:rPr>
                <w:spacing w:val="2"/>
                <w:highlight w:val="none"/>
              </w:rPr>
              <w:t>（1）承包人在工程实施过程中的用工行为，必须严格</w:t>
            </w:r>
            <w:r>
              <w:rPr>
                <w:highlight w:val="none"/>
              </w:rPr>
              <w:t>按照《保障农民工工资支付条例》（国务院令第724号）、</w:t>
            </w:r>
            <w:r>
              <w:rPr>
                <w:spacing w:val="18"/>
                <w:highlight w:val="none"/>
              </w:rPr>
              <w:t xml:space="preserve"> </w:t>
            </w:r>
            <w:r>
              <w:rPr>
                <w:spacing w:val="7"/>
                <w:highlight w:val="none"/>
              </w:rPr>
              <w:t>《安徽省人民政府办公厅关于全面治理拖欠农民工</w:t>
            </w:r>
            <w:r>
              <w:rPr>
                <w:spacing w:val="6"/>
                <w:highlight w:val="none"/>
              </w:rPr>
              <w:t>工资问</w:t>
            </w:r>
            <w:r>
              <w:rPr>
                <w:spacing w:val="-2"/>
                <w:highlight w:val="none"/>
              </w:rPr>
              <w:t>题的实施意见》（皖政办〔2016〕22号）等文件精</w:t>
            </w:r>
            <w:r>
              <w:rPr>
                <w:spacing w:val="-3"/>
                <w:highlight w:val="none"/>
              </w:rPr>
              <w:t>神的有关规定，依法与招用的农民工签订劳动合同，并按规定及时足</w:t>
            </w:r>
            <w:r>
              <w:rPr>
                <w:spacing w:val="-6"/>
                <w:highlight w:val="none"/>
              </w:rPr>
              <w:t>额支付工资。</w:t>
            </w:r>
          </w:p>
          <w:p w14:paraId="26BC6A2F">
            <w:pPr>
              <w:pStyle w:val="25"/>
              <w:spacing w:before="117" w:line="277" w:lineRule="auto"/>
              <w:ind w:left="24" w:right="11" w:firstLine="473"/>
              <w:rPr>
                <w:highlight w:val="none"/>
              </w:rPr>
            </w:pPr>
            <w:r>
              <w:rPr>
                <w:spacing w:val="2"/>
                <w:highlight w:val="none"/>
              </w:rPr>
              <w:t>（2）省外建设工程企业按照安徽省住房和城乡建</w:t>
            </w:r>
            <w:r>
              <w:rPr>
                <w:spacing w:val="1"/>
                <w:highlight w:val="none"/>
              </w:rPr>
              <w:t>设厅</w:t>
            </w:r>
            <w:r>
              <w:rPr>
                <w:spacing w:val="6"/>
                <w:highlight w:val="none"/>
              </w:rPr>
              <w:t>关于优化进皖建设工程企业信息登记服务和管理有关工作</w:t>
            </w:r>
            <w:r>
              <w:rPr>
                <w:spacing w:val="-2"/>
                <w:highlight w:val="none"/>
              </w:rPr>
              <w:t>的通知（建市规〔2025〕4号）进行相关信息</w:t>
            </w:r>
            <w:r>
              <w:rPr>
                <w:spacing w:val="-3"/>
                <w:highlight w:val="none"/>
              </w:rPr>
              <w:t>登记。</w:t>
            </w:r>
          </w:p>
          <w:p w14:paraId="7A31FE4C">
            <w:pPr>
              <w:pStyle w:val="25"/>
              <w:spacing w:before="120" w:line="285" w:lineRule="auto"/>
              <w:ind w:left="17" w:firstLine="474"/>
              <w:rPr>
                <w:highlight w:val="none"/>
              </w:rPr>
            </w:pPr>
            <w:r>
              <w:rPr>
                <w:spacing w:val="-7"/>
                <w:highlight w:val="none"/>
              </w:rPr>
              <w:t>（3）关于投标保证金、履约保证金、工程质量保证金、</w:t>
            </w:r>
            <w:r>
              <w:rPr>
                <w:spacing w:val="-1"/>
                <w:highlight w:val="none"/>
              </w:rPr>
              <w:t>农民工工资保证金执行《关于加快推进房屋建筑和市政基础设施工程实行工程担保制度的通知》（建市[2020]84 号</w:t>
            </w:r>
            <w:r>
              <w:rPr>
                <w:spacing w:val="-6"/>
                <w:highlight w:val="none"/>
              </w:rPr>
              <w:t>文件）。</w:t>
            </w:r>
          </w:p>
          <w:p w14:paraId="7F634E79">
            <w:pPr>
              <w:pStyle w:val="25"/>
              <w:spacing w:before="117" w:line="277" w:lineRule="auto"/>
              <w:ind w:left="17" w:right="19" w:firstLine="480"/>
              <w:rPr>
                <w:highlight w:val="none"/>
              </w:rPr>
            </w:pPr>
            <w:r>
              <w:rPr>
                <w:spacing w:val="1"/>
                <w:highlight w:val="none"/>
              </w:rPr>
              <w:t>（4）保证保险产品应按《中国银保监会办公厅关于进一步加强和改 进财产保险公司产品监管有关问题的通知》</w:t>
            </w:r>
            <w:r>
              <w:rPr>
                <w:spacing w:val="-11"/>
                <w:highlight w:val="none"/>
              </w:rPr>
              <w:t>执行。</w:t>
            </w:r>
          </w:p>
          <w:p w14:paraId="66A027F8">
            <w:pPr>
              <w:pStyle w:val="25"/>
              <w:spacing w:before="120" w:line="296" w:lineRule="auto"/>
              <w:ind w:left="15" w:firstLine="477"/>
              <w:rPr>
                <w:highlight w:val="none"/>
              </w:rPr>
            </w:pPr>
            <w:r>
              <w:rPr>
                <w:spacing w:val="-2"/>
                <w:highlight w:val="none"/>
              </w:rPr>
              <w:t>（5）农民工工资保证金支持现金、保函等保证方式。</w:t>
            </w:r>
            <w:r>
              <w:rPr>
                <w:spacing w:val="-5"/>
                <w:highlight w:val="none"/>
              </w:rPr>
              <w:t>农民工工资保证金、农民工工资专用账户管理、农民</w:t>
            </w:r>
            <w:r>
              <w:rPr>
                <w:spacing w:val="-6"/>
                <w:highlight w:val="none"/>
              </w:rPr>
              <w:t>工工资</w:t>
            </w:r>
            <w:r>
              <w:rPr>
                <w:spacing w:val="-1"/>
                <w:highlight w:val="none"/>
              </w:rPr>
              <w:t>支付等严格执行《关于印发&lt;安徽省工程建设领域农民工工资保证金实施办法&gt;的通知 （皖人社发[2022]8号）》、安</w:t>
            </w:r>
            <w:r>
              <w:rPr>
                <w:spacing w:val="-5"/>
                <w:highlight w:val="none"/>
              </w:rPr>
              <w:t>徽省人社厅等部门印发的《贯彻落实〈工程建设领域农民工</w:t>
            </w:r>
            <w:r>
              <w:rPr>
                <w:spacing w:val="-3"/>
                <w:highlight w:val="none"/>
              </w:rPr>
              <w:t>工资专用账户管理暂行办法〉的通知》（皖人社发〔2022〕</w:t>
            </w:r>
            <w:r>
              <w:rPr>
                <w:spacing w:val="7"/>
                <w:highlight w:val="none"/>
              </w:rPr>
              <w:t xml:space="preserve"> </w:t>
            </w:r>
            <w:r>
              <w:rPr>
                <w:spacing w:val="-6"/>
                <w:highlight w:val="none"/>
              </w:rPr>
              <w:t>5号）、安徽省住建厅《关于建立长效机制切实保</w:t>
            </w:r>
            <w:r>
              <w:rPr>
                <w:spacing w:val="28"/>
                <w:highlight w:val="none"/>
              </w:rPr>
              <w:t xml:space="preserve"> </w:t>
            </w:r>
            <w:r>
              <w:rPr>
                <w:spacing w:val="-6"/>
                <w:highlight w:val="none"/>
              </w:rPr>
              <w:t>障建筑行</w:t>
            </w:r>
            <w:r>
              <w:rPr>
                <w:spacing w:val="-4"/>
                <w:highlight w:val="none"/>
              </w:rPr>
              <w:t>业农民工工资支付工作的通知》（建市函〔2022〕4</w:t>
            </w:r>
            <w:r>
              <w:rPr>
                <w:spacing w:val="-5"/>
                <w:highlight w:val="none"/>
              </w:rPr>
              <w:t>90号</w:t>
            </w:r>
            <w:r>
              <w:rPr>
                <w:spacing w:val="-33"/>
                <w:highlight w:val="none"/>
              </w:rPr>
              <w:t>），</w:t>
            </w:r>
          </w:p>
        </w:tc>
      </w:tr>
    </w:tbl>
    <w:p w14:paraId="720630A8">
      <w:pPr>
        <w:pStyle w:val="3"/>
        <w:rPr>
          <w:highlight w:val="none"/>
        </w:rPr>
      </w:pPr>
    </w:p>
    <w:p w14:paraId="17DAB20B">
      <w:pPr>
        <w:rPr>
          <w:highlight w:val="none"/>
        </w:rPr>
        <w:sectPr>
          <w:footerReference r:id="rId15" w:type="default"/>
          <w:pgSz w:w="11907" w:h="16839"/>
          <w:pgMar w:top="1431" w:right="1018" w:bottom="1199" w:left="1661" w:header="0" w:footer="968" w:gutter="0"/>
          <w:cols w:space="720" w:num="1"/>
        </w:sectPr>
      </w:pPr>
    </w:p>
    <w:p w14:paraId="52A0DE6B">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37BD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873" w:type="dxa"/>
            <w:vAlign w:val="top"/>
          </w:tcPr>
          <w:p w14:paraId="46FB3DB1">
            <w:pPr>
              <w:rPr>
                <w:rFonts w:ascii="Arial"/>
                <w:sz w:val="21"/>
                <w:highlight w:val="none"/>
              </w:rPr>
            </w:pPr>
          </w:p>
        </w:tc>
        <w:tc>
          <w:tcPr>
            <w:tcW w:w="2147" w:type="dxa"/>
            <w:vAlign w:val="top"/>
          </w:tcPr>
          <w:p w14:paraId="333D5D7E">
            <w:pPr>
              <w:rPr>
                <w:rFonts w:ascii="Arial"/>
                <w:sz w:val="21"/>
                <w:highlight w:val="none"/>
              </w:rPr>
            </w:pPr>
          </w:p>
        </w:tc>
        <w:tc>
          <w:tcPr>
            <w:tcW w:w="6202" w:type="dxa"/>
            <w:vAlign w:val="top"/>
          </w:tcPr>
          <w:p w14:paraId="10C021F4">
            <w:pPr>
              <w:pStyle w:val="25"/>
              <w:spacing w:before="115" w:line="308" w:lineRule="auto"/>
              <w:ind w:left="19" w:right="4"/>
              <w:jc w:val="both"/>
              <w:rPr>
                <w:highlight w:val="none"/>
              </w:rPr>
            </w:pPr>
            <w:r>
              <w:rPr>
                <w:spacing w:val="-3"/>
                <w:highlight w:val="none"/>
              </w:rPr>
              <w:t>安徽省住建厅《关于加快培育和壮大我省建</w:t>
            </w:r>
            <w:r>
              <w:rPr>
                <w:spacing w:val="-4"/>
                <w:highlight w:val="none"/>
              </w:rPr>
              <w:t>筑产业工人队伍</w:t>
            </w:r>
            <w:r>
              <w:rPr>
                <w:spacing w:val="1"/>
                <w:highlight w:val="none"/>
              </w:rPr>
              <w:t>的意见》（建市规〔2023〕1号）、《关于印发〈安徽省房</w:t>
            </w:r>
            <w:r>
              <w:rPr>
                <w:highlight w:val="none"/>
              </w:rPr>
              <w:t>屋建筑和市政基础设施工程施工过程结算管理办法〉</w:t>
            </w:r>
            <w:r>
              <w:rPr>
                <w:spacing w:val="51"/>
                <w:highlight w:val="none"/>
              </w:rPr>
              <w:t xml:space="preserve"> </w:t>
            </w:r>
            <w:r>
              <w:rPr>
                <w:highlight w:val="none"/>
              </w:rPr>
              <w:t>的通</w:t>
            </w:r>
            <w:r>
              <w:rPr>
                <w:spacing w:val="-3"/>
                <w:highlight w:val="none"/>
              </w:rPr>
              <w:t>知》（建市规〔2023〕2号）以及《关于修改完善&lt;六安市工</w:t>
            </w:r>
            <w:r>
              <w:rPr>
                <w:spacing w:val="-5"/>
                <w:highlight w:val="none"/>
              </w:rPr>
              <w:t>程建设领域农民工工资保证金</w:t>
            </w:r>
            <w:r>
              <w:rPr>
                <w:spacing w:val="38"/>
                <w:highlight w:val="none"/>
              </w:rPr>
              <w:t xml:space="preserve"> </w:t>
            </w:r>
            <w:r>
              <w:rPr>
                <w:spacing w:val="-5"/>
                <w:highlight w:val="none"/>
              </w:rPr>
              <w:t>管理实施办法&gt;的通知》（六</w:t>
            </w:r>
            <w:r>
              <w:rPr>
                <w:spacing w:val="-3"/>
                <w:highlight w:val="none"/>
              </w:rPr>
              <w:t>人社秘〔2020〕11号）。</w:t>
            </w:r>
          </w:p>
          <w:p w14:paraId="29D027BB">
            <w:pPr>
              <w:pStyle w:val="25"/>
              <w:spacing w:line="216" w:lineRule="auto"/>
              <w:jc w:val="right"/>
              <w:rPr>
                <w:highlight w:val="none"/>
              </w:rPr>
            </w:pPr>
            <w:r>
              <w:rPr>
                <w:spacing w:val="-12"/>
                <w:highlight w:val="none"/>
              </w:rPr>
              <w:t>备注：如有相关政策文件更新，按照最新政策文</w:t>
            </w:r>
            <w:r>
              <w:rPr>
                <w:spacing w:val="-13"/>
                <w:highlight w:val="none"/>
              </w:rPr>
              <w:t>件执行。</w:t>
            </w:r>
          </w:p>
        </w:tc>
      </w:tr>
      <w:tr w14:paraId="6643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8" w:hRule="atLeast"/>
        </w:trPr>
        <w:tc>
          <w:tcPr>
            <w:tcW w:w="873" w:type="dxa"/>
            <w:vAlign w:val="top"/>
          </w:tcPr>
          <w:p w14:paraId="64E2E8F0">
            <w:pPr>
              <w:rPr>
                <w:rFonts w:ascii="Arial"/>
                <w:sz w:val="21"/>
                <w:highlight w:val="none"/>
              </w:rPr>
            </w:pPr>
          </w:p>
          <w:p w14:paraId="65EA40E0">
            <w:pPr>
              <w:rPr>
                <w:rFonts w:ascii="Arial"/>
                <w:sz w:val="21"/>
                <w:highlight w:val="none"/>
              </w:rPr>
            </w:pPr>
          </w:p>
          <w:p w14:paraId="6D96705E">
            <w:pPr>
              <w:rPr>
                <w:rFonts w:ascii="Arial"/>
                <w:sz w:val="21"/>
                <w:highlight w:val="none"/>
              </w:rPr>
            </w:pPr>
          </w:p>
          <w:p w14:paraId="10B83D04">
            <w:pPr>
              <w:rPr>
                <w:rFonts w:ascii="Arial"/>
                <w:sz w:val="21"/>
                <w:highlight w:val="none"/>
              </w:rPr>
            </w:pPr>
          </w:p>
          <w:p w14:paraId="061BCD56">
            <w:pPr>
              <w:rPr>
                <w:rFonts w:ascii="Arial"/>
                <w:sz w:val="21"/>
                <w:highlight w:val="none"/>
              </w:rPr>
            </w:pPr>
          </w:p>
          <w:p w14:paraId="599D7A93">
            <w:pPr>
              <w:rPr>
                <w:rFonts w:ascii="Arial"/>
                <w:sz w:val="21"/>
                <w:highlight w:val="none"/>
              </w:rPr>
            </w:pPr>
          </w:p>
          <w:p w14:paraId="05917816">
            <w:pPr>
              <w:rPr>
                <w:rFonts w:ascii="Arial"/>
                <w:sz w:val="21"/>
                <w:highlight w:val="none"/>
              </w:rPr>
            </w:pPr>
          </w:p>
          <w:p w14:paraId="31732E3E">
            <w:pPr>
              <w:rPr>
                <w:rFonts w:ascii="Arial"/>
                <w:sz w:val="21"/>
                <w:highlight w:val="none"/>
              </w:rPr>
            </w:pPr>
          </w:p>
          <w:p w14:paraId="53D89673">
            <w:pPr>
              <w:rPr>
                <w:rFonts w:ascii="Arial"/>
                <w:sz w:val="21"/>
                <w:highlight w:val="none"/>
              </w:rPr>
            </w:pPr>
          </w:p>
          <w:p w14:paraId="28A5517C">
            <w:pPr>
              <w:rPr>
                <w:rFonts w:ascii="Arial"/>
                <w:sz w:val="21"/>
                <w:highlight w:val="none"/>
              </w:rPr>
            </w:pPr>
          </w:p>
          <w:p w14:paraId="45C95D00">
            <w:pPr>
              <w:rPr>
                <w:rFonts w:ascii="Arial"/>
                <w:sz w:val="21"/>
                <w:highlight w:val="none"/>
              </w:rPr>
            </w:pPr>
          </w:p>
          <w:p w14:paraId="7B4271DF">
            <w:pPr>
              <w:rPr>
                <w:rFonts w:ascii="Arial"/>
                <w:sz w:val="21"/>
                <w:highlight w:val="none"/>
              </w:rPr>
            </w:pPr>
          </w:p>
          <w:p w14:paraId="7D5F9D63">
            <w:pPr>
              <w:rPr>
                <w:rFonts w:ascii="Arial"/>
                <w:sz w:val="21"/>
                <w:highlight w:val="none"/>
              </w:rPr>
            </w:pPr>
          </w:p>
          <w:p w14:paraId="26245FD5">
            <w:pPr>
              <w:rPr>
                <w:rFonts w:ascii="Arial"/>
                <w:sz w:val="21"/>
                <w:highlight w:val="none"/>
              </w:rPr>
            </w:pPr>
          </w:p>
          <w:p w14:paraId="1E4021AE">
            <w:pPr>
              <w:rPr>
                <w:rFonts w:ascii="Arial"/>
                <w:sz w:val="21"/>
                <w:highlight w:val="none"/>
              </w:rPr>
            </w:pPr>
          </w:p>
          <w:p w14:paraId="71631E6E">
            <w:pPr>
              <w:rPr>
                <w:rFonts w:ascii="Arial"/>
                <w:sz w:val="21"/>
                <w:highlight w:val="none"/>
              </w:rPr>
            </w:pPr>
          </w:p>
          <w:p w14:paraId="35690241">
            <w:pPr>
              <w:rPr>
                <w:rFonts w:ascii="Arial"/>
                <w:sz w:val="21"/>
                <w:highlight w:val="none"/>
              </w:rPr>
            </w:pPr>
          </w:p>
          <w:p w14:paraId="371FC122">
            <w:pPr>
              <w:rPr>
                <w:rFonts w:ascii="Arial"/>
                <w:sz w:val="21"/>
                <w:highlight w:val="none"/>
              </w:rPr>
            </w:pPr>
          </w:p>
          <w:p w14:paraId="08EB4BCF">
            <w:pPr>
              <w:spacing w:line="241" w:lineRule="auto"/>
              <w:rPr>
                <w:rFonts w:ascii="Arial"/>
                <w:sz w:val="21"/>
                <w:highlight w:val="none"/>
              </w:rPr>
            </w:pPr>
          </w:p>
          <w:p w14:paraId="0E598FED">
            <w:pPr>
              <w:spacing w:line="241" w:lineRule="auto"/>
              <w:rPr>
                <w:rFonts w:ascii="Arial"/>
                <w:sz w:val="21"/>
                <w:highlight w:val="none"/>
              </w:rPr>
            </w:pPr>
          </w:p>
          <w:p w14:paraId="232E9E1F">
            <w:pPr>
              <w:spacing w:line="241" w:lineRule="auto"/>
              <w:rPr>
                <w:rFonts w:ascii="Arial"/>
                <w:sz w:val="21"/>
                <w:highlight w:val="none"/>
              </w:rPr>
            </w:pPr>
          </w:p>
          <w:p w14:paraId="6592B2B1">
            <w:pPr>
              <w:spacing w:line="241" w:lineRule="auto"/>
              <w:rPr>
                <w:rFonts w:ascii="Arial"/>
                <w:sz w:val="21"/>
                <w:highlight w:val="none"/>
              </w:rPr>
            </w:pPr>
          </w:p>
          <w:p w14:paraId="03E929DF">
            <w:pPr>
              <w:pStyle w:val="25"/>
              <w:spacing w:before="78" w:line="237" w:lineRule="auto"/>
              <w:ind w:left="319"/>
              <w:rPr>
                <w:highlight w:val="none"/>
              </w:rPr>
            </w:pPr>
            <w:r>
              <w:rPr>
                <w:spacing w:val="-4"/>
                <w:highlight w:val="none"/>
              </w:rPr>
              <w:t>45</w:t>
            </w:r>
          </w:p>
        </w:tc>
        <w:tc>
          <w:tcPr>
            <w:tcW w:w="2147" w:type="dxa"/>
            <w:vAlign w:val="top"/>
          </w:tcPr>
          <w:p w14:paraId="0D874A64">
            <w:pPr>
              <w:rPr>
                <w:rFonts w:ascii="Arial"/>
                <w:sz w:val="21"/>
                <w:highlight w:val="none"/>
              </w:rPr>
            </w:pPr>
          </w:p>
          <w:p w14:paraId="4DDECF69">
            <w:pPr>
              <w:rPr>
                <w:rFonts w:ascii="Arial"/>
                <w:sz w:val="21"/>
                <w:highlight w:val="none"/>
              </w:rPr>
            </w:pPr>
          </w:p>
          <w:p w14:paraId="5C3206EC">
            <w:pPr>
              <w:rPr>
                <w:rFonts w:ascii="Arial"/>
                <w:sz w:val="21"/>
                <w:highlight w:val="none"/>
              </w:rPr>
            </w:pPr>
          </w:p>
          <w:p w14:paraId="0A944CB9">
            <w:pPr>
              <w:rPr>
                <w:rFonts w:ascii="Arial"/>
                <w:sz w:val="21"/>
                <w:highlight w:val="none"/>
              </w:rPr>
            </w:pPr>
          </w:p>
          <w:p w14:paraId="32C3FCD6">
            <w:pPr>
              <w:rPr>
                <w:rFonts w:ascii="Arial"/>
                <w:sz w:val="21"/>
                <w:highlight w:val="none"/>
              </w:rPr>
            </w:pPr>
          </w:p>
          <w:p w14:paraId="5991651E">
            <w:pPr>
              <w:rPr>
                <w:rFonts w:ascii="Arial"/>
                <w:sz w:val="21"/>
                <w:highlight w:val="none"/>
              </w:rPr>
            </w:pPr>
          </w:p>
          <w:p w14:paraId="140C2B0C">
            <w:pPr>
              <w:rPr>
                <w:rFonts w:ascii="Arial"/>
                <w:sz w:val="21"/>
                <w:highlight w:val="none"/>
              </w:rPr>
            </w:pPr>
          </w:p>
          <w:p w14:paraId="39C827AB">
            <w:pPr>
              <w:rPr>
                <w:rFonts w:ascii="Arial"/>
                <w:sz w:val="21"/>
                <w:highlight w:val="none"/>
              </w:rPr>
            </w:pPr>
          </w:p>
          <w:p w14:paraId="50C0814D">
            <w:pPr>
              <w:rPr>
                <w:rFonts w:ascii="Arial"/>
                <w:sz w:val="21"/>
                <w:highlight w:val="none"/>
              </w:rPr>
            </w:pPr>
          </w:p>
          <w:p w14:paraId="0FBD9011">
            <w:pPr>
              <w:rPr>
                <w:rFonts w:ascii="Arial"/>
                <w:sz w:val="21"/>
                <w:highlight w:val="none"/>
              </w:rPr>
            </w:pPr>
          </w:p>
          <w:p w14:paraId="52908F41">
            <w:pPr>
              <w:rPr>
                <w:rFonts w:ascii="Arial"/>
                <w:sz w:val="21"/>
                <w:highlight w:val="none"/>
              </w:rPr>
            </w:pPr>
          </w:p>
          <w:p w14:paraId="347EC490">
            <w:pPr>
              <w:rPr>
                <w:rFonts w:ascii="Arial"/>
                <w:sz w:val="21"/>
                <w:highlight w:val="none"/>
              </w:rPr>
            </w:pPr>
          </w:p>
          <w:p w14:paraId="637F0796">
            <w:pPr>
              <w:rPr>
                <w:rFonts w:ascii="Arial"/>
                <w:sz w:val="21"/>
                <w:highlight w:val="none"/>
              </w:rPr>
            </w:pPr>
          </w:p>
          <w:p w14:paraId="5E17FC35">
            <w:pPr>
              <w:rPr>
                <w:rFonts w:ascii="Arial"/>
                <w:sz w:val="21"/>
                <w:highlight w:val="none"/>
              </w:rPr>
            </w:pPr>
          </w:p>
          <w:p w14:paraId="101C913A">
            <w:pPr>
              <w:rPr>
                <w:rFonts w:ascii="Arial"/>
                <w:sz w:val="21"/>
                <w:highlight w:val="none"/>
              </w:rPr>
            </w:pPr>
          </w:p>
          <w:p w14:paraId="3190A634">
            <w:pPr>
              <w:rPr>
                <w:rFonts w:ascii="Arial"/>
                <w:sz w:val="21"/>
                <w:highlight w:val="none"/>
              </w:rPr>
            </w:pPr>
          </w:p>
          <w:p w14:paraId="0094B770">
            <w:pPr>
              <w:rPr>
                <w:rFonts w:ascii="Arial"/>
                <w:sz w:val="21"/>
                <w:highlight w:val="none"/>
              </w:rPr>
            </w:pPr>
          </w:p>
          <w:p w14:paraId="12CCBA14">
            <w:pPr>
              <w:spacing w:line="241" w:lineRule="auto"/>
              <w:rPr>
                <w:rFonts w:ascii="Arial"/>
                <w:sz w:val="21"/>
                <w:highlight w:val="none"/>
              </w:rPr>
            </w:pPr>
          </w:p>
          <w:p w14:paraId="6D2F1586">
            <w:pPr>
              <w:spacing w:line="241" w:lineRule="auto"/>
              <w:rPr>
                <w:rFonts w:ascii="Arial"/>
                <w:sz w:val="21"/>
                <w:highlight w:val="none"/>
              </w:rPr>
            </w:pPr>
          </w:p>
          <w:p w14:paraId="675F0230">
            <w:pPr>
              <w:spacing w:line="241" w:lineRule="auto"/>
              <w:rPr>
                <w:rFonts w:ascii="Arial"/>
                <w:sz w:val="21"/>
                <w:highlight w:val="none"/>
              </w:rPr>
            </w:pPr>
          </w:p>
          <w:p w14:paraId="7CD3FFF0">
            <w:pPr>
              <w:spacing w:line="241" w:lineRule="auto"/>
              <w:rPr>
                <w:rFonts w:ascii="Arial"/>
                <w:sz w:val="21"/>
                <w:highlight w:val="none"/>
              </w:rPr>
            </w:pPr>
          </w:p>
          <w:p w14:paraId="53C2060B">
            <w:pPr>
              <w:spacing w:line="241" w:lineRule="auto"/>
              <w:rPr>
                <w:rFonts w:ascii="Arial"/>
                <w:sz w:val="21"/>
                <w:highlight w:val="none"/>
              </w:rPr>
            </w:pPr>
          </w:p>
          <w:p w14:paraId="1BF172BB">
            <w:pPr>
              <w:pStyle w:val="25"/>
              <w:spacing w:before="78" w:line="217" w:lineRule="auto"/>
              <w:ind w:left="603"/>
              <w:rPr>
                <w:highlight w:val="none"/>
              </w:rPr>
            </w:pPr>
            <w:r>
              <w:rPr>
                <w:spacing w:val="-4"/>
                <w:highlight w:val="none"/>
              </w:rPr>
              <w:t>其他要求</w:t>
            </w:r>
          </w:p>
        </w:tc>
        <w:tc>
          <w:tcPr>
            <w:tcW w:w="6202" w:type="dxa"/>
            <w:vAlign w:val="top"/>
          </w:tcPr>
          <w:p w14:paraId="0C41BAE8">
            <w:pPr>
              <w:pStyle w:val="25"/>
              <w:spacing w:before="98" w:line="255" w:lineRule="auto"/>
              <w:ind w:left="45" w:right="54" w:hanging="17"/>
              <w:rPr>
                <w:highlight w:val="none"/>
              </w:rPr>
            </w:pPr>
            <w:r>
              <w:rPr>
                <w:spacing w:val="-2"/>
                <w:highlight w:val="none"/>
              </w:rPr>
              <w:t>1、</w:t>
            </w:r>
            <w:r>
              <w:rPr>
                <w:spacing w:val="-71"/>
                <w:highlight w:val="none"/>
              </w:rPr>
              <w:t xml:space="preserve"> </w:t>
            </w:r>
            <w:r>
              <w:rPr>
                <w:spacing w:val="-2"/>
                <w:highlight w:val="none"/>
              </w:rPr>
              <w:t>中标人确定后，招标人应当向中标人发出中标</w:t>
            </w:r>
            <w:r>
              <w:rPr>
                <w:spacing w:val="-3"/>
                <w:highlight w:val="none"/>
              </w:rPr>
              <w:t>通知书，</w:t>
            </w:r>
            <w:r>
              <w:rPr>
                <w:spacing w:val="-4"/>
                <w:highlight w:val="none"/>
              </w:rPr>
              <w:t>同时将中标结果通知所有未中标的投标人。</w:t>
            </w:r>
          </w:p>
          <w:p w14:paraId="0E08FC7E">
            <w:pPr>
              <w:pStyle w:val="25"/>
              <w:spacing w:before="98" w:line="189" w:lineRule="auto"/>
              <w:ind w:left="13"/>
              <w:rPr>
                <w:highlight w:val="none"/>
              </w:rPr>
            </w:pPr>
            <w:r>
              <w:rPr>
                <w:spacing w:val="2"/>
                <w:highlight w:val="none"/>
              </w:rPr>
              <w:t>2、中标（成交）通知书发出的形式：</w:t>
            </w:r>
            <w:r>
              <w:rPr>
                <w:rFonts w:ascii="微软雅黑" w:hAnsi="微软雅黑" w:eastAsia="微软雅黑" w:cs="微软雅黑"/>
                <w:spacing w:val="2"/>
                <w:highlight w:val="none"/>
              </w:rPr>
              <w:t>□</w:t>
            </w:r>
            <w:r>
              <w:rPr>
                <w:spacing w:val="2"/>
                <w:highlight w:val="none"/>
              </w:rPr>
              <w:t>纸质</w:t>
            </w:r>
            <w:r>
              <w:rPr>
                <w:spacing w:val="1"/>
                <w:highlight w:val="none"/>
              </w:rPr>
              <w:t>■数据电文</w:t>
            </w:r>
          </w:p>
          <w:p w14:paraId="6F68397D">
            <w:pPr>
              <w:pStyle w:val="25"/>
              <w:spacing w:before="58" w:line="277" w:lineRule="auto"/>
              <w:ind w:left="17" w:right="5"/>
              <w:rPr>
                <w:highlight w:val="none"/>
              </w:rPr>
            </w:pPr>
            <w:r>
              <w:rPr>
                <w:spacing w:val="-3"/>
                <w:highlight w:val="none"/>
              </w:rPr>
              <w:t>特别提醒：招标人确定中标人后，通过电子交易系统向中标人发出中标（成交）通知书，中标（成交）通知书发出即视</w:t>
            </w:r>
            <w:r>
              <w:rPr>
                <w:spacing w:val="-7"/>
                <w:highlight w:val="none"/>
              </w:rPr>
              <w:t>为送达。投标人应主动登录电子交易系统查询， 招标人和招</w:t>
            </w:r>
            <w:r>
              <w:rPr>
                <w:spacing w:val="6"/>
                <w:highlight w:val="none"/>
              </w:rPr>
              <w:t>标代理机构不承担投标人未及时关注相关信息引发的相关</w:t>
            </w:r>
            <w:r>
              <w:rPr>
                <w:spacing w:val="-11"/>
                <w:highlight w:val="none"/>
              </w:rPr>
              <w:t>责任。</w:t>
            </w:r>
          </w:p>
          <w:p w14:paraId="19BA8DD2">
            <w:pPr>
              <w:pStyle w:val="25"/>
              <w:spacing w:before="97" w:line="215" w:lineRule="auto"/>
              <w:ind w:left="15"/>
              <w:rPr>
                <w:highlight w:val="none"/>
              </w:rPr>
            </w:pPr>
            <w:r>
              <w:rPr>
                <w:spacing w:val="-1"/>
                <w:highlight w:val="none"/>
              </w:rPr>
              <w:t>3、中标人承建项目时，需在项目所在地设立项目部。</w:t>
            </w:r>
          </w:p>
          <w:p w14:paraId="16E9137C">
            <w:pPr>
              <w:pStyle w:val="25"/>
              <w:spacing w:before="97" w:line="287" w:lineRule="auto"/>
              <w:ind w:left="16" w:hanging="7"/>
              <w:rPr>
                <w:highlight w:val="none"/>
              </w:rPr>
            </w:pPr>
            <w:r>
              <w:rPr>
                <w:highlight w:val="none"/>
              </w:rPr>
              <w:t>4、若发现投标人属于出借资质或挂靠的（包括在评</w:t>
            </w:r>
            <w:r>
              <w:rPr>
                <w:spacing w:val="-1"/>
                <w:highlight w:val="none"/>
              </w:rPr>
              <w:t>标中和</w:t>
            </w:r>
            <w:r>
              <w:rPr>
                <w:spacing w:val="-4"/>
                <w:highlight w:val="none"/>
              </w:rPr>
              <w:t>评标后发现</w:t>
            </w:r>
            <w:r>
              <w:rPr>
                <w:spacing w:val="-17"/>
                <w:highlight w:val="none"/>
              </w:rPr>
              <w:t>），</w:t>
            </w:r>
            <w:r>
              <w:rPr>
                <w:spacing w:val="-4"/>
                <w:highlight w:val="none"/>
              </w:rPr>
              <w:t>招标人将投标人违约事实形成证据，提出给</w:t>
            </w:r>
            <w:r>
              <w:rPr>
                <w:spacing w:val="-6"/>
                <w:highlight w:val="none"/>
              </w:rPr>
              <w:t>予投标人及该项目班子成员</w:t>
            </w:r>
            <w:r>
              <w:rPr>
                <w:spacing w:val="-46"/>
                <w:highlight w:val="none"/>
              </w:rPr>
              <w:t xml:space="preserve"> </w:t>
            </w:r>
            <w:r>
              <w:rPr>
                <w:spacing w:val="-6"/>
                <w:highlight w:val="none"/>
              </w:rPr>
              <w:t>1</w:t>
            </w:r>
            <w:r>
              <w:rPr>
                <w:spacing w:val="-52"/>
                <w:highlight w:val="none"/>
              </w:rPr>
              <w:t xml:space="preserve"> </w:t>
            </w:r>
            <w:r>
              <w:rPr>
                <w:spacing w:val="-6"/>
                <w:highlight w:val="none"/>
              </w:rPr>
              <w:t>年至</w:t>
            </w:r>
            <w:r>
              <w:rPr>
                <w:spacing w:val="-60"/>
                <w:highlight w:val="none"/>
              </w:rPr>
              <w:t xml:space="preserve"> </w:t>
            </w:r>
            <w:r>
              <w:rPr>
                <w:spacing w:val="-6"/>
                <w:highlight w:val="none"/>
              </w:rPr>
              <w:t>3</w:t>
            </w:r>
            <w:r>
              <w:rPr>
                <w:spacing w:val="-52"/>
                <w:highlight w:val="none"/>
              </w:rPr>
              <w:t xml:space="preserve"> </w:t>
            </w:r>
            <w:r>
              <w:rPr>
                <w:spacing w:val="-6"/>
                <w:highlight w:val="none"/>
              </w:rPr>
              <w:t>年的投标资格限</w:t>
            </w:r>
            <w:r>
              <w:rPr>
                <w:spacing w:val="-7"/>
                <w:highlight w:val="none"/>
              </w:rPr>
              <w:t>制的处</w:t>
            </w:r>
            <w:r>
              <w:rPr>
                <w:spacing w:val="-5"/>
                <w:highlight w:val="none"/>
              </w:rPr>
              <w:t>理意见，报送公共资源交易监督管理部门会同有关部门依照</w:t>
            </w:r>
            <w:r>
              <w:rPr>
                <w:spacing w:val="-3"/>
                <w:highlight w:val="none"/>
              </w:rPr>
              <w:t>法律法规的规定进行审查，落实具体的投标资格限制期限。</w:t>
            </w:r>
            <w:r>
              <w:rPr>
                <w:spacing w:val="-5"/>
                <w:highlight w:val="none"/>
              </w:rPr>
              <w:t>若发现中标人属于出借资质或挂靠的（包括在评标中、</w:t>
            </w:r>
            <w:r>
              <w:rPr>
                <w:spacing w:val="-6"/>
                <w:highlight w:val="none"/>
              </w:rPr>
              <w:t>公示</w:t>
            </w:r>
            <w:r>
              <w:rPr>
                <w:spacing w:val="-10"/>
                <w:highlight w:val="none"/>
              </w:rPr>
              <w:t>期间、签订合同前以及施工过程中发现</w:t>
            </w:r>
            <w:r>
              <w:rPr>
                <w:spacing w:val="-3"/>
                <w:highlight w:val="none"/>
              </w:rPr>
              <w:t>） ，</w:t>
            </w:r>
            <w:r>
              <w:rPr>
                <w:spacing w:val="-10"/>
                <w:highlight w:val="none"/>
              </w:rPr>
              <w:t>招标人将中标人</w:t>
            </w:r>
            <w:r>
              <w:rPr>
                <w:spacing w:val="-5"/>
                <w:highlight w:val="none"/>
              </w:rPr>
              <w:t>（承包人）违约事实形成证据，报有关部门备案后取消</w:t>
            </w:r>
            <w:r>
              <w:rPr>
                <w:spacing w:val="-6"/>
                <w:highlight w:val="none"/>
              </w:rPr>
              <w:t>其中</w:t>
            </w:r>
            <w:r>
              <w:rPr>
                <w:spacing w:val="-5"/>
                <w:highlight w:val="none"/>
              </w:rPr>
              <w:t>标资格或终止合同，提出给予中标人（承包人）及该项目班</w:t>
            </w:r>
            <w:r>
              <w:rPr>
                <w:spacing w:val="-8"/>
                <w:highlight w:val="none"/>
              </w:rPr>
              <w:t>子成员</w:t>
            </w:r>
            <w:r>
              <w:rPr>
                <w:spacing w:val="-34"/>
                <w:highlight w:val="none"/>
              </w:rPr>
              <w:t xml:space="preserve"> </w:t>
            </w:r>
            <w:r>
              <w:rPr>
                <w:spacing w:val="-8"/>
                <w:highlight w:val="none"/>
              </w:rPr>
              <w:t>1</w:t>
            </w:r>
            <w:r>
              <w:rPr>
                <w:spacing w:val="-40"/>
                <w:highlight w:val="none"/>
              </w:rPr>
              <w:t xml:space="preserve"> </w:t>
            </w:r>
            <w:r>
              <w:rPr>
                <w:spacing w:val="-8"/>
                <w:highlight w:val="none"/>
              </w:rPr>
              <w:t>年至</w:t>
            </w:r>
            <w:r>
              <w:rPr>
                <w:spacing w:val="-48"/>
                <w:highlight w:val="none"/>
              </w:rPr>
              <w:t xml:space="preserve"> </w:t>
            </w:r>
            <w:r>
              <w:rPr>
                <w:spacing w:val="-8"/>
                <w:highlight w:val="none"/>
              </w:rPr>
              <w:t>3</w:t>
            </w:r>
            <w:r>
              <w:rPr>
                <w:spacing w:val="-39"/>
                <w:highlight w:val="none"/>
              </w:rPr>
              <w:t xml:space="preserve"> </w:t>
            </w:r>
            <w:r>
              <w:rPr>
                <w:spacing w:val="-8"/>
                <w:highlight w:val="none"/>
              </w:rPr>
              <w:t>年的投标资格限制的处理意见，报送公共资</w:t>
            </w:r>
            <w:r>
              <w:rPr>
                <w:spacing w:val="4"/>
                <w:highlight w:val="none"/>
              </w:rPr>
              <w:t>源交易监督管理部门会同有关部门依照法律法规的规定进</w:t>
            </w:r>
            <w:r>
              <w:rPr>
                <w:spacing w:val="-5"/>
                <w:highlight w:val="none"/>
              </w:rPr>
              <w:t>行审查，落实具体的投标资格限制期限，其履约保证金</w:t>
            </w:r>
            <w:r>
              <w:rPr>
                <w:spacing w:val="-6"/>
                <w:highlight w:val="none"/>
              </w:rPr>
              <w:t>不予</w:t>
            </w:r>
            <w:r>
              <w:rPr>
                <w:spacing w:val="-11"/>
                <w:highlight w:val="none"/>
              </w:rPr>
              <w:t>退还。情节严重的将提请执法机关查处，直至追究刑</w:t>
            </w:r>
            <w:r>
              <w:rPr>
                <w:spacing w:val="-12"/>
                <w:highlight w:val="none"/>
              </w:rPr>
              <w:t>事责任，</w:t>
            </w:r>
            <w:r>
              <w:rPr>
                <w:spacing w:val="-6"/>
                <w:highlight w:val="none"/>
              </w:rPr>
              <w:t>并依法向社会公开曝光。</w:t>
            </w:r>
          </w:p>
          <w:p w14:paraId="4DEF2A4D">
            <w:pPr>
              <w:pStyle w:val="25"/>
              <w:spacing w:before="103" w:line="277" w:lineRule="auto"/>
              <w:ind w:left="17" w:right="4" w:hanging="2"/>
              <w:rPr>
                <w:highlight w:val="none"/>
              </w:rPr>
            </w:pPr>
            <w:r>
              <w:rPr>
                <w:spacing w:val="-3"/>
                <w:highlight w:val="none"/>
              </w:rPr>
              <w:t>5、招标人可组织对中标人及其项目班子成员进行约谈,其中属于政府重大投资项目的，中标人的董事长（总经理）或分管业务负责人及项目经理、技术负责人等班子成员必须参加</w:t>
            </w:r>
            <w:r>
              <w:rPr>
                <w:spacing w:val="-7"/>
                <w:highlight w:val="none"/>
              </w:rPr>
              <w:t>合同签订前招标人组织的约谈。拒不参加的， 招标人将视为</w:t>
            </w:r>
            <w:r>
              <w:rPr>
                <w:spacing w:val="-4"/>
                <w:highlight w:val="none"/>
              </w:rPr>
              <w:t>中标人自动放弃合同签订资格。</w:t>
            </w:r>
          </w:p>
          <w:p w14:paraId="3A1AD510">
            <w:pPr>
              <w:pStyle w:val="25"/>
              <w:spacing w:before="96" w:line="213" w:lineRule="auto"/>
              <w:ind w:left="12"/>
              <w:rPr>
                <w:highlight w:val="none"/>
              </w:rPr>
            </w:pPr>
            <w:r>
              <w:rPr>
                <w:spacing w:val="1"/>
                <w:highlight w:val="none"/>
              </w:rPr>
              <w:t>6、招标文件中约定投标保证金不予退还的，均由招标人依</w:t>
            </w:r>
          </w:p>
        </w:tc>
      </w:tr>
    </w:tbl>
    <w:p w14:paraId="58B138E2">
      <w:pPr>
        <w:pStyle w:val="3"/>
        <w:rPr>
          <w:highlight w:val="none"/>
        </w:rPr>
      </w:pPr>
    </w:p>
    <w:p w14:paraId="2A2868BB">
      <w:pPr>
        <w:rPr>
          <w:highlight w:val="none"/>
        </w:rPr>
        <w:sectPr>
          <w:footerReference r:id="rId16" w:type="default"/>
          <w:pgSz w:w="11907" w:h="16839"/>
          <w:pgMar w:top="1431" w:right="1018" w:bottom="1199" w:left="1661" w:header="0" w:footer="966" w:gutter="0"/>
          <w:cols w:space="720" w:num="1"/>
        </w:sectPr>
      </w:pPr>
    </w:p>
    <w:p w14:paraId="0AAF5A07">
      <w:pPr>
        <w:spacing w:line="91" w:lineRule="auto"/>
        <w:rPr>
          <w:rFonts w:ascii="Arial"/>
          <w:sz w:val="2"/>
          <w:highlight w:val="none"/>
        </w:rPr>
      </w:pPr>
    </w:p>
    <w:tbl>
      <w:tblPr>
        <w:tblStyle w:val="24"/>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147"/>
        <w:gridCol w:w="6202"/>
      </w:tblGrid>
      <w:tr w14:paraId="7FA2E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1" w:hRule="atLeast"/>
        </w:trPr>
        <w:tc>
          <w:tcPr>
            <w:tcW w:w="873" w:type="dxa"/>
            <w:vAlign w:val="top"/>
          </w:tcPr>
          <w:p w14:paraId="2961B9BF">
            <w:pPr>
              <w:rPr>
                <w:rFonts w:ascii="Arial"/>
                <w:sz w:val="21"/>
                <w:highlight w:val="none"/>
              </w:rPr>
            </w:pPr>
          </w:p>
        </w:tc>
        <w:tc>
          <w:tcPr>
            <w:tcW w:w="2147" w:type="dxa"/>
            <w:vAlign w:val="top"/>
          </w:tcPr>
          <w:p w14:paraId="75DA269F">
            <w:pPr>
              <w:rPr>
                <w:rFonts w:ascii="Arial"/>
                <w:sz w:val="21"/>
                <w:highlight w:val="none"/>
              </w:rPr>
            </w:pPr>
          </w:p>
        </w:tc>
        <w:tc>
          <w:tcPr>
            <w:tcW w:w="6202" w:type="dxa"/>
            <w:vAlign w:val="top"/>
          </w:tcPr>
          <w:p w14:paraId="103C8CCD">
            <w:pPr>
              <w:pStyle w:val="25"/>
              <w:spacing w:before="103" w:line="216" w:lineRule="auto"/>
              <w:ind w:left="18"/>
              <w:rPr>
                <w:highlight w:val="none"/>
              </w:rPr>
            </w:pPr>
            <w:r>
              <w:rPr>
                <w:spacing w:val="-3"/>
                <w:highlight w:val="none"/>
              </w:rPr>
              <w:t>据招标文件的约定作出不予退还决定。</w:t>
            </w:r>
          </w:p>
          <w:p w14:paraId="0E158061">
            <w:pPr>
              <w:pStyle w:val="25"/>
              <w:spacing w:before="101" w:line="254" w:lineRule="auto"/>
              <w:ind w:left="18" w:right="32" w:hanging="2"/>
              <w:rPr>
                <w:highlight w:val="none"/>
              </w:rPr>
            </w:pPr>
            <w:r>
              <w:rPr>
                <w:spacing w:val="1"/>
                <w:highlight w:val="none"/>
              </w:rPr>
              <w:t>7、在我省开展工程款支付担保业务的保证人应向有关主管</w:t>
            </w:r>
            <w:r>
              <w:rPr>
                <w:spacing w:val="-4"/>
                <w:highlight w:val="none"/>
              </w:rPr>
              <w:t>部门提供担保凭证网络验证途径。</w:t>
            </w:r>
          </w:p>
          <w:p w14:paraId="6DCEA674">
            <w:pPr>
              <w:pStyle w:val="25"/>
              <w:spacing w:before="99" w:line="280" w:lineRule="auto"/>
              <w:ind w:left="16" w:right="4" w:hanging="5"/>
              <w:rPr>
                <w:highlight w:val="none"/>
              </w:rPr>
            </w:pPr>
            <w:r>
              <w:rPr>
                <w:spacing w:val="2"/>
                <w:highlight w:val="none"/>
              </w:rPr>
              <w:t>8、关于对中标人有关办理施工许可证的要求。为尽快办理</w:t>
            </w:r>
            <w:r>
              <w:rPr>
                <w:spacing w:val="-3"/>
                <w:highlight w:val="none"/>
              </w:rPr>
              <w:t>施工许可证，中标人必须在领取中标通知书之日起一个月内提供办理工程质量报监、安全报监、施工许可证等手续中需由中标人提供的一切材料，同时缴纳需由中标人缴纳的一切</w:t>
            </w:r>
            <w:r>
              <w:rPr>
                <w:spacing w:val="-1"/>
                <w:highlight w:val="none"/>
              </w:rPr>
              <w:t>费用。每逾期一天，由中标人按工程中标价的</w:t>
            </w:r>
            <w:r>
              <w:rPr>
                <w:spacing w:val="-39"/>
                <w:highlight w:val="none"/>
              </w:rPr>
              <w:t xml:space="preserve"> </w:t>
            </w:r>
            <w:r>
              <w:rPr>
                <w:spacing w:val="-1"/>
                <w:highlight w:val="none"/>
              </w:rPr>
              <w:t>0.5</w:t>
            </w:r>
            <w:r>
              <w:rPr>
                <w:rFonts w:hint="eastAsia"/>
                <w:spacing w:val="-1"/>
                <w:highlight w:val="none"/>
                <w:lang w:val="en-US" w:eastAsia="zh-CN"/>
              </w:rPr>
              <w:t>%</w:t>
            </w:r>
            <w:r>
              <w:rPr>
                <w:spacing w:val="-1"/>
                <w:highlight w:val="none"/>
              </w:rPr>
              <w:t>支付违</w:t>
            </w:r>
            <w:r>
              <w:rPr>
                <w:spacing w:val="-11"/>
                <w:highlight w:val="none"/>
              </w:rPr>
              <w:t>约金。</w:t>
            </w:r>
          </w:p>
          <w:p w14:paraId="70C02947">
            <w:pPr>
              <w:pStyle w:val="25"/>
              <w:spacing w:before="91" w:line="274" w:lineRule="auto"/>
              <w:ind w:left="17" w:right="5" w:hanging="6"/>
              <w:rPr>
                <w:highlight w:val="none"/>
              </w:rPr>
            </w:pPr>
            <w:r>
              <w:rPr>
                <w:spacing w:val="2"/>
                <w:highlight w:val="none"/>
              </w:rPr>
              <w:t>9、市政府本级投资建设项目执行《六安市政府投资建设工</w:t>
            </w:r>
            <w:r>
              <w:rPr>
                <w:spacing w:val="-9"/>
                <w:highlight w:val="none"/>
              </w:rPr>
              <w:t>程履约保证金管理办法》。非市政府本级投</w:t>
            </w:r>
            <w:r>
              <w:rPr>
                <w:spacing w:val="-10"/>
                <w:highlight w:val="none"/>
              </w:rPr>
              <w:t>资建设项目，履</w:t>
            </w:r>
            <w:r>
              <w:rPr>
                <w:spacing w:val="-3"/>
                <w:highlight w:val="none"/>
              </w:rPr>
              <w:t>约保证金的收退可参照《六安市政府投资建设</w:t>
            </w:r>
            <w:r>
              <w:rPr>
                <w:spacing w:val="-4"/>
                <w:highlight w:val="none"/>
              </w:rPr>
              <w:t>工程履约保证</w:t>
            </w:r>
            <w:r>
              <w:rPr>
                <w:spacing w:val="-5"/>
                <w:highlight w:val="none"/>
              </w:rPr>
              <w:t>金管理办法》执行。</w:t>
            </w:r>
          </w:p>
        </w:tc>
      </w:tr>
      <w:tr w14:paraId="5FF7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873" w:type="dxa"/>
            <w:vAlign w:val="top"/>
          </w:tcPr>
          <w:p w14:paraId="264E96E2">
            <w:pPr>
              <w:spacing w:line="280" w:lineRule="auto"/>
              <w:rPr>
                <w:rFonts w:ascii="Arial"/>
                <w:sz w:val="21"/>
                <w:highlight w:val="none"/>
              </w:rPr>
            </w:pPr>
          </w:p>
          <w:p w14:paraId="4C713896">
            <w:pPr>
              <w:spacing w:line="280" w:lineRule="auto"/>
              <w:rPr>
                <w:rFonts w:ascii="Arial"/>
                <w:sz w:val="21"/>
                <w:highlight w:val="none"/>
              </w:rPr>
            </w:pPr>
          </w:p>
          <w:p w14:paraId="7AD2458E">
            <w:pPr>
              <w:spacing w:line="280" w:lineRule="auto"/>
              <w:rPr>
                <w:rFonts w:ascii="Arial"/>
                <w:sz w:val="21"/>
                <w:highlight w:val="none"/>
              </w:rPr>
            </w:pPr>
          </w:p>
          <w:p w14:paraId="43CED552">
            <w:pPr>
              <w:spacing w:line="280" w:lineRule="auto"/>
              <w:rPr>
                <w:rFonts w:ascii="Arial"/>
                <w:sz w:val="21"/>
                <w:highlight w:val="none"/>
              </w:rPr>
            </w:pPr>
          </w:p>
          <w:p w14:paraId="36B9F6D9">
            <w:pPr>
              <w:pStyle w:val="25"/>
              <w:spacing w:before="78" w:line="237" w:lineRule="auto"/>
              <w:ind w:left="319" w:leftChars="0"/>
              <w:rPr>
                <w:rFonts w:ascii="Arial"/>
                <w:sz w:val="21"/>
                <w:highlight w:val="none"/>
              </w:rPr>
            </w:pPr>
            <w:r>
              <w:rPr>
                <w:spacing w:val="-4"/>
                <w:highlight w:val="none"/>
              </w:rPr>
              <w:t>46</w:t>
            </w:r>
          </w:p>
        </w:tc>
        <w:tc>
          <w:tcPr>
            <w:tcW w:w="2147" w:type="dxa"/>
            <w:vAlign w:val="top"/>
          </w:tcPr>
          <w:p w14:paraId="529B076B">
            <w:pPr>
              <w:spacing w:line="280" w:lineRule="auto"/>
              <w:rPr>
                <w:rFonts w:ascii="Arial"/>
                <w:sz w:val="21"/>
                <w:highlight w:val="none"/>
              </w:rPr>
            </w:pPr>
          </w:p>
          <w:p w14:paraId="286EF08B">
            <w:pPr>
              <w:spacing w:line="280" w:lineRule="auto"/>
              <w:rPr>
                <w:rFonts w:ascii="Arial"/>
                <w:sz w:val="21"/>
                <w:highlight w:val="none"/>
              </w:rPr>
            </w:pPr>
          </w:p>
          <w:p w14:paraId="01942118">
            <w:pPr>
              <w:spacing w:line="280" w:lineRule="auto"/>
              <w:rPr>
                <w:rFonts w:ascii="Arial"/>
                <w:sz w:val="21"/>
                <w:highlight w:val="none"/>
              </w:rPr>
            </w:pPr>
          </w:p>
          <w:p w14:paraId="79E085E6">
            <w:pPr>
              <w:spacing w:line="280" w:lineRule="auto"/>
              <w:rPr>
                <w:rFonts w:ascii="Arial"/>
                <w:sz w:val="21"/>
                <w:highlight w:val="none"/>
              </w:rPr>
            </w:pPr>
          </w:p>
          <w:p w14:paraId="4614C2BE">
            <w:pPr>
              <w:pStyle w:val="25"/>
              <w:spacing w:before="78" w:line="218" w:lineRule="auto"/>
              <w:ind w:left="145" w:leftChars="0"/>
              <w:rPr>
                <w:rFonts w:ascii="Arial"/>
                <w:sz w:val="21"/>
                <w:highlight w:val="none"/>
              </w:rPr>
            </w:pPr>
            <w:r>
              <w:rPr>
                <w:b/>
                <w:bCs/>
                <w:spacing w:val="-7"/>
                <w:highlight w:val="none"/>
              </w:rPr>
              <w:t>电子投标文件要求</w:t>
            </w:r>
          </w:p>
        </w:tc>
        <w:tc>
          <w:tcPr>
            <w:tcW w:w="6202" w:type="dxa"/>
            <w:vAlign w:val="top"/>
          </w:tcPr>
          <w:p w14:paraId="02F2A180">
            <w:pPr>
              <w:pStyle w:val="25"/>
              <w:spacing w:before="98" w:line="276" w:lineRule="auto"/>
              <w:ind w:left="18" w:right="4"/>
              <w:jc w:val="both"/>
              <w:rPr>
                <w:highlight w:val="none"/>
              </w:rPr>
            </w:pPr>
            <w:r>
              <w:rPr>
                <w:spacing w:val="6"/>
                <w:highlight w:val="none"/>
              </w:rPr>
              <w:t>各投标人应使用六安市公共资源交易中心提供的电子标书</w:t>
            </w:r>
            <w:r>
              <w:rPr>
                <w:spacing w:val="-1"/>
                <w:highlight w:val="none"/>
              </w:rPr>
              <w:t>制作工具软件（</w:t>
            </w:r>
            <w:r>
              <w:rPr>
                <w:highlight w:val="none"/>
              </w:rPr>
              <w:fldChar w:fldCharType="begin"/>
            </w:r>
            <w:r>
              <w:rPr>
                <w:highlight w:val="none"/>
              </w:rPr>
              <w:instrText xml:space="preserve"> HYPERLINK "http://ggzy.luan.gov.cn" </w:instrText>
            </w:r>
            <w:r>
              <w:rPr>
                <w:highlight w:val="none"/>
              </w:rPr>
              <w:fldChar w:fldCharType="separate"/>
            </w:r>
            <w:r>
              <w:rPr>
                <w:spacing w:val="-1"/>
                <w:highlight w:val="none"/>
              </w:rPr>
              <w:t>http://ggzy.luan.gov.cn</w:t>
            </w:r>
            <w:r>
              <w:rPr>
                <w:spacing w:val="-1"/>
                <w:highlight w:val="none"/>
              </w:rPr>
              <w:fldChar w:fldCharType="end"/>
            </w:r>
            <w:r>
              <w:rPr>
                <w:spacing w:val="-29"/>
                <w:highlight w:val="none"/>
              </w:rPr>
              <w:t xml:space="preserve"> </w:t>
            </w:r>
            <w:r>
              <w:rPr>
                <w:spacing w:val="-1"/>
                <w:highlight w:val="none"/>
              </w:rPr>
              <w:t>下载中心栏</w:t>
            </w:r>
            <w:r>
              <w:rPr>
                <w:spacing w:val="-2"/>
                <w:highlight w:val="none"/>
              </w:rPr>
              <w:t>目自</w:t>
            </w:r>
            <w:r>
              <w:rPr>
                <w:spacing w:val="-3"/>
                <w:highlight w:val="none"/>
              </w:rPr>
              <w:t>行下载）制作生成加密版电子投标文件。</w:t>
            </w:r>
          </w:p>
          <w:p w14:paraId="10CCE9C9">
            <w:pPr>
              <w:pStyle w:val="25"/>
              <w:spacing w:before="3" w:line="224" w:lineRule="auto"/>
              <w:ind w:left="17" w:leftChars="0" w:right="4" w:rightChars="0"/>
              <w:jc w:val="both"/>
              <w:rPr>
                <w:highlight w:val="none"/>
              </w:rPr>
            </w:pPr>
            <w:r>
              <w:rPr>
                <w:spacing w:val="-3"/>
                <w:highlight w:val="none"/>
              </w:rPr>
              <w:t>特别提示：投标人需采用最新版投标文件制作工具，具体请</w:t>
            </w:r>
            <w:r>
              <w:rPr>
                <w:spacing w:val="6"/>
                <w:highlight w:val="none"/>
              </w:rPr>
              <w:t>在六安市公共资源交易平台电子服务系统下载中心栏目下</w:t>
            </w:r>
            <w:r>
              <w:rPr>
                <w:spacing w:val="-3"/>
                <w:highlight w:val="none"/>
              </w:rPr>
              <w:t>载，软件启动时也将进行提示（需在互联网络通畅状态</w:t>
            </w:r>
            <w:r>
              <w:rPr>
                <w:spacing w:val="2"/>
                <w:highlight w:val="none"/>
              </w:rPr>
              <w:t>），</w:t>
            </w:r>
            <w:r>
              <w:rPr>
                <w:spacing w:val="-3"/>
                <w:highlight w:val="none"/>
              </w:rPr>
              <w:t>各投标人需注意及时更新，以免造成投标文件制作错误，因</w:t>
            </w:r>
            <w:r>
              <w:rPr>
                <w:spacing w:val="-4"/>
                <w:highlight w:val="none"/>
              </w:rPr>
              <w:t>此导致无效标，责任自负。</w:t>
            </w:r>
          </w:p>
        </w:tc>
      </w:tr>
      <w:tr w14:paraId="70F3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873" w:type="dxa"/>
            <w:vAlign w:val="top"/>
          </w:tcPr>
          <w:p w14:paraId="0E1F39B9">
            <w:pPr>
              <w:spacing w:line="270" w:lineRule="auto"/>
              <w:rPr>
                <w:rFonts w:ascii="Arial"/>
                <w:sz w:val="21"/>
                <w:highlight w:val="none"/>
              </w:rPr>
            </w:pPr>
          </w:p>
          <w:p w14:paraId="2946B42C">
            <w:pPr>
              <w:spacing w:line="271" w:lineRule="auto"/>
              <w:rPr>
                <w:rFonts w:ascii="Arial"/>
                <w:sz w:val="21"/>
                <w:highlight w:val="none"/>
              </w:rPr>
            </w:pPr>
          </w:p>
          <w:p w14:paraId="5796A926">
            <w:pPr>
              <w:spacing w:line="271" w:lineRule="auto"/>
              <w:rPr>
                <w:rFonts w:ascii="Arial"/>
                <w:sz w:val="21"/>
                <w:highlight w:val="none"/>
              </w:rPr>
            </w:pPr>
          </w:p>
          <w:p w14:paraId="6FFA8669">
            <w:pPr>
              <w:spacing w:line="271" w:lineRule="auto"/>
              <w:rPr>
                <w:rFonts w:ascii="Arial"/>
                <w:sz w:val="21"/>
                <w:highlight w:val="none"/>
              </w:rPr>
            </w:pPr>
          </w:p>
          <w:p w14:paraId="4FB14AFE">
            <w:pPr>
              <w:spacing w:line="271" w:lineRule="auto"/>
              <w:rPr>
                <w:rFonts w:ascii="Arial"/>
                <w:sz w:val="21"/>
                <w:highlight w:val="none"/>
              </w:rPr>
            </w:pPr>
          </w:p>
          <w:p w14:paraId="735C2C86">
            <w:pPr>
              <w:spacing w:line="271" w:lineRule="auto"/>
              <w:rPr>
                <w:rFonts w:ascii="Arial"/>
                <w:sz w:val="21"/>
                <w:highlight w:val="none"/>
              </w:rPr>
            </w:pPr>
          </w:p>
          <w:p w14:paraId="4B727046">
            <w:pPr>
              <w:spacing w:line="271" w:lineRule="auto"/>
              <w:rPr>
                <w:rFonts w:ascii="Arial"/>
                <w:sz w:val="21"/>
                <w:highlight w:val="none"/>
              </w:rPr>
            </w:pPr>
          </w:p>
          <w:p w14:paraId="68A332D4">
            <w:pPr>
              <w:pStyle w:val="25"/>
              <w:spacing w:before="78" w:line="237" w:lineRule="auto"/>
              <w:ind w:left="319" w:leftChars="0"/>
              <w:rPr>
                <w:spacing w:val="-4"/>
                <w:highlight w:val="none"/>
              </w:rPr>
            </w:pPr>
            <w:r>
              <w:rPr>
                <w:spacing w:val="-4"/>
                <w:highlight w:val="none"/>
              </w:rPr>
              <w:t>47</w:t>
            </w:r>
          </w:p>
        </w:tc>
        <w:tc>
          <w:tcPr>
            <w:tcW w:w="2147" w:type="dxa"/>
            <w:vAlign w:val="top"/>
          </w:tcPr>
          <w:p w14:paraId="30A97D09">
            <w:pPr>
              <w:spacing w:line="271" w:lineRule="auto"/>
              <w:rPr>
                <w:rFonts w:ascii="Arial"/>
                <w:sz w:val="21"/>
                <w:highlight w:val="none"/>
              </w:rPr>
            </w:pPr>
          </w:p>
          <w:p w14:paraId="5FD30A6A">
            <w:pPr>
              <w:spacing w:line="271" w:lineRule="auto"/>
              <w:rPr>
                <w:rFonts w:ascii="Arial"/>
                <w:sz w:val="21"/>
                <w:highlight w:val="none"/>
              </w:rPr>
            </w:pPr>
          </w:p>
          <w:p w14:paraId="24B41CA5">
            <w:pPr>
              <w:spacing w:line="271" w:lineRule="auto"/>
              <w:rPr>
                <w:rFonts w:ascii="Arial"/>
                <w:sz w:val="21"/>
                <w:highlight w:val="none"/>
              </w:rPr>
            </w:pPr>
          </w:p>
          <w:p w14:paraId="6A77703E">
            <w:pPr>
              <w:spacing w:line="271" w:lineRule="auto"/>
              <w:rPr>
                <w:rFonts w:ascii="Arial"/>
                <w:sz w:val="21"/>
                <w:highlight w:val="none"/>
              </w:rPr>
            </w:pPr>
          </w:p>
          <w:p w14:paraId="628BFD05">
            <w:pPr>
              <w:spacing w:line="271" w:lineRule="auto"/>
              <w:rPr>
                <w:rFonts w:ascii="Arial"/>
                <w:sz w:val="21"/>
                <w:highlight w:val="none"/>
              </w:rPr>
            </w:pPr>
          </w:p>
          <w:p w14:paraId="62D686C8">
            <w:pPr>
              <w:spacing w:line="271" w:lineRule="auto"/>
              <w:rPr>
                <w:rFonts w:ascii="Arial"/>
                <w:sz w:val="21"/>
                <w:highlight w:val="none"/>
              </w:rPr>
            </w:pPr>
          </w:p>
          <w:p w14:paraId="4824112A">
            <w:pPr>
              <w:spacing w:line="271" w:lineRule="auto"/>
              <w:rPr>
                <w:rFonts w:ascii="Arial"/>
                <w:sz w:val="21"/>
                <w:highlight w:val="none"/>
              </w:rPr>
            </w:pPr>
          </w:p>
          <w:p w14:paraId="0EBD350B">
            <w:pPr>
              <w:pStyle w:val="25"/>
              <w:spacing w:before="78" w:line="218" w:lineRule="auto"/>
              <w:ind w:left="476" w:leftChars="0"/>
              <w:rPr>
                <w:b/>
                <w:bCs/>
                <w:spacing w:val="-7"/>
                <w:highlight w:val="none"/>
              </w:rPr>
            </w:pPr>
            <w:r>
              <w:rPr>
                <w:b/>
                <w:bCs/>
                <w:spacing w:val="-5"/>
                <w:highlight w:val="none"/>
              </w:rPr>
              <w:t>联合体要求</w:t>
            </w:r>
          </w:p>
        </w:tc>
        <w:tc>
          <w:tcPr>
            <w:tcW w:w="6202" w:type="dxa"/>
            <w:vAlign w:val="top"/>
          </w:tcPr>
          <w:p w14:paraId="57F004F7">
            <w:pPr>
              <w:pStyle w:val="25"/>
              <w:spacing w:before="36" w:line="230" w:lineRule="auto"/>
              <w:ind w:left="18" w:firstLine="9"/>
              <w:rPr>
                <w:highlight w:val="none"/>
              </w:rPr>
            </w:pPr>
            <w:r>
              <w:rPr>
                <w:spacing w:val="-4"/>
                <w:highlight w:val="none"/>
              </w:rPr>
              <w:t>1.联合体投标的，开标时以签署的联合体投标协议为准，联</w:t>
            </w:r>
            <w:r>
              <w:rPr>
                <w:spacing w:val="-3"/>
                <w:highlight w:val="none"/>
              </w:rPr>
              <w:t>合体协议需明确牵头单位。联合具体需明确的事项见附件。</w:t>
            </w:r>
            <w:r>
              <w:rPr>
                <w:spacing w:val="6"/>
                <w:highlight w:val="none"/>
              </w:rPr>
              <w:t>项目经理、技术负责人的委派由组成联合体的企业自行商</w:t>
            </w:r>
            <w:r>
              <w:rPr>
                <w:spacing w:val="-13"/>
                <w:highlight w:val="none"/>
              </w:rPr>
              <w:t>定。</w:t>
            </w:r>
          </w:p>
          <w:p w14:paraId="31589F92">
            <w:pPr>
              <w:pStyle w:val="25"/>
              <w:spacing w:before="5" w:line="226" w:lineRule="auto"/>
              <w:ind w:left="20" w:right="6" w:hanging="7"/>
              <w:rPr>
                <w:highlight w:val="none"/>
              </w:rPr>
            </w:pPr>
            <w:r>
              <w:rPr>
                <w:spacing w:val="-3"/>
                <w:highlight w:val="none"/>
              </w:rPr>
              <w:t>2.联合体投标，是否符合本项目投标资格资质标准，同资质</w:t>
            </w:r>
            <w:r>
              <w:rPr>
                <w:spacing w:val="6"/>
                <w:highlight w:val="none"/>
              </w:rPr>
              <w:t>类别组成的联合体以较低一方的资质等级是否符合作为判</w:t>
            </w:r>
            <w:r>
              <w:rPr>
                <w:spacing w:val="-10"/>
                <w:highlight w:val="none"/>
              </w:rPr>
              <w:t>断标准。</w:t>
            </w:r>
          </w:p>
          <w:p w14:paraId="4D7E3D9C">
            <w:pPr>
              <w:pStyle w:val="25"/>
              <w:spacing w:before="19" w:line="226" w:lineRule="auto"/>
              <w:ind w:left="18" w:right="5" w:hanging="3"/>
              <w:rPr>
                <w:highlight w:val="none"/>
              </w:rPr>
            </w:pPr>
            <w:r>
              <w:rPr>
                <w:spacing w:val="-3"/>
                <w:highlight w:val="none"/>
              </w:rPr>
              <w:t>3.独立投标的不得再与其他企业组成联合体投标，组成联合</w:t>
            </w:r>
            <w:r>
              <w:rPr>
                <w:spacing w:val="6"/>
                <w:highlight w:val="none"/>
              </w:rPr>
              <w:t>体投标的企业不能分别与不同的企业分别签署协议组成不</w:t>
            </w:r>
            <w:r>
              <w:rPr>
                <w:spacing w:val="-3"/>
                <w:highlight w:val="none"/>
              </w:rPr>
              <w:t>同的联合体投标即只能组成一次。</w:t>
            </w:r>
          </w:p>
          <w:p w14:paraId="1D22AD28">
            <w:pPr>
              <w:pStyle w:val="25"/>
              <w:spacing w:before="17" w:line="225" w:lineRule="auto"/>
              <w:ind w:left="21" w:right="7" w:hanging="12"/>
              <w:rPr>
                <w:highlight w:val="none"/>
              </w:rPr>
            </w:pPr>
            <w:r>
              <w:rPr>
                <w:spacing w:val="-2"/>
                <w:highlight w:val="none"/>
              </w:rPr>
              <w:t>4.联合体的企业类似业绩可以共享，但项目</w:t>
            </w:r>
            <w:r>
              <w:rPr>
                <w:spacing w:val="-3"/>
                <w:highlight w:val="none"/>
              </w:rPr>
              <w:t>经理、技术负责</w:t>
            </w:r>
            <w:r>
              <w:rPr>
                <w:spacing w:val="-5"/>
                <w:highlight w:val="none"/>
              </w:rPr>
              <w:t>人的类似业绩不予共享。</w:t>
            </w:r>
          </w:p>
          <w:p w14:paraId="7ED3F41D">
            <w:pPr>
              <w:pStyle w:val="25"/>
              <w:spacing w:before="16" w:line="214" w:lineRule="auto"/>
              <w:ind w:left="19" w:leftChars="0" w:right="5" w:rightChars="0" w:hanging="4" w:firstLineChars="0"/>
              <w:rPr>
                <w:spacing w:val="-3"/>
                <w:highlight w:val="none"/>
              </w:rPr>
            </w:pPr>
            <w:r>
              <w:rPr>
                <w:spacing w:val="-3"/>
                <w:highlight w:val="none"/>
              </w:rPr>
              <w:t>5.联合体投标的双方资质资格证书、协议等原件的扫描件需</w:t>
            </w:r>
            <w:r>
              <w:rPr>
                <w:spacing w:val="-6"/>
                <w:highlight w:val="none"/>
              </w:rPr>
              <w:t>编入投标文件中。</w:t>
            </w:r>
          </w:p>
        </w:tc>
      </w:tr>
      <w:tr w14:paraId="08573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3" w:hRule="atLeast"/>
        </w:trPr>
        <w:tc>
          <w:tcPr>
            <w:tcW w:w="873" w:type="dxa"/>
            <w:vAlign w:val="top"/>
          </w:tcPr>
          <w:p w14:paraId="4F8BD55F">
            <w:pPr>
              <w:spacing w:line="266" w:lineRule="auto"/>
              <w:rPr>
                <w:rFonts w:ascii="Arial"/>
                <w:sz w:val="21"/>
                <w:highlight w:val="none"/>
              </w:rPr>
            </w:pPr>
          </w:p>
          <w:p w14:paraId="3F534F7F">
            <w:pPr>
              <w:spacing w:line="266" w:lineRule="auto"/>
              <w:rPr>
                <w:rFonts w:ascii="Arial"/>
                <w:sz w:val="21"/>
                <w:highlight w:val="none"/>
              </w:rPr>
            </w:pPr>
          </w:p>
          <w:p w14:paraId="5AD0DC09">
            <w:pPr>
              <w:spacing w:line="266" w:lineRule="auto"/>
              <w:rPr>
                <w:rFonts w:ascii="Arial"/>
                <w:sz w:val="21"/>
                <w:highlight w:val="none"/>
              </w:rPr>
            </w:pPr>
          </w:p>
          <w:p w14:paraId="0739853D">
            <w:pPr>
              <w:spacing w:line="266" w:lineRule="auto"/>
              <w:rPr>
                <w:rFonts w:ascii="Arial"/>
                <w:sz w:val="21"/>
                <w:highlight w:val="none"/>
              </w:rPr>
            </w:pPr>
          </w:p>
          <w:p w14:paraId="5843B1C6">
            <w:pPr>
              <w:spacing w:line="266" w:lineRule="auto"/>
              <w:rPr>
                <w:rFonts w:ascii="Arial"/>
                <w:sz w:val="21"/>
                <w:highlight w:val="none"/>
              </w:rPr>
            </w:pPr>
          </w:p>
          <w:p w14:paraId="05CA08CE">
            <w:pPr>
              <w:spacing w:line="266" w:lineRule="auto"/>
              <w:rPr>
                <w:rFonts w:ascii="Arial"/>
                <w:sz w:val="21"/>
                <w:highlight w:val="none"/>
              </w:rPr>
            </w:pPr>
          </w:p>
          <w:p w14:paraId="0B9A651B">
            <w:pPr>
              <w:spacing w:line="267" w:lineRule="auto"/>
              <w:rPr>
                <w:rFonts w:ascii="Arial"/>
                <w:sz w:val="21"/>
                <w:highlight w:val="none"/>
              </w:rPr>
            </w:pPr>
          </w:p>
          <w:p w14:paraId="00E8C5B3">
            <w:pPr>
              <w:spacing w:line="267" w:lineRule="auto"/>
              <w:rPr>
                <w:rFonts w:ascii="Arial"/>
                <w:sz w:val="21"/>
                <w:highlight w:val="none"/>
              </w:rPr>
            </w:pPr>
          </w:p>
          <w:p w14:paraId="6E238234">
            <w:pPr>
              <w:pStyle w:val="25"/>
              <w:spacing w:before="78" w:line="237" w:lineRule="auto"/>
              <w:ind w:left="319" w:leftChars="0"/>
              <w:rPr>
                <w:spacing w:val="-4"/>
                <w:highlight w:val="none"/>
              </w:rPr>
            </w:pPr>
            <w:r>
              <w:rPr>
                <w:spacing w:val="-2"/>
                <w:highlight w:val="none"/>
              </w:rPr>
              <w:t>48</w:t>
            </w:r>
          </w:p>
        </w:tc>
        <w:tc>
          <w:tcPr>
            <w:tcW w:w="2147" w:type="dxa"/>
            <w:vAlign w:val="top"/>
          </w:tcPr>
          <w:p w14:paraId="12607AE5">
            <w:pPr>
              <w:spacing w:line="261" w:lineRule="auto"/>
              <w:rPr>
                <w:rFonts w:ascii="Arial"/>
                <w:sz w:val="21"/>
                <w:highlight w:val="none"/>
              </w:rPr>
            </w:pPr>
          </w:p>
          <w:p w14:paraId="56B4E56F">
            <w:pPr>
              <w:spacing w:line="261" w:lineRule="auto"/>
              <w:rPr>
                <w:rFonts w:ascii="Arial"/>
                <w:sz w:val="21"/>
                <w:highlight w:val="none"/>
              </w:rPr>
            </w:pPr>
          </w:p>
          <w:p w14:paraId="57195384">
            <w:pPr>
              <w:spacing w:line="261" w:lineRule="auto"/>
              <w:rPr>
                <w:rFonts w:ascii="Arial"/>
                <w:sz w:val="21"/>
                <w:highlight w:val="none"/>
              </w:rPr>
            </w:pPr>
          </w:p>
          <w:p w14:paraId="03495CCF">
            <w:pPr>
              <w:spacing w:line="262" w:lineRule="auto"/>
              <w:rPr>
                <w:rFonts w:ascii="Arial"/>
                <w:sz w:val="21"/>
                <w:highlight w:val="none"/>
              </w:rPr>
            </w:pPr>
          </w:p>
          <w:p w14:paraId="67524DB2">
            <w:pPr>
              <w:spacing w:line="262" w:lineRule="auto"/>
              <w:rPr>
                <w:rFonts w:ascii="Arial"/>
                <w:sz w:val="21"/>
                <w:highlight w:val="none"/>
              </w:rPr>
            </w:pPr>
          </w:p>
          <w:p w14:paraId="0871D07A">
            <w:pPr>
              <w:spacing w:line="262" w:lineRule="auto"/>
              <w:rPr>
                <w:rFonts w:ascii="Arial"/>
                <w:sz w:val="21"/>
                <w:highlight w:val="none"/>
              </w:rPr>
            </w:pPr>
          </w:p>
          <w:p w14:paraId="4A4855A6">
            <w:pPr>
              <w:spacing w:line="262" w:lineRule="auto"/>
              <w:rPr>
                <w:rFonts w:ascii="Arial"/>
                <w:sz w:val="21"/>
                <w:highlight w:val="none"/>
              </w:rPr>
            </w:pPr>
          </w:p>
          <w:p w14:paraId="51E065C7">
            <w:pPr>
              <w:pStyle w:val="25"/>
              <w:spacing w:before="78" w:line="231" w:lineRule="auto"/>
              <w:ind w:left="119" w:right="111" w:firstLine="6"/>
              <w:rPr>
                <w:highlight w:val="none"/>
              </w:rPr>
            </w:pPr>
            <w:r>
              <w:rPr>
                <w:b/>
                <w:bCs/>
                <w:spacing w:val="-5"/>
                <w:highlight w:val="none"/>
              </w:rPr>
              <w:t>关于本项目清单预</w:t>
            </w:r>
            <w:r>
              <w:rPr>
                <w:b/>
                <w:bCs/>
                <w:spacing w:val="-4"/>
                <w:highlight w:val="none"/>
              </w:rPr>
              <w:t>算价编制等有关造</w:t>
            </w:r>
          </w:p>
          <w:p w14:paraId="52565CF8">
            <w:pPr>
              <w:pStyle w:val="25"/>
              <w:spacing w:line="218" w:lineRule="auto"/>
              <w:ind w:left="120" w:leftChars="0"/>
              <w:rPr>
                <w:b/>
                <w:bCs/>
                <w:spacing w:val="-5"/>
                <w:highlight w:val="none"/>
              </w:rPr>
            </w:pPr>
            <w:r>
              <w:rPr>
                <w:b/>
                <w:bCs/>
                <w:spacing w:val="-4"/>
                <w:highlight w:val="none"/>
              </w:rPr>
              <w:t>价内容的特别约定</w:t>
            </w:r>
          </w:p>
        </w:tc>
        <w:tc>
          <w:tcPr>
            <w:tcW w:w="6202" w:type="dxa"/>
            <w:vAlign w:val="top"/>
          </w:tcPr>
          <w:p w14:paraId="58F073A9">
            <w:pPr>
              <w:pStyle w:val="25"/>
              <w:spacing w:before="40" w:line="239" w:lineRule="auto"/>
              <w:ind w:left="18" w:right="5" w:firstLine="9"/>
              <w:jc w:val="both"/>
              <w:rPr>
                <w:highlight w:val="none"/>
              </w:rPr>
            </w:pPr>
            <w:r>
              <w:rPr>
                <w:spacing w:val="-3"/>
                <w:highlight w:val="none"/>
              </w:rPr>
              <w:t>1、中标人收到中标通知书后，须在招标文件规定的时间内</w:t>
            </w:r>
            <w:r>
              <w:rPr>
                <w:spacing w:val="-9"/>
                <w:highlight w:val="none"/>
              </w:rPr>
              <w:t>与招标人签订费率合同。在单项工程施工图设计完成后，由</w:t>
            </w:r>
            <w:r>
              <w:rPr>
                <w:spacing w:val="-3"/>
                <w:highlight w:val="none"/>
              </w:rPr>
              <w:t>本项目招标代理机构（工程造价咨询单位）编制施工图预算</w:t>
            </w:r>
            <w:r>
              <w:rPr>
                <w:spacing w:val="-4"/>
                <w:highlight w:val="none"/>
              </w:rPr>
              <w:t>并送审，待审核部门对工程预算审核完成后</w:t>
            </w:r>
            <w:r>
              <w:rPr>
                <w:spacing w:val="-29"/>
                <w:highlight w:val="none"/>
              </w:rPr>
              <w:t xml:space="preserve"> </w:t>
            </w:r>
            <w:r>
              <w:rPr>
                <w:spacing w:val="-4"/>
                <w:highlight w:val="none"/>
              </w:rPr>
              <w:t>10 日内中标人</w:t>
            </w:r>
            <w:r>
              <w:rPr>
                <w:spacing w:val="-3"/>
                <w:highlight w:val="none"/>
              </w:rPr>
              <w:t>须与招标人签订补充协议，对该单项工程造价予以明确；补</w:t>
            </w:r>
            <w:r>
              <w:rPr>
                <w:spacing w:val="-1"/>
                <w:highlight w:val="none"/>
              </w:rPr>
              <w:t>充协议价格=经政府或建设单位委托的预算审核单位审定的</w:t>
            </w:r>
            <w:r>
              <w:rPr>
                <w:spacing w:val="-2"/>
                <w:highlight w:val="none"/>
              </w:rPr>
              <w:t>本项目承包范围内的清单预算价×投标报价（费率</w:t>
            </w:r>
            <w:r>
              <w:rPr>
                <w:spacing w:val="-10"/>
                <w:highlight w:val="none"/>
              </w:rPr>
              <w:t>），</w:t>
            </w:r>
            <w:r>
              <w:rPr>
                <w:spacing w:val="-2"/>
                <w:highlight w:val="none"/>
              </w:rPr>
              <w:t>其中</w:t>
            </w:r>
            <w:r>
              <w:rPr>
                <w:spacing w:val="-4"/>
                <w:highlight w:val="none"/>
              </w:rPr>
              <w:t>暂列金额及其税金不下浮。</w:t>
            </w:r>
          </w:p>
          <w:p w14:paraId="086488AA">
            <w:pPr>
              <w:pStyle w:val="25"/>
              <w:spacing w:before="1" w:line="239" w:lineRule="auto"/>
              <w:ind w:left="19" w:right="5" w:firstLine="4"/>
              <w:jc w:val="both"/>
              <w:rPr>
                <w:highlight w:val="none"/>
              </w:rPr>
            </w:pPr>
            <w:r>
              <w:rPr>
                <w:b/>
                <w:bCs/>
                <w:spacing w:val="-4"/>
                <w:highlight w:val="none"/>
              </w:rPr>
              <w:t>注：本项目采用限额设计，补充协议价格不得超过</w:t>
            </w:r>
            <w:r>
              <w:rPr>
                <w:rFonts w:hint="eastAsia"/>
                <w:b/>
                <w:bCs/>
                <w:spacing w:val="-4"/>
                <w:highlight w:val="none"/>
                <w:lang w:val="en-US" w:eastAsia="zh-CN"/>
              </w:rPr>
              <w:t>2189.77</w:t>
            </w:r>
            <w:r>
              <w:rPr>
                <w:b/>
                <w:bCs/>
                <w:spacing w:val="-4"/>
                <w:highlight w:val="none"/>
              </w:rPr>
              <w:t>万</w:t>
            </w:r>
            <w:r>
              <w:rPr>
                <w:b/>
                <w:bCs/>
                <w:spacing w:val="-6"/>
                <w:highlight w:val="none"/>
              </w:rPr>
              <w:t>元，否则招标人有权要求承包人重新修改设计直至满足要</w:t>
            </w:r>
            <w:r>
              <w:rPr>
                <w:b/>
                <w:bCs/>
                <w:spacing w:val="-7"/>
                <w:highlight w:val="none"/>
              </w:rPr>
              <w:t>求为止。</w:t>
            </w:r>
          </w:p>
          <w:p w14:paraId="4AE678E1">
            <w:pPr>
              <w:pStyle w:val="25"/>
              <w:spacing w:line="216" w:lineRule="auto"/>
              <w:ind w:left="13"/>
              <w:rPr>
                <w:highlight w:val="none"/>
              </w:rPr>
            </w:pPr>
            <w:r>
              <w:rPr>
                <w:spacing w:val="-4"/>
                <w:highlight w:val="none"/>
              </w:rPr>
              <w:t>2、工程量清单及施工图预算价的编制：</w:t>
            </w:r>
          </w:p>
          <w:p w14:paraId="55C5A2E3">
            <w:pPr>
              <w:pStyle w:val="25"/>
              <w:spacing w:before="59" w:line="239" w:lineRule="auto"/>
              <w:ind w:left="12" w:firstLine="5"/>
              <w:rPr>
                <w:spacing w:val="-9"/>
                <w:highlight w:val="none"/>
              </w:rPr>
            </w:pPr>
            <w:r>
              <w:rPr>
                <w:spacing w:val="-1"/>
                <w:highlight w:val="none"/>
              </w:rPr>
              <w:t>（1）施工图预算采用工程量清单综合单价计价法，根据经</w:t>
            </w:r>
            <w:r>
              <w:rPr>
                <w:spacing w:val="-3"/>
                <w:highlight w:val="none"/>
              </w:rPr>
              <w:t>招标人确认且图审合格的施工图纸、本项目的招标文件等进</w:t>
            </w:r>
            <w:r>
              <w:rPr>
                <w:spacing w:val="-9"/>
                <w:highlight w:val="none"/>
              </w:rPr>
              <w:t>行编制。</w:t>
            </w:r>
          </w:p>
          <w:p w14:paraId="785EA656">
            <w:pPr>
              <w:pStyle w:val="25"/>
              <w:spacing w:before="59" w:line="239" w:lineRule="auto"/>
              <w:ind w:left="12" w:firstLine="5"/>
              <w:rPr>
                <w:highlight w:val="none"/>
              </w:rPr>
            </w:pPr>
            <w:r>
              <w:rPr>
                <w:spacing w:val="-1"/>
                <w:highlight w:val="none"/>
              </w:rPr>
              <w:t>（2）编制及计价依据：《安徽省住房城乡建设厅关于</w:t>
            </w:r>
            <w:r>
              <w:rPr>
                <w:spacing w:val="-2"/>
                <w:highlight w:val="none"/>
              </w:rPr>
              <w:t>发布</w:t>
            </w:r>
            <w:r>
              <w:rPr>
                <w:spacing w:val="-10"/>
                <w:highlight w:val="none"/>
              </w:rPr>
              <w:t>2018</w:t>
            </w:r>
            <w:r>
              <w:rPr>
                <w:spacing w:val="-48"/>
                <w:highlight w:val="none"/>
              </w:rPr>
              <w:t xml:space="preserve"> </w:t>
            </w:r>
            <w:r>
              <w:rPr>
                <w:spacing w:val="-10"/>
                <w:highlight w:val="none"/>
              </w:rPr>
              <w:t>版安徽省建设工程计价依据的通知》（建标〔</w:t>
            </w:r>
            <w:r>
              <w:rPr>
                <w:spacing w:val="-11"/>
                <w:highlight w:val="none"/>
              </w:rPr>
              <w:t>2017〕191</w:t>
            </w:r>
            <w:r>
              <w:rPr>
                <w:spacing w:val="-5"/>
                <w:highlight w:val="none"/>
              </w:rPr>
              <w:t>号）规定的 2018 版安徽省建设工程计价依据：《安徽省建</w:t>
            </w:r>
            <w:r>
              <w:rPr>
                <w:spacing w:val="-6"/>
                <w:highlight w:val="none"/>
              </w:rPr>
              <w:t>设工程工程量清单计价办法》、《安徽省建设工程施工机械</w:t>
            </w:r>
            <w:r>
              <w:rPr>
                <w:spacing w:val="-27"/>
                <w:highlight w:val="none"/>
              </w:rPr>
              <w:t>台班费用编制规则》、《安徽省建设工程计价定额（共用册）》、</w:t>
            </w:r>
            <w:r>
              <w:rPr>
                <w:spacing w:val="6"/>
                <w:highlight w:val="none"/>
              </w:rPr>
              <w:t xml:space="preserve"> </w:t>
            </w:r>
            <w:r>
              <w:rPr>
                <w:spacing w:val="-6"/>
                <w:highlight w:val="none"/>
              </w:rPr>
              <w:t>《安徽省装饰装修工程计价定额》、《安徽省安装工程计价定额》、《安徽省市政工程计价定额》、《安徽省园林绿化工程计价定额》、《关于调整安徽省建设工</w:t>
            </w:r>
            <w:r>
              <w:rPr>
                <w:spacing w:val="-7"/>
                <w:highlight w:val="none"/>
              </w:rPr>
              <w:t>程不可竞争费构</w:t>
            </w:r>
            <w:r>
              <w:rPr>
                <w:spacing w:val="-8"/>
                <w:highlight w:val="none"/>
              </w:rPr>
              <w:t>成及计费标准的通知》（建标〔2021〕4</w:t>
            </w:r>
            <w:r>
              <w:rPr>
                <w:spacing w:val="-9"/>
                <w:highlight w:val="none"/>
              </w:rPr>
              <w:t>2</w:t>
            </w:r>
            <w:r>
              <w:rPr>
                <w:spacing w:val="-39"/>
                <w:highlight w:val="none"/>
              </w:rPr>
              <w:t xml:space="preserve"> </w:t>
            </w:r>
            <w:r>
              <w:rPr>
                <w:spacing w:val="-9"/>
                <w:highlight w:val="none"/>
              </w:rPr>
              <w:t>号文）、《关于发</w:t>
            </w:r>
            <w:r>
              <w:rPr>
                <w:spacing w:val="-5"/>
                <w:highlight w:val="none"/>
              </w:rPr>
              <w:t>布《安徽省安装工程计价定额（消防工程修编版</w:t>
            </w:r>
            <w:r>
              <w:rPr>
                <w:spacing w:val="-6"/>
                <w:highlight w:val="none"/>
              </w:rPr>
              <w:t>）》等三部</w:t>
            </w:r>
            <w:r>
              <w:rPr>
                <w:spacing w:val="-4"/>
                <w:highlight w:val="none"/>
              </w:rPr>
              <w:t>定额的公告》（安徽省住房和城乡建设厅公</w:t>
            </w:r>
            <w:r>
              <w:rPr>
                <w:spacing w:val="-5"/>
                <w:highlight w:val="none"/>
              </w:rPr>
              <w:t>告 2020 第 176号）、《关于发布 2018 版安徽省建设工程计价依据部分修编内容的公告》（安徽省住房和城乡建设厅公告</w:t>
            </w:r>
            <w:r>
              <w:rPr>
                <w:spacing w:val="-41"/>
                <w:highlight w:val="none"/>
              </w:rPr>
              <w:t xml:space="preserve"> </w:t>
            </w:r>
            <w:r>
              <w:rPr>
                <w:spacing w:val="-5"/>
                <w:highlight w:val="none"/>
              </w:rPr>
              <w:t>2021</w:t>
            </w:r>
            <w:r>
              <w:rPr>
                <w:spacing w:val="-32"/>
                <w:highlight w:val="none"/>
              </w:rPr>
              <w:t xml:space="preserve"> </w:t>
            </w:r>
            <w:r>
              <w:rPr>
                <w:spacing w:val="-5"/>
                <w:highlight w:val="none"/>
              </w:rPr>
              <w:t>第</w:t>
            </w:r>
            <w:r>
              <w:rPr>
                <w:spacing w:val="-46"/>
                <w:highlight w:val="none"/>
              </w:rPr>
              <w:t xml:space="preserve"> </w:t>
            </w:r>
            <w:r>
              <w:rPr>
                <w:spacing w:val="-5"/>
                <w:highlight w:val="none"/>
              </w:rPr>
              <w:t>53</w:t>
            </w:r>
            <w:r>
              <w:rPr>
                <w:spacing w:val="-3"/>
                <w:highlight w:val="none"/>
              </w:rPr>
              <w:t>号）、《安徽省建设工程计价依据动态调整(第一期)》等。</w:t>
            </w:r>
            <w:r>
              <w:rPr>
                <w:spacing w:val="-2"/>
                <w:highlight w:val="none"/>
              </w:rPr>
              <w:t>施工图预算由分部分项工程费、措施项目费、不</w:t>
            </w:r>
            <w:r>
              <w:rPr>
                <w:spacing w:val="-3"/>
                <w:highlight w:val="none"/>
              </w:rPr>
              <w:t>可竞争费、</w:t>
            </w:r>
            <w:r>
              <w:rPr>
                <w:spacing w:val="-6"/>
                <w:highlight w:val="none"/>
              </w:rPr>
              <w:t>其他项目费和税金组成，其中：①人工单价按投标截止日当</w:t>
            </w:r>
            <w:r>
              <w:rPr>
                <w:spacing w:val="-5"/>
                <w:highlight w:val="none"/>
              </w:rPr>
              <w:t>月六安市人工价格信息执行。②材料基准价</w:t>
            </w:r>
            <w:r>
              <w:rPr>
                <w:spacing w:val="-6"/>
                <w:highlight w:val="none"/>
              </w:rPr>
              <w:t>按投标截止日当</w:t>
            </w:r>
            <w:r>
              <w:rPr>
                <w:spacing w:val="-9"/>
                <w:highlight w:val="none"/>
              </w:rPr>
              <w:t>月《六安市建设工程市场价格信息》霍邱县材料价格，《六</w:t>
            </w:r>
            <w:r>
              <w:rPr>
                <w:spacing w:val="-6"/>
                <w:highlight w:val="none"/>
              </w:rPr>
              <w:t>安市建设工程市场价格信息》中没有的执行《合肥建设工程</w:t>
            </w:r>
            <w:r>
              <w:rPr>
                <w:spacing w:val="-10"/>
                <w:highlight w:val="none"/>
              </w:rPr>
              <w:t>市场价格信息》，《六安市建设工程市场价格信息》、《合</w:t>
            </w:r>
            <w:r>
              <w:rPr>
                <w:spacing w:val="-5"/>
                <w:highlight w:val="none"/>
              </w:rPr>
              <w:t>肥建设工程市场价格信息》均没有的则由招</w:t>
            </w:r>
            <w:r>
              <w:rPr>
                <w:spacing w:val="-6"/>
                <w:highlight w:val="none"/>
              </w:rPr>
              <w:t>标人组织市场询</w:t>
            </w:r>
            <w:r>
              <w:rPr>
                <w:spacing w:val="-4"/>
                <w:highlight w:val="none"/>
              </w:rPr>
              <w:t>价确定。③综合费（企业管理费+利润）统一按建筑工程专</w:t>
            </w:r>
            <w:r>
              <w:rPr>
                <w:spacing w:val="-6"/>
                <w:highlight w:val="none"/>
              </w:rPr>
              <w:t>业费率计取；总价措施项目费统一按建筑工程费率计取（其</w:t>
            </w:r>
            <w:r>
              <w:rPr>
                <w:spacing w:val="-4"/>
                <w:highlight w:val="none"/>
              </w:rPr>
              <w:t>中赶工措施费及非夜间施工照明费不计取</w:t>
            </w:r>
            <w:r>
              <w:rPr>
                <w:spacing w:val="-21"/>
                <w:highlight w:val="none"/>
              </w:rPr>
              <w:t>），</w:t>
            </w:r>
            <w:r>
              <w:rPr>
                <w:spacing w:val="-4"/>
                <w:highlight w:val="none"/>
              </w:rPr>
              <w:t>编制施工图预</w:t>
            </w:r>
            <w:r>
              <w:rPr>
                <w:spacing w:val="-5"/>
                <w:highlight w:val="none"/>
              </w:rPr>
              <w:t>算时取费费率均按上述计价依据规定的费率</w:t>
            </w:r>
            <w:r>
              <w:rPr>
                <w:spacing w:val="-6"/>
                <w:highlight w:val="none"/>
              </w:rPr>
              <w:t>计取；措施项目</w:t>
            </w:r>
            <w:r>
              <w:rPr>
                <w:spacing w:val="-5"/>
                <w:highlight w:val="none"/>
              </w:rPr>
              <w:t>费按确定的工程量清单中的措施项目清单，</w:t>
            </w:r>
            <w:r>
              <w:rPr>
                <w:spacing w:val="-6"/>
                <w:highlight w:val="none"/>
              </w:rPr>
              <w:t>结合本项目的要</w:t>
            </w:r>
            <w:r>
              <w:rPr>
                <w:spacing w:val="-4"/>
                <w:highlight w:val="none"/>
              </w:rPr>
              <w:t>求编制；对于施工机械设备的选型根据工程特点和施工条</w:t>
            </w:r>
            <w:r>
              <w:rPr>
                <w:spacing w:val="5"/>
                <w:highlight w:val="none"/>
              </w:rPr>
              <w:t xml:space="preserve"> </w:t>
            </w:r>
            <w:r>
              <w:rPr>
                <w:spacing w:val="-3"/>
                <w:highlight w:val="none"/>
              </w:rPr>
              <w:t>件，本着经济实用、先进高效的原则确定。④不可竞争费：</w:t>
            </w:r>
            <w:r>
              <w:rPr>
                <w:spacing w:val="-2"/>
                <w:highlight w:val="none"/>
              </w:rPr>
              <w:t>安全文明施工费（环境保护费、文明施工费、安</w:t>
            </w:r>
            <w:r>
              <w:rPr>
                <w:spacing w:val="-3"/>
                <w:highlight w:val="none"/>
              </w:rPr>
              <w:t>全施工费、</w:t>
            </w:r>
            <w:r>
              <w:rPr>
                <w:spacing w:val="-4"/>
                <w:highlight w:val="none"/>
              </w:rPr>
              <w:t>临时设施费)。⑤其他项目清单费按确认后的工程量清单确</w:t>
            </w:r>
            <w:r>
              <w:rPr>
                <w:spacing w:val="-6"/>
                <w:highlight w:val="none"/>
              </w:rPr>
              <w:t>定。⑥税金按现行税金税率计取标准计取。</w:t>
            </w:r>
            <w:r>
              <w:rPr>
                <w:color w:val="000000" w:themeColor="text1"/>
                <w:spacing w:val="-6"/>
                <w:highlight w:val="none"/>
                <w14:textFill>
                  <w14:solidFill>
                    <w14:schemeClr w14:val="tx1"/>
                  </w14:solidFill>
                </w14:textFill>
              </w:rPr>
              <w:t>⑦暂列金额在后续预算送审时由招标人根据实际情况确定。（在批准的总投</w:t>
            </w:r>
            <w:r>
              <w:rPr>
                <w:color w:val="000000" w:themeColor="text1"/>
                <w:spacing w:val="-4"/>
                <w:highlight w:val="none"/>
                <w14:textFill>
                  <w14:solidFill>
                    <w14:schemeClr w14:val="tx1"/>
                  </w14:solidFill>
                </w14:textFill>
              </w:rPr>
              <w:t>资内，可按不超过审定预算价的</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10%取整设置暂列</w:t>
            </w:r>
            <w:r>
              <w:rPr>
                <w:color w:val="000000" w:themeColor="text1"/>
                <w:spacing w:val="-5"/>
                <w:highlight w:val="none"/>
                <w14:textFill>
                  <w14:solidFill>
                    <w14:schemeClr w14:val="tx1"/>
                  </w14:solidFill>
                </w14:textFill>
              </w:rPr>
              <w:t>金额，其使用权在招标人，具体以招标人要求的为准）。</w:t>
            </w:r>
          </w:p>
          <w:p w14:paraId="7DB38EB1">
            <w:pPr>
              <w:pStyle w:val="25"/>
              <w:spacing w:before="3" w:line="239" w:lineRule="auto"/>
              <w:ind w:left="17" w:right="5" w:firstLine="2"/>
              <w:rPr>
                <w:spacing w:val="-4"/>
                <w:highlight w:val="none"/>
              </w:rPr>
            </w:pPr>
            <w:r>
              <w:rPr>
                <w:spacing w:val="-3"/>
                <w:highlight w:val="none"/>
              </w:rPr>
              <w:t>备注：在上述施工图预算编制过程中，计价依据、规范或人</w:t>
            </w:r>
            <w:r>
              <w:rPr>
                <w:spacing w:val="-7"/>
                <w:highlight w:val="none"/>
              </w:rPr>
              <w:t>工费、机械费定额文件或其他造价管理文件有更新时，按法</w:t>
            </w:r>
            <w:r>
              <w:rPr>
                <w:spacing w:val="-4"/>
                <w:highlight w:val="none"/>
              </w:rPr>
              <w:t>律法规规范规定执行最新文件。</w:t>
            </w:r>
          </w:p>
          <w:p w14:paraId="749B2B5D">
            <w:pPr>
              <w:pStyle w:val="25"/>
              <w:spacing w:before="3" w:line="239" w:lineRule="auto"/>
              <w:ind w:left="17" w:right="5" w:firstLine="2"/>
              <w:rPr>
                <w:highlight w:val="none"/>
              </w:rPr>
            </w:pPr>
            <w:r>
              <w:rPr>
                <w:spacing w:val="-1"/>
                <w:highlight w:val="none"/>
              </w:rPr>
              <w:t>3、招标人在施工图预算编制完成后、送审前，交</w:t>
            </w:r>
            <w:r>
              <w:rPr>
                <w:spacing w:val="-2"/>
                <w:highlight w:val="none"/>
              </w:rPr>
              <w:t>由中标人</w:t>
            </w:r>
            <w:r>
              <w:rPr>
                <w:spacing w:val="-6"/>
                <w:highlight w:val="none"/>
              </w:rPr>
              <w:t>提出意见，中标人如有疑问，须在收到预算后</w:t>
            </w:r>
            <w:r>
              <w:rPr>
                <w:spacing w:val="-27"/>
                <w:highlight w:val="none"/>
              </w:rPr>
              <w:t xml:space="preserve"> </w:t>
            </w:r>
            <w:r>
              <w:rPr>
                <w:spacing w:val="-6"/>
                <w:highlight w:val="none"/>
              </w:rPr>
              <w:t>7 日内向招标</w:t>
            </w:r>
            <w:r>
              <w:rPr>
                <w:spacing w:val="-3"/>
                <w:highlight w:val="none"/>
              </w:rPr>
              <w:t>人以书面形式一次性提出。如双方无法对中标人关于预算内</w:t>
            </w:r>
            <w:r>
              <w:rPr>
                <w:spacing w:val="-1"/>
                <w:highlight w:val="none"/>
              </w:rPr>
              <w:t>容的疑问达成一致意见，则由招标人组织相关部门和专家</w:t>
            </w:r>
            <w:r>
              <w:rPr>
                <w:spacing w:val="-3"/>
                <w:highlight w:val="none"/>
              </w:rPr>
              <w:t>（专家人选由招标人确定）论证形成论证意见，该论证意见为预算送审的最终依据，对此中标人不得拒绝。除上述规定的情形外，中标人不得对招标人确定的工程量清单及控制价</w:t>
            </w:r>
          </w:p>
          <w:p w14:paraId="00AE2968">
            <w:pPr>
              <w:pStyle w:val="25"/>
              <w:spacing w:before="41" w:line="239" w:lineRule="auto"/>
              <w:ind w:left="17" w:firstLine="13"/>
              <w:jc w:val="both"/>
              <w:rPr>
                <w:highlight w:val="none"/>
              </w:rPr>
            </w:pPr>
            <w:r>
              <w:rPr>
                <w:spacing w:val="-12"/>
                <w:highlight w:val="none"/>
              </w:rPr>
              <w:t>的编制方式、编制软件等提出异议，不得干预后期材料询价、</w:t>
            </w:r>
            <w:r>
              <w:rPr>
                <w:spacing w:val="-10"/>
                <w:highlight w:val="none"/>
              </w:rPr>
              <w:t>预算编制及审核的价格水平、工作进度等， 不得以后期预算</w:t>
            </w:r>
            <w:r>
              <w:rPr>
                <w:spacing w:val="-6"/>
                <w:highlight w:val="none"/>
              </w:rPr>
              <w:t>未送审及审核价格未定或过低等理由拖延或拒绝施工。施工时对照施工组织设计中的各项施工节点，若中标人因上述原因导致延期，除按照合同专用条款的约定进行处理外，还须按照</w:t>
            </w:r>
            <w:r>
              <w:rPr>
                <w:spacing w:val="-46"/>
                <w:highlight w:val="none"/>
              </w:rPr>
              <w:t xml:space="preserve"> </w:t>
            </w:r>
            <w:r>
              <w:rPr>
                <w:spacing w:val="-6"/>
                <w:highlight w:val="none"/>
              </w:rPr>
              <w:t>5000</w:t>
            </w:r>
            <w:r>
              <w:rPr>
                <w:spacing w:val="-41"/>
                <w:highlight w:val="none"/>
              </w:rPr>
              <w:t xml:space="preserve"> </w:t>
            </w:r>
            <w:r>
              <w:rPr>
                <w:spacing w:val="-6"/>
                <w:highlight w:val="none"/>
              </w:rPr>
              <w:t>元/天的标准向招标人支付违约金。</w:t>
            </w:r>
          </w:p>
          <w:p w14:paraId="00851867">
            <w:pPr>
              <w:pStyle w:val="25"/>
              <w:spacing w:before="6" w:line="234" w:lineRule="auto"/>
              <w:ind w:left="16" w:right="5" w:hanging="7"/>
              <w:rPr>
                <w:highlight w:val="none"/>
              </w:rPr>
            </w:pPr>
            <w:r>
              <w:rPr>
                <w:spacing w:val="-1"/>
                <w:highlight w:val="none"/>
              </w:rPr>
              <w:t>4、经政府或建设单位委托的预算审核单位审定的本项目预</w:t>
            </w:r>
            <w:r>
              <w:rPr>
                <w:spacing w:val="-3"/>
                <w:highlight w:val="none"/>
              </w:rPr>
              <w:t>算成果文件（包含工程量清单及详细价格等）作为补充协议的附件，该附件作为本项目工程款支付、变更、结算等的计</w:t>
            </w:r>
            <w:r>
              <w:rPr>
                <w:spacing w:val="-7"/>
                <w:highlight w:val="none"/>
              </w:rPr>
              <w:t>算依据。如发生工程变更， 变更价款按照专用合同条款约定</w:t>
            </w:r>
            <w:r>
              <w:rPr>
                <w:spacing w:val="-11"/>
                <w:highlight w:val="none"/>
              </w:rPr>
              <w:t>执行。</w:t>
            </w:r>
          </w:p>
          <w:p w14:paraId="11575EBC">
            <w:pPr>
              <w:pStyle w:val="25"/>
              <w:spacing w:before="29" w:line="235" w:lineRule="auto"/>
              <w:ind w:left="18" w:right="5" w:hanging="3"/>
              <w:rPr>
                <w:highlight w:val="none"/>
              </w:rPr>
            </w:pPr>
            <w:r>
              <w:rPr>
                <w:spacing w:val="-1"/>
                <w:highlight w:val="none"/>
              </w:rPr>
              <w:t>5、本项目未签订补充协议明确工程造价前，工</w:t>
            </w:r>
            <w:r>
              <w:rPr>
                <w:spacing w:val="-2"/>
                <w:highlight w:val="none"/>
              </w:rPr>
              <w:t>程款支付根</w:t>
            </w:r>
            <w:r>
              <w:rPr>
                <w:spacing w:val="-3"/>
                <w:highlight w:val="none"/>
              </w:rPr>
              <w:t>据现场实际完成工程量结合预算编制清单、中标费率及合同约定的月进度款支付比例进行支付，未签订补充协议明确工</w:t>
            </w:r>
            <w:r>
              <w:rPr>
                <w:spacing w:val="-1"/>
                <w:highlight w:val="none"/>
              </w:rPr>
              <w:t>程造价前支付工程款的总金额不得超过预算编制单位编制</w:t>
            </w:r>
            <w:r>
              <w:rPr>
                <w:spacing w:val="-3"/>
                <w:highlight w:val="none"/>
              </w:rPr>
              <w:t>的未审定预算价的</w:t>
            </w:r>
            <w:r>
              <w:rPr>
                <w:spacing w:val="-42"/>
                <w:highlight w:val="none"/>
              </w:rPr>
              <w:t xml:space="preserve"> </w:t>
            </w:r>
            <w:r>
              <w:rPr>
                <w:spacing w:val="-3"/>
                <w:highlight w:val="none"/>
              </w:rPr>
              <w:t>50%。</w:t>
            </w:r>
          </w:p>
          <w:p w14:paraId="76E1854E">
            <w:pPr>
              <w:pStyle w:val="25"/>
              <w:spacing w:before="31" w:line="229" w:lineRule="auto"/>
              <w:ind w:left="17" w:leftChars="0" w:right="5" w:rightChars="0"/>
              <w:jc w:val="both"/>
              <w:rPr>
                <w:spacing w:val="-3"/>
                <w:highlight w:val="none"/>
              </w:rPr>
            </w:pPr>
            <w:r>
              <w:rPr>
                <w:spacing w:val="-1"/>
                <w:highlight w:val="none"/>
              </w:rPr>
              <w:t>6、由发、承包人双方共同询价且经过发包人确</w:t>
            </w:r>
            <w:r>
              <w:rPr>
                <w:spacing w:val="-2"/>
                <w:highlight w:val="none"/>
              </w:rPr>
              <w:t>认的或由发</w:t>
            </w:r>
            <w:r>
              <w:rPr>
                <w:spacing w:val="-3"/>
                <w:highlight w:val="none"/>
              </w:rPr>
              <w:t>包人主导采购，并由承包人签订采购合同的材料、设备、专</w:t>
            </w:r>
            <w:r>
              <w:rPr>
                <w:spacing w:val="-4"/>
                <w:highlight w:val="none"/>
              </w:rPr>
              <w:t>业工程的价格不参与结算下浮。</w:t>
            </w:r>
          </w:p>
        </w:tc>
      </w:tr>
      <w:tr w14:paraId="375D8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873" w:type="dxa"/>
            <w:vAlign w:val="top"/>
          </w:tcPr>
          <w:p w14:paraId="070AE82D">
            <w:pPr>
              <w:spacing w:line="352" w:lineRule="auto"/>
              <w:rPr>
                <w:rFonts w:ascii="Arial"/>
                <w:sz w:val="21"/>
                <w:highlight w:val="none"/>
              </w:rPr>
            </w:pPr>
          </w:p>
          <w:p w14:paraId="0C5C53BC">
            <w:pPr>
              <w:spacing w:line="352" w:lineRule="auto"/>
              <w:rPr>
                <w:rFonts w:ascii="Arial"/>
                <w:sz w:val="21"/>
                <w:highlight w:val="none"/>
              </w:rPr>
            </w:pPr>
          </w:p>
          <w:p w14:paraId="2620FED3">
            <w:pPr>
              <w:pStyle w:val="25"/>
              <w:spacing w:before="78" w:line="237" w:lineRule="auto"/>
              <w:ind w:left="319" w:leftChars="0"/>
              <w:rPr>
                <w:spacing w:val="-2"/>
                <w:highlight w:val="none"/>
              </w:rPr>
            </w:pPr>
            <w:r>
              <w:rPr>
                <w:spacing w:val="-2"/>
                <w:highlight w:val="none"/>
              </w:rPr>
              <w:t>49</w:t>
            </w:r>
          </w:p>
        </w:tc>
        <w:tc>
          <w:tcPr>
            <w:tcW w:w="2147" w:type="dxa"/>
            <w:vAlign w:val="top"/>
          </w:tcPr>
          <w:p w14:paraId="615E1402">
            <w:pPr>
              <w:spacing w:line="277" w:lineRule="auto"/>
              <w:rPr>
                <w:rFonts w:ascii="Arial"/>
                <w:sz w:val="21"/>
                <w:highlight w:val="none"/>
              </w:rPr>
            </w:pPr>
          </w:p>
          <w:p w14:paraId="0D23275F">
            <w:pPr>
              <w:spacing w:line="277" w:lineRule="auto"/>
              <w:rPr>
                <w:rFonts w:ascii="Arial"/>
                <w:sz w:val="21"/>
                <w:highlight w:val="none"/>
              </w:rPr>
            </w:pPr>
          </w:p>
          <w:p w14:paraId="63925A76">
            <w:pPr>
              <w:pStyle w:val="25"/>
              <w:spacing w:before="78" w:line="232" w:lineRule="auto"/>
              <w:ind w:left="870" w:leftChars="0" w:right="111" w:rightChars="0" w:hanging="752" w:firstLineChars="0"/>
              <w:rPr>
                <w:b/>
                <w:bCs/>
                <w:spacing w:val="-4"/>
                <w:highlight w:val="none"/>
              </w:rPr>
            </w:pPr>
            <w:r>
              <w:rPr>
                <w:b/>
                <w:bCs/>
                <w:spacing w:val="-4"/>
                <w:highlight w:val="none"/>
              </w:rPr>
              <w:t>招标人补充的其他</w:t>
            </w:r>
            <w:r>
              <w:rPr>
                <w:b/>
                <w:bCs/>
                <w:spacing w:val="-14"/>
                <w:highlight w:val="none"/>
              </w:rPr>
              <w:t>内容</w:t>
            </w:r>
          </w:p>
        </w:tc>
        <w:tc>
          <w:tcPr>
            <w:tcW w:w="6202" w:type="dxa"/>
            <w:vAlign w:val="top"/>
          </w:tcPr>
          <w:p w14:paraId="29CB5043">
            <w:pPr>
              <w:pStyle w:val="25"/>
              <w:spacing w:before="35" w:line="231" w:lineRule="auto"/>
              <w:ind w:left="22" w:right="5" w:hanging="5"/>
              <w:rPr>
                <w:highlight w:val="none"/>
              </w:rPr>
            </w:pPr>
            <w:r>
              <w:rPr>
                <w:spacing w:val="-3"/>
                <w:highlight w:val="none"/>
              </w:rPr>
              <w:t>招标人可以对承建获得优质工程奖的建筑业企业，给予适当</w:t>
            </w:r>
            <w:r>
              <w:rPr>
                <w:spacing w:val="-12"/>
                <w:highlight w:val="none"/>
              </w:rPr>
              <w:t>奖励。</w:t>
            </w:r>
          </w:p>
          <w:p w14:paraId="49EAE7AA">
            <w:pPr>
              <w:pStyle w:val="25"/>
              <w:spacing w:line="218" w:lineRule="auto"/>
              <w:ind w:left="31"/>
              <w:rPr>
                <w:highlight w:val="none"/>
              </w:rPr>
            </w:pPr>
            <w:r>
              <w:rPr>
                <w:spacing w:val="-19"/>
                <w:sz w:val="21"/>
                <w:szCs w:val="21"/>
                <w:highlight w:val="none"/>
              </w:rPr>
              <w:t>■</w:t>
            </w:r>
            <w:r>
              <w:rPr>
                <w:spacing w:val="-19"/>
                <w:highlight w:val="none"/>
              </w:rPr>
              <w:t>否；</w:t>
            </w:r>
          </w:p>
          <w:p w14:paraId="5A9D1EB2">
            <w:pPr>
              <w:pStyle w:val="25"/>
              <w:spacing w:before="16" w:line="199" w:lineRule="auto"/>
              <w:ind w:left="12" w:leftChars="0" w:firstLine="9" w:firstLineChars="0"/>
              <w:jc w:val="both"/>
              <w:rPr>
                <w:spacing w:val="-1"/>
                <w:highlight w:val="none"/>
              </w:rPr>
            </w:pPr>
            <w:r>
              <w:rPr>
                <w:rFonts w:ascii="微软雅黑" w:hAnsi="微软雅黑" w:eastAsia="微软雅黑" w:cs="微软雅黑"/>
                <w:highlight w:val="none"/>
              </w:rPr>
              <w:t>□</w:t>
            </w:r>
            <w:r>
              <w:rPr>
                <w:highlight w:val="none"/>
              </w:rPr>
              <w:t>是，奖励方式及标准按照省住建厅等十七部门联合印发的</w:t>
            </w:r>
            <w:r>
              <w:rPr>
                <w:spacing w:val="-2"/>
                <w:highlight w:val="none"/>
              </w:rPr>
              <w:t>《关于持续推进建筑业发展的十二条意见》（建市〔2021〕</w:t>
            </w:r>
            <w:r>
              <w:rPr>
                <w:highlight w:val="none"/>
              </w:rPr>
              <w:t xml:space="preserve"> </w:t>
            </w:r>
            <w:r>
              <w:rPr>
                <w:spacing w:val="-8"/>
                <w:highlight w:val="none"/>
              </w:rPr>
              <w:t>23</w:t>
            </w:r>
            <w:r>
              <w:rPr>
                <w:spacing w:val="-38"/>
                <w:highlight w:val="none"/>
              </w:rPr>
              <w:t xml:space="preserve"> </w:t>
            </w:r>
            <w:r>
              <w:rPr>
                <w:spacing w:val="-8"/>
                <w:highlight w:val="none"/>
              </w:rPr>
              <w:t>号）执行。</w:t>
            </w:r>
          </w:p>
        </w:tc>
      </w:tr>
      <w:tr w14:paraId="797F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873" w:type="dxa"/>
            <w:vAlign w:val="top"/>
          </w:tcPr>
          <w:p w14:paraId="28D8C260">
            <w:pPr>
              <w:spacing w:line="249" w:lineRule="auto"/>
              <w:rPr>
                <w:rFonts w:ascii="Arial"/>
                <w:sz w:val="21"/>
                <w:highlight w:val="none"/>
              </w:rPr>
            </w:pPr>
          </w:p>
          <w:p w14:paraId="09577E31">
            <w:pPr>
              <w:spacing w:line="249" w:lineRule="auto"/>
              <w:rPr>
                <w:rFonts w:ascii="Arial"/>
                <w:sz w:val="21"/>
                <w:highlight w:val="none"/>
              </w:rPr>
            </w:pPr>
          </w:p>
          <w:p w14:paraId="71B9CD66">
            <w:pPr>
              <w:spacing w:line="249" w:lineRule="auto"/>
              <w:rPr>
                <w:rFonts w:ascii="Arial"/>
                <w:sz w:val="21"/>
                <w:highlight w:val="none"/>
              </w:rPr>
            </w:pPr>
          </w:p>
          <w:p w14:paraId="443BBA47">
            <w:pPr>
              <w:spacing w:line="249" w:lineRule="auto"/>
              <w:rPr>
                <w:rFonts w:ascii="Arial"/>
                <w:sz w:val="21"/>
                <w:highlight w:val="none"/>
              </w:rPr>
            </w:pPr>
          </w:p>
          <w:p w14:paraId="40FAB782">
            <w:pPr>
              <w:spacing w:line="249" w:lineRule="auto"/>
              <w:rPr>
                <w:rFonts w:ascii="Arial"/>
                <w:sz w:val="21"/>
                <w:highlight w:val="none"/>
              </w:rPr>
            </w:pPr>
          </w:p>
          <w:p w14:paraId="2395E697">
            <w:pPr>
              <w:spacing w:line="249" w:lineRule="auto"/>
              <w:rPr>
                <w:rFonts w:ascii="Arial"/>
                <w:sz w:val="21"/>
                <w:highlight w:val="none"/>
              </w:rPr>
            </w:pPr>
          </w:p>
          <w:p w14:paraId="079B8BA0">
            <w:pPr>
              <w:spacing w:line="250" w:lineRule="auto"/>
              <w:rPr>
                <w:rFonts w:ascii="Arial"/>
                <w:sz w:val="21"/>
                <w:highlight w:val="none"/>
              </w:rPr>
            </w:pPr>
          </w:p>
          <w:p w14:paraId="262E94DF">
            <w:pPr>
              <w:spacing w:line="250" w:lineRule="auto"/>
              <w:rPr>
                <w:rFonts w:ascii="Arial"/>
                <w:sz w:val="21"/>
                <w:highlight w:val="none"/>
              </w:rPr>
            </w:pPr>
          </w:p>
          <w:p w14:paraId="47828A97">
            <w:pPr>
              <w:spacing w:line="250" w:lineRule="auto"/>
              <w:rPr>
                <w:rFonts w:ascii="Arial"/>
                <w:sz w:val="21"/>
                <w:highlight w:val="none"/>
              </w:rPr>
            </w:pPr>
          </w:p>
          <w:p w14:paraId="5E094A17">
            <w:pPr>
              <w:spacing w:line="250" w:lineRule="auto"/>
              <w:rPr>
                <w:rFonts w:ascii="Arial"/>
                <w:sz w:val="21"/>
                <w:highlight w:val="none"/>
              </w:rPr>
            </w:pPr>
          </w:p>
          <w:p w14:paraId="1E58394A">
            <w:pPr>
              <w:spacing w:line="250" w:lineRule="auto"/>
              <w:rPr>
                <w:rFonts w:ascii="Arial"/>
                <w:sz w:val="21"/>
                <w:highlight w:val="none"/>
              </w:rPr>
            </w:pPr>
          </w:p>
          <w:p w14:paraId="3B44F2F0">
            <w:pPr>
              <w:pStyle w:val="25"/>
              <w:spacing w:before="78" w:line="237" w:lineRule="auto"/>
              <w:ind w:left="325" w:leftChars="0"/>
              <w:rPr>
                <w:spacing w:val="-2"/>
                <w:highlight w:val="none"/>
              </w:rPr>
            </w:pPr>
            <w:r>
              <w:rPr>
                <w:spacing w:val="-4"/>
                <w:highlight w:val="none"/>
              </w:rPr>
              <w:t>50</w:t>
            </w:r>
          </w:p>
        </w:tc>
        <w:tc>
          <w:tcPr>
            <w:tcW w:w="2147" w:type="dxa"/>
            <w:vAlign w:val="top"/>
          </w:tcPr>
          <w:p w14:paraId="68E39CA4">
            <w:pPr>
              <w:spacing w:line="249" w:lineRule="auto"/>
              <w:rPr>
                <w:rFonts w:ascii="Arial"/>
                <w:sz w:val="21"/>
                <w:highlight w:val="none"/>
              </w:rPr>
            </w:pPr>
          </w:p>
          <w:p w14:paraId="4973A7BE">
            <w:pPr>
              <w:spacing w:line="249" w:lineRule="auto"/>
              <w:rPr>
                <w:rFonts w:ascii="Arial"/>
                <w:sz w:val="21"/>
                <w:highlight w:val="none"/>
              </w:rPr>
            </w:pPr>
          </w:p>
          <w:p w14:paraId="5C022F7E">
            <w:pPr>
              <w:spacing w:line="249" w:lineRule="auto"/>
              <w:rPr>
                <w:rFonts w:ascii="Arial"/>
                <w:sz w:val="21"/>
                <w:highlight w:val="none"/>
              </w:rPr>
            </w:pPr>
          </w:p>
          <w:p w14:paraId="7E91704B">
            <w:pPr>
              <w:spacing w:line="249" w:lineRule="auto"/>
              <w:rPr>
                <w:rFonts w:ascii="Arial"/>
                <w:sz w:val="21"/>
                <w:highlight w:val="none"/>
              </w:rPr>
            </w:pPr>
          </w:p>
          <w:p w14:paraId="4F586D42">
            <w:pPr>
              <w:spacing w:line="249" w:lineRule="auto"/>
              <w:rPr>
                <w:rFonts w:ascii="Arial"/>
                <w:sz w:val="21"/>
                <w:highlight w:val="none"/>
              </w:rPr>
            </w:pPr>
          </w:p>
          <w:p w14:paraId="1CFB562B">
            <w:pPr>
              <w:spacing w:line="250" w:lineRule="auto"/>
              <w:rPr>
                <w:rFonts w:ascii="Arial"/>
                <w:sz w:val="21"/>
                <w:highlight w:val="none"/>
              </w:rPr>
            </w:pPr>
          </w:p>
          <w:p w14:paraId="455C4906">
            <w:pPr>
              <w:spacing w:line="250" w:lineRule="auto"/>
              <w:rPr>
                <w:rFonts w:ascii="Arial"/>
                <w:sz w:val="21"/>
                <w:highlight w:val="none"/>
              </w:rPr>
            </w:pPr>
          </w:p>
          <w:p w14:paraId="4780287E">
            <w:pPr>
              <w:spacing w:line="250" w:lineRule="auto"/>
              <w:rPr>
                <w:rFonts w:ascii="Arial"/>
                <w:sz w:val="21"/>
                <w:highlight w:val="none"/>
              </w:rPr>
            </w:pPr>
          </w:p>
          <w:p w14:paraId="27736160">
            <w:pPr>
              <w:spacing w:line="250" w:lineRule="auto"/>
              <w:rPr>
                <w:rFonts w:ascii="Arial"/>
                <w:sz w:val="21"/>
                <w:highlight w:val="none"/>
              </w:rPr>
            </w:pPr>
          </w:p>
          <w:p w14:paraId="0A1A73D7">
            <w:pPr>
              <w:spacing w:line="250" w:lineRule="auto"/>
              <w:rPr>
                <w:rFonts w:ascii="Arial"/>
                <w:sz w:val="21"/>
                <w:highlight w:val="none"/>
              </w:rPr>
            </w:pPr>
          </w:p>
          <w:p w14:paraId="5939E7B1">
            <w:pPr>
              <w:spacing w:line="250" w:lineRule="auto"/>
              <w:rPr>
                <w:rFonts w:ascii="Arial"/>
                <w:sz w:val="21"/>
                <w:highlight w:val="none"/>
              </w:rPr>
            </w:pPr>
          </w:p>
          <w:p w14:paraId="13624380">
            <w:pPr>
              <w:pStyle w:val="25"/>
              <w:spacing w:before="78" w:line="218" w:lineRule="auto"/>
              <w:ind w:left="26" w:leftChars="0"/>
              <w:rPr>
                <w:b/>
                <w:bCs/>
                <w:spacing w:val="-4"/>
                <w:highlight w:val="none"/>
              </w:rPr>
            </w:pPr>
            <w:r>
              <w:rPr>
                <w:spacing w:val="-4"/>
                <w:highlight w:val="none"/>
              </w:rPr>
              <w:t>资质动态核查要求</w:t>
            </w:r>
          </w:p>
        </w:tc>
        <w:tc>
          <w:tcPr>
            <w:tcW w:w="6202" w:type="dxa"/>
            <w:vAlign w:val="top"/>
          </w:tcPr>
          <w:p w14:paraId="2A25C335">
            <w:pPr>
              <w:pStyle w:val="25"/>
              <w:spacing w:before="42" w:line="239" w:lineRule="auto"/>
              <w:ind w:left="17" w:right="5"/>
              <w:jc w:val="both"/>
              <w:rPr>
                <w:highlight w:val="none"/>
              </w:rPr>
            </w:pPr>
            <w:r>
              <w:rPr>
                <w:spacing w:val="-3"/>
                <w:highlight w:val="none"/>
              </w:rPr>
              <w:t>投标人现有注册建造师专业、数量未满足《建筑业企业资质标准》及有关文件中投标人对应资质等级标准“企业主要人员”规定的注册建造师要求。评标委员会仅通过“全国建筑市场监管公共服务平台(四库一平台)”查询拟推荐中标候选人是否存在上述情形，并将查询截图及查询结果在评标报告</w:t>
            </w:r>
            <w:r>
              <w:rPr>
                <w:highlight w:val="none"/>
              </w:rPr>
              <w:t>中予以记录。本项目对应资质要求的建造师数量如下:</w:t>
            </w:r>
          </w:p>
          <w:p w14:paraId="7DCDF7EC">
            <w:pPr>
              <w:pStyle w:val="25"/>
              <w:spacing w:before="1" w:line="229" w:lineRule="auto"/>
              <w:ind w:left="21" w:right="134" w:firstLine="30"/>
              <w:rPr>
                <w:highlight w:val="none"/>
              </w:rPr>
            </w:pPr>
            <w:r>
              <w:rPr>
                <w:spacing w:val="-2"/>
                <w:highlight w:val="none"/>
              </w:rPr>
              <w:t>(1)建筑工程施工总承包特级资质企业:</w:t>
            </w:r>
            <w:r>
              <w:rPr>
                <w:spacing w:val="-3"/>
                <w:highlight w:val="none"/>
              </w:rPr>
              <w:t>注册一级建造师</w:t>
            </w:r>
            <w:r>
              <w:rPr>
                <w:spacing w:val="-46"/>
                <w:highlight w:val="none"/>
              </w:rPr>
              <w:t xml:space="preserve"> </w:t>
            </w:r>
            <w:r>
              <w:rPr>
                <w:spacing w:val="-3"/>
                <w:highlight w:val="none"/>
              </w:rPr>
              <w:t>50</w:t>
            </w:r>
            <w:r>
              <w:rPr>
                <w:spacing w:val="-10"/>
                <w:highlight w:val="none"/>
              </w:rPr>
              <w:t>人以上。</w:t>
            </w:r>
          </w:p>
          <w:p w14:paraId="50F7541F">
            <w:pPr>
              <w:pStyle w:val="25"/>
              <w:spacing w:before="25" w:line="232" w:lineRule="auto"/>
              <w:ind w:left="20" w:right="5" w:firstLine="31"/>
              <w:rPr>
                <w:highlight w:val="none"/>
              </w:rPr>
            </w:pPr>
            <w:r>
              <w:rPr>
                <w:spacing w:val="-4"/>
                <w:highlight w:val="none"/>
              </w:rPr>
              <w:t>(2)建筑工程施工总承包壹级资质企业:建筑工程、机电工程</w:t>
            </w:r>
            <w:r>
              <w:rPr>
                <w:spacing w:val="-3"/>
                <w:highlight w:val="none"/>
              </w:rPr>
              <w:t>专业一级注册建造师合计不少于</w:t>
            </w:r>
            <w:r>
              <w:rPr>
                <w:spacing w:val="-22"/>
                <w:highlight w:val="none"/>
              </w:rPr>
              <w:t xml:space="preserve"> </w:t>
            </w:r>
            <w:r>
              <w:rPr>
                <w:spacing w:val="-3"/>
                <w:highlight w:val="none"/>
              </w:rPr>
              <w:t>12</w:t>
            </w:r>
            <w:r>
              <w:rPr>
                <w:spacing w:val="-40"/>
                <w:highlight w:val="none"/>
              </w:rPr>
              <w:t xml:space="preserve"> </w:t>
            </w:r>
            <w:r>
              <w:rPr>
                <w:spacing w:val="-3"/>
                <w:highlight w:val="none"/>
              </w:rPr>
              <w:t>人，其中建筑工程专业</w:t>
            </w:r>
            <w:r>
              <w:rPr>
                <w:spacing w:val="-5"/>
                <w:highlight w:val="none"/>
              </w:rPr>
              <w:t>一级注册建造师不少于</w:t>
            </w:r>
            <w:r>
              <w:rPr>
                <w:spacing w:val="-41"/>
                <w:highlight w:val="none"/>
              </w:rPr>
              <w:t xml:space="preserve"> </w:t>
            </w:r>
            <w:r>
              <w:rPr>
                <w:spacing w:val="-5"/>
                <w:highlight w:val="none"/>
              </w:rPr>
              <w:t>9</w:t>
            </w:r>
            <w:r>
              <w:rPr>
                <w:spacing w:val="-40"/>
                <w:highlight w:val="none"/>
              </w:rPr>
              <w:t xml:space="preserve"> </w:t>
            </w:r>
            <w:r>
              <w:rPr>
                <w:spacing w:val="-5"/>
                <w:highlight w:val="none"/>
              </w:rPr>
              <w:t>人。</w:t>
            </w:r>
          </w:p>
          <w:p w14:paraId="337E7463">
            <w:pPr>
              <w:pStyle w:val="25"/>
              <w:spacing w:before="25" w:line="236" w:lineRule="auto"/>
              <w:ind w:left="17" w:leftChars="0" w:right="4" w:rightChars="0" w:firstLine="35" w:firstLineChars="0"/>
              <w:rPr>
                <w:rFonts w:ascii="微软雅黑" w:hAnsi="微软雅黑" w:eastAsia="微软雅黑" w:cs="微软雅黑"/>
                <w:highlight w:val="none"/>
              </w:rPr>
            </w:pPr>
            <w:r>
              <w:rPr>
                <w:spacing w:val="-4"/>
                <w:highlight w:val="none"/>
              </w:rPr>
              <w:t>(3)建筑工程施工总承包贰级、叁级资质企业:建筑工程、机电工程专业注册建造师合计不少于</w:t>
            </w:r>
            <w:r>
              <w:rPr>
                <w:spacing w:val="-42"/>
                <w:highlight w:val="none"/>
              </w:rPr>
              <w:t xml:space="preserve"> </w:t>
            </w:r>
            <w:r>
              <w:rPr>
                <w:spacing w:val="-4"/>
                <w:highlight w:val="none"/>
              </w:rPr>
              <w:t>5</w:t>
            </w:r>
            <w:r>
              <w:rPr>
                <w:spacing w:val="-40"/>
                <w:highlight w:val="none"/>
              </w:rPr>
              <w:t xml:space="preserve"> </w:t>
            </w:r>
            <w:r>
              <w:rPr>
                <w:spacing w:val="-4"/>
                <w:highlight w:val="none"/>
              </w:rPr>
              <w:t>人，其中建筑工程专业</w:t>
            </w:r>
            <w:r>
              <w:rPr>
                <w:spacing w:val="-2"/>
                <w:highlight w:val="none"/>
              </w:rPr>
              <w:t>注册建造师不少于</w:t>
            </w:r>
            <w:r>
              <w:rPr>
                <w:spacing w:val="-44"/>
                <w:highlight w:val="none"/>
              </w:rPr>
              <w:t xml:space="preserve"> </w:t>
            </w:r>
            <w:r>
              <w:rPr>
                <w:spacing w:val="-2"/>
                <w:highlight w:val="none"/>
              </w:rPr>
              <w:t>4</w:t>
            </w:r>
            <w:r>
              <w:rPr>
                <w:spacing w:val="-40"/>
                <w:highlight w:val="none"/>
              </w:rPr>
              <w:t xml:space="preserve"> </w:t>
            </w:r>
            <w:r>
              <w:rPr>
                <w:spacing w:val="-2"/>
                <w:highlight w:val="none"/>
              </w:rPr>
              <w:t>人。举例:某项目招标要求投标人具备</w:t>
            </w:r>
            <w:r>
              <w:rPr>
                <w:spacing w:val="-5"/>
                <w:highlight w:val="none"/>
              </w:rPr>
              <w:t>建筑工程施工总承包叁级以上资质，A、B</w:t>
            </w:r>
            <w:r>
              <w:rPr>
                <w:spacing w:val="-43"/>
                <w:highlight w:val="none"/>
              </w:rPr>
              <w:t xml:space="preserve"> </w:t>
            </w:r>
            <w:r>
              <w:rPr>
                <w:spacing w:val="-6"/>
                <w:highlight w:val="none"/>
              </w:rPr>
              <w:t>企业为拟推荐中标</w:t>
            </w:r>
            <w:r>
              <w:rPr>
                <w:spacing w:val="-1"/>
                <w:highlight w:val="none"/>
              </w:rPr>
              <w:t>候选人。A</w:t>
            </w:r>
            <w:r>
              <w:rPr>
                <w:spacing w:val="-44"/>
                <w:highlight w:val="none"/>
              </w:rPr>
              <w:t xml:space="preserve"> </w:t>
            </w:r>
            <w:r>
              <w:rPr>
                <w:spacing w:val="-1"/>
                <w:highlight w:val="none"/>
              </w:rPr>
              <w:t>企业投标文件中响应该项目的投</w:t>
            </w:r>
            <w:r>
              <w:rPr>
                <w:spacing w:val="-2"/>
                <w:highlight w:val="none"/>
              </w:rPr>
              <w:t>标资质为建筑工</w:t>
            </w:r>
            <w:r>
              <w:rPr>
                <w:spacing w:val="-3"/>
                <w:highlight w:val="none"/>
              </w:rPr>
              <w:t>程施工总承包一级，《建筑业企业资质标准》中建筑工程施</w:t>
            </w:r>
            <w:r>
              <w:rPr>
                <w:spacing w:val="-1"/>
                <w:highlight w:val="none"/>
              </w:rPr>
              <w:t>工总承包资质一级资质标准中关于注册建造师要求为:“建</w:t>
            </w:r>
            <w:r>
              <w:rPr>
                <w:spacing w:val="-3"/>
                <w:highlight w:val="none"/>
              </w:rPr>
              <w:t>筑工程、机电工程专业一级注册建造师合计不少于</w:t>
            </w:r>
            <w:r>
              <w:rPr>
                <w:spacing w:val="-32"/>
                <w:highlight w:val="none"/>
              </w:rPr>
              <w:t xml:space="preserve"> </w:t>
            </w:r>
            <w:r>
              <w:rPr>
                <w:spacing w:val="-3"/>
                <w:highlight w:val="none"/>
              </w:rPr>
              <w:t>12</w:t>
            </w:r>
            <w:r>
              <w:rPr>
                <w:spacing w:val="-41"/>
                <w:highlight w:val="none"/>
              </w:rPr>
              <w:t xml:space="preserve"> </w:t>
            </w:r>
            <w:r>
              <w:rPr>
                <w:spacing w:val="-3"/>
                <w:highlight w:val="none"/>
              </w:rPr>
              <w:t>人，</w:t>
            </w:r>
            <w:r>
              <w:rPr>
                <w:spacing w:val="-7"/>
                <w:highlight w:val="none"/>
              </w:rPr>
              <w:t>其中建筑工程专业一级注册建造师不少于</w:t>
            </w:r>
            <w:r>
              <w:rPr>
                <w:spacing w:val="-43"/>
                <w:highlight w:val="none"/>
              </w:rPr>
              <w:t xml:space="preserve"> </w:t>
            </w:r>
            <w:r>
              <w:rPr>
                <w:spacing w:val="-7"/>
                <w:highlight w:val="none"/>
              </w:rPr>
              <w:t>9</w:t>
            </w:r>
            <w:r>
              <w:rPr>
                <w:spacing w:val="-42"/>
                <w:highlight w:val="none"/>
              </w:rPr>
              <w:t xml:space="preserve"> </w:t>
            </w:r>
            <w:r>
              <w:rPr>
                <w:spacing w:val="-7"/>
                <w:highlight w:val="none"/>
              </w:rPr>
              <w:t>人”。评标委员</w:t>
            </w:r>
            <w:r>
              <w:rPr>
                <w:spacing w:val="-4"/>
                <w:highlight w:val="none"/>
              </w:rPr>
              <w:t>会通过全国建筑市场监管公共服务平台(四库一平台)核查</w:t>
            </w:r>
            <w:r>
              <w:rPr>
                <w:spacing w:val="5"/>
                <w:highlight w:val="none"/>
              </w:rPr>
              <w:t xml:space="preserve"> </w:t>
            </w:r>
            <w:r>
              <w:rPr>
                <w:spacing w:val="-4"/>
                <w:highlight w:val="none"/>
              </w:rPr>
              <w:t>时，A</w:t>
            </w:r>
            <w:r>
              <w:rPr>
                <w:spacing w:val="-44"/>
                <w:highlight w:val="none"/>
              </w:rPr>
              <w:t xml:space="preserve"> </w:t>
            </w:r>
            <w:r>
              <w:rPr>
                <w:spacing w:val="-4"/>
                <w:highlight w:val="none"/>
              </w:rPr>
              <w:t>企业注册建造师须满足“建筑工程、机电工</w:t>
            </w:r>
            <w:r>
              <w:rPr>
                <w:spacing w:val="-5"/>
                <w:highlight w:val="none"/>
              </w:rPr>
              <w:t>程专业一级注册建造师合计不少于</w:t>
            </w:r>
            <w:r>
              <w:rPr>
                <w:spacing w:val="-60"/>
                <w:highlight w:val="none"/>
              </w:rPr>
              <w:t xml:space="preserve"> </w:t>
            </w:r>
            <w:r>
              <w:rPr>
                <w:spacing w:val="-5"/>
                <w:highlight w:val="none"/>
              </w:rPr>
              <w:t>12</w:t>
            </w:r>
            <w:r>
              <w:rPr>
                <w:spacing w:val="-67"/>
                <w:highlight w:val="none"/>
              </w:rPr>
              <w:t xml:space="preserve"> </w:t>
            </w:r>
            <w:r>
              <w:rPr>
                <w:spacing w:val="-5"/>
                <w:highlight w:val="none"/>
              </w:rPr>
              <w:t>人,其中建筑工程专业一级注册建造师不少于</w:t>
            </w:r>
            <w:r>
              <w:rPr>
                <w:spacing w:val="-51"/>
                <w:highlight w:val="none"/>
              </w:rPr>
              <w:t xml:space="preserve"> </w:t>
            </w:r>
            <w:r>
              <w:rPr>
                <w:spacing w:val="-5"/>
                <w:highlight w:val="none"/>
              </w:rPr>
              <w:t>9</w:t>
            </w:r>
            <w:r>
              <w:rPr>
                <w:spacing w:val="-41"/>
                <w:highlight w:val="none"/>
              </w:rPr>
              <w:t xml:space="preserve"> </w:t>
            </w:r>
            <w:r>
              <w:rPr>
                <w:spacing w:val="-5"/>
                <w:highlight w:val="none"/>
              </w:rPr>
              <w:t>人”，才能被推荐为中标候选人</w:t>
            </w:r>
            <w:r>
              <w:rPr>
                <w:spacing w:val="-6"/>
                <w:highlight w:val="none"/>
              </w:rPr>
              <w:t>。B</w:t>
            </w:r>
            <w:r>
              <w:rPr>
                <w:spacing w:val="-44"/>
                <w:highlight w:val="none"/>
              </w:rPr>
              <w:t xml:space="preserve"> </w:t>
            </w:r>
            <w:r>
              <w:rPr>
                <w:spacing w:val="-6"/>
                <w:highlight w:val="none"/>
              </w:rPr>
              <w:t>企业投</w:t>
            </w:r>
            <w:r>
              <w:rPr>
                <w:spacing w:val="-4"/>
                <w:highlight w:val="none"/>
              </w:rPr>
              <w:t>标文件中响应该项目的投标资质为建筑工程施工总承包三</w:t>
            </w:r>
            <w:r>
              <w:rPr>
                <w:spacing w:val="3"/>
                <w:highlight w:val="none"/>
              </w:rPr>
              <w:t xml:space="preserve"> </w:t>
            </w:r>
            <w:r>
              <w:rPr>
                <w:spacing w:val="-4"/>
                <w:highlight w:val="none"/>
              </w:rPr>
              <w:t>级资质，评标委员会通过全国建筑市场监管公共服务平台</w:t>
            </w:r>
            <w:r>
              <w:rPr>
                <w:spacing w:val="3"/>
                <w:highlight w:val="none"/>
              </w:rPr>
              <w:t xml:space="preserve">  </w:t>
            </w:r>
            <w:r>
              <w:rPr>
                <w:spacing w:val="-9"/>
                <w:highlight w:val="none"/>
              </w:rPr>
              <w:t>(四库一平台)核查时，B</w:t>
            </w:r>
            <w:r>
              <w:rPr>
                <w:spacing w:val="-45"/>
                <w:highlight w:val="none"/>
              </w:rPr>
              <w:t xml:space="preserve"> </w:t>
            </w:r>
            <w:r>
              <w:rPr>
                <w:spacing w:val="-9"/>
                <w:highlight w:val="none"/>
              </w:rPr>
              <w:t>企业注册建造师须满足“</w:t>
            </w:r>
            <w:r>
              <w:rPr>
                <w:spacing w:val="-10"/>
                <w:highlight w:val="none"/>
              </w:rPr>
              <w:t>建筑工程、</w:t>
            </w:r>
            <w:r>
              <w:rPr>
                <w:spacing w:val="-7"/>
                <w:highlight w:val="none"/>
              </w:rPr>
              <w:t>机电工程专业注册建造师合计不少于</w:t>
            </w:r>
            <w:r>
              <w:rPr>
                <w:spacing w:val="-39"/>
                <w:highlight w:val="none"/>
              </w:rPr>
              <w:t xml:space="preserve"> </w:t>
            </w:r>
            <w:r>
              <w:rPr>
                <w:spacing w:val="-7"/>
                <w:highlight w:val="none"/>
              </w:rPr>
              <w:t>5</w:t>
            </w:r>
            <w:r>
              <w:rPr>
                <w:spacing w:val="-41"/>
                <w:highlight w:val="none"/>
              </w:rPr>
              <w:t xml:space="preserve"> </w:t>
            </w:r>
            <w:r>
              <w:rPr>
                <w:spacing w:val="-7"/>
                <w:highlight w:val="none"/>
              </w:rPr>
              <w:t>人，其中建筑工程专</w:t>
            </w:r>
            <w:r>
              <w:rPr>
                <w:spacing w:val="-13"/>
                <w:highlight w:val="none"/>
              </w:rPr>
              <w:t>业注册建造师不少于</w:t>
            </w:r>
            <w:r>
              <w:rPr>
                <w:spacing w:val="-43"/>
                <w:highlight w:val="none"/>
              </w:rPr>
              <w:t xml:space="preserve"> </w:t>
            </w:r>
            <w:r>
              <w:rPr>
                <w:spacing w:val="-13"/>
                <w:highlight w:val="none"/>
              </w:rPr>
              <w:t>4</w:t>
            </w:r>
            <w:r>
              <w:rPr>
                <w:spacing w:val="-41"/>
                <w:highlight w:val="none"/>
              </w:rPr>
              <w:t xml:space="preserve"> </w:t>
            </w:r>
            <w:r>
              <w:rPr>
                <w:spacing w:val="-13"/>
                <w:highlight w:val="none"/>
              </w:rPr>
              <w:t>人”，才能被推荐为中标候选人。注：</w:t>
            </w:r>
            <w:r>
              <w:rPr>
                <w:spacing w:val="-6"/>
                <w:highlight w:val="none"/>
              </w:rPr>
              <w:t>查询结果仅以开标当日评标委员会从“全国建筑市场监管公</w:t>
            </w:r>
            <w:r>
              <w:rPr>
                <w:spacing w:val="-5"/>
                <w:highlight w:val="none"/>
              </w:rPr>
              <w:t>共服务平台(四库一平台)”现场截图为确认依据。</w:t>
            </w:r>
          </w:p>
        </w:tc>
      </w:tr>
    </w:tbl>
    <w:p w14:paraId="4989208E">
      <w:pPr>
        <w:pStyle w:val="3"/>
        <w:rPr>
          <w:highlight w:val="none"/>
        </w:rPr>
      </w:pPr>
    </w:p>
    <w:p w14:paraId="3A0D72BC">
      <w:pPr>
        <w:spacing w:line="91" w:lineRule="auto"/>
        <w:rPr>
          <w:rFonts w:ascii="Arial"/>
          <w:sz w:val="2"/>
          <w:highlight w:val="none"/>
        </w:rPr>
      </w:pPr>
    </w:p>
    <w:p w14:paraId="7623F123">
      <w:pPr>
        <w:spacing w:before="273" w:line="226" w:lineRule="auto"/>
        <w:ind w:left="85"/>
        <w:outlineLvl w:val="1"/>
        <w:rPr>
          <w:rFonts w:ascii="宋体" w:hAnsi="宋体" w:eastAsia="宋体" w:cs="宋体"/>
          <w:sz w:val="31"/>
          <w:szCs w:val="31"/>
          <w:highlight w:val="none"/>
        </w:rPr>
      </w:pPr>
      <w:bookmarkStart w:id="5" w:name="_Toc3596"/>
      <w:r>
        <w:rPr>
          <w:rFonts w:ascii="宋体" w:hAnsi="宋体" w:eastAsia="宋体" w:cs="宋体"/>
          <w:b/>
          <w:bCs/>
          <w:spacing w:val="-4"/>
          <w:sz w:val="31"/>
          <w:szCs w:val="31"/>
          <w:highlight w:val="none"/>
        </w:rPr>
        <w:t>（二）总则</w:t>
      </w:r>
      <w:bookmarkEnd w:id="5"/>
    </w:p>
    <w:p w14:paraId="4326B944">
      <w:pPr>
        <w:spacing w:before="307" w:line="220" w:lineRule="auto"/>
        <w:ind w:left="87"/>
        <w:rPr>
          <w:rFonts w:ascii="宋体" w:hAnsi="宋体" w:eastAsia="宋体" w:cs="宋体"/>
          <w:sz w:val="24"/>
          <w:szCs w:val="24"/>
          <w:highlight w:val="none"/>
        </w:rPr>
      </w:pPr>
      <w:r>
        <w:rPr>
          <w:rFonts w:ascii="宋体" w:hAnsi="宋体" w:eastAsia="宋体" w:cs="宋体"/>
          <w:spacing w:val="-9"/>
          <w:sz w:val="24"/>
          <w:szCs w:val="24"/>
          <w:highlight w:val="none"/>
        </w:rPr>
        <w:t>1、工程说明</w:t>
      </w:r>
    </w:p>
    <w:p w14:paraId="7FA377FA">
      <w:pPr>
        <w:spacing w:before="119" w:line="219" w:lineRule="auto"/>
        <w:ind w:left="87"/>
        <w:rPr>
          <w:rFonts w:ascii="宋体" w:hAnsi="宋体" w:eastAsia="宋体" w:cs="宋体"/>
          <w:sz w:val="24"/>
          <w:szCs w:val="24"/>
          <w:highlight w:val="none"/>
        </w:rPr>
      </w:pPr>
      <w:r>
        <w:rPr>
          <w:rFonts w:ascii="宋体" w:hAnsi="宋体" w:eastAsia="宋体" w:cs="宋体"/>
          <w:spacing w:val="-5"/>
          <w:sz w:val="24"/>
          <w:szCs w:val="24"/>
          <w:highlight w:val="none"/>
        </w:rPr>
        <w:t>1.1</w:t>
      </w:r>
      <w:r>
        <w:rPr>
          <w:rFonts w:ascii="宋体" w:hAnsi="宋体" w:eastAsia="宋体" w:cs="宋体"/>
          <w:spacing w:val="-36"/>
          <w:sz w:val="24"/>
          <w:szCs w:val="24"/>
          <w:highlight w:val="none"/>
        </w:rPr>
        <w:t xml:space="preserve"> </w:t>
      </w:r>
      <w:r>
        <w:rPr>
          <w:rFonts w:ascii="宋体" w:hAnsi="宋体" w:eastAsia="宋体" w:cs="宋体"/>
          <w:spacing w:val="-5"/>
          <w:sz w:val="24"/>
          <w:szCs w:val="24"/>
          <w:highlight w:val="none"/>
        </w:rPr>
        <w:t>本招标工程项目说明详见本须知前附表；</w:t>
      </w:r>
    </w:p>
    <w:p w14:paraId="136F2B52">
      <w:pPr>
        <w:spacing w:before="125" w:line="257" w:lineRule="auto"/>
        <w:ind w:left="70" w:right="59" w:firstLine="16"/>
        <w:rPr>
          <w:rFonts w:ascii="宋体" w:hAnsi="宋体" w:eastAsia="宋体" w:cs="宋体"/>
          <w:sz w:val="24"/>
          <w:szCs w:val="24"/>
          <w:highlight w:val="none"/>
        </w:rPr>
      </w:pPr>
      <w:r>
        <w:rPr>
          <w:rFonts w:ascii="宋体" w:hAnsi="宋体" w:eastAsia="宋体" w:cs="宋体"/>
          <w:spacing w:val="-1"/>
          <w:sz w:val="24"/>
          <w:szCs w:val="24"/>
          <w:highlight w:val="none"/>
        </w:rPr>
        <w:t>1.2 本招标工程项目按照《中华人民共和国招标投标法》、《中华人民共和国招标投标</w:t>
      </w:r>
      <w:r>
        <w:rPr>
          <w:rFonts w:ascii="宋体" w:hAnsi="宋体" w:eastAsia="宋体" w:cs="宋体"/>
          <w:spacing w:val="-2"/>
          <w:sz w:val="24"/>
          <w:szCs w:val="24"/>
          <w:highlight w:val="none"/>
        </w:rPr>
        <w:t>法实施条例》、《工程建设项目施工招标投标办法》</w:t>
      </w:r>
      <w:r>
        <w:rPr>
          <w:rFonts w:ascii="宋体" w:hAnsi="宋体" w:eastAsia="宋体" w:cs="宋体"/>
          <w:spacing w:val="-63"/>
          <w:sz w:val="24"/>
          <w:szCs w:val="24"/>
          <w:highlight w:val="none"/>
        </w:rPr>
        <w:t xml:space="preserve"> </w:t>
      </w:r>
      <w:r>
        <w:rPr>
          <w:rFonts w:ascii="宋体" w:hAnsi="宋体" w:eastAsia="宋体" w:cs="宋体"/>
          <w:spacing w:val="-2"/>
          <w:sz w:val="24"/>
          <w:szCs w:val="24"/>
          <w:highlight w:val="none"/>
        </w:rPr>
        <w:t>(国家发展改革委员会令第 30 号)</w:t>
      </w:r>
      <w:r>
        <w:rPr>
          <w:rFonts w:ascii="宋体" w:hAnsi="宋体" w:eastAsia="宋体" w:cs="宋体"/>
          <w:spacing w:val="-1"/>
          <w:sz w:val="24"/>
          <w:szCs w:val="24"/>
          <w:highlight w:val="none"/>
        </w:rPr>
        <w:t>等有关法律、法规和规章要求，通过公开招标方</w:t>
      </w:r>
      <w:r>
        <w:rPr>
          <w:rFonts w:ascii="宋体" w:hAnsi="宋体" w:eastAsia="宋体" w:cs="宋体"/>
          <w:spacing w:val="-2"/>
          <w:sz w:val="24"/>
          <w:szCs w:val="24"/>
          <w:highlight w:val="none"/>
        </w:rPr>
        <w:t>式选定中标人（承包人）。</w:t>
      </w:r>
    </w:p>
    <w:p w14:paraId="7B385024">
      <w:pPr>
        <w:spacing w:before="125" w:line="220" w:lineRule="auto"/>
        <w:ind w:left="72"/>
        <w:rPr>
          <w:rFonts w:ascii="宋体" w:hAnsi="宋体" w:eastAsia="宋体" w:cs="宋体"/>
          <w:sz w:val="24"/>
          <w:szCs w:val="24"/>
          <w:highlight w:val="none"/>
        </w:rPr>
      </w:pPr>
      <w:r>
        <w:rPr>
          <w:rFonts w:ascii="宋体" w:hAnsi="宋体" w:eastAsia="宋体" w:cs="宋体"/>
          <w:spacing w:val="-2"/>
          <w:sz w:val="24"/>
          <w:szCs w:val="24"/>
          <w:highlight w:val="none"/>
        </w:rPr>
        <w:t>2、招标范围、承包方式</w:t>
      </w:r>
    </w:p>
    <w:p w14:paraId="6A72B53C">
      <w:pPr>
        <w:spacing w:before="120" w:line="219" w:lineRule="auto"/>
        <w:ind w:left="552"/>
        <w:rPr>
          <w:rFonts w:ascii="宋体" w:hAnsi="宋体" w:eastAsia="宋体" w:cs="宋体"/>
          <w:sz w:val="24"/>
          <w:szCs w:val="24"/>
          <w:highlight w:val="none"/>
        </w:rPr>
      </w:pPr>
      <w:r>
        <w:rPr>
          <w:rFonts w:ascii="宋体" w:hAnsi="宋体" w:eastAsia="宋体" w:cs="宋体"/>
          <w:spacing w:val="-3"/>
          <w:sz w:val="24"/>
          <w:szCs w:val="24"/>
          <w:highlight w:val="none"/>
        </w:rPr>
        <w:t>2.1</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本招标工程项目的招标范围及工程内容见本须知前附表；</w:t>
      </w:r>
    </w:p>
    <w:p w14:paraId="740250DC">
      <w:pPr>
        <w:spacing w:before="124" w:line="219" w:lineRule="auto"/>
        <w:ind w:left="552"/>
        <w:rPr>
          <w:rFonts w:ascii="宋体" w:hAnsi="宋体" w:eastAsia="宋体" w:cs="宋体"/>
          <w:sz w:val="24"/>
          <w:szCs w:val="24"/>
          <w:highlight w:val="none"/>
        </w:rPr>
      </w:pPr>
      <w:r>
        <w:rPr>
          <w:rFonts w:ascii="宋体" w:hAnsi="宋体" w:eastAsia="宋体" w:cs="宋体"/>
          <w:spacing w:val="-3"/>
          <w:sz w:val="24"/>
          <w:szCs w:val="24"/>
          <w:highlight w:val="none"/>
        </w:rPr>
        <w:t>2.2</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本招标工程项目的承包方式见本须知前附表。</w:t>
      </w:r>
    </w:p>
    <w:p w14:paraId="4F5F6202">
      <w:pPr>
        <w:spacing w:before="125" w:line="220" w:lineRule="auto"/>
        <w:ind w:left="74"/>
        <w:rPr>
          <w:rFonts w:ascii="宋体" w:hAnsi="宋体" w:eastAsia="宋体" w:cs="宋体"/>
          <w:sz w:val="24"/>
          <w:szCs w:val="24"/>
          <w:highlight w:val="none"/>
        </w:rPr>
      </w:pPr>
      <w:r>
        <w:rPr>
          <w:rFonts w:ascii="宋体" w:hAnsi="宋体" w:eastAsia="宋体" w:cs="宋体"/>
          <w:spacing w:val="-4"/>
          <w:sz w:val="24"/>
          <w:szCs w:val="24"/>
          <w:highlight w:val="none"/>
        </w:rPr>
        <w:t>3、资金来源</w:t>
      </w:r>
    </w:p>
    <w:p w14:paraId="08375CD5">
      <w:pPr>
        <w:spacing w:before="120" w:line="219" w:lineRule="auto"/>
        <w:ind w:left="70"/>
        <w:rPr>
          <w:rFonts w:ascii="宋体" w:hAnsi="宋体" w:eastAsia="宋体" w:cs="宋体"/>
          <w:sz w:val="24"/>
          <w:szCs w:val="24"/>
          <w:highlight w:val="none"/>
        </w:rPr>
      </w:pPr>
      <w:r>
        <w:rPr>
          <w:rFonts w:ascii="宋体" w:hAnsi="宋体" w:eastAsia="宋体" w:cs="宋体"/>
          <w:spacing w:val="-3"/>
          <w:sz w:val="24"/>
          <w:szCs w:val="24"/>
          <w:highlight w:val="none"/>
        </w:rPr>
        <w:t>本招标工程项目资金来源见本须知前附表。</w:t>
      </w:r>
    </w:p>
    <w:p w14:paraId="5793BAEB">
      <w:pPr>
        <w:spacing w:before="126" w:line="220" w:lineRule="auto"/>
        <w:ind w:left="68"/>
        <w:rPr>
          <w:rFonts w:ascii="宋体" w:hAnsi="宋体" w:eastAsia="宋体" w:cs="宋体"/>
          <w:sz w:val="24"/>
          <w:szCs w:val="24"/>
          <w:highlight w:val="none"/>
        </w:rPr>
      </w:pPr>
      <w:r>
        <w:rPr>
          <w:rFonts w:ascii="宋体" w:hAnsi="宋体" w:eastAsia="宋体" w:cs="宋体"/>
          <w:spacing w:val="-3"/>
          <w:sz w:val="24"/>
          <w:szCs w:val="24"/>
          <w:highlight w:val="none"/>
        </w:rPr>
        <w:t>4、合格的投标人</w:t>
      </w:r>
    </w:p>
    <w:p w14:paraId="58359123">
      <w:pPr>
        <w:spacing w:before="122" w:line="272" w:lineRule="auto"/>
        <w:ind w:left="70" w:right="57" w:firstLine="478"/>
        <w:rPr>
          <w:rFonts w:ascii="宋体" w:hAnsi="宋体" w:eastAsia="宋体" w:cs="宋体"/>
          <w:sz w:val="24"/>
          <w:szCs w:val="24"/>
          <w:highlight w:val="none"/>
        </w:rPr>
      </w:pPr>
      <w:r>
        <w:rPr>
          <w:rFonts w:ascii="宋体" w:hAnsi="宋体" w:eastAsia="宋体" w:cs="宋体"/>
          <w:spacing w:val="-1"/>
          <w:sz w:val="24"/>
          <w:szCs w:val="24"/>
          <w:highlight w:val="none"/>
        </w:rPr>
        <w:t>4.1 投标人资质等级、设计负责人、项目经理（建造师）、项目班子成员资格见前附表，设计负责人、项目经理（建造师）及技术负责人必须是本单位工作人员。评审时以投标人所属社保机构出具的包括投标截止日所属月份（含）为基点起往前计算已经过</w:t>
      </w:r>
      <w:r>
        <w:rPr>
          <w:rFonts w:ascii="宋体" w:hAnsi="宋体" w:eastAsia="宋体" w:cs="宋体"/>
          <w:spacing w:val="-2"/>
          <w:sz w:val="24"/>
          <w:szCs w:val="24"/>
          <w:highlight w:val="none"/>
        </w:rPr>
        <w:t>去的连续</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5</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个月内不少于连续缴费</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个月的拟委任的设计负责人、项目经理、技术负责</w:t>
      </w:r>
      <w:r>
        <w:rPr>
          <w:rFonts w:ascii="宋体" w:hAnsi="宋体" w:eastAsia="宋体" w:cs="宋体"/>
          <w:spacing w:val="-5"/>
          <w:sz w:val="24"/>
          <w:szCs w:val="24"/>
          <w:highlight w:val="none"/>
        </w:rPr>
        <w:t>人的社保缴费清单等社保缴费证明原件扫描件为准（例：7</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月</w:t>
      </w:r>
      <w:r>
        <w:rPr>
          <w:rFonts w:ascii="宋体" w:hAnsi="宋体" w:eastAsia="宋体" w:cs="宋体"/>
          <w:spacing w:val="-32"/>
          <w:sz w:val="24"/>
          <w:szCs w:val="24"/>
          <w:highlight w:val="none"/>
        </w:rPr>
        <w:t xml:space="preserve"> </w:t>
      </w:r>
      <w:r>
        <w:rPr>
          <w:rFonts w:ascii="宋体" w:hAnsi="宋体" w:eastAsia="宋体" w:cs="宋体"/>
          <w:spacing w:val="-5"/>
          <w:sz w:val="24"/>
          <w:szCs w:val="24"/>
          <w:highlight w:val="none"/>
        </w:rPr>
        <w:t>19 日</w:t>
      </w:r>
      <w:r>
        <w:rPr>
          <w:rFonts w:ascii="宋体" w:hAnsi="宋体" w:eastAsia="宋体" w:cs="宋体"/>
          <w:spacing w:val="-6"/>
          <w:sz w:val="24"/>
          <w:szCs w:val="24"/>
          <w:highlight w:val="none"/>
        </w:rPr>
        <w:t>开标，则连续</w:t>
      </w:r>
      <w:r>
        <w:rPr>
          <w:rFonts w:ascii="宋体" w:hAnsi="宋体" w:eastAsia="宋体" w:cs="宋体"/>
          <w:spacing w:val="-46"/>
          <w:sz w:val="24"/>
          <w:szCs w:val="24"/>
          <w:highlight w:val="none"/>
        </w:rPr>
        <w:t xml:space="preserve"> </w:t>
      </w:r>
      <w:r>
        <w:rPr>
          <w:rFonts w:ascii="宋体" w:hAnsi="宋体" w:eastAsia="宋体" w:cs="宋体"/>
          <w:spacing w:val="-6"/>
          <w:sz w:val="24"/>
          <w:szCs w:val="24"/>
          <w:highlight w:val="none"/>
        </w:rPr>
        <w:t>5</w:t>
      </w:r>
      <w:r>
        <w:rPr>
          <w:rFonts w:ascii="宋体" w:hAnsi="宋体" w:eastAsia="宋体" w:cs="宋体"/>
          <w:spacing w:val="-50"/>
          <w:sz w:val="24"/>
          <w:szCs w:val="24"/>
          <w:highlight w:val="none"/>
        </w:rPr>
        <w:t xml:space="preserve"> </w:t>
      </w:r>
      <w:r>
        <w:rPr>
          <w:rFonts w:ascii="宋体" w:hAnsi="宋体" w:eastAsia="宋体" w:cs="宋体"/>
          <w:spacing w:val="-6"/>
          <w:sz w:val="24"/>
          <w:szCs w:val="24"/>
          <w:highlight w:val="none"/>
        </w:rPr>
        <w:t>个月是指</w:t>
      </w:r>
      <w:r>
        <w:rPr>
          <w:rFonts w:ascii="宋体" w:hAnsi="宋体" w:eastAsia="宋体" w:cs="宋体"/>
          <w:spacing w:val="-25"/>
          <w:sz w:val="24"/>
          <w:szCs w:val="24"/>
          <w:highlight w:val="none"/>
        </w:rPr>
        <w:t xml:space="preserve"> </w:t>
      </w:r>
      <w:r>
        <w:rPr>
          <w:rFonts w:ascii="宋体" w:hAnsi="宋体" w:eastAsia="宋体" w:cs="宋体"/>
          <w:spacing w:val="-6"/>
          <w:sz w:val="24"/>
          <w:szCs w:val="24"/>
          <w:highlight w:val="none"/>
        </w:rPr>
        <w:t>7</w:t>
      </w:r>
      <w:r>
        <w:rPr>
          <w:rFonts w:ascii="宋体" w:hAnsi="宋体" w:eastAsia="宋体" w:cs="宋体"/>
          <w:spacing w:val="-43"/>
          <w:sz w:val="24"/>
          <w:szCs w:val="24"/>
          <w:highlight w:val="none"/>
        </w:rPr>
        <w:t xml:space="preserve"> </w:t>
      </w:r>
      <w:r>
        <w:rPr>
          <w:rFonts w:ascii="宋体" w:hAnsi="宋体" w:eastAsia="宋体" w:cs="宋体"/>
          <w:spacing w:val="-6"/>
          <w:sz w:val="24"/>
          <w:szCs w:val="24"/>
          <w:highlight w:val="none"/>
        </w:rPr>
        <w:t>月、6</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月、5</w:t>
      </w:r>
      <w:r>
        <w:rPr>
          <w:rFonts w:ascii="宋体" w:hAnsi="宋体" w:eastAsia="宋体" w:cs="宋体"/>
          <w:spacing w:val="-43"/>
          <w:sz w:val="24"/>
          <w:szCs w:val="24"/>
          <w:highlight w:val="none"/>
        </w:rPr>
        <w:t xml:space="preserve"> </w:t>
      </w:r>
      <w:r>
        <w:rPr>
          <w:rFonts w:ascii="宋体" w:hAnsi="宋体" w:eastAsia="宋体" w:cs="宋体"/>
          <w:spacing w:val="-6"/>
          <w:sz w:val="24"/>
          <w:szCs w:val="24"/>
          <w:highlight w:val="none"/>
        </w:rPr>
        <w:t>月、4</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月、3</w:t>
      </w:r>
      <w:r>
        <w:rPr>
          <w:rFonts w:ascii="宋体" w:hAnsi="宋体" w:eastAsia="宋体" w:cs="宋体"/>
          <w:spacing w:val="-43"/>
          <w:sz w:val="24"/>
          <w:szCs w:val="24"/>
          <w:highlight w:val="none"/>
        </w:rPr>
        <w:t xml:space="preserve"> </w:t>
      </w:r>
      <w:r>
        <w:rPr>
          <w:rFonts w:ascii="宋体" w:hAnsi="宋体" w:eastAsia="宋体" w:cs="宋体"/>
          <w:spacing w:val="-6"/>
          <w:sz w:val="24"/>
          <w:szCs w:val="24"/>
          <w:highlight w:val="none"/>
        </w:rPr>
        <w:t>月；连续</w:t>
      </w:r>
      <w:r>
        <w:rPr>
          <w:rFonts w:ascii="宋体" w:hAnsi="宋体" w:eastAsia="宋体" w:cs="宋体"/>
          <w:spacing w:val="-43"/>
          <w:sz w:val="24"/>
          <w:szCs w:val="24"/>
          <w:highlight w:val="none"/>
        </w:rPr>
        <w:t xml:space="preserve"> </w:t>
      </w:r>
      <w:r>
        <w:rPr>
          <w:rFonts w:ascii="宋体" w:hAnsi="宋体" w:eastAsia="宋体" w:cs="宋体"/>
          <w:spacing w:val="-6"/>
          <w:sz w:val="24"/>
          <w:szCs w:val="24"/>
          <w:highlight w:val="none"/>
        </w:rPr>
        <w:t>3</w:t>
      </w:r>
      <w:r>
        <w:rPr>
          <w:rFonts w:ascii="宋体" w:hAnsi="宋体" w:eastAsia="宋体" w:cs="宋体"/>
          <w:spacing w:val="-46"/>
          <w:sz w:val="24"/>
          <w:szCs w:val="24"/>
          <w:highlight w:val="none"/>
        </w:rPr>
        <w:t xml:space="preserve"> </w:t>
      </w:r>
      <w:r>
        <w:rPr>
          <w:rFonts w:ascii="宋体" w:hAnsi="宋体" w:eastAsia="宋体" w:cs="宋体"/>
          <w:spacing w:val="-6"/>
          <w:sz w:val="24"/>
          <w:szCs w:val="24"/>
          <w:highlight w:val="none"/>
        </w:rPr>
        <w:t>个月是指</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7</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月、6</w:t>
      </w:r>
      <w:r>
        <w:rPr>
          <w:rFonts w:ascii="宋体" w:hAnsi="宋体" w:eastAsia="宋体" w:cs="宋体"/>
          <w:spacing w:val="-43"/>
          <w:sz w:val="24"/>
          <w:szCs w:val="24"/>
          <w:highlight w:val="none"/>
        </w:rPr>
        <w:t xml:space="preserve"> </w:t>
      </w:r>
      <w:r>
        <w:rPr>
          <w:rFonts w:ascii="宋体" w:hAnsi="宋体" w:eastAsia="宋体" w:cs="宋体"/>
          <w:spacing w:val="-6"/>
          <w:sz w:val="24"/>
          <w:szCs w:val="24"/>
          <w:highlight w:val="none"/>
        </w:rPr>
        <w:t>月、5</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月或</w:t>
      </w:r>
      <w:r>
        <w:rPr>
          <w:rFonts w:ascii="宋体" w:hAnsi="宋体" w:eastAsia="宋体" w:cs="宋体"/>
          <w:spacing w:val="-46"/>
          <w:sz w:val="24"/>
          <w:szCs w:val="24"/>
          <w:highlight w:val="none"/>
        </w:rPr>
        <w:t xml:space="preserve"> </w:t>
      </w:r>
      <w:r>
        <w:rPr>
          <w:rFonts w:ascii="宋体" w:hAnsi="宋体" w:eastAsia="宋体" w:cs="宋体"/>
          <w:spacing w:val="-6"/>
          <w:sz w:val="24"/>
          <w:szCs w:val="24"/>
          <w:highlight w:val="none"/>
        </w:rPr>
        <w:t>6</w:t>
      </w:r>
      <w:r>
        <w:rPr>
          <w:rFonts w:ascii="宋体" w:hAnsi="宋体" w:eastAsia="宋体" w:cs="宋体"/>
          <w:spacing w:val="-43"/>
          <w:sz w:val="24"/>
          <w:szCs w:val="24"/>
          <w:highlight w:val="none"/>
        </w:rPr>
        <w:t xml:space="preserve"> </w:t>
      </w:r>
      <w:r>
        <w:rPr>
          <w:rFonts w:ascii="宋体" w:hAnsi="宋体" w:eastAsia="宋体" w:cs="宋体"/>
          <w:spacing w:val="-6"/>
          <w:sz w:val="24"/>
          <w:szCs w:val="24"/>
          <w:highlight w:val="none"/>
        </w:rPr>
        <w:t>月、5</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月、4</w:t>
      </w:r>
      <w:r>
        <w:rPr>
          <w:rFonts w:ascii="宋体" w:hAnsi="宋体" w:eastAsia="宋体" w:cs="宋体"/>
          <w:spacing w:val="-4"/>
          <w:sz w:val="24"/>
          <w:szCs w:val="24"/>
          <w:highlight w:val="none"/>
        </w:rPr>
        <w:t>月或 5 月、4 月、3 月，其他类推）。无社保缴费证明或提供的社保缴费证明不满足招</w:t>
      </w:r>
      <w:r>
        <w:rPr>
          <w:rFonts w:ascii="宋体" w:hAnsi="宋体" w:eastAsia="宋体" w:cs="宋体"/>
          <w:spacing w:val="-1"/>
          <w:sz w:val="24"/>
          <w:szCs w:val="24"/>
          <w:highlight w:val="none"/>
        </w:rPr>
        <w:t>标要求的，其投标资格无效（如年满 60 周岁无法提供社保缴费证明的，可提供聘用合同原件扫描件和包括投标截止日所属月份（含）为基点起往</w:t>
      </w:r>
      <w:r>
        <w:rPr>
          <w:rFonts w:ascii="宋体" w:hAnsi="宋体" w:eastAsia="宋体" w:cs="宋体"/>
          <w:spacing w:val="-2"/>
          <w:sz w:val="24"/>
          <w:szCs w:val="24"/>
          <w:highlight w:val="none"/>
        </w:rPr>
        <w:t>前计算已经过去的连续</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5</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w:t>
      </w:r>
      <w:r>
        <w:rPr>
          <w:rFonts w:ascii="宋体" w:hAnsi="宋体" w:eastAsia="宋体" w:cs="宋体"/>
          <w:spacing w:val="-1"/>
          <w:sz w:val="24"/>
          <w:szCs w:val="24"/>
          <w:highlight w:val="none"/>
        </w:rPr>
        <w:t>月内不少于连续发放</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55"/>
          <w:sz w:val="24"/>
          <w:szCs w:val="24"/>
          <w:highlight w:val="none"/>
        </w:rPr>
        <w:t xml:space="preserve"> </w:t>
      </w:r>
      <w:r>
        <w:rPr>
          <w:rFonts w:ascii="宋体" w:hAnsi="宋体" w:eastAsia="宋体" w:cs="宋体"/>
          <w:spacing w:val="-1"/>
          <w:sz w:val="24"/>
          <w:szCs w:val="24"/>
          <w:highlight w:val="none"/>
        </w:rPr>
        <w:t>个月的加盖银行印章的能体现聘用企业名称及拟委任设计负责人或项目经理或技术负责人姓名的工资打卡流水账单原件扫描件</w:t>
      </w:r>
      <w:r>
        <w:rPr>
          <w:rFonts w:ascii="宋体" w:hAnsi="宋体" w:eastAsia="宋体" w:cs="宋体"/>
          <w:spacing w:val="5"/>
          <w:sz w:val="24"/>
          <w:szCs w:val="24"/>
          <w:highlight w:val="none"/>
        </w:rPr>
        <w:t>）；</w:t>
      </w:r>
      <w:r>
        <w:rPr>
          <w:rFonts w:ascii="宋体" w:hAnsi="宋体" w:eastAsia="宋体" w:cs="宋体"/>
          <w:spacing w:val="-1"/>
          <w:sz w:val="24"/>
          <w:szCs w:val="24"/>
          <w:highlight w:val="none"/>
        </w:rPr>
        <w:t>属于弄虚作假的，按</w:t>
      </w:r>
      <w:r>
        <w:rPr>
          <w:rFonts w:ascii="宋体" w:hAnsi="宋体" w:eastAsia="宋体" w:cs="宋体"/>
          <w:spacing w:val="-5"/>
          <w:sz w:val="24"/>
          <w:szCs w:val="24"/>
          <w:highlight w:val="none"/>
        </w:rPr>
        <w:t>本招标文件第</w:t>
      </w:r>
      <w:r>
        <w:rPr>
          <w:rFonts w:ascii="宋体" w:hAnsi="宋体" w:eastAsia="宋体" w:cs="宋体"/>
          <w:spacing w:val="-36"/>
          <w:sz w:val="24"/>
          <w:szCs w:val="24"/>
          <w:highlight w:val="none"/>
        </w:rPr>
        <w:t xml:space="preserve"> </w:t>
      </w:r>
      <w:r>
        <w:rPr>
          <w:rFonts w:ascii="宋体" w:hAnsi="宋体" w:eastAsia="宋体" w:cs="宋体"/>
          <w:spacing w:val="-5"/>
          <w:sz w:val="24"/>
          <w:szCs w:val="24"/>
          <w:highlight w:val="none"/>
        </w:rPr>
        <w:t>35</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条的规定处理。</w:t>
      </w:r>
    </w:p>
    <w:p w14:paraId="2928EBFB">
      <w:pPr>
        <w:spacing w:before="90" w:line="249" w:lineRule="auto"/>
        <w:ind w:left="3" w:right="6" w:firstLine="477"/>
        <w:rPr>
          <w:rFonts w:ascii="宋体" w:hAnsi="宋体" w:eastAsia="宋体" w:cs="宋体"/>
          <w:spacing w:val="-2"/>
          <w:sz w:val="24"/>
          <w:szCs w:val="24"/>
          <w:highlight w:val="none"/>
        </w:rPr>
      </w:pPr>
      <w:r>
        <w:rPr>
          <w:rFonts w:ascii="宋体" w:hAnsi="宋体" w:eastAsia="宋体" w:cs="宋体"/>
          <w:spacing w:val="-2"/>
          <w:sz w:val="24"/>
          <w:szCs w:val="24"/>
          <w:highlight w:val="none"/>
        </w:rPr>
        <w:t>4.2</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投标人合格条件详见本工程招标文件或本工程投标资格审查文件。</w:t>
      </w:r>
    </w:p>
    <w:p w14:paraId="0367F1A3">
      <w:pPr>
        <w:spacing w:before="90" w:line="249" w:lineRule="auto"/>
        <w:ind w:left="3" w:right="6" w:firstLine="477"/>
        <w:rPr>
          <w:rFonts w:ascii="宋体" w:hAnsi="宋体" w:eastAsia="宋体" w:cs="宋体"/>
          <w:sz w:val="24"/>
          <w:szCs w:val="24"/>
          <w:highlight w:val="none"/>
        </w:rPr>
      </w:pPr>
      <w:r>
        <w:rPr>
          <w:rFonts w:ascii="宋体" w:hAnsi="宋体" w:eastAsia="宋体" w:cs="宋体"/>
          <w:spacing w:val="6"/>
          <w:sz w:val="24"/>
          <w:szCs w:val="24"/>
          <w:highlight w:val="none"/>
        </w:rPr>
        <w:t>4.3 本招标工程项目采用公告和本须知前附表所述的资格审</w:t>
      </w:r>
      <w:r>
        <w:rPr>
          <w:rFonts w:ascii="宋体" w:hAnsi="宋体" w:eastAsia="宋体" w:cs="宋体"/>
          <w:spacing w:val="5"/>
          <w:sz w:val="24"/>
          <w:szCs w:val="24"/>
          <w:highlight w:val="none"/>
        </w:rPr>
        <w:t>查方式确定合格投标</w:t>
      </w:r>
      <w:r>
        <w:rPr>
          <w:rFonts w:ascii="宋体" w:hAnsi="宋体" w:eastAsia="宋体" w:cs="宋体"/>
          <w:spacing w:val="-12"/>
          <w:sz w:val="24"/>
          <w:szCs w:val="24"/>
          <w:highlight w:val="none"/>
        </w:rPr>
        <w:t>人。</w:t>
      </w:r>
    </w:p>
    <w:p w14:paraId="5B482FF2">
      <w:pPr>
        <w:spacing w:before="123" w:line="248" w:lineRule="auto"/>
        <w:ind w:right="96" w:firstLine="479"/>
        <w:rPr>
          <w:rFonts w:ascii="宋体" w:hAnsi="宋体" w:eastAsia="宋体" w:cs="宋体"/>
          <w:sz w:val="24"/>
          <w:szCs w:val="24"/>
          <w:highlight w:val="none"/>
        </w:rPr>
      </w:pPr>
      <w:r>
        <w:rPr>
          <w:rFonts w:ascii="宋体" w:hAnsi="宋体" w:eastAsia="宋体" w:cs="宋体"/>
          <w:spacing w:val="-2"/>
          <w:sz w:val="24"/>
          <w:szCs w:val="24"/>
          <w:highlight w:val="none"/>
        </w:rPr>
        <w:t>4.4</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被列入严重违法失信企业名单的投标人，其投标资格无效，仅以开标当日评标</w:t>
      </w:r>
      <w:r>
        <w:rPr>
          <w:rFonts w:ascii="宋体" w:hAnsi="宋体" w:eastAsia="宋体" w:cs="宋体"/>
          <w:spacing w:val="-1"/>
          <w:sz w:val="24"/>
          <w:szCs w:val="24"/>
          <w:highlight w:val="none"/>
        </w:rPr>
        <w:t>委员会从“国家企业信用信息公示系统”查询、现场截图、询标</w:t>
      </w:r>
      <w:r>
        <w:rPr>
          <w:rFonts w:ascii="宋体" w:hAnsi="宋体" w:eastAsia="宋体" w:cs="宋体"/>
          <w:spacing w:val="-2"/>
          <w:sz w:val="24"/>
          <w:szCs w:val="24"/>
          <w:highlight w:val="none"/>
        </w:rPr>
        <w:t>函为确认依据。</w:t>
      </w:r>
    </w:p>
    <w:p w14:paraId="2338ECB2">
      <w:pPr>
        <w:spacing w:before="133" w:line="258" w:lineRule="auto"/>
        <w:ind w:left="7" w:right="92" w:firstLine="473"/>
        <w:rPr>
          <w:rFonts w:ascii="宋体" w:hAnsi="宋体" w:eastAsia="宋体" w:cs="宋体"/>
          <w:sz w:val="24"/>
          <w:szCs w:val="24"/>
          <w:highlight w:val="none"/>
        </w:rPr>
      </w:pPr>
      <w:r>
        <w:rPr>
          <w:rFonts w:ascii="宋体" w:hAnsi="宋体" w:eastAsia="宋体" w:cs="宋体"/>
          <w:spacing w:val="3"/>
          <w:sz w:val="24"/>
          <w:szCs w:val="24"/>
          <w:highlight w:val="none"/>
        </w:rPr>
        <w:t>4.5 被列入失信被执行人名单或重大税收违法案件当事人名单或拖欠农民工工资</w:t>
      </w:r>
      <w:r>
        <w:rPr>
          <w:rFonts w:ascii="宋体" w:hAnsi="宋体" w:eastAsia="宋体" w:cs="宋体"/>
          <w:spacing w:val="-3"/>
          <w:sz w:val="24"/>
          <w:szCs w:val="24"/>
          <w:highlight w:val="none"/>
        </w:rPr>
        <w:t>失信联合惩戒对象名单的投标人，其投标资格无效，仅以开标当</w:t>
      </w:r>
      <w:r>
        <w:rPr>
          <w:rFonts w:ascii="宋体" w:hAnsi="宋体" w:eastAsia="宋体" w:cs="宋体"/>
          <w:spacing w:val="-4"/>
          <w:sz w:val="24"/>
          <w:szCs w:val="24"/>
          <w:highlight w:val="none"/>
        </w:rPr>
        <w:t>日评标委员会从“信用</w:t>
      </w:r>
      <w:r>
        <w:rPr>
          <w:rFonts w:ascii="宋体" w:hAnsi="宋体" w:eastAsia="宋体" w:cs="宋体"/>
          <w:spacing w:val="-3"/>
          <w:sz w:val="24"/>
          <w:szCs w:val="24"/>
          <w:highlight w:val="none"/>
        </w:rPr>
        <w:t>中国”网站查询、现场截图、询标函为确认依据。</w:t>
      </w:r>
    </w:p>
    <w:p w14:paraId="3FE54DB9">
      <w:pPr>
        <w:spacing w:before="134" w:line="262" w:lineRule="auto"/>
        <w:ind w:firstLine="479"/>
        <w:rPr>
          <w:rFonts w:ascii="宋体" w:hAnsi="宋体" w:eastAsia="宋体" w:cs="宋体"/>
          <w:sz w:val="24"/>
          <w:szCs w:val="24"/>
          <w:highlight w:val="none"/>
        </w:rPr>
      </w:pPr>
      <w:r>
        <w:rPr>
          <w:rFonts w:ascii="宋体" w:hAnsi="宋体" w:eastAsia="宋体" w:cs="宋体"/>
          <w:spacing w:val="-1"/>
          <w:sz w:val="24"/>
          <w:szCs w:val="24"/>
          <w:highlight w:val="none"/>
        </w:rPr>
        <w:t>4.6 投标人委任的项目经理如开标当日在省级及以上住房和城乡建设网站显示为有在建工程未撤离，但实际上其所承担的项目已经竣工的，投标人需在投标文件中提供该项目竣工验收报告及业主出具的该项目经理未撤离的原因说明，未提供相关材料的投标</w:t>
      </w:r>
      <w:r>
        <w:rPr>
          <w:rFonts w:ascii="宋体" w:hAnsi="宋体" w:eastAsia="宋体" w:cs="宋体"/>
          <w:spacing w:val="-7"/>
          <w:sz w:val="24"/>
          <w:szCs w:val="24"/>
          <w:highlight w:val="none"/>
        </w:rPr>
        <w:t>资格无效。</w:t>
      </w:r>
    </w:p>
    <w:p w14:paraId="20868612">
      <w:pPr>
        <w:spacing w:before="125" w:line="247" w:lineRule="auto"/>
        <w:ind w:left="8" w:firstLine="474"/>
        <w:rPr>
          <w:rFonts w:ascii="宋体" w:hAnsi="宋体" w:eastAsia="宋体" w:cs="宋体"/>
          <w:sz w:val="24"/>
          <w:szCs w:val="24"/>
          <w:highlight w:val="none"/>
        </w:rPr>
      </w:pPr>
      <w:r>
        <w:rPr>
          <w:rFonts w:ascii="宋体" w:hAnsi="宋体" w:eastAsia="宋体" w:cs="宋体"/>
          <w:spacing w:val="-1"/>
          <w:sz w:val="24"/>
          <w:szCs w:val="24"/>
          <w:highlight w:val="none"/>
        </w:rPr>
        <w:t>4.7 根据本工程的特点，投标人必须认真阅读招标文件内容，按照招标文件要求编</w:t>
      </w:r>
      <w:r>
        <w:rPr>
          <w:rFonts w:ascii="宋体" w:hAnsi="宋体" w:eastAsia="宋体" w:cs="宋体"/>
          <w:spacing w:val="-4"/>
          <w:sz w:val="24"/>
          <w:szCs w:val="24"/>
          <w:highlight w:val="none"/>
        </w:rPr>
        <w:t>写投标文件，其内容应详实。</w:t>
      </w:r>
    </w:p>
    <w:p w14:paraId="416792A4">
      <w:pPr>
        <w:spacing w:before="123" w:line="218"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4.8</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投标人认为有必要，可结合所编制的工程量清单报价书提供相应技术说明。</w:t>
      </w:r>
    </w:p>
    <w:p w14:paraId="07D8F2D7">
      <w:pPr>
        <w:spacing w:before="126" w:line="220" w:lineRule="auto"/>
        <w:ind w:left="6"/>
        <w:rPr>
          <w:rFonts w:ascii="宋体" w:hAnsi="宋体" w:eastAsia="宋体" w:cs="宋体"/>
          <w:sz w:val="24"/>
          <w:szCs w:val="24"/>
          <w:highlight w:val="none"/>
        </w:rPr>
      </w:pPr>
      <w:r>
        <w:rPr>
          <w:rFonts w:ascii="宋体" w:hAnsi="宋体" w:eastAsia="宋体" w:cs="宋体"/>
          <w:spacing w:val="-5"/>
          <w:sz w:val="24"/>
          <w:szCs w:val="24"/>
          <w:highlight w:val="none"/>
        </w:rPr>
        <w:t>5、踏勘现场</w:t>
      </w:r>
    </w:p>
    <w:p w14:paraId="24DB5E1C">
      <w:pPr>
        <w:spacing w:before="120" w:line="278" w:lineRule="auto"/>
        <w:ind w:right="1" w:firstLine="482"/>
        <w:jc w:val="both"/>
        <w:rPr>
          <w:rFonts w:ascii="宋体" w:hAnsi="宋体" w:eastAsia="宋体" w:cs="宋体"/>
          <w:sz w:val="24"/>
          <w:szCs w:val="24"/>
          <w:highlight w:val="none"/>
        </w:rPr>
      </w:pPr>
      <w:r>
        <w:rPr>
          <w:rFonts w:ascii="宋体" w:hAnsi="宋体" w:eastAsia="宋体" w:cs="宋体"/>
          <w:spacing w:val="-6"/>
          <w:sz w:val="24"/>
          <w:szCs w:val="24"/>
          <w:highlight w:val="none"/>
        </w:rPr>
        <w:t>招标人不组织踏勘现场。投标人认为有必要的，</w:t>
      </w:r>
      <w:r>
        <w:rPr>
          <w:rFonts w:ascii="宋体" w:hAnsi="宋体" w:eastAsia="宋体" w:cs="宋体"/>
          <w:spacing w:val="70"/>
          <w:sz w:val="24"/>
          <w:szCs w:val="24"/>
          <w:highlight w:val="none"/>
        </w:rPr>
        <w:t xml:space="preserve"> </w:t>
      </w:r>
      <w:r>
        <w:rPr>
          <w:rFonts w:ascii="宋体" w:hAnsi="宋体" w:eastAsia="宋体" w:cs="宋体"/>
          <w:spacing w:val="-6"/>
          <w:sz w:val="24"/>
          <w:szCs w:val="24"/>
          <w:highlight w:val="none"/>
        </w:rPr>
        <w:t>可自行对工程项目现场及周围环境</w:t>
      </w:r>
      <w:r>
        <w:rPr>
          <w:rFonts w:ascii="宋体" w:hAnsi="宋体" w:eastAsia="宋体" w:cs="宋体"/>
          <w:spacing w:val="-1"/>
          <w:sz w:val="24"/>
          <w:szCs w:val="24"/>
          <w:highlight w:val="none"/>
        </w:rPr>
        <w:t>进行踏勘以获得有关编制投标文件和签署合同所涉及现场的资料。踏勘现场所发生的费</w:t>
      </w:r>
      <w:r>
        <w:rPr>
          <w:rFonts w:ascii="宋体" w:hAnsi="宋体" w:eastAsia="宋体" w:cs="宋体"/>
          <w:spacing w:val="-5"/>
          <w:sz w:val="24"/>
          <w:szCs w:val="24"/>
          <w:highlight w:val="none"/>
        </w:rPr>
        <w:t>用由投标人自己承担。投标人可为踏勘目的进入本项目现场，但投标人</w:t>
      </w:r>
      <w:r>
        <w:rPr>
          <w:rFonts w:ascii="宋体" w:hAnsi="宋体" w:eastAsia="宋体" w:cs="宋体"/>
          <w:spacing w:val="-6"/>
          <w:sz w:val="24"/>
          <w:szCs w:val="24"/>
          <w:highlight w:val="none"/>
        </w:rPr>
        <w:t>不得因此使招标</w:t>
      </w:r>
      <w:r>
        <w:rPr>
          <w:rFonts w:ascii="宋体" w:hAnsi="宋体" w:eastAsia="宋体" w:cs="宋体"/>
          <w:spacing w:val="-1"/>
          <w:sz w:val="24"/>
          <w:szCs w:val="24"/>
          <w:highlight w:val="none"/>
        </w:rPr>
        <w:t>人承担有关的责任和蒙受损失。投标人自行承担踏</w:t>
      </w:r>
      <w:r>
        <w:rPr>
          <w:rFonts w:ascii="宋体" w:hAnsi="宋体" w:eastAsia="宋体" w:cs="宋体"/>
          <w:spacing w:val="-2"/>
          <w:sz w:val="24"/>
          <w:szCs w:val="24"/>
          <w:highlight w:val="none"/>
        </w:rPr>
        <w:t>勘现场的责任和风险。</w:t>
      </w:r>
    </w:p>
    <w:p w14:paraId="546B03A1">
      <w:pPr>
        <w:spacing w:before="46" w:line="248" w:lineRule="auto"/>
        <w:ind w:left="2" w:right="58"/>
        <w:rPr>
          <w:rFonts w:ascii="宋体" w:hAnsi="宋体" w:eastAsia="宋体" w:cs="宋体"/>
          <w:sz w:val="24"/>
          <w:szCs w:val="24"/>
          <w:highlight w:val="none"/>
        </w:rPr>
      </w:pPr>
      <w:r>
        <w:rPr>
          <w:rFonts w:ascii="宋体" w:hAnsi="宋体" w:eastAsia="宋体" w:cs="宋体"/>
          <w:spacing w:val="1"/>
          <w:sz w:val="24"/>
          <w:szCs w:val="24"/>
          <w:highlight w:val="none"/>
        </w:rPr>
        <w:t>6、招标人向投标人提供的所有数据和资料，是招标人现有的能被投标人利用的资料，</w:t>
      </w:r>
      <w:r>
        <w:rPr>
          <w:rFonts w:ascii="宋体" w:hAnsi="宋体" w:eastAsia="宋体" w:cs="宋体"/>
          <w:spacing w:val="-2"/>
          <w:sz w:val="24"/>
          <w:szCs w:val="24"/>
          <w:highlight w:val="none"/>
        </w:rPr>
        <w:t>招标人对投标人做出的任何推论、理解和结论均不负责任。</w:t>
      </w:r>
    </w:p>
    <w:p w14:paraId="6991E27D">
      <w:pPr>
        <w:spacing w:before="75" w:line="220" w:lineRule="auto"/>
        <w:ind w:left="7"/>
        <w:rPr>
          <w:rFonts w:ascii="宋体" w:hAnsi="宋体" w:eastAsia="宋体" w:cs="宋体"/>
          <w:sz w:val="24"/>
          <w:szCs w:val="24"/>
          <w:highlight w:val="none"/>
        </w:rPr>
      </w:pPr>
      <w:r>
        <w:rPr>
          <w:rFonts w:ascii="宋体" w:hAnsi="宋体" w:eastAsia="宋体" w:cs="宋体"/>
          <w:spacing w:val="-7"/>
          <w:sz w:val="24"/>
          <w:szCs w:val="24"/>
          <w:highlight w:val="none"/>
        </w:rPr>
        <w:t>7、投标费用</w:t>
      </w:r>
    </w:p>
    <w:p w14:paraId="62F81B10">
      <w:pPr>
        <w:spacing w:before="74" w:line="279" w:lineRule="auto"/>
        <w:ind w:left="3" w:right="12" w:firstLine="360"/>
        <w:rPr>
          <w:rFonts w:ascii="宋体" w:hAnsi="宋体" w:eastAsia="宋体" w:cs="宋体"/>
          <w:sz w:val="24"/>
          <w:szCs w:val="24"/>
          <w:highlight w:val="none"/>
        </w:rPr>
      </w:pPr>
      <w:r>
        <w:rPr>
          <w:rFonts w:ascii="宋体" w:hAnsi="宋体" w:eastAsia="宋体" w:cs="宋体"/>
          <w:spacing w:val="2"/>
          <w:sz w:val="24"/>
          <w:szCs w:val="24"/>
          <w:highlight w:val="none"/>
        </w:rPr>
        <w:t>投标人应承担其编制投标文件与递交投标文件等投标过程中所涉及的一切费用，不</w:t>
      </w:r>
      <w:r>
        <w:rPr>
          <w:rFonts w:ascii="宋体" w:hAnsi="宋体" w:eastAsia="宋体" w:cs="宋体"/>
          <w:spacing w:val="-3"/>
          <w:sz w:val="24"/>
          <w:szCs w:val="24"/>
          <w:highlight w:val="none"/>
        </w:rPr>
        <w:t>论投标结果如何，招标人将不予承担。</w:t>
      </w:r>
    </w:p>
    <w:p w14:paraId="72CC4E47">
      <w:pPr>
        <w:spacing w:before="185" w:line="225" w:lineRule="auto"/>
        <w:ind w:left="18"/>
        <w:outlineLvl w:val="1"/>
        <w:rPr>
          <w:rFonts w:ascii="宋体" w:hAnsi="宋体" w:eastAsia="宋体" w:cs="宋体"/>
          <w:sz w:val="31"/>
          <w:szCs w:val="31"/>
          <w:highlight w:val="none"/>
        </w:rPr>
      </w:pPr>
      <w:bookmarkStart w:id="6" w:name="_Toc28162"/>
      <w:r>
        <w:rPr>
          <w:rFonts w:ascii="宋体" w:hAnsi="宋体" w:eastAsia="宋体" w:cs="宋体"/>
          <w:b/>
          <w:bCs/>
          <w:spacing w:val="2"/>
          <w:sz w:val="31"/>
          <w:szCs w:val="31"/>
          <w:highlight w:val="none"/>
        </w:rPr>
        <w:t>（三）招标文件</w:t>
      </w:r>
      <w:bookmarkEnd w:id="6"/>
    </w:p>
    <w:p w14:paraId="15F3176E">
      <w:pPr>
        <w:spacing w:before="312" w:line="220" w:lineRule="auto"/>
        <w:ind w:left="2"/>
        <w:rPr>
          <w:rFonts w:ascii="宋体" w:hAnsi="宋体" w:eastAsia="宋体" w:cs="宋体"/>
          <w:sz w:val="24"/>
          <w:szCs w:val="24"/>
          <w:highlight w:val="none"/>
        </w:rPr>
      </w:pPr>
      <w:r>
        <w:rPr>
          <w:rFonts w:ascii="宋体" w:hAnsi="宋体" w:eastAsia="宋体" w:cs="宋体"/>
          <w:spacing w:val="-3"/>
          <w:sz w:val="24"/>
          <w:szCs w:val="24"/>
          <w:highlight w:val="none"/>
        </w:rPr>
        <w:t>8、招标文件的组成</w:t>
      </w:r>
    </w:p>
    <w:p w14:paraId="404A4342">
      <w:pPr>
        <w:spacing w:before="74" w:line="220" w:lineRule="auto"/>
        <w:ind w:left="362"/>
        <w:rPr>
          <w:rFonts w:ascii="宋体" w:hAnsi="宋体" w:eastAsia="宋体" w:cs="宋体"/>
          <w:sz w:val="24"/>
          <w:szCs w:val="24"/>
          <w:highlight w:val="none"/>
        </w:rPr>
      </w:pPr>
      <w:r>
        <w:rPr>
          <w:rFonts w:ascii="宋体" w:hAnsi="宋体" w:eastAsia="宋体" w:cs="宋体"/>
          <w:spacing w:val="-5"/>
          <w:sz w:val="24"/>
          <w:szCs w:val="24"/>
          <w:highlight w:val="none"/>
        </w:rPr>
        <w:t>8.1</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招标文件包括下列内容：</w:t>
      </w:r>
    </w:p>
    <w:p w14:paraId="3B2CE03D">
      <w:pPr>
        <w:spacing w:before="74" w:line="219" w:lineRule="auto"/>
        <w:ind w:left="362"/>
        <w:rPr>
          <w:rFonts w:ascii="宋体" w:hAnsi="宋体" w:eastAsia="宋体" w:cs="宋体"/>
          <w:sz w:val="24"/>
          <w:szCs w:val="24"/>
          <w:highlight w:val="none"/>
        </w:rPr>
      </w:pPr>
      <w:r>
        <w:rPr>
          <w:rFonts w:ascii="宋体" w:hAnsi="宋体" w:eastAsia="宋体" w:cs="宋体"/>
          <w:spacing w:val="-5"/>
          <w:sz w:val="24"/>
          <w:szCs w:val="24"/>
          <w:highlight w:val="none"/>
        </w:rPr>
        <w:t>8.1.1</w:t>
      </w:r>
      <w:r>
        <w:rPr>
          <w:rFonts w:ascii="宋体" w:hAnsi="宋体" w:eastAsia="宋体" w:cs="宋体"/>
          <w:spacing w:val="-42"/>
          <w:sz w:val="24"/>
          <w:szCs w:val="24"/>
          <w:highlight w:val="none"/>
        </w:rPr>
        <w:t xml:space="preserve"> </w:t>
      </w:r>
      <w:r>
        <w:rPr>
          <w:rFonts w:ascii="宋体" w:hAnsi="宋体" w:eastAsia="宋体" w:cs="宋体"/>
          <w:spacing w:val="-5"/>
          <w:sz w:val="24"/>
          <w:szCs w:val="24"/>
          <w:highlight w:val="none"/>
        </w:rPr>
        <w:t>本招标文件的全部内容；</w:t>
      </w:r>
    </w:p>
    <w:p w14:paraId="656FD907">
      <w:pPr>
        <w:spacing w:before="76" w:line="219" w:lineRule="auto"/>
        <w:ind w:left="362"/>
        <w:rPr>
          <w:rFonts w:ascii="宋体" w:hAnsi="宋体" w:eastAsia="宋体" w:cs="宋体"/>
          <w:sz w:val="24"/>
          <w:szCs w:val="24"/>
          <w:highlight w:val="none"/>
        </w:rPr>
      </w:pPr>
      <w:r>
        <w:rPr>
          <w:rFonts w:ascii="宋体" w:hAnsi="宋体" w:eastAsia="宋体" w:cs="宋体"/>
          <w:spacing w:val="-3"/>
          <w:sz w:val="24"/>
          <w:szCs w:val="24"/>
          <w:highlight w:val="none"/>
        </w:rPr>
        <w:t>8.1.2</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本工程投标答疑文件及通知。</w:t>
      </w:r>
    </w:p>
    <w:p w14:paraId="3D09D50D">
      <w:pPr>
        <w:spacing w:before="75" w:line="219" w:lineRule="auto"/>
        <w:ind w:left="362"/>
        <w:rPr>
          <w:rFonts w:ascii="宋体" w:hAnsi="宋体" w:eastAsia="宋体" w:cs="宋体"/>
          <w:sz w:val="24"/>
          <w:szCs w:val="24"/>
          <w:highlight w:val="none"/>
        </w:rPr>
      </w:pPr>
      <w:r>
        <w:rPr>
          <w:rFonts w:ascii="宋体" w:hAnsi="宋体" w:eastAsia="宋体" w:cs="宋体"/>
          <w:spacing w:val="-2"/>
          <w:sz w:val="24"/>
          <w:szCs w:val="24"/>
          <w:highlight w:val="none"/>
        </w:rPr>
        <w:t>8.2</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本工程资格审查文件（若有）也为招标文件的组成部分。</w:t>
      </w:r>
    </w:p>
    <w:p w14:paraId="4CAE3423">
      <w:pPr>
        <w:spacing w:before="89" w:line="220" w:lineRule="auto"/>
        <w:ind w:left="1"/>
        <w:rPr>
          <w:rFonts w:ascii="宋体" w:hAnsi="宋体" w:eastAsia="宋体" w:cs="宋体"/>
          <w:spacing w:val="-3"/>
          <w:sz w:val="24"/>
          <w:szCs w:val="24"/>
          <w:highlight w:val="none"/>
        </w:rPr>
      </w:pPr>
      <w:r>
        <w:rPr>
          <w:rFonts w:ascii="宋体" w:hAnsi="宋体" w:eastAsia="宋体" w:cs="宋体"/>
          <w:spacing w:val="-1"/>
          <w:sz w:val="24"/>
          <w:szCs w:val="24"/>
          <w:highlight w:val="none"/>
        </w:rPr>
        <w:t>投标人从网上获取招标文件后，应仔细检查招标文件的所有内容，如有残缺等问题</w:t>
      </w:r>
      <w:r>
        <w:rPr>
          <w:rFonts w:ascii="宋体" w:hAnsi="宋体" w:eastAsia="宋体" w:cs="宋体"/>
          <w:spacing w:val="-2"/>
          <w:sz w:val="24"/>
          <w:szCs w:val="24"/>
          <w:highlight w:val="none"/>
        </w:rPr>
        <w:t>应在获得招标文件</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 日内向招标人提出，</w:t>
      </w:r>
      <w:r>
        <w:rPr>
          <w:rFonts w:ascii="宋体" w:hAnsi="宋体" w:eastAsia="宋体" w:cs="宋体"/>
          <w:spacing w:val="-3"/>
          <w:sz w:val="24"/>
          <w:szCs w:val="24"/>
          <w:highlight w:val="none"/>
        </w:rPr>
        <w:t>否则，由此引起的责任和损失由投标人自己承</w:t>
      </w:r>
      <w:r>
        <w:rPr>
          <w:rFonts w:ascii="宋体" w:hAnsi="宋体" w:eastAsia="宋体" w:cs="宋体"/>
          <w:spacing w:val="-1"/>
          <w:sz w:val="24"/>
          <w:szCs w:val="24"/>
          <w:highlight w:val="none"/>
        </w:rPr>
        <w:t>担。投标人应认真阅读招标文件中所有的事项、格式、条款和规范要求等，若投标人的</w:t>
      </w:r>
      <w:r>
        <w:rPr>
          <w:rFonts w:ascii="宋体" w:hAnsi="宋体" w:eastAsia="宋体" w:cs="宋体"/>
          <w:spacing w:val="6"/>
          <w:sz w:val="24"/>
          <w:szCs w:val="24"/>
          <w:highlight w:val="none"/>
        </w:rPr>
        <w:t>投标文件没有按照招标文件的要求提交全部资料或由于投标</w:t>
      </w:r>
      <w:r>
        <w:rPr>
          <w:rFonts w:ascii="宋体" w:hAnsi="宋体" w:eastAsia="宋体" w:cs="宋体"/>
          <w:spacing w:val="5"/>
          <w:sz w:val="24"/>
          <w:szCs w:val="24"/>
          <w:highlight w:val="none"/>
        </w:rPr>
        <w:t>人自己理解产生的误差或</w:t>
      </w:r>
      <w:r>
        <w:rPr>
          <w:rFonts w:ascii="宋体" w:hAnsi="宋体" w:eastAsia="宋体" w:cs="宋体"/>
          <w:spacing w:val="-1"/>
          <w:sz w:val="24"/>
          <w:szCs w:val="24"/>
          <w:highlight w:val="none"/>
        </w:rPr>
        <w:t>投标文件没有对招标文件做出实质性响应，其风险由投标人自行承担，同时根据有关条</w:t>
      </w:r>
      <w:r>
        <w:rPr>
          <w:rFonts w:ascii="宋体" w:hAnsi="宋体" w:eastAsia="宋体" w:cs="宋体"/>
          <w:spacing w:val="-3"/>
          <w:sz w:val="24"/>
          <w:szCs w:val="24"/>
          <w:highlight w:val="none"/>
        </w:rPr>
        <w:t>款规定，该投标文件有可能被拒绝。</w:t>
      </w:r>
    </w:p>
    <w:p w14:paraId="7153C8EE">
      <w:pPr>
        <w:spacing w:before="89" w:line="220" w:lineRule="auto"/>
        <w:rPr>
          <w:rFonts w:ascii="宋体" w:hAnsi="宋体" w:eastAsia="宋体" w:cs="宋体"/>
          <w:sz w:val="24"/>
          <w:szCs w:val="24"/>
          <w:highlight w:val="none"/>
        </w:rPr>
      </w:pPr>
      <w:r>
        <w:rPr>
          <w:rFonts w:ascii="宋体" w:hAnsi="宋体" w:eastAsia="宋体" w:cs="宋体"/>
          <w:spacing w:val="-3"/>
          <w:sz w:val="24"/>
          <w:szCs w:val="24"/>
          <w:highlight w:val="none"/>
        </w:rPr>
        <w:t>9、招标文件的澄清</w:t>
      </w:r>
    </w:p>
    <w:p w14:paraId="0635A974">
      <w:pPr>
        <w:spacing w:before="74" w:line="277" w:lineRule="auto"/>
        <w:ind w:right="3" w:firstLine="363"/>
        <w:jc w:val="both"/>
        <w:rPr>
          <w:rFonts w:ascii="宋体" w:hAnsi="宋体" w:eastAsia="宋体" w:cs="宋体"/>
          <w:sz w:val="24"/>
          <w:szCs w:val="24"/>
          <w:highlight w:val="none"/>
        </w:rPr>
      </w:pPr>
      <w:r>
        <w:rPr>
          <w:rFonts w:ascii="宋体" w:hAnsi="宋体" w:eastAsia="宋体" w:cs="宋体"/>
          <w:spacing w:val="2"/>
          <w:sz w:val="24"/>
          <w:szCs w:val="24"/>
          <w:highlight w:val="none"/>
        </w:rPr>
        <w:t>投标人若对招标文件有疑问，应按照本项目招标公告的规定在网上向招标人提出澄</w:t>
      </w:r>
      <w:r>
        <w:rPr>
          <w:rFonts w:ascii="宋体" w:hAnsi="宋体" w:eastAsia="宋体" w:cs="宋体"/>
          <w:spacing w:val="-1"/>
          <w:sz w:val="24"/>
          <w:szCs w:val="24"/>
          <w:highlight w:val="none"/>
        </w:rPr>
        <w:t>清要求。无论招标人是根据需要主动对招标文件做出的澄清或是根据投标人的要求对招标文件做出的澄清，招标人都将按照招标公告规定的时间和方式在网上发布，该澄清文</w:t>
      </w:r>
      <w:r>
        <w:rPr>
          <w:rFonts w:ascii="宋体" w:hAnsi="宋体" w:eastAsia="宋体" w:cs="宋体"/>
          <w:spacing w:val="-6"/>
          <w:sz w:val="24"/>
          <w:szCs w:val="24"/>
          <w:highlight w:val="none"/>
        </w:rPr>
        <w:t>件作为招标文件的组成部分，对招标人和投标人均具有</w:t>
      </w:r>
      <w:r>
        <w:rPr>
          <w:rFonts w:ascii="宋体" w:hAnsi="宋体" w:eastAsia="宋体" w:cs="宋体"/>
          <w:spacing w:val="-7"/>
          <w:sz w:val="24"/>
          <w:szCs w:val="24"/>
          <w:highlight w:val="none"/>
        </w:rPr>
        <w:t>约束作用。投标人自行浏览，自</w:t>
      </w:r>
      <w:r>
        <w:rPr>
          <w:rFonts w:ascii="宋体" w:hAnsi="宋体" w:eastAsia="宋体" w:cs="宋体"/>
          <w:spacing w:val="-9"/>
          <w:sz w:val="24"/>
          <w:szCs w:val="24"/>
          <w:highlight w:val="none"/>
        </w:rPr>
        <w:t>行下载。</w:t>
      </w:r>
    </w:p>
    <w:p w14:paraId="0D68CE93">
      <w:pPr>
        <w:spacing w:line="219" w:lineRule="auto"/>
        <w:ind w:left="18"/>
        <w:rPr>
          <w:rFonts w:ascii="宋体" w:hAnsi="宋体" w:eastAsia="宋体" w:cs="宋体"/>
          <w:sz w:val="24"/>
          <w:szCs w:val="24"/>
          <w:highlight w:val="none"/>
        </w:rPr>
      </w:pPr>
      <w:r>
        <w:rPr>
          <w:rFonts w:ascii="宋体" w:hAnsi="宋体" w:eastAsia="宋体" w:cs="宋体"/>
          <w:spacing w:val="-4"/>
          <w:sz w:val="24"/>
          <w:szCs w:val="24"/>
          <w:highlight w:val="none"/>
        </w:rPr>
        <w:t>10、招标文件的修改</w:t>
      </w:r>
    </w:p>
    <w:p w14:paraId="5085FA88">
      <w:pPr>
        <w:spacing w:before="75" w:line="248" w:lineRule="auto"/>
        <w:ind w:right="3" w:firstLine="497"/>
        <w:rPr>
          <w:rFonts w:ascii="宋体" w:hAnsi="宋体" w:eastAsia="宋体" w:cs="宋体"/>
          <w:sz w:val="24"/>
          <w:szCs w:val="24"/>
          <w:highlight w:val="none"/>
        </w:rPr>
      </w:pPr>
      <w:r>
        <w:rPr>
          <w:rFonts w:ascii="宋体" w:hAnsi="宋体" w:eastAsia="宋体" w:cs="宋体"/>
          <w:spacing w:val="-3"/>
          <w:sz w:val="24"/>
          <w:szCs w:val="24"/>
          <w:highlight w:val="none"/>
        </w:rPr>
        <w:t>10.1</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招标文件发出后，在招标文件中规定的时间，招标人可对招标文件进行必要的</w:t>
      </w:r>
      <w:r>
        <w:rPr>
          <w:rFonts w:ascii="宋体" w:hAnsi="宋体" w:eastAsia="宋体" w:cs="宋体"/>
          <w:spacing w:val="-10"/>
          <w:sz w:val="24"/>
          <w:szCs w:val="24"/>
          <w:highlight w:val="none"/>
        </w:rPr>
        <w:t>修改。</w:t>
      </w:r>
    </w:p>
    <w:p w14:paraId="233D6B3C">
      <w:pPr>
        <w:spacing w:before="75" w:line="248" w:lineRule="auto"/>
        <w:ind w:left="30" w:right="3" w:firstLine="468"/>
        <w:rPr>
          <w:rFonts w:ascii="宋体" w:hAnsi="宋体" w:eastAsia="宋体" w:cs="宋体"/>
          <w:sz w:val="24"/>
          <w:szCs w:val="24"/>
          <w:highlight w:val="none"/>
        </w:rPr>
      </w:pPr>
      <w:r>
        <w:rPr>
          <w:rFonts w:ascii="宋体" w:hAnsi="宋体" w:eastAsia="宋体" w:cs="宋体"/>
          <w:spacing w:val="-3"/>
          <w:sz w:val="24"/>
          <w:szCs w:val="24"/>
          <w:highlight w:val="none"/>
        </w:rPr>
        <w:t>10.2</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招标文件的修改内容经备案后，通过网络发送给所有投标人。招标文件的修改内容作为招标文件的组成部分，对招标人和投标人均具有约束作用。</w:t>
      </w:r>
    </w:p>
    <w:p w14:paraId="19565604">
      <w:pPr>
        <w:spacing w:before="74" w:line="258" w:lineRule="auto"/>
        <w:ind w:left="1" w:right="5" w:firstLine="496"/>
        <w:rPr>
          <w:rFonts w:ascii="宋体" w:hAnsi="宋体" w:eastAsia="宋体" w:cs="宋体"/>
          <w:sz w:val="24"/>
          <w:szCs w:val="24"/>
          <w:highlight w:val="none"/>
        </w:rPr>
      </w:pPr>
      <w:r>
        <w:rPr>
          <w:rFonts w:ascii="宋体" w:hAnsi="宋体" w:eastAsia="宋体" w:cs="宋体"/>
          <w:spacing w:val="-3"/>
          <w:sz w:val="24"/>
          <w:szCs w:val="24"/>
          <w:highlight w:val="none"/>
        </w:rPr>
        <w:t>10.3</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招标文件的澄清、修改、补充等内容均以网上备案内容为准。当招标文件、招</w:t>
      </w:r>
      <w:r>
        <w:rPr>
          <w:rFonts w:ascii="宋体" w:hAnsi="宋体" w:eastAsia="宋体" w:cs="宋体"/>
          <w:spacing w:val="-1"/>
          <w:sz w:val="24"/>
          <w:szCs w:val="24"/>
          <w:highlight w:val="none"/>
        </w:rPr>
        <w:t>标文件的澄清、修改、补充等在同一内容的表述上不一致时，以最后发出的经网上备案</w:t>
      </w:r>
      <w:r>
        <w:rPr>
          <w:rFonts w:ascii="宋体" w:hAnsi="宋体" w:eastAsia="宋体" w:cs="宋体"/>
          <w:spacing w:val="-7"/>
          <w:sz w:val="24"/>
          <w:szCs w:val="24"/>
          <w:highlight w:val="none"/>
        </w:rPr>
        <w:t>的内容为准。</w:t>
      </w:r>
    </w:p>
    <w:p w14:paraId="1D908244">
      <w:pPr>
        <w:spacing w:before="72" w:line="266" w:lineRule="auto"/>
        <w:ind w:right="3" w:firstLine="498"/>
        <w:rPr>
          <w:rFonts w:ascii="宋体" w:hAnsi="宋体" w:eastAsia="宋体" w:cs="宋体"/>
          <w:sz w:val="24"/>
          <w:szCs w:val="24"/>
          <w:highlight w:val="none"/>
        </w:rPr>
      </w:pPr>
      <w:r>
        <w:rPr>
          <w:rFonts w:ascii="宋体" w:hAnsi="宋体" w:eastAsia="宋体" w:cs="宋体"/>
          <w:spacing w:val="-3"/>
          <w:sz w:val="24"/>
          <w:szCs w:val="24"/>
          <w:highlight w:val="none"/>
        </w:rPr>
        <w:t>10.4</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为使投标人在编制投标文件时有充分的时间对招标文件的澄清、修改、补充等</w:t>
      </w:r>
      <w:r>
        <w:rPr>
          <w:rFonts w:ascii="宋体" w:hAnsi="宋体" w:eastAsia="宋体" w:cs="宋体"/>
          <w:spacing w:val="-5"/>
          <w:sz w:val="24"/>
          <w:szCs w:val="24"/>
          <w:highlight w:val="none"/>
        </w:rPr>
        <w:t>内容进行研究，招标人可以以澄清或修改、补充通知</w:t>
      </w:r>
      <w:r>
        <w:rPr>
          <w:rFonts w:ascii="宋体" w:hAnsi="宋体" w:eastAsia="宋体" w:cs="宋体"/>
          <w:spacing w:val="-6"/>
          <w:sz w:val="24"/>
          <w:szCs w:val="24"/>
          <w:highlight w:val="none"/>
        </w:rPr>
        <w:t>的方式，</w:t>
      </w:r>
      <w:r>
        <w:rPr>
          <w:rFonts w:ascii="宋体" w:hAnsi="宋体" w:eastAsia="宋体" w:cs="宋体"/>
          <w:spacing w:val="61"/>
          <w:sz w:val="24"/>
          <w:szCs w:val="24"/>
          <w:highlight w:val="none"/>
        </w:rPr>
        <w:t xml:space="preserve"> </w:t>
      </w:r>
      <w:r>
        <w:rPr>
          <w:rFonts w:ascii="宋体" w:hAnsi="宋体" w:eastAsia="宋体" w:cs="宋体"/>
          <w:spacing w:val="-6"/>
          <w:sz w:val="24"/>
          <w:szCs w:val="24"/>
          <w:highlight w:val="none"/>
        </w:rPr>
        <w:t>酌情延长提交投标文件的</w:t>
      </w:r>
      <w:r>
        <w:rPr>
          <w:rFonts w:ascii="宋体" w:hAnsi="宋体" w:eastAsia="宋体" w:cs="宋体"/>
          <w:spacing w:val="-1"/>
          <w:sz w:val="24"/>
          <w:szCs w:val="24"/>
          <w:highlight w:val="none"/>
        </w:rPr>
        <w:t>截止时间，具体时间将在招标文件的修改、补充通知中予以明确并在网上通知所有投标</w:t>
      </w:r>
      <w:r>
        <w:rPr>
          <w:rFonts w:ascii="宋体" w:hAnsi="宋体" w:eastAsia="宋体" w:cs="宋体"/>
          <w:spacing w:val="-5"/>
          <w:sz w:val="24"/>
          <w:szCs w:val="24"/>
          <w:highlight w:val="none"/>
        </w:rPr>
        <w:t>人。在此情况下，投标人的所有权利和义务以及投标</w:t>
      </w:r>
      <w:r>
        <w:rPr>
          <w:rFonts w:ascii="宋体" w:hAnsi="宋体" w:eastAsia="宋体" w:cs="宋体"/>
          <w:spacing w:val="-6"/>
          <w:sz w:val="24"/>
          <w:szCs w:val="24"/>
          <w:highlight w:val="none"/>
        </w:rPr>
        <w:t>人受制约的截止时间，均以延长后</w:t>
      </w:r>
      <w:r>
        <w:rPr>
          <w:rFonts w:ascii="宋体" w:hAnsi="宋体" w:eastAsia="宋体" w:cs="宋体"/>
          <w:spacing w:val="-4"/>
          <w:sz w:val="24"/>
          <w:szCs w:val="24"/>
          <w:highlight w:val="none"/>
        </w:rPr>
        <w:t>新的投标截止时间为准。</w:t>
      </w:r>
    </w:p>
    <w:p w14:paraId="44336DC7">
      <w:pPr>
        <w:spacing w:before="75" w:line="248" w:lineRule="auto"/>
        <w:ind w:right="3" w:firstLine="498"/>
        <w:rPr>
          <w:rFonts w:ascii="宋体" w:hAnsi="宋体" w:eastAsia="宋体" w:cs="宋体"/>
          <w:sz w:val="24"/>
          <w:szCs w:val="24"/>
          <w:highlight w:val="none"/>
        </w:rPr>
      </w:pPr>
      <w:r>
        <w:rPr>
          <w:rFonts w:ascii="宋体" w:hAnsi="宋体" w:eastAsia="宋体" w:cs="宋体"/>
          <w:spacing w:val="-3"/>
          <w:sz w:val="24"/>
          <w:szCs w:val="24"/>
          <w:highlight w:val="none"/>
        </w:rPr>
        <w:t>10.5</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如果投标人在答疑截止时间前，未对招标文件有关条款提出质疑，视为充分理</w:t>
      </w:r>
      <w:r>
        <w:rPr>
          <w:rFonts w:ascii="宋体" w:hAnsi="宋体" w:eastAsia="宋体" w:cs="宋体"/>
          <w:spacing w:val="-1"/>
          <w:sz w:val="24"/>
          <w:szCs w:val="24"/>
          <w:highlight w:val="none"/>
        </w:rPr>
        <w:t>解招标文件所有内容，一旦递交投标文件，则认为该投标人接受招标文件的</w:t>
      </w:r>
      <w:r>
        <w:rPr>
          <w:rFonts w:ascii="宋体" w:hAnsi="宋体" w:eastAsia="宋体" w:cs="宋体"/>
          <w:spacing w:val="-2"/>
          <w:sz w:val="24"/>
          <w:szCs w:val="24"/>
          <w:highlight w:val="none"/>
        </w:rPr>
        <w:t>所有条款。</w:t>
      </w:r>
    </w:p>
    <w:p w14:paraId="71DCD170">
      <w:pPr>
        <w:spacing w:before="71" w:line="269" w:lineRule="auto"/>
        <w:ind w:left="1" w:firstLine="496"/>
        <w:rPr>
          <w:rFonts w:ascii="宋体" w:hAnsi="宋体" w:eastAsia="宋体" w:cs="宋体"/>
          <w:sz w:val="24"/>
          <w:szCs w:val="24"/>
          <w:highlight w:val="none"/>
        </w:rPr>
      </w:pPr>
      <w:r>
        <w:rPr>
          <w:rFonts w:ascii="宋体" w:hAnsi="宋体" w:eastAsia="宋体" w:cs="宋体"/>
          <w:spacing w:val="-3"/>
          <w:sz w:val="24"/>
          <w:szCs w:val="24"/>
          <w:highlight w:val="none"/>
        </w:rPr>
        <w:t>10.6</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投标人依据施工图等资料对清单工程量提出异议的，必须附计算书并在网上提</w:t>
      </w:r>
      <w:r>
        <w:rPr>
          <w:rFonts w:ascii="宋体" w:hAnsi="宋体" w:eastAsia="宋体" w:cs="宋体"/>
          <w:spacing w:val="-5"/>
          <w:sz w:val="24"/>
          <w:szCs w:val="24"/>
          <w:highlight w:val="none"/>
        </w:rPr>
        <w:t>出，由招标人复核并在网上向所有投标人答复。不能</w:t>
      </w:r>
      <w:r>
        <w:rPr>
          <w:rFonts w:ascii="宋体" w:hAnsi="宋体" w:eastAsia="宋体" w:cs="宋体"/>
          <w:spacing w:val="-6"/>
          <w:sz w:val="24"/>
          <w:szCs w:val="24"/>
          <w:highlight w:val="none"/>
        </w:rPr>
        <w:t>提供计算书的，招标人对此异议不</w:t>
      </w:r>
      <w:r>
        <w:rPr>
          <w:rFonts w:ascii="宋体" w:hAnsi="宋体" w:eastAsia="宋体" w:cs="宋体"/>
          <w:sz w:val="24"/>
          <w:szCs w:val="24"/>
          <w:highlight w:val="none"/>
        </w:rPr>
        <w:t>予受理，以后也不再调整工程量。工程量清</w:t>
      </w:r>
      <w:r>
        <w:rPr>
          <w:rFonts w:ascii="宋体" w:hAnsi="宋体" w:eastAsia="宋体" w:cs="宋体"/>
          <w:spacing w:val="-1"/>
          <w:sz w:val="24"/>
          <w:szCs w:val="24"/>
          <w:highlight w:val="none"/>
        </w:rPr>
        <w:t>单误差±3%以内的，招标人可不予调整，投标人自行在投标报价内考虑。工程量清单误差超过±3%的，由招标人调整并在网上发布调整结果。无任何投标人依据网上发布的施工图等资料对清单工程量提出异议和计算书的，即使以后提出，也不予调整。招标人将对编制工程量清单误差超过±3%的单位按规</w:t>
      </w:r>
      <w:r>
        <w:rPr>
          <w:rFonts w:ascii="宋体" w:hAnsi="宋体" w:eastAsia="宋体" w:cs="宋体"/>
          <w:spacing w:val="-5"/>
          <w:sz w:val="24"/>
          <w:szCs w:val="24"/>
          <w:highlight w:val="none"/>
        </w:rPr>
        <w:t>定予以追究责任。</w:t>
      </w:r>
      <w:r>
        <w:rPr>
          <w:rFonts w:ascii="宋体" w:hAnsi="宋体" w:eastAsia="宋体" w:cs="宋体"/>
          <w:spacing w:val="-51"/>
          <w:sz w:val="24"/>
          <w:szCs w:val="24"/>
          <w:highlight w:val="none"/>
        </w:rPr>
        <w:t xml:space="preserve"> </w:t>
      </w:r>
      <w:r>
        <w:rPr>
          <w:rFonts w:ascii="宋体" w:hAnsi="宋体" w:eastAsia="宋体" w:cs="宋体"/>
          <w:spacing w:val="-5"/>
          <w:sz w:val="24"/>
          <w:szCs w:val="24"/>
          <w:highlight w:val="none"/>
        </w:rPr>
        <w:t>(此条款不适用本项目）</w:t>
      </w:r>
    </w:p>
    <w:p w14:paraId="6EFBA92D">
      <w:pPr>
        <w:spacing w:before="76" w:line="248" w:lineRule="auto"/>
        <w:ind w:left="20" w:right="2" w:firstLine="478"/>
        <w:rPr>
          <w:rFonts w:ascii="宋体" w:hAnsi="宋体" w:eastAsia="宋体" w:cs="宋体"/>
          <w:sz w:val="24"/>
          <w:szCs w:val="24"/>
          <w:highlight w:val="none"/>
        </w:rPr>
      </w:pPr>
      <w:r>
        <w:rPr>
          <w:rFonts w:ascii="宋体" w:hAnsi="宋体" w:eastAsia="宋体" w:cs="宋体"/>
          <w:spacing w:val="-3"/>
          <w:sz w:val="24"/>
          <w:szCs w:val="24"/>
          <w:highlight w:val="none"/>
        </w:rPr>
        <w:t>10.7</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招标人对投标人提出的问题将以网上答疑的方式予以答复，答复仅包括对问题</w:t>
      </w:r>
      <w:r>
        <w:rPr>
          <w:rFonts w:ascii="宋体" w:hAnsi="宋体" w:eastAsia="宋体" w:cs="宋体"/>
          <w:spacing w:val="-5"/>
          <w:sz w:val="24"/>
          <w:szCs w:val="24"/>
          <w:highlight w:val="none"/>
        </w:rPr>
        <w:t>的解释但不说明问题的来源。</w:t>
      </w:r>
    </w:p>
    <w:p w14:paraId="6CA3209A">
      <w:pPr>
        <w:spacing w:before="75" w:line="258" w:lineRule="auto"/>
        <w:ind w:left="1" w:right="3" w:firstLine="496"/>
        <w:rPr>
          <w:rFonts w:ascii="宋体" w:hAnsi="宋体" w:eastAsia="宋体" w:cs="宋体"/>
          <w:sz w:val="24"/>
          <w:szCs w:val="24"/>
          <w:highlight w:val="none"/>
        </w:rPr>
      </w:pPr>
      <w:r>
        <w:rPr>
          <w:rFonts w:ascii="宋体" w:hAnsi="宋体" w:eastAsia="宋体" w:cs="宋体"/>
          <w:spacing w:val="-3"/>
          <w:sz w:val="24"/>
          <w:szCs w:val="24"/>
          <w:highlight w:val="none"/>
        </w:rPr>
        <w:t>10.8</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答复、补充通知或答疑纪要等按照招标公告规定的时间和方式在网上发布。网</w:t>
      </w:r>
      <w:r>
        <w:rPr>
          <w:rFonts w:ascii="宋体" w:hAnsi="宋体" w:eastAsia="宋体" w:cs="宋体"/>
          <w:spacing w:val="-5"/>
          <w:sz w:val="24"/>
          <w:szCs w:val="24"/>
          <w:highlight w:val="none"/>
        </w:rPr>
        <w:t>上答复、补充通知或答疑纪要等均以网上备案内容为准并作为</w:t>
      </w:r>
      <w:r>
        <w:rPr>
          <w:rFonts w:ascii="宋体" w:hAnsi="宋体" w:eastAsia="宋体" w:cs="宋体"/>
          <w:spacing w:val="-6"/>
          <w:sz w:val="24"/>
          <w:szCs w:val="24"/>
          <w:highlight w:val="none"/>
        </w:rPr>
        <w:t>招标文件的组成部分，</w:t>
      </w:r>
      <w:r>
        <w:rPr>
          <w:rFonts w:ascii="宋体" w:hAnsi="宋体" w:eastAsia="宋体" w:cs="宋体"/>
          <w:spacing w:val="55"/>
          <w:sz w:val="24"/>
          <w:szCs w:val="24"/>
          <w:highlight w:val="none"/>
        </w:rPr>
        <w:t xml:space="preserve"> </w:t>
      </w:r>
      <w:r>
        <w:rPr>
          <w:rFonts w:ascii="宋体" w:hAnsi="宋体" w:eastAsia="宋体" w:cs="宋体"/>
          <w:spacing w:val="-6"/>
          <w:sz w:val="24"/>
          <w:szCs w:val="24"/>
          <w:highlight w:val="none"/>
        </w:rPr>
        <w:t>对</w:t>
      </w:r>
      <w:r>
        <w:rPr>
          <w:rFonts w:ascii="宋体" w:hAnsi="宋体" w:eastAsia="宋体" w:cs="宋体"/>
          <w:spacing w:val="-3"/>
          <w:sz w:val="24"/>
          <w:szCs w:val="24"/>
          <w:highlight w:val="none"/>
        </w:rPr>
        <w:t>招标人、投标人均具有约束作用。</w:t>
      </w:r>
    </w:p>
    <w:p w14:paraId="40C769DE">
      <w:pPr>
        <w:spacing w:before="266" w:line="225" w:lineRule="auto"/>
        <w:ind w:left="17"/>
        <w:outlineLvl w:val="1"/>
        <w:rPr>
          <w:rFonts w:ascii="宋体" w:hAnsi="宋体" w:eastAsia="宋体" w:cs="宋体"/>
          <w:sz w:val="31"/>
          <w:szCs w:val="31"/>
          <w:highlight w:val="none"/>
        </w:rPr>
      </w:pPr>
      <w:bookmarkStart w:id="7" w:name="_Toc9248"/>
      <w:r>
        <w:rPr>
          <w:rFonts w:ascii="宋体" w:hAnsi="宋体" w:eastAsia="宋体" w:cs="宋体"/>
          <w:b/>
          <w:bCs/>
          <w:spacing w:val="4"/>
          <w:sz w:val="31"/>
          <w:szCs w:val="31"/>
          <w:highlight w:val="none"/>
        </w:rPr>
        <w:t>（四）投标文件的编制</w:t>
      </w:r>
      <w:bookmarkEnd w:id="7"/>
    </w:p>
    <w:p w14:paraId="1ECBAAFD">
      <w:pPr>
        <w:spacing w:before="308" w:line="220" w:lineRule="auto"/>
        <w:ind w:left="18"/>
        <w:rPr>
          <w:rFonts w:ascii="宋体" w:hAnsi="宋体" w:eastAsia="宋体" w:cs="宋体"/>
          <w:sz w:val="24"/>
          <w:szCs w:val="24"/>
          <w:highlight w:val="none"/>
        </w:rPr>
      </w:pPr>
      <w:r>
        <w:rPr>
          <w:rFonts w:ascii="宋体" w:hAnsi="宋体" w:eastAsia="宋体" w:cs="宋体"/>
          <w:spacing w:val="-3"/>
          <w:sz w:val="24"/>
          <w:szCs w:val="24"/>
          <w:highlight w:val="none"/>
        </w:rPr>
        <w:t>11、投标文件的语言及度量衡单位</w:t>
      </w:r>
    </w:p>
    <w:p w14:paraId="431C90A9">
      <w:pPr>
        <w:spacing w:before="90" w:line="278" w:lineRule="auto"/>
        <w:ind w:left="1" w:firstLine="496"/>
        <w:rPr>
          <w:rFonts w:ascii="宋体" w:hAnsi="宋体" w:eastAsia="宋体" w:cs="宋体"/>
          <w:spacing w:val="-2"/>
          <w:sz w:val="24"/>
          <w:szCs w:val="24"/>
          <w:highlight w:val="none"/>
        </w:rPr>
      </w:pPr>
      <w:r>
        <w:rPr>
          <w:rFonts w:ascii="宋体" w:hAnsi="宋体" w:eastAsia="宋体" w:cs="宋体"/>
          <w:spacing w:val="-3"/>
          <w:sz w:val="24"/>
          <w:szCs w:val="24"/>
          <w:highlight w:val="none"/>
        </w:rPr>
        <w:t>11.1</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投标文件和与投标有关的所有文件均应使用</w:t>
      </w:r>
      <w:r>
        <w:rPr>
          <w:rFonts w:ascii="宋体" w:hAnsi="宋体" w:eastAsia="宋体" w:cs="宋体"/>
          <w:spacing w:val="-3"/>
          <w:sz w:val="24"/>
          <w:szCs w:val="24"/>
          <w:highlight w:val="none"/>
          <w:u w:val="single" w:color="auto"/>
        </w:rPr>
        <w:t>中文</w:t>
      </w:r>
      <w:r>
        <w:rPr>
          <w:rFonts w:ascii="宋体" w:hAnsi="宋体" w:eastAsia="宋体" w:cs="宋体"/>
          <w:spacing w:val="-3"/>
          <w:sz w:val="24"/>
          <w:szCs w:val="24"/>
          <w:highlight w:val="none"/>
        </w:rPr>
        <w:t>。投标人随</w:t>
      </w:r>
      <w:r>
        <w:rPr>
          <w:rFonts w:ascii="宋体" w:hAnsi="宋体" w:eastAsia="宋体" w:cs="宋体"/>
          <w:spacing w:val="-4"/>
          <w:sz w:val="24"/>
          <w:szCs w:val="24"/>
          <w:highlight w:val="none"/>
        </w:rPr>
        <w:t>投标文件提供的证</w:t>
      </w:r>
      <w:r>
        <w:rPr>
          <w:rFonts w:ascii="宋体" w:hAnsi="宋体" w:eastAsia="宋体" w:cs="宋体"/>
          <w:spacing w:val="-2"/>
          <w:sz w:val="24"/>
          <w:szCs w:val="24"/>
          <w:highlight w:val="none"/>
        </w:rPr>
        <w:t>明文件和印刷品可以是其它语言，但必须附有经权威翻译机构核准的中文译文。</w:t>
      </w:r>
    </w:p>
    <w:p w14:paraId="681B2F82">
      <w:pPr>
        <w:spacing w:before="90" w:line="278" w:lineRule="auto"/>
        <w:ind w:left="1" w:firstLine="496"/>
        <w:rPr>
          <w:rFonts w:ascii="宋体" w:hAnsi="宋体" w:eastAsia="宋体" w:cs="宋体"/>
          <w:sz w:val="24"/>
          <w:szCs w:val="24"/>
          <w:highlight w:val="none"/>
        </w:rPr>
      </w:pPr>
      <w:r>
        <w:rPr>
          <w:rFonts w:ascii="宋体" w:hAnsi="宋体" w:eastAsia="宋体" w:cs="宋体"/>
          <w:spacing w:val="-3"/>
          <w:sz w:val="24"/>
          <w:szCs w:val="24"/>
          <w:highlight w:val="none"/>
        </w:rPr>
        <w:t>11.2</w:t>
      </w:r>
      <w:r>
        <w:rPr>
          <w:rFonts w:ascii="宋体" w:hAnsi="宋体" w:eastAsia="宋体" w:cs="宋体"/>
          <w:spacing w:val="-36"/>
          <w:sz w:val="24"/>
          <w:szCs w:val="24"/>
          <w:highlight w:val="none"/>
        </w:rPr>
        <w:t xml:space="preserve"> </w:t>
      </w:r>
      <w:r>
        <w:rPr>
          <w:rFonts w:ascii="宋体" w:hAnsi="宋体" w:eastAsia="宋体" w:cs="宋体"/>
          <w:spacing w:val="-3"/>
          <w:sz w:val="24"/>
          <w:szCs w:val="24"/>
          <w:highlight w:val="none"/>
        </w:rPr>
        <w:t>除工程规范另有规定外，投标文件使用的度量衡单位，均</w:t>
      </w:r>
      <w:r>
        <w:rPr>
          <w:rFonts w:ascii="宋体" w:hAnsi="宋体" w:eastAsia="宋体" w:cs="宋体"/>
          <w:spacing w:val="-4"/>
          <w:sz w:val="24"/>
          <w:szCs w:val="24"/>
          <w:highlight w:val="none"/>
        </w:rPr>
        <w:t>采用中华人民共和国</w:t>
      </w:r>
      <w:r>
        <w:rPr>
          <w:rFonts w:ascii="宋体" w:hAnsi="宋体" w:eastAsia="宋体" w:cs="宋体"/>
          <w:spacing w:val="-6"/>
          <w:sz w:val="24"/>
          <w:szCs w:val="24"/>
          <w:highlight w:val="none"/>
        </w:rPr>
        <w:t>法定计量单位。</w:t>
      </w:r>
    </w:p>
    <w:p w14:paraId="73B9D7AC">
      <w:pPr>
        <w:spacing w:before="45" w:line="220" w:lineRule="auto"/>
        <w:ind w:left="18"/>
        <w:rPr>
          <w:rFonts w:ascii="宋体" w:hAnsi="宋体" w:eastAsia="宋体" w:cs="宋体"/>
          <w:sz w:val="24"/>
          <w:szCs w:val="24"/>
          <w:highlight w:val="none"/>
        </w:rPr>
      </w:pPr>
      <w:r>
        <w:rPr>
          <w:rFonts w:ascii="宋体" w:hAnsi="宋体" w:eastAsia="宋体" w:cs="宋体"/>
          <w:spacing w:val="-4"/>
          <w:sz w:val="24"/>
          <w:szCs w:val="24"/>
          <w:highlight w:val="none"/>
        </w:rPr>
        <w:t>12、投标文件的组成</w:t>
      </w:r>
    </w:p>
    <w:p w14:paraId="7728322F">
      <w:pPr>
        <w:spacing w:before="74" w:line="220"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12.1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投标文件由技术标一投标文件、技术标二投标文件、商务标投标文件组成。</w:t>
      </w:r>
    </w:p>
    <w:p w14:paraId="5D8BFF38">
      <w:pPr>
        <w:spacing w:before="74" w:line="220"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12.2</w:t>
      </w:r>
      <w:r>
        <w:rPr>
          <w:rFonts w:ascii="宋体" w:hAnsi="宋体" w:eastAsia="宋体" w:cs="宋体"/>
          <w:spacing w:val="-36"/>
          <w:sz w:val="24"/>
          <w:szCs w:val="24"/>
          <w:highlight w:val="none"/>
        </w:rPr>
        <w:t xml:space="preserve"> </w:t>
      </w:r>
      <w:r>
        <w:rPr>
          <w:rFonts w:ascii="宋体" w:hAnsi="宋体" w:eastAsia="宋体" w:cs="宋体"/>
          <w:spacing w:val="-6"/>
          <w:sz w:val="24"/>
          <w:szCs w:val="24"/>
          <w:highlight w:val="none"/>
        </w:rPr>
        <w:t>技术标一投标文件主要内容：</w:t>
      </w:r>
    </w:p>
    <w:p w14:paraId="2121B744">
      <w:pPr>
        <w:spacing w:before="74" w:line="220" w:lineRule="auto"/>
        <w:ind w:left="487"/>
        <w:rPr>
          <w:rFonts w:ascii="宋体" w:hAnsi="宋体" w:eastAsia="宋体" w:cs="宋体"/>
          <w:sz w:val="24"/>
          <w:szCs w:val="24"/>
          <w:highlight w:val="none"/>
        </w:rPr>
      </w:pPr>
      <w:r>
        <w:rPr>
          <w:rFonts w:ascii="宋体" w:hAnsi="宋体" w:eastAsia="宋体" w:cs="宋体"/>
          <w:spacing w:val="-7"/>
          <w:sz w:val="24"/>
          <w:szCs w:val="24"/>
          <w:highlight w:val="none"/>
        </w:rPr>
        <w:t>（1）设计服务方案；</w:t>
      </w:r>
    </w:p>
    <w:p w14:paraId="14A37638">
      <w:pPr>
        <w:spacing w:before="74" w:line="221" w:lineRule="auto"/>
        <w:ind w:left="487"/>
        <w:rPr>
          <w:rFonts w:ascii="宋体" w:hAnsi="宋体" w:eastAsia="宋体" w:cs="宋体"/>
          <w:sz w:val="24"/>
          <w:szCs w:val="24"/>
          <w:highlight w:val="none"/>
        </w:rPr>
      </w:pPr>
      <w:r>
        <w:rPr>
          <w:rFonts w:ascii="宋体" w:hAnsi="宋体" w:eastAsia="宋体" w:cs="宋体"/>
          <w:spacing w:val="-7"/>
          <w:sz w:val="24"/>
          <w:szCs w:val="24"/>
          <w:highlight w:val="none"/>
        </w:rPr>
        <w:t>（2）施工组织设计；</w:t>
      </w:r>
    </w:p>
    <w:p w14:paraId="03A3D87F">
      <w:pPr>
        <w:spacing w:before="73" w:line="220" w:lineRule="auto"/>
        <w:ind w:left="487"/>
        <w:rPr>
          <w:rFonts w:ascii="宋体" w:hAnsi="宋体" w:eastAsia="宋体" w:cs="宋体"/>
          <w:sz w:val="24"/>
          <w:szCs w:val="24"/>
          <w:highlight w:val="none"/>
        </w:rPr>
      </w:pPr>
      <w:r>
        <w:rPr>
          <w:rFonts w:ascii="宋体" w:hAnsi="宋体" w:eastAsia="宋体" w:cs="宋体"/>
          <w:spacing w:val="-8"/>
          <w:sz w:val="24"/>
          <w:szCs w:val="24"/>
          <w:highlight w:val="none"/>
        </w:rPr>
        <w:t>（3）运营方案；</w:t>
      </w:r>
    </w:p>
    <w:p w14:paraId="26F6D3C1">
      <w:pPr>
        <w:spacing w:before="73" w:line="220"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（4）有必要说明的其他内容。</w:t>
      </w:r>
    </w:p>
    <w:p w14:paraId="0C879EB6">
      <w:pPr>
        <w:spacing w:before="74" w:line="220"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12.3</w:t>
      </w:r>
      <w:r>
        <w:rPr>
          <w:rFonts w:ascii="宋体" w:hAnsi="宋体" w:eastAsia="宋体" w:cs="宋体"/>
          <w:spacing w:val="-37"/>
          <w:sz w:val="24"/>
          <w:szCs w:val="24"/>
          <w:highlight w:val="none"/>
        </w:rPr>
        <w:t xml:space="preserve"> </w:t>
      </w:r>
      <w:r>
        <w:rPr>
          <w:rFonts w:ascii="宋体" w:hAnsi="宋体" w:eastAsia="宋体" w:cs="宋体"/>
          <w:spacing w:val="-6"/>
          <w:sz w:val="24"/>
          <w:szCs w:val="24"/>
          <w:highlight w:val="none"/>
        </w:rPr>
        <w:t>技术标二投标文件主要内容：</w:t>
      </w:r>
    </w:p>
    <w:p w14:paraId="0D1E9209">
      <w:pPr>
        <w:spacing w:before="74"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12.3.1</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法定代表人身份证明书及法人授权委托书。</w:t>
      </w:r>
    </w:p>
    <w:p w14:paraId="73BAE589">
      <w:pPr>
        <w:spacing w:before="27" w:line="219" w:lineRule="auto"/>
        <w:ind w:left="497"/>
        <w:rPr>
          <w:rFonts w:ascii="宋体" w:hAnsi="宋体" w:eastAsia="宋体" w:cs="宋体"/>
          <w:sz w:val="24"/>
          <w:szCs w:val="24"/>
          <w:highlight w:val="none"/>
        </w:rPr>
      </w:pPr>
      <w:r>
        <w:rPr>
          <w:rFonts w:ascii="仿宋" w:hAnsi="仿宋" w:eastAsia="仿宋" w:cs="仿宋"/>
          <w:spacing w:val="-2"/>
          <w:sz w:val="24"/>
          <w:szCs w:val="24"/>
          <w:highlight w:val="none"/>
        </w:rPr>
        <w:t>12.3.2</w:t>
      </w:r>
      <w:r>
        <w:rPr>
          <w:rFonts w:ascii="仿宋" w:hAnsi="仿宋" w:eastAsia="仿宋" w:cs="仿宋"/>
          <w:spacing w:val="-41"/>
          <w:sz w:val="24"/>
          <w:szCs w:val="24"/>
          <w:highlight w:val="none"/>
        </w:rPr>
        <w:t xml:space="preserve"> </w:t>
      </w:r>
      <w:r>
        <w:rPr>
          <w:rFonts w:ascii="宋体" w:hAnsi="宋体" w:eastAsia="宋体" w:cs="宋体"/>
          <w:spacing w:val="-2"/>
          <w:sz w:val="24"/>
          <w:szCs w:val="24"/>
          <w:highlight w:val="none"/>
        </w:rPr>
        <w:t>资格证明材料：企业法人营业执照、企业资质证书、安全</w:t>
      </w:r>
      <w:r>
        <w:rPr>
          <w:rFonts w:ascii="宋体" w:hAnsi="宋体" w:eastAsia="宋体" w:cs="宋体"/>
          <w:spacing w:val="-3"/>
          <w:sz w:val="24"/>
          <w:szCs w:val="24"/>
          <w:highlight w:val="none"/>
        </w:rPr>
        <w:t>生产许可证。</w:t>
      </w:r>
    </w:p>
    <w:p w14:paraId="0468B57E">
      <w:pPr>
        <w:spacing w:before="30" w:line="234" w:lineRule="auto"/>
        <w:ind w:right="3" w:firstLine="247"/>
        <w:rPr>
          <w:rFonts w:ascii="宋体" w:hAnsi="宋体" w:eastAsia="宋体" w:cs="宋体"/>
          <w:sz w:val="24"/>
          <w:szCs w:val="24"/>
          <w:highlight w:val="none"/>
        </w:rPr>
      </w:pPr>
      <w:r>
        <w:rPr>
          <w:rFonts w:ascii="宋体" w:hAnsi="宋体" w:eastAsia="宋体" w:cs="宋体"/>
          <w:sz w:val="24"/>
          <w:szCs w:val="24"/>
          <w:highlight w:val="none"/>
        </w:rPr>
        <w:t>（</w:t>
      </w:r>
      <w:r>
        <w:rPr>
          <w:rFonts w:ascii="仿宋" w:hAnsi="仿宋" w:eastAsia="仿宋" w:cs="仿宋"/>
          <w:sz w:val="24"/>
          <w:szCs w:val="24"/>
          <w:highlight w:val="none"/>
        </w:rPr>
        <w:t>1</w:t>
      </w:r>
      <w:r>
        <w:rPr>
          <w:rFonts w:ascii="宋体" w:hAnsi="宋体" w:eastAsia="宋体" w:cs="宋体"/>
          <w:sz w:val="24"/>
          <w:szCs w:val="24"/>
          <w:highlight w:val="none"/>
        </w:rPr>
        <w:t>）企业法人营业执照、企业资质证书、安全</w:t>
      </w:r>
      <w:r>
        <w:rPr>
          <w:rFonts w:ascii="宋体" w:hAnsi="宋体" w:eastAsia="宋体" w:cs="宋体"/>
          <w:spacing w:val="-1"/>
          <w:sz w:val="24"/>
          <w:szCs w:val="24"/>
          <w:highlight w:val="none"/>
        </w:rPr>
        <w:t>生产许可证等证明材料投标人可自主选择提供方式：①使用扫描件上传；②使用全国公共资源交易平台成交记录、国家企业信用信息公示系统企业基本信息、全国建筑市场监管公共服务平台、省电子证照库管理</w:t>
      </w:r>
      <w:r>
        <w:rPr>
          <w:rFonts w:ascii="宋体" w:hAnsi="宋体" w:eastAsia="宋体" w:cs="宋体"/>
          <w:spacing w:val="-4"/>
          <w:sz w:val="24"/>
          <w:szCs w:val="24"/>
          <w:highlight w:val="none"/>
        </w:rPr>
        <w:t>系统等接口获取政务数据。</w:t>
      </w:r>
    </w:p>
    <w:p w14:paraId="2BEC7520">
      <w:pPr>
        <w:spacing w:before="24" w:line="219" w:lineRule="auto"/>
        <w:ind w:left="247"/>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仿宋" w:hAnsi="仿宋" w:eastAsia="仿宋" w:cs="仿宋"/>
          <w:spacing w:val="-2"/>
          <w:sz w:val="24"/>
          <w:szCs w:val="24"/>
          <w:highlight w:val="none"/>
        </w:rPr>
        <w:t>2</w:t>
      </w:r>
      <w:r>
        <w:rPr>
          <w:rFonts w:ascii="宋体" w:hAnsi="宋体" w:eastAsia="宋体" w:cs="宋体"/>
          <w:spacing w:val="-2"/>
          <w:sz w:val="24"/>
          <w:szCs w:val="24"/>
          <w:highlight w:val="none"/>
        </w:rPr>
        <w:t>）同一证明材料使用两种方式重复提供时，以扫描件为准。</w:t>
      </w:r>
    </w:p>
    <w:p w14:paraId="079E1B90">
      <w:pPr>
        <w:spacing w:before="29" w:line="232" w:lineRule="auto"/>
        <w:ind w:right="3" w:firstLine="246"/>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仿宋" w:hAnsi="仿宋" w:eastAsia="仿宋" w:cs="仿宋"/>
          <w:spacing w:val="-1"/>
          <w:sz w:val="24"/>
          <w:szCs w:val="24"/>
          <w:highlight w:val="none"/>
        </w:rPr>
        <w:t>3</w:t>
      </w:r>
      <w:r>
        <w:rPr>
          <w:rFonts w:ascii="宋体" w:hAnsi="宋体" w:eastAsia="宋体" w:cs="宋体"/>
          <w:spacing w:val="-1"/>
          <w:sz w:val="24"/>
          <w:szCs w:val="24"/>
          <w:highlight w:val="none"/>
        </w:rPr>
        <w:t>）公共资源交易活动中投标人应当自行核验政务数据的准确性，并对引用的政务</w:t>
      </w:r>
      <w:r>
        <w:rPr>
          <w:rFonts w:ascii="宋体" w:hAnsi="宋体" w:eastAsia="宋体" w:cs="宋体"/>
          <w:spacing w:val="-5"/>
          <w:sz w:val="24"/>
          <w:szCs w:val="24"/>
          <w:highlight w:val="none"/>
        </w:rPr>
        <w:t>数据承担责任。在最终生成投标文件时，</w:t>
      </w:r>
      <w:r>
        <w:rPr>
          <w:rFonts w:ascii="宋体" w:hAnsi="宋体" w:eastAsia="宋体" w:cs="宋体"/>
          <w:spacing w:val="59"/>
          <w:sz w:val="24"/>
          <w:szCs w:val="24"/>
          <w:highlight w:val="none"/>
        </w:rPr>
        <w:t xml:space="preserve"> </w:t>
      </w:r>
      <w:r>
        <w:rPr>
          <w:rFonts w:ascii="宋体" w:hAnsi="宋体" w:eastAsia="宋体" w:cs="宋体"/>
          <w:spacing w:val="-5"/>
          <w:sz w:val="24"/>
          <w:szCs w:val="24"/>
          <w:highlight w:val="none"/>
        </w:rPr>
        <w:t>投标人应按招</w:t>
      </w:r>
      <w:r>
        <w:rPr>
          <w:rFonts w:ascii="宋体" w:hAnsi="宋体" w:eastAsia="宋体" w:cs="宋体"/>
          <w:spacing w:val="-6"/>
          <w:sz w:val="24"/>
          <w:szCs w:val="24"/>
          <w:highlight w:val="none"/>
        </w:rPr>
        <w:t>标文件要求对投标文件进行电子</w:t>
      </w:r>
      <w:r>
        <w:rPr>
          <w:rFonts w:ascii="宋体" w:hAnsi="宋体" w:eastAsia="宋体" w:cs="宋体"/>
          <w:spacing w:val="-10"/>
          <w:sz w:val="24"/>
          <w:szCs w:val="24"/>
          <w:highlight w:val="none"/>
        </w:rPr>
        <w:t>签章。</w:t>
      </w:r>
    </w:p>
    <w:p w14:paraId="3E7607B5">
      <w:pPr>
        <w:spacing w:before="75"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12.3.3</w:t>
      </w:r>
      <w:r>
        <w:rPr>
          <w:rFonts w:ascii="宋体" w:hAnsi="宋体" w:eastAsia="宋体" w:cs="宋体"/>
          <w:spacing w:val="-39"/>
          <w:sz w:val="24"/>
          <w:szCs w:val="24"/>
          <w:highlight w:val="none"/>
        </w:rPr>
        <w:t xml:space="preserve"> </w:t>
      </w:r>
      <w:r>
        <w:rPr>
          <w:rFonts w:ascii="宋体" w:hAnsi="宋体" w:eastAsia="宋体" w:cs="宋体"/>
          <w:spacing w:val="-3"/>
          <w:sz w:val="24"/>
          <w:szCs w:val="24"/>
          <w:highlight w:val="none"/>
        </w:rPr>
        <w:t>项目管理机构配备情况</w:t>
      </w:r>
    </w:p>
    <w:p w14:paraId="54B6E6C5">
      <w:pPr>
        <w:spacing w:before="75" w:line="219" w:lineRule="auto"/>
        <w:ind w:left="403"/>
        <w:rPr>
          <w:rFonts w:ascii="宋体" w:hAnsi="宋体" w:eastAsia="宋体" w:cs="宋体"/>
          <w:sz w:val="24"/>
          <w:szCs w:val="24"/>
          <w:highlight w:val="none"/>
        </w:rPr>
      </w:pPr>
      <w:r>
        <w:rPr>
          <w:rFonts w:ascii="宋体" w:hAnsi="宋体" w:eastAsia="宋体" w:cs="宋体"/>
          <w:spacing w:val="-4"/>
          <w:sz w:val="24"/>
          <w:szCs w:val="24"/>
          <w:highlight w:val="none"/>
        </w:rPr>
        <w:t>(1)项目管理机构配备情况表及特殊说明资料（招标人特别要求的</w:t>
      </w:r>
      <w:r>
        <w:rPr>
          <w:rFonts w:ascii="宋体" w:hAnsi="宋体" w:eastAsia="宋体" w:cs="宋体"/>
          <w:spacing w:val="6"/>
          <w:sz w:val="24"/>
          <w:szCs w:val="24"/>
          <w:highlight w:val="none"/>
        </w:rPr>
        <w:t>）；</w:t>
      </w:r>
    </w:p>
    <w:p w14:paraId="7013AADD">
      <w:pPr>
        <w:spacing w:before="77" w:line="248" w:lineRule="auto"/>
        <w:ind w:right="1" w:firstLine="402"/>
        <w:rPr>
          <w:rFonts w:ascii="宋体" w:hAnsi="宋体" w:eastAsia="宋体" w:cs="宋体"/>
          <w:sz w:val="24"/>
          <w:szCs w:val="24"/>
          <w:highlight w:val="none"/>
        </w:rPr>
      </w:pPr>
      <w:r>
        <w:rPr>
          <w:rFonts w:ascii="宋体" w:hAnsi="宋体" w:eastAsia="宋体" w:cs="宋体"/>
          <w:spacing w:val="-2"/>
          <w:sz w:val="24"/>
          <w:szCs w:val="24"/>
          <w:highlight w:val="none"/>
        </w:rPr>
        <w:t>(2)设计负责人注册证书、简历表、业绩表及证明材料（资格后审的项目，应放在资</w:t>
      </w:r>
      <w:r>
        <w:rPr>
          <w:rFonts w:ascii="宋体" w:hAnsi="宋体" w:eastAsia="宋体" w:cs="宋体"/>
          <w:spacing w:val="-6"/>
          <w:sz w:val="24"/>
          <w:szCs w:val="24"/>
          <w:highlight w:val="none"/>
        </w:rPr>
        <w:t>格后审文件或投标文件中；</w:t>
      </w:r>
    </w:p>
    <w:p w14:paraId="495E3FFC">
      <w:pPr>
        <w:spacing w:before="75" w:line="248" w:lineRule="auto"/>
        <w:ind w:right="42" w:firstLine="402"/>
        <w:rPr>
          <w:rFonts w:ascii="宋体" w:hAnsi="宋体" w:eastAsia="宋体" w:cs="宋体"/>
          <w:sz w:val="24"/>
          <w:szCs w:val="24"/>
          <w:highlight w:val="none"/>
        </w:rPr>
      </w:pPr>
      <w:r>
        <w:rPr>
          <w:rFonts w:ascii="宋体" w:hAnsi="宋体" w:eastAsia="宋体" w:cs="宋体"/>
          <w:spacing w:val="-3"/>
          <w:sz w:val="24"/>
          <w:szCs w:val="24"/>
          <w:highlight w:val="none"/>
        </w:rPr>
        <w:t>(3)项目经理（建造师）注册证书、简历表、业绩表及证明材料（资格后审的项目，</w:t>
      </w:r>
      <w:r>
        <w:rPr>
          <w:rFonts w:ascii="宋体" w:hAnsi="宋体" w:eastAsia="宋体" w:cs="宋体"/>
          <w:spacing w:val="-4"/>
          <w:sz w:val="24"/>
          <w:szCs w:val="24"/>
          <w:highlight w:val="none"/>
        </w:rPr>
        <w:t>应放在资格后审文件或投标文件中；</w:t>
      </w:r>
    </w:p>
    <w:p w14:paraId="36CAA7DE">
      <w:pPr>
        <w:spacing w:before="75" w:line="248" w:lineRule="auto"/>
        <w:ind w:left="3" w:right="1" w:firstLine="399"/>
        <w:rPr>
          <w:rFonts w:ascii="宋体" w:hAnsi="宋体" w:eastAsia="宋体" w:cs="宋体"/>
          <w:sz w:val="24"/>
          <w:szCs w:val="24"/>
          <w:highlight w:val="none"/>
        </w:rPr>
      </w:pPr>
      <w:r>
        <w:rPr>
          <w:rFonts w:ascii="宋体" w:hAnsi="宋体" w:eastAsia="宋体" w:cs="宋体"/>
          <w:spacing w:val="-2"/>
          <w:sz w:val="24"/>
          <w:szCs w:val="24"/>
          <w:highlight w:val="none"/>
        </w:rPr>
        <w:t>(4)项目技术负责人证书、简历表、业绩表（资格后审的项目，应放在资格后审文件</w:t>
      </w:r>
      <w:r>
        <w:rPr>
          <w:rFonts w:ascii="宋体" w:hAnsi="宋体" w:eastAsia="宋体" w:cs="宋体"/>
          <w:spacing w:val="-9"/>
          <w:sz w:val="24"/>
          <w:szCs w:val="24"/>
          <w:highlight w:val="none"/>
        </w:rPr>
        <w:t>或投标文件中</w:t>
      </w:r>
      <w:r>
        <w:rPr>
          <w:rFonts w:ascii="宋体" w:hAnsi="宋体" w:eastAsia="宋体" w:cs="宋体"/>
          <w:spacing w:val="-4"/>
          <w:sz w:val="24"/>
          <w:szCs w:val="24"/>
          <w:highlight w:val="none"/>
        </w:rPr>
        <w:t>）；</w:t>
      </w:r>
    </w:p>
    <w:p w14:paraId="7D4F1267">
      <w:pPr>
        <w:spacing w:before="74" w:line="249" w:lineRule="auto"/>
        <w:ind w:left="23" w:right="11" w:firstLine="499"/>
        <w:rPr>
          <w:rFonts w:ascii="宋体" w:hAnsi="宋体" w:eastAsia="宋体" w:cs="宋体"/>
          <w:sz w:val="24"/>
          <w:szCs w:val="24"/>
          <w:highlight w:val="none"/>
        </w:rPr>
      </w:pPr>
      <w:r>
        <w:rPr>
          <w:rFonts w:ascii="宋体" w:hAnsi="宋体" w:eastAsia="宋体" w:cs="宋体"/>
          <w:spacing w:val="1"/>
          <w:sz w:val="24"/>
          <w:szCs w:val="24"/>
          <w:highlight w:val="none"/>
        </w:rPr>
        <w:t>(5)项目管理班子人员履历表（资格后审的项目，应放在资格后审文件或投标文件</w:t>
      </w:r>
      <w:r>
        <w:rPr>
          <w:rFonts w:ascii="宋体" w:hAnsi="宋体" w:eastAsia="宋体" w:cs="宋体"/>
          <w:spacing w:val="-15"/>
          <w:sz w:val="24"/>
          <w:szCs w:val="24"/>
          <w:highlight w:val="none"/>
        </w:rPr>
        <w:t>中）。</w:t>
      </w:r>
    </w:p>
    <w:p w14:paraId="08A0EDD9">
      <w:pPr>
        <w:spacing w:before="73"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12.3.4</w:t>
      </w:r>
      <w:r>
        <w:rPr>
          <w:rFonts w:ascii="宋体" w:hAnsi="宋体" w:eastAsia="宋体" w:cs="宋体"/>
          <w:spacing w:val="-51"/>
          <w:sz w:val="24"/>
          <w:szCs w:val="24"/>
          <w:highlight w:val="none"/>
        </w:rPr>
        <w:t xml:space="preserve"> </w:t>
      </w:r>
      <w:r>
        <w:rPr>
          <w:rFonts w:ascii="宋体" w:hAnsi="宋体" w:eastAsia="宋体" w:cs="宋体"/>
          <w:spacing w:val="-5"/>
          <w:sz w:val="24"/>
          <w:szCs w:val="24"/>
          <w:highlight w:val="none"/>
        </w:rPr>
        <w:t>拟分包情况表。</w:t>
      </w:r>
    </w:p>
    <w:p w14:paraId="5461468A">
      <w:pPr>
        <w:spacing w:before="76"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12.3.5</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投标人的业绩材料和投标人认为需要提供的其他资料。</w:t>
      </w:r>
    </w:p>
    <w:p w14:paraId="4B5697AA">
      <w:pPr>
        <w:spacing w:before="75" w:line="220"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12.4</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商务标投标文件主要内容：</w:t>
      </w:r>
    </w:p>
    <w:p w14:paraId="52BDBE6D">
      <w:pPr>
        <w:spacing w:before="75" w:line="218"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12.4.1</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投标报价</w:t>
      </w:r>
    </w:p>
    <w:p w14:paraId="0DAD2559">
      <w:pPr>
        <w:spacing w:before="76" w:line="220" w:lineRule="auto"/>
        <w:ind w:left="403"/>
        <w:rPr>
          <w:rFonts w:ascii="宋体" w:hAnsi="宋体" w:eastAsia="宋体" w:cs="宋体"/>
          <w:sz w:val="24"/>
          <w:szCs w:val="24"/>
          <w:highlight w:val="none"/>
        </w:rPr>
      </w:pPr>
      <w:r>
        <w:rPr>
          <w:rFonts w:ascii="宋体" w:hAnsi="宋体" w:eastAsia="宋体" w:cs="宋体"/>
          <w:spacing w:val="-14"/>
          <w:sz w:val="24"/>
          <w:szCs w:val="24"/>
          <w:highlight w:val="none"/>
        </w:rPr>
        <w:t>(1)投标函；</w:t>
      </w:r>
    </w:p>
    <w:p w14:paraId="1E9F7AEC">
      <w:pPr>
        <w:spacing w:before="73" w:line="220" w:lineRule="auto"/>
        <w:ind w:left="403"/>
        <w:rPr>
          <w:rFonts w:ascii="宋体" w:hAnsi="宋体" w:eastAsia="宋体" w:cs="宋体"/>
          <w:sz w:val="24"/>
          <w:szCs w:val="24"/>
          <w:highlight w:val="none"/>
        </w:rPr>
      </w:pPr>
      <w:r>
        <w:rPr>
          <w:rFonts w:ascii="宋体" w:hAnsi="宋体" w:eastAsia="宋体" w:cs="宋体"/>
          <w:spacing w:val="-14"/>
          <w:sz w:val="24"/>
          <w:szCs w:val="24"/>
          <w:highlight w:val="none"/>
        </w:rPr>
        <w:t>(2)承诺函；</w:t>
      </w:r>
    </w:p>
    <w:p w14:paraId="50750AD8">
      <w:pPr>
        <w:spacing w:before="75" w:line="218" w:lineRule="auto"/>
        <w:ind w:left="403"/>
        <w:rPr>
          <w:rFonts w:ascii="宋体" w:hAnsi="宋体" w:eastAsia="宋体" w:cs="宋体"/>
          <w:sz w:val="24"/>
          <w:szCs w:val="24"/>
          <w:highlight w:val="none"/>
        </w:rPr>
      </w:pPr>
      <w:r>
        <w:rPr>
          <w:rFonts w:ascii="宋体" w:hAnsi="宋体" w:eastAsia="宋体" w:cs="宋体"/>
          <w:spacing w:val="-6"/>
          <w:sz w:val="24"/>
          <w:szCs w:val="24"/>
          <w:highlight w:val="none"/>
        </w:rPr>
        <w:t>(3)投标报价需要的其他资料。</w:t>
      </w:r>
    </w:p>
    <w:p w14:paraId="38F4882F">
      <w:pPr>
        <w:spacing w:before="89" w:line="220" w:lineRule="auto"/>
        <w:ind w:left="19"/>
        <w:rPr>
          <w:rFonts w:ascii="宋体" w:hAnsi="宋体" w:eastAsia="宋体" w:cs="宋体"/>
          <w:spacing w:val="-5"/>
          <w:sz w:val="24"/>
          <w:szCs w:val="24"/>
          <w:highlight w:val="none"/>
        </w:rPr>
      </w:pPr>
      <w:r>
        <w:rPr>
          <w:rFonts w:ascii="宋体" w:hAnsi="宋体" w:eastAsia="宋体" w:cs="宋体"/>
          <w:spacing w:val="-3"/>
          <w:sz w:val="24"/>
          <w:szCs w:val="24"/>
          <w:highlight w:val="none"/>
        </w:rPr>
        <w:t>12.5</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技术标一投标文件、技术标二投标文件中均不得出现商务标报价或相关报价信</w:t>
      </w:r>
      <w:r>
        <w:rPr>
          <w:rFonts w:ascii="宋体" w:hAnsi="宋体" w:eastAsia="宋体" w:cs="宋体"/>
          <w:spacing w:val="-5"/>
          <w:sz w:val="24"/>
          <w:szCs w:val="24"/>
          <w:highlight w:val="none"/>
        </w:rPr>
        <w:t>息，否则作废标处理。</w:t>
      </w:r>
    </w:p>
    <w:p w14:paraId="190F8E8D">
      <w:pPr>
        <w:spacing w:before="89" w:line="220" w:lineRule="auto"/>
        <w:ind w:left="19"/>
        <w:rPr>
          <w:rFonts w:ascii="宋体" w:hAnsi="宋体" w:eastAsia="宋体" w:cs="宋体"/>
          <w:sz w:val="24"/>
          <w:szCs w:val="24"/>
          <w:highlight w:val="none"/>
        </w:rPr>
      </w:pPr>
      <w:r>
        <w:rPr>
          <w:rFonts w:ascii="宋体" w:hAnsi="宋体" w:eastAsia="宋体" w:cs="宋体"/>
          <w:spacing w:val="-4"/>
          <w:sz w:val="24"/>
          <w:szCs w:val="24"/>
          <w:highlight w:val="none"/>
        </w:rPr>
        <w:t>13、投标文件格式</w:t>
      </w:r>
    </w:p>
    <w:p w14:paraId="205DAD9A">
      <w:pPr>
        <w:spacing w:before="74" w:line="220" w:lineRule="auto"/>
        <w:ind w:left="499"/>
        <w:rPr>
          <w:rFonts w:ascii="宋体" w:hAnsi="宋体" w:eastAsia="宋体" w:cs="宋体"/>
          <w:sz w:val="24"/>
          <w:szCs w:val="24"/>
          <w:highlight w:val="none"/>
        </w:rPr>
      </w:pPr>
      <w:r>
        <w:rPr>
          <w:rFonts w:ascii="宋体" w:hAnsi="宋体" w:eastAsia="宋体" w:cs="宋体"/>
          <w:spacing w:val="-2"/>
          <w:sz w:val="24"/>
          <w:szCs w:val="24"/>
          <w:highlight w:val="none"/>
        </w:rPr>
        <w:t>13.1</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投标人须分别编制技术标一投标文件、技术标二投标文件、商务标投标文件。</w:t>
      </w:r>
    </w:p>
    <w:p w14:paraId="2734BE41">
      <w:pPr>
        <w:spacing w:before="74" w:line="248" w:lineRule="auto"/>
        <w:ind w:left="2" w:right="84" w:firstLine="496"/>
        <w:rPr>
          <w:rFonts w:ascii="宋体" w:hAnsi="宋体" w:eastAsia="宋体" w:cs="宋体"/>
          <w:sz w:val="24"/>
          <w:szCs w:val="24"/>
          <w:highlight w:val="none"/>
        </w:rPr>
      </w:pPr>
      <w:r>
        <w:rPr>
          <w:rFonts w:ascii="宋体" w:hAnsi="宋体" w:eastAsia="宋体" w:cs="宋体"/>
          <w:spacing w:val="-2"/>
          <w:sz w:val="24"/>
          <w:szCs w:val="24"/>
          <w:highlight w:val="none"/>
        </w:rPr>
        <w:t>13.2</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投标文件包括本须知第 12</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条中规</w:t>
      </w:r>
      <w:r>
        <w:rPr>
          <w:rFonts w:ascii="宋体" w:hAnsi="宋体" w:eastAsia="宋体" w:cs="宋体"/>
          <w:spacing w:val="-3"/>
          <w:sz w:val="24"/>
          <w:szCs w:val="24"/>
          <w:highlight w:val="none"/>
        </w:rPr>
        <w:t>定的内容，投标人提交的投标文件应当使用</w:t>
      </w:r>
      <w:r>
        <w:rPr>
          <w:rFonts w:ascii="宋体" w:hAnsi="宋体" w:eastAsia="宋体" w:cs="宋体"/>
          <w:spacing w:val="-1"/>
          <w:sz w:val="24"/>
          <w:szCs w:val="24"/>
          <w:highlight w:val="none"/>
        </w:rPr>
        <w:t>招标文件所提供的投标文件全部格式编制投标文件，但表格可</w:t>
      </w:r>
      <w:r>
        <w:rPr>
          <w:rFonts w:ascii="宋体" w:hAnsi="宋体" w:eastAsia="宋体" w:cs="宋体"/>
          <w:spacing w:val="-2"/>
          <w:sz w:val="24"/>
          <w:szCs w:val="24"/>
          <w:highlight w:val="none"/>
        </w:rPr>
        <w:t>以按同样格式扩展。</w:t>
      </w:r>
    </w:p>
    <w:p w14:paraId="7FE804D7">
      <w:pPr>
        <w:spacing w:before="75" w:line="218" w:lineRule="auto"/>
        <w:ind w:left="19"/>
        <w:rPr>
          <w:rFonts w:ascii="宋体" w:hAnsi="宋体" w:eastAsia="宋体" w:cs="宋体"/>
          <w:sz w:val="24"/>
          <w:szCs w:val="24"/>
          <w:highlight w:val="none"/>
        </w:rPr>
      </w:pPr>
      <w:r>
        <w:rPr>
          <w:rFonts w:ascii="宋体" w:hAnsi="宋体" w:eastAsia="宋体" w:cs="宋体"/>
          <w:spacing w:val="-6"/>
          <w:sz w:val="24"/>
          <w:szCs w:val="24"/>
          <w:highlight w:val="none"/>
        </w:rPr>
        <w:t>14、投标报价</w:t>
      </w:r>
    </w:p>
    <w:p w14:paraId="6E720759">
      <w:pPr>
        <w:spacing w:before="123" w:line="262" w:lineRule="auto"/>
        <w:ind w:right="16" w:firstLine="499"/>
        <w:rPr>
          <w:rFonts w:ascii="宋体" w:hAnsi="宋体" w:eastAsia="宋体" w:cs="宋体"/>
          <w:sz w:val="24"/>
          <w:szCs w:val="24"/>
          <w:highlight w:val="none"/>
        </w:rPr>
      </w:pPr>
      <w:r>
        <w:rPr>
          <w:rFonts w:ascii="宋体" w:hAnsi="宋体" w:eastAsia="宋体" w:cs="宋体"/>
          <w:spacing w:val="-3"/>
          <w:sz w:val="24"/>
          <w:szCs w:val="24"/>
          <w:highlight w:val="none"/>
        </w:rPr>
        <w:t>14.1</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投标人应仔细阅读招标文件，了解拟投标项目的全部工程内容。投标人的投标</w:t>
      </w:r>
      <w:r>
        <w:rPr>
          <w:rFonts w:ascii="宋体" w:hAnsi="宋体" w:eastAsia="宋体" w:cs="宋体"/>
          <w:spacing w:val="-1"/>
          <w:sz w:val="24"/>
          <w:szCs w:val="24"/>
          <w:highlight w:val="none"/>
        </w:rPr>
        <w:t>报价应是招标文件所确定的招标范围内全部工程内容的价格体现，但其投标报价不得低</w:t>
      </w:r>
      <w:r>
        <w:rPr>
          <w:rFonts w:ascii="宋体" w:hAnsi="宋体" w:eastAsia="宋体" w:cs="宋体"/>
          <w:spacing w:val="-7"/>
          <w:sz w:val="24"/>
          <w:szCs w:val="24"/>
          <w:highlight w:val="none"/>
        </w:rPr>
        <w:t>于投标人个别成本价。投标人的投标报价，应是在满足招标文件规定工期、质量要求下，</w:t>
      </w:r>
      <w:r>
        <w:rPr>
          <w:rFonts w:ascii="宋体" w:hAnsi="宋体" w:eastAsia="宋体" w:cs="宋体"/>
          <w:spacing w:val="-2"/>
          <w:sz w:val="24"/>
          <w:szCs w:val="24"/>
          <w:highlight w:val="none"/>
        </w:rPr>
        <w:t>完成投标须知前附表第</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5、6</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条和合同条款上所列招标工程范围的全部工作的报价。</w:t>
      </w:r>
    </w:p>
    <w:p w14:paraId="7309282E">
      <w:pPr>
        <w:spacing w:before="128" w:line="262" w:lineRule="auto"/>
        <w:ind w:left="1" w:right="82" w:firstLine="497"/>
        <w:rPr>
          <w:rFonts w:ascii="宋体" w:hAnsi="宋体" w:eastAsia="宋体" w:cs="宋体"/>
          <w:sz w:val="24"/>
          <w:szCs w:val="24"/>
          <w:highlight w:val="none"/>
        </w:rPr>
      </w:pPr>
      <w:r>
        <w:rPr>
          <w:rFonts w:ascii="宋体" w:hAnsi="宋体" w:eastAsia="宋体" w:cs="宋体"/>
          <w:spacing w:val="-3"/>
          <w:sz w:val="24"/>
          <w:szCs w:val="24"/>
          <w:highlight w:val="none"/>
        </w:rPr>
        <w:t>14.2</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投标人应根据当前建筑市场行情，结合工程实际情况及本单位的施工方法、材</w:t>
      </w:r>
      <w:r>
        <w:rPr>
          <w:rFonts w:ascii="宋体" w:hAnsi="宋体" w:eastAsia="宋体" w:cs="宋体"/>
          <w:spacing w:val="-5"/>
          <w:sz w:val="24"/>
          <w:szCs w:val="24"/>
          <w:highlight w:val="none"/>
        </w:rPr>
        <w:t>料来源渠道、施工机械装备、施工管理水平等，</w:t>
      </w:r>
      <w:r>
        <w:rPr>
          <w:rFonts w:ascii="宋体" w:hAnsi="宋体" w:eastAsia="宋体" w:cs="宋体"/>
          <w:spacing w:val="-6"/>
          <w:sz w:val="24"/>
          <w:szCs w:val="24"/>
          <w:highlight w:val="none"/>
        </w:rPr>
        <w:t>结合设计图纸对投标费用进行分析、测</w:t>
      </w:r>
      <w:r>
        <w:rPr>
          <w:rFonts w:ascii="宋体" w:hAnsi="宋体" w:eastAsia="宋体" w:cs="宋体"/>
          <w:spacing w:val="-1"/>
          <w:sz w:val="24"/>
          <w:szCs w:val="24"/>
          <w:highlight w:val="none"/>
        </w:rPr>
        <w:t>算，实事求是地确定投标报价（费率，不得低于成本价</w:t>
      </w:r>
      <w:r>
        <w:rPr>
          <w:rFonts w:ascii="宋体" w:hAnsi="宋体" w:eastAsia="宋体" w:cs="宋体"/>
          <w:spacing w:val="6"/>
          <w:sz w:val="24"/>
          <w:szCs w:val="24"/>
          <w:highlight w:val="none"/>
        </w:rPr>
        <w:t>），</w:t>
      </w:r>
      <w:r>
        <w:rPr>
          <w:rFonts w:ascii="宋体" w:hAnsi="宋体" w:eastAsia="宋体" w:cs="宋体"/>
          <w:spacing w:val="-1"/>
          <w:sz w:val="24"/>
          <w:szCs w:val="24"/>
          <w:highlight w:val="none"/>
        </w:rPr>
        <w:t>任何投标优惠都体现在报价</w:t>
      </w:r>
      <w:r>
        <w:rPr>
          <w:rFonts w:ascii="宋体" w:hAnsi="宋体" w:eastAsia="宋体" w:cs="宋体"/>
          <w:spacing w:val="-6"/>
          <w:sz w:val="24"/>
          <w:szCs w:val="24"/>
          <w:highlight w:val="none"/>
        </w:rPr>
        <w:t>（百分比）内。</w:t>
      </w:r>
    </w:p>
    <w:p w14:paraId="777822C2">
      <w:pPr>
        <w:spacing w:before="123" w:line="218"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14.3</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本工程的投标报价采用费率（审定预算</w:t>
      </w:r>
      <w:r>
        <w:rPr>
          <w:rFonts w:ascii="宋体" w:hAnsi="宋体" w:eastAsia="宋体" w:cs="宋体"/>
          <w:spacing w:val="-2"/>
          <w:sz w:val="24"/>
          <w:szCs w:val="24"/>
          <w:highlight w:val="none"/>
        </w:rPr>
        <w:t>价的百分比）方式。</w:t>
      </w:r>
    </w:p>
    <w:p w14:paraId="465D5B09">
      <w:pPr>
        <w:spacing w:before="124" w:line="218"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14.4</w:t>
      </w:r>
      <w:r>
        <w:rPr>
          <w:rFonts w:ascii="宋体" w:hAnsi="宋体" w:eastAsia="宋体" w:cs="宋体"/>
          <w:spacing w:val="-39"/>
          <w:sz w:val="24"/>
          <w:szCs w:val="24"/>
          <w:highlight w:val="none"/>
        </w:rPr>
        <w:t xml:space="preserve"> </w:t>
      </w:r>
      <w:r>
        <w:rPr>
          <w:rFonts w:ascii="宋体" w:hAnsi="宋体" w:eastAsia="宋体" w:cs="宋体"/>
          <w:spacing w:val="-4"/>
          <w:sz w:val="24"/>
          <w:szCs w:val="24"/>
          <w:highlight w:val="none"/>
        </w:rPr>
        <w:t>投标报价编制依据</w:t>
      </w:r>
    </w:p>
    <w:p w14:paraId="3A639768">
      <w:pPr>
        <w:spacing w:before="124" w:line="220" w:lineRule="auto"/>
        <w:ind w:left="499"/>
        <w:rPr>
          <w:rFonts w:ascii="宋体" w:hAnsi="宋体" w:eastAsia="宋体" w:cs="宋体"/>
          <w:sz w:val="24"/>
          <w:szCs w:val="24"/>
          <w:highlight w:val="none"/>
        </w:rPr>
      </w:pPr>
      <w:r>
        <w:rPr>
          <w:rFonts w:ascii="宋体" w:hAnsi="宋体" w:eastAsia="宋体" w:cs="宋体"/>
          <w:spacing w:val="-8"/>
          <w:sz w:val="24"/>
          <w:szCs w:val="24"/>
          <w:highlight w:val="none"/>
        </w:rPr>
        <w:t>14.4.1</w:t>
      </w:r>
      <w:r>
        <w:rPr>
          <w:rFonts w:ascii="宋体" w:hAnsi="宋体" w:eastAsia="宋体" w:cs="宋体"/>
          <w:spacing w:val="-43"/>
          <w:sz w:val="24"/>
          <w:szCs w:val="24"/>
          <w:highlight w:val="none"/>
        </w:rPr>
        <w:t xml:space="preserve"> </w:t>
      </w:r>
      <w:r>
        <w:rPr>
          <w:rFonts w:ascii="宋体" w:hAnsi="宋体" w:eastAsia="宋体" w:cs="宋体"/>
          <w:spacing w:val="-8"/>
          <w:sz w:val="24"/>
          <w:szCs w:val="24"/>
          <w:highlight w:val="none"/>
        </w:rPr>
        <w:t>招标文件；</w:t>
      </w:r>
    </w:p>
    <w:p w14:paraId="1714EB30">
      <w:pPr>
        <w:spacing w:before="123" w:line="221" w:lineRule="auto"/>
        <w:ind w:left="499"/>
        <w:rPr>
          <w:rFonts w:ascii="宋体" w:hAnsi="宋体" w:eastAsia="宋体" w:cs="宋体"/>
          <w:sz w:val="24"/>
          <w:szCs w:val="24"/>
          <w:highlight w:val="none"/>
        </w:rPr>
      </w:pPr>
      <w:r>
        <w:rPr>
          <w:rFonts w:ascii="宋体" w:hAnsi="宋体" w:eastAsia="宋体" w:cs="宋体"/>
          <w:spacing w:val="-8"/>
          <w:sz w:val="24"/>
          <w:szCs w:val="24"/>
          <w:highlight w:val="none"/>
        </w:rPr>
        <w:t>14.4.2</w:t>
      </w:r>
      <w:r>
        <w:rPr>
          <w:rFonts w:ascii="宋体" w:hAnsi="宋体" w:eastAsia="宋体" w:cs="宋体"/>
          <w:spacing w:val="-43"/>
          <w:sz w:val="24"/>
          <w:szCs w:val="24"/>
          <w:highlight w:val="none"/>
        </w:rPr>
        <w:t xml:space="preserve"> </w:t>
      </w:r>
      <w:r>
        <w:rPr>
          <w:rFonts w:ascii="宋体" w:hAnsi="宋体" w:eastAsia="宋体" w:cs="宋体"/>
          <w:spacing w:val="-8"/>
          <w:sz w:val="24"/>
          <w:szCs w:val="24"/>
          <w:highlight w:val="none"/>
        </w:rPr>
        <w:t>设计图纸；</w:t>
      </w:r>
    </w:p>
    <w:p w14:paraId="36423D76">
      <w:pPr>
        <w:spacing w:before="122" w:line="248" w:lineRule="auto"/>
        <w:ind w:left="4" w:firstLine="494"/>
        <w:rPr>
          <w:rFonts w:ascii="宋体" w:hAnsi="宋体" w:eastAsia="宋体" w:cs="宋体"/>
          <w:sz w:val="24"/>
          <w:szCs w:val="24"/>
          <w:highlight w:val="none"/>
        </w:rPr>
      </w:pPr>
      <w:r>
        <w:rPr>
          <w:rFonts w:ascii="宋体" w:hAnsi="宋体" w:eastAsia="宋体" w:cs="宋体"/>
          <w:spacing w:val="-7"/>
          <w:sz w:val="24"/>
          <w:szCs w:val="24"/>
          <w:highlight w:val="none"/>
        </w:rPr>
        <w:t>14.4.3</w:t>
      </w:r>
      <w:r>
        <w:rPr>
          <w:rFonts w:ascii="宋体" w:hAnsi="宋体" w:eastAsia="宋体" w:cs="宋体"/>
          <w:spacing w:val="-35"/>
          <w:sz w:val="24"/>
          <w:szCs w:val="24"/>
          <w:highlight w:val="none"/>
        </w:rPr>
        <w:t xml:space="preserve"> </w:t>
      </w:r>
      <w:r>
        <w:rPr>
          <w:rFonts w:ascii="宋体" w:hAnsi="宋体" w:eastAsia="宋体" w:cs="宋体"/>
          <w:spacing w:val="-7"/>
          <w:sz w:val="24"/>
          <w:szCs w:val="24"/>
          <w:highlight w:val="none"/>
        </w:rPr>
        <w:t>澄清答疑、补充文件、修改纪要中提出的工程技术、质量、工期、承包范围、工器具及设备清单；</w:t>
      </w:r>
    </w:p>
    <w:p w14:paraId="798EC3C8">
      <w:pPr>
        <w:spacing w:before="122" w:line="220" w:lineRule="auto"/>
        <w:ind w:left="499"/>
        <w:rPr>
          <w:rFonts w:ascii="宋体" w:hAnsi="宋体" w:eastAsia="宋体" w:cs="宋体"/>
          <w:sz w:val="24"/>
          <w:szCs w:val="24"/>
          <w:highlight w:val="none"/>
        </w:rPr>
      </w:pPr>
      <w:r>
        <w:rPr>
          <w:rFonts w:ascii="宋体" w:hAnsi="宋体" w:eastAsia="宋体" w:cs="宋体"/>
          <w:spacing w:val="-5"/>
          <w:sz w:val="24"/>
          <w:szCs w:val="24"/>
          <w:highlight w:val="none"/>
        </w:rPr>
        <w:t>14.4.4</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施工组织设计及施工方案；</w:t>
      </w:r>
    </w:p>
    <w:p w14:paraId="03FE3DA3">
      <w:pPr>
        <w:spacing w:before="122" w:line="220" w:lineRule="auto"/>
        <w:ind w:left="499"/>
        <w:rPr>
          <w:rFonts w:ascii="宋体" w:hAnsi="宋体" w:eastAsia="宋体" w:cs="宋体"/>
          <w:sz w:val="24"/>
          <w:szCs w:val="24"/>
          <w:highlight w:val="none"/>
        </w:rPr>
      </w:pPr>
      <w:r>
        <w:rPr>
          <w:rFonts w:ascii="宋体" w:hAnsi="宋体" w:eastAsia="宋体" w:cs="宋体"/>
          <w:spacing w:val="-3"/>
          <w:sz w:val="24"/>
          <w:szCs w:val="24"/>
          <w:highlight w:val="none"/>
        </w:rPr>
        <w:t>14.4.5</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质量验收规范等国家、行业、地方有关技术标准、规范；</w:t>
      </w:r>
    </w:p>
    <w:p w14:paraId="3BD3B3D7">
      <w:pPr>
        <w:spacing w:before="122" w:line="218" w:lineRule="auto"/>
        <w:ind w:left="499"/>
        <w:rPr>
          <w:rFonts w:ascii="宋体" w:hAnsi="宋体" w:eastAsia="宋体" w:cs="宋体"/>
          <w:sz w:val="24"/>
          <w:szCs w:val="24"/>
          <w:highlight w:val="none"/>
        </w:rPr>
      </w:pPr>
      <w:r>
        <w:rPr>
          <w:rFonts w:ascii="宋体" w:hAnsi="宋体" w:eastAsia="宋体" w:cs="宋体"/>
          <w:spacing w:val="-2"/>
          <w:sz w:val="24"/>
          <w:szCs w:val="24"/>
          <w:highlight w:val="none"/>
        </w:rPr>
        <w:t>14.4.6</w:t>
      </w:r>
      <w:r>
        <w:rPr>
          <w:rFonts w:hint="eastAsia" w:ascii="宋体" w:hAnsi="宋体" w:eastAsia="宋体" w:cs="宋体"/>
          <w:spacing w:val="-2"/>
          <w:sz w:val="24"/>
          <w:szCs w:val="24"/>
          <w:highlight w:val="none"/>
          <w:lang w:val="en-US" w:eastAsia="zh-CN"/>
        </w:rPr>
        <w:t xml:space="preserve"> </w:t>
      </w:r>
      <w:r>
        <w:rPr>
          <w:rFonts w:ascii="宋体" w:hAnsi="宋体" w:eastAsia="宋体" w:cs="宋体"/>
          <w:spacing w:val="-2"/>
          <w:sz w:val="24"/>
          <w:szCs w:val="24"/>
          <w:highlight w:val="none"/>
        </w:rPr>
        <w:t>2018</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版《安徽省建设工程工程</w:t>
      </w:r>
      <w:r>
        <w:rPr>
          <w:rFonts w:ascii="宋体" w:hAnsi="宋体" w:eastAsia="宋体" w:cs="宋体"/>
          <w:spacing w:val="-3"/>
          <w:sz w:val="24"/>
          <w:szCs w:val="24"/>
          <w:highlight w:val="none"/>
        </w:rPr>
        <w:t>量清单计价办法》及其配套计价依据；</w:t>
      </w:r>
    </w:p>
    <w:p w14:paraId="427EBE12">
      <w:pPr>
        <w:spacing w:before="125" w:line="218" w:lineRule="auto"/>
        <w:ind w:left="499"/>
        <w:rPr>
          <w:rFonts w:ascii="宋体" w:hAnsi="宋体" w:eastAsia="宋体" w:cs="宋体"/>
          <w:sz w:val="24"/>
          <w:szCs w:val="24"/>
          <w:highlight w:val="none"/>
        </w:rPr>
      </w:pPr>
      <w:r>
        <w:rPr>
          <w:rFonts w:ascii="宋体" w:hAnsi="宋体" w:eastAsia="宋体" w:cs="宋体"/>
          <w:spacing w:val="-3"/>
          <w:sz w:val="24"/>
          <w:szCs w:val="24"/>
          <w:highlight w:val="none"/>
        </w:rPr>
        <w:t>14.4.7</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本工程涉及的人工、材料、机械</w:t>
      </w:r>
      <w:r>
        <w:rPr>
          <w:rFonts w:ascii="宋体" w:hAnsi="宋体" w:eastAsia="宋体" w:cs="宋体"/>
          <w:spacing w:val="-4"/>
          <w:sz w:val="24"/>
          <w:szCs w:val="24"/>
          <w:highlight w:val="none"/>
        </w:rPr>
        <w:t>台班的市场价格；</w:t>
      </w:r>
    </w:p>
    <w:p w14:paraId="33781CDC">
      <w:pPr>
        <w:spacing w:before="124" w:line="220" w:lineRule="auto"/>
        <w:ind w:left="499"/>
        <w:rPr>
          <w:rFonts w:ascii="宋体" w:hAnsi="宋体" w:eastAsia="宋体" w:cs="宋体"/>
          <w:sz w:val="24"/>
          <w:szCs w:val="24"/>
          <w:highlight w:val="none"/>
        </w:rPr>
      </w:pPr>
      <w:r>
        <w:rPr>
          <w:rFonts w:ascii="宋体" w:hAnsi="宋体" w:eastAsia="宋体" w:cs="宋体"/>
          <w:spacing w:val="-5"/>
          <w:sz w:val="24"/>
          <w:szCs w:val="24"/>
          <w:highlight w:val="none"/>
        </w:rPr>
        <w:t>14.4.8</w:t>
      </w:r>
      <w:r>
        <w:rPr>
          <w:rFonts w:ascii="宋体" w:hAnsi="宋体" w:eastAsia="宋体" w:cs="宋体"/>
          <w:spacing w:val="-39"/>
          <w:sz w:val="24"/>
          <w:szCs w:val="24"/>
          <w:highlight w:val="none"/>
        </w:rPr>
        <w:t xml:space="preserve"> </w:t>
      </w:r>
      <w:r>
        <w:rPr>
          <w:rFonts w:ascii="宋体" w:hAnsi="宋体" w:eastAsia="宋体" w:cs="宋体"/>
          <w:spacing w:val="-5"/>
          <w:sz w:val="24"/>
          <w:szCs w:val="24"/>
          <w:highlight w:val="none"/>
        </w:rPr>
        <w:t>施工期间的风险因素。</w:t>
      </w:r>
    </w:p>
    <w:p w14:paraId="44768C34">
      <w:pPr>
        <w:spacing w:before="122" w:line="220" w:lineRule="auto"/>
        <w:ind w:left="499"/>
        <w:rPr>
          <w:rFonts w:ascii="宋体" w:hAnsi="宋体" w:eastAsia="宋体" w:cs="宋体"/>
          <w:sz w:val="24"/>
          <w:szCs w:val="24"/>
          <w:highlight w:val="none"/>
        </w:rPr>
      </w:pPr>
      <w:r>
        <w:rPr>
          <w:rFonts w:ascii="宋体" w:hAnsi="宋体" w:eastAsia="宋体" w:cs="宋体"/>
          <w:spacing w:val="-3"/>
          <w:sz w:val="24"/>
          <w:szCs w:val="24"/>
          <w:highlight w:val="none"/>
        </w:rPr>
        <w:t>14.5</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投标人的费用项目编制原则</w:t>
      </w:r>
    </w:p>
    <w:p w14:paraId="28EA9565">
      <w:pPr>
        <w:spacing w:before="125" w:line="247" w:lineRule="auto"/>
        <w:ind w:left="1" w:right="84" w:firstLine="497"/>
        <w:rPr>
          <w:rFonts w:ascii="宋体" w:hAnsi="宋体" w:eastAsia="宋体" w:cs="宋体"/>
          <w:sz w:val="24"/>
          <w:szCs w:val="24"/>
          <w:highlight w:val="none"/>
        </w:rPr>
      </w:pPr>
      <w:r>
        <w:rPr>
          <w:rFonts w:ascii="宋体" w:hAnsi="宋体" w:eastAsia="宋体" w:cs="宋体"/>
          <w:spacing w:val="-3"/>
          <w:sz w:val="24"/>
          <w:szCs w:val="24"/>
          <w:highlight w:val="none"/>
        </w:rPr>
        <w:t>14.5.1</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措施项目费用应根据自行确定的施工组织设计（施工方案）填写，如遇清单</w:t>
      </w:r>
      <w:r>
        <w:rPr>
          <w:rFonts w:ascii="宋体" w:hAnsi="宋体" w:eastAsia="宋体" w:cs="宋体"/>
          <w:spacing w:val="-2"/>
          <w:sz w:val="24"/>
          <w:szCs w:val="24"/>
          <w:highlight w:val="none"/>
        </w:rPr>
        <w:t>缺项的项目，投标人应依据清单编制的办法进行补充。</w:t>
      </w:r>
    </w:p>
    <w:p w14:paraId="0CCAD793">
      <w:pPr>
        <w:spacing w:before="124" w:line="248" w:lineRule="auto"/>
        <w:ind w:left="3" w:right="66" w:firstLine="495"/>
        <w:rPr>
          <w:rFonts w:ascii="宋体" w:hAnsi="宋体" w:eastAsia="宋体" w:cs="宋体"/>
          <w:sz w:val="24"/>
          <w:szCs w:val="24"/>
          <w:highlight w:val="none"/>
        </w:rPr>
      </w:pPr>
      <w:r>
        <w:rPr>
          <w:rFonts w:ascii="宋体" w:hAnsi="宋体" w:eastAsia="宋体" w:cs="宋体"/>
          <w:spacing w:val="-2"/>
          <w:sz w:val="24"/>
          <w:szCs w:val="24"/>
          <w:highlight w:val="none"/>
        </w:rPr>
        <w:t>14.5.2</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其他项目费用，如总包服务费，承包人应根</w:t>
      </w:r>
      <w:r>
        <w:rPr>
          <w:rFonts w:ascii="宋体" w:hAnsi="宋体" w:eastAsia="宋体" w:cs="宋体"/>
          <w:spacing w:val="-3"/>
          <w:sz w:val="24"/>
          <w:szCs w:val="24"/>
          <w:highlight w:val="none"/>
        </w:rPr>
        <w:t>据发包人提出的工程分包项目，</w:t>
      </w:r>
      <w:r>
        <w:rPr>
          <w:rFonts w:ascii="宋体" w:hAnsi="宋体" w:eastAsia="宋体" w:cs="宋体"/>
          <w:spacing w:val="-4"/>
          <w:sz w:val="24"/>
          <w:szCs w:val="24"/>
          <w:highlight w:val="none"/>
        </w:rPr>
        <w:t>按规定或自主确定费用。</w:t>
      </w:r>
    </w:p>
    <w:p w14:paraId="34233E2B">
      <w:pPr>
        <w:spacing w:before="126" w:line="257" w:lineRule="auto"/>
        <w:ind w:left="1" w:right="85" w:firstLine="497"/>
        <w:rPr>
          <w:rFonts w:ascii="宋体" w:hAnsi="宋体" w:eastAsia="宋体" w:cs="宋体"/>
          <w:sz w:val="24"/>
          <w:szCs w:val="24"/>
          <w:highlight w:val="none"/>
        </w:rPr>
      </w:pPr>
      <w:r>
        <w:rPr>
          <w:rFonts w:ascii="宋体" w:hAnsi="宋体" w:eastAsia="宋体" w:cs="宋体"/>
          <w:spacing w:val="-3"/>
          <w:sz w:val="24"/>
          <w:szCs w:val="24"/>
          <w:highlight w:val="none"/>
        </w:rPr>
        <w:t>14.5.3</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其他项目清单中招标人的暂列金额、专业工程暂估价均为估算金额。投标时</w:t>
      </w:r>
      <w:r>
        <w:rPr>
          <w:rFonts w:ascii="宋体" w:hAnsi="宋体" w:eastAsia="宋体" w:cs="宋体"/>
          <w:spacing w:val="-1"/>
          <w:sz w:val="24"/>
          <w:szCs w:val="24"/>
          <w:highlight w:val="none"/>
        </w:rPr>
        <w:t>计入投标总价，工程竣工后应按承包人实际完成的工程内容及本招标文件中规定的计价</w:t>
      </w:r>
      <w:r>
        <w:rPr>
          <w:rFonts w:ascii="宋体" w:hAnsi="宋体" w:eastAsia="宋体" w:cs="宋体"/>
          <w:spacing w:val="-8"/>
          <w:sz w:val="24"/>
          <w:szCs w:val="24"/>
          <w:highlight w:val="none"/>
        </w:rPr>
        <w:t>方式结算。</w:t>
      </w:r>
    </w:p>
    <w:p w14:paraId="7155B8AC">
      <w:pPr>
        <w:spacing w:before="124" w:line="257" w:lineRule="auto"/>
        <w:ind w:left="3" w:right="47" w:firstLine="495"/>
        <w:rPr>
          <w:rFonts w:ascii="宋体" w:hAnsi="宋体" w:eastAsia="宋体" w:cs="宋体"/>
          <w:sz w:val="24"/>
          <w:szCs w:val="24"/>
          <w:highlight w:val="none"/>
        </w:rPr>
      </w:pPr>
      <w:r>
        <w:rPr>
          <w:rFonts w:ascii="宋体" w:hAnsi="宋体" w:eastAsia="宋体" w:cs="宋体"/>
          <w:spacing w:val="-2"/>
          <w:sz w:val="24"/>
          <w:szCs w:val="24"/>
          <w:highlight w:val="none"/>
        </w:rPr>
        <w:t>14.5.4</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投标人应当按照企业定额或者安徽省建设厅发布的消耗量定额、取费标准、</w:t>
      </w:r>
      <w:r>
        <w:rPr>
          <w:rFonts w:ascii="宋体" w:hAnsi="宋体" w:eastAsia="宋体" w:cs="宋体"/>
          <w:spacing w:val="-1"/>
          <w:sz w:val="24"/>
          <w:szCs w:val="24"/>
          <w:highlight w:val="none"/>
        </w:rPr>
        <w:t>人工预算单价和施工机械台班预算单价以及材料市场价格信息等，根据自身实力、施工</w:t>
      </w:r>
      <w:r>
        <w:rPr>
          <w:rFonts w:ascii="宋体" w:hAnsi="宋体" w:eastAsia="宋体" w:cs="宋体"/>
          <w:spacing w:val="-2"/>
          <w:sz w:val="24"/>
          <w:szCs w:val="24"/>
          <w:highlight w:val="none"/>
        </w:rPr>
        <w:t>经验、现场环境以及招标文件的要求，由投标人自主报价。</w:t>
      </w:r>
    </w:p>
    <w:p w14:paraId="206FE046">
      <w:pPr>
        <w:spacing w:before="87" w:line="220" w:lineRule="auto"/>
        <w:ind w:left="31"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14.6</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投标人的报价由不可竞争费用和可竞争费用构成。不可竞争费用（安全文</w:t>
      </w:r>
      <w:r>
        <w:rPr>
          <w:rFonts w:ascii="宋体" w:hAnsi="宋体" w:eastAsia="宋体" w:cs="宋体"/>
          <w:spacing w:val="-4"/>
          <w:sz w:val="24"/>
          <w:szCs w:val="24"/>
          <w:highlight w:val="none"/>
        </w:rPr>
        <w:t>明施</w:t>
      </w:r>
      <w:r>
        <w:rPr>
          <w:rFonts w:ascii="宋体" w:hAnsi="宋体" w:eastAsia="宋体" w:cs="宋体"/>
          <w:spacing w:val="-2"/>
          <w:sz w:val="24"/>
          <w:szCs w:val="24"/>
          <w:highlight w:val="none"/>
        </w:rPr>
        <w:t>工费等）应严格执行下表有关费用标准，不得降低标准进行竞标。</w:t>
      </w:r>
    </w:p>
    <w:p w14:paraId="54626937">
      <w:pPr>
        <w:spacing w:before="122" w:line="220" w:lineRule="auto"/>
        <w:ind w:left="526"/>
        <w:rPr>
          <w:rFonts w:ascii="宋体" w:hAnsi="宋体" w:eastAsia="宋体" w:cs="宋体"/>
          <w:sz w:val="24"/>
          <w:szCs w:val="24"/>
          <w:highlight w:val="none"/>
        </w:rPr>
      </w:pPr>
      <w:r>
        <w:rPr>
          <w:rFonts w:ascii="宋体" w:hAnsi="宋体" w:eastAsia="宋体" w:cs="宋体"/>
          <w:spacing w:val="-6"/>
          <w:sz w:val="24"/>
          <w:szCs w:val="24"/>
          <w:highlight w:val="none"/>
        </w:rPr>
        <w:t>14.6.1</w:t>
      </w:r>
      <w:r>
        <w:rPr>
          <w:rFonts w:ascii="宋体" w:hAnsi="宋体" w:eastAsia="宋体" w:cs="宋体"/>
          <w:spacing w:val="-46"/>
          <w:sz w:val="24"/>
          <w:szCs w:val="24"/>
          <w:highlight w:val="none"/>
        </w:rPr>
        <w:t xml:space="preserve"> </w:t>
      </w:r>
      <w:r>
        <w:rPr>
          <w:rFonts w:ascii="宋体" w:hAnsi="宋体" w:eastAsia="宋体" w:cs="宋体"/>
          <w:spacing w:val="-6"/>
          <w:sz w:val="24"/>
          <w:szCs w:val="24"/>
          <w:highlight w:val="none"/>
        </w:rPr>
        <w:t>不可竞争费用包括：</w:t>
      </w:r>
    </w:p>
    <w:p w14:paraId="215A9B6A">
      <w:pPr>
        <w:spacing w:before="124" w:line="220" w:lineRule="auto"/>
        <w:ind w:left="526"/>
        <w:rPr>
          <w:rFonts w:ascii="宋体" w:hAnsi="宋体" w:eastAsia="宋体" w:cs="宋体"/>
          <w:sz w:val="24"/>
          <w:szCs w:val="24"/>
          <w:highlight w:val="none"/>
        </w:rPr>
      </w:pPr>
      <w:r>
        <w:rPr>
          <w:rFonts w:ascii="宋体" w:hAnsi="宋体" w:eastAsia="宋体" w:cs="宋体"/>
          <w:spacing w:val="-3"/>
          <w:sz w:val="24"/>
          <w:szCs w:val="24"/>
          <w:highlight w:val="none"/>
        </w:rPr>
        <w:t>1）安全文明施工费（见下表）</w:t>
      </w:r>
    </w:p>
    <w:p w14:paraId="2ABCA355">
      <w:pPr>
        <w:spacing w:before="74" w:line="214" w:lineRule="auto"/>
        <w:ind w:left="3265"/>
        <w:rPr>
          <w:rFonts w:ascii="宋体" w:hAnsi="宋体" w:eastAsia="宋体" w:cs="宋体"/>
          <w:sz w:val="24"/>
          <w:szCs w:val="24"/>
          <w:highlight w:val="none"/>
        </w:rPr>
      </w:pPr>
      <w:r>
        <w:rPr>
          <w:rFonts w:ascii="宋体" w:hAnsi="宋体" w:eastAsia="宋体" w:cs="宋体"/>
          <w:spacing w:val="-2"/>
          <w:sz w:val="24"/>
          <w:szCs w:val="24"/>
          <w:highlight w:val="none"/>
        </w:rPr>
        <w:t>一、建筑工程不可竞争费费率</w:t>
      </w:r>
    </w:p>
    <w:tbl>
      <w:tblPr>
        <w:tblStyle w:val="24"/>
        <w:tblW w:w="9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3"/>
        <w:gridCol w:w="3846"/>
        <w:gridCol w:w="2327"/>
        <w:gridCol w:w="254"/>
        <w:gridCol w:w="1262"/>
      </w:tblGrid>
      <w:tr w14:paraId="38E9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333" w:type="dxa"/>
            <w:vAlign w:val="top"/>
          </w:tcPr>
          <w:p w14:paraId="62BBEFC5">
            <w:pPr>
              <w:spacing w:before="162" w:line="220" w:lineRule="auto"/>
              <w:ind w:left="195"/>
              <w:rPr>
                <w:rFonts w:ascii="宋体" w:hAnsi="宋体" w:eastAsia="宋体" w:cs="宋体"/>
                <w:sz w:val="24"/>
                <w:szCs w:val="24"/>
                <w:highlight w:val="none"/>
              </w:rPr>
            </w:pPr>
            <w:r>
              <w:rPr>
                <w:rFonts w:ascii="宋体" w:hAnsi="宋体" w:eastAsia="宋体" w:cs="宋体"/>
                <w:spacing w:val="-3"/>
                <w:sz w:val="24"/>
                <w:szCs w:val="24"/>
                <w:highlight w:val="none"/>
              </w:rPr>
              <w:t>项目编码</w:t>
            </w:r>
          </w:p>
        </w:tc>
        <w:tc>
          <w:tcPr>
            <w:tcW w:w="3846" w:type="dxa"/>
            <w:vAlign w:val="top"/>
          </w:tcPr>
          <w:p w14:paraId="04671C38">
            <w:pPr>
              <w:spacing w:before="163" w:line="220" w:lineRule="auto"/>
              <w:ind w:left="1450"/>
              <w:rPr>
                <w:rFonts w:ascii="宋体" w:hAnsi="宋体" w:eastAsia="宋体" w:cs="宋体"/>
                <w:sz w:val="24"/>
                <w:szCs w:val="24"/>
                <w:highlight w:val="none"/>
              </w:rPr>
            </w:pPr>
            <w:r>
              <w:rPr>
                <w:rFonts w:ascii="宋体" w:hAnsi="宋体" w:eastAsia="宋体" w:cs="宋体"/>
                <w:spacing w:val="-3"/>
                <w:sz w:val="24"/>
                <w:szCs w:val="24"/>
                <w:highlight w:val="none"/>
              </w:rPr>
              <w:t>项目名称</w:t>
            </w:r>
          </w:p>
        </w:tc>
        <w:tc>
          <w:tcPr>
            <w:tcW w:w="2581" w:type="dxa"/>
            <w:gridSpan w:val="2"/>
            <w:vAlign w:val="top"/>
          </w:tcPr>
          <w:p w14:paraId="74C5E8E5">
            <w:pPr>
              <w:spacing w:before="163" w:line="220" w:lineRule="auto"/>
              <w:ind w:left="819"/>
              <w:rPr>
                <w:rFonts w:ascii="宋体" w:hAnsi="宋体" w:eastAsia="宋体" w:cs="宋体"/>
                <w:sz w:val="24"/>
                <w:szCs w:val="24"/>
                <w:highlight w:val="none"/>
              </w:rPr>
            </w:pPr>
            <w:r>
              <w:rPr>
                <w:rFonts w:ascii="宋体" w:hAnsi="宋体" w:eastAsia="宋体" w:cs="宋体"/>
                <w:spacing w:val="-2"/>
                <w:sz w:val="24"/>
                <w:szCs w:val="24"/>
                <w:highlight w:val="none"/>
              </w:rPr>
              <w:t>计费基础</w:t>
            </w:r>
          </w:p>
        </w:tc>
        <w:tc>
          <w:tcPr>
            <w:tcW w:w="1262" w:type="dxa"/>
            <w:vAlign w:val="top"/>
          </w:tcPr>
          <w:p w14:paraId="5F545958">
            <w:pPr>
              <w:spacing w:before="162" w:line="220" w:lineRule="auto"/>
              <w:ind w:left="131"/>
              <w:rPr>
                <w:rFonts w:ascii="宋体" w:hAnsi="宋体" w:eastAsia="宋体" w:cs="宋体"/>
                <w:sz w:val="24"/>
                <w:szCs w:val="24"/>
                <w:highlight w:val="none"/>
              </w:rPr>
            </w:pPr>
            <w:r>
              <w:rPr>
                <w:rFonts w:ascii="宋体" w:hAnsi="宋体" w:eastAsia="宋体" w:cs="宋体"/>
                <w:spacing w:val="-5"/>
                <w:sz w:val="24"/>
                <w:szCs w:val="24"/>
                <w:highlight w:val="none"/>
              </w:rPr>
              <w:t>费率（%）</w:t>
            </w:r>
          </w:p>
        </w:tc>
      </w:tr>
      <w:tr w14:paraId="0B3F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33" w:type="dxa"/>
            <w:vAlign w:val="top"/>
          </w:tcPr>
          <w:p w14:paraId="175AA803">
            <w:pPr>
              <w:spacing w:before="156" w:line="232" w:lineRule="auto"/>
              <w:ind w:left="317"/>
              <w:rPr>
                <w:rFonts w:ascii="宋体" w:hAnsi="宋体" w:eastAsia="宋体" w:cs="宋体"/>
                <w:sz w:val="24"/>
                <w:szCs w:val="24"/>
                <w:highlight w:val="none"/>
              </w:rPr>
            </w:pPr>
            <w:r>
              <w:rPr>
                <w:rFonts w:ascii="宋体" w:hAnsi="宋体" w:eastAsia="宋体" w:cs="宋体"/>
                <w:spacing w:val="-6"/>
                <w:sz w:val="24"/>
                <w:szCs w:val="24"/>
                <w:highlight w:val="none"/>
              </w:rPr>
              <w:t>（一）</w:t>
            </w:r>
          </w:p>
        </w:tc>
        <w:tc>
          <w:tcPr>
            <w:tcW w:w="3846" w:type="dxa"/>
            <w:tcBorders>
              <w:right w:val="nil"/>
            </w:tcBorders>
            <w:vAlign w:val="top"/>
          </w:tcPr>
          <w:p w14:paraId="616525E2">
            <w:pPr>
              <w:spacing w:before="156" w:line="220" w:lineRule="auto"/>
              <w:ind w:left="116"/>
              <w:jc w:val="center"/>
              <w:rPr>
                <w:rFonts w:ascii="宋体" w:hAnsi="宋体" w:eastAsia="宋体" w:cs="宋体"/>
                <w:sz w:val="24"/>
                <w:szCs w:val="24"/>
                <w:highlight w:val="none"/>
              </w:rPr>
            </w:pPr>
            <w:r>
              <w:rPr>
                <w:rFonts w:ascii="宋体" w:hAnsi="宋体" w:eastAsia="宋体" w:cs="宋体"/>
                <w:spacing w:val="-2"/>
                <w:sz w:val="24"/>
                <w:szCs w:val="24"/>
                <w:highlight w:val="none"/>
              </w:rPr>
              <w:t>安全文明施工费</w:t>
            </w:r>
          </w:p>
        </w:tc>
        <w:tc>
          <w:tcPr>
            <w:tcW w:w="2581" w:type="dxa"/>
            <w:gridSpan w:val="2"/>
            <w:tcBorders>
              <w:left w:val="nil"/>
              <w:right w:val="nil"/>
            </w:tcBorders>
            <w:vAlign w:val="top"/>
          </w:tcPr>
          <w:p w14:paraId="224DCB45">
            <w:pPr>
              <w:rPr>
                <w:rFonts w:ascii="Arial"/>
                <w:sz w:val="21"/>
                <w:highlight w:val="none"/>
              </w:rPr>
            </w:pPr>
          </w:p>
        </w:tc>
        <w:tc>
          <w:tcPr>
            <w:tcW w:w="1262" w:type="dxa"/>
            <w:tcBorders>
              <w:left w:val="nil"/>
            </w:tcBorders>
            <w:vAlign w:val="top"/>
          </w:tcPr>
          <w:p w14:paraId="0C46A4EE">
            <w:pPr>
              <w:rPr>
                <w:rFonts w:ascii="Arial"/>
                <w:sz w:val="21"/>
                <w:highlight w:val="none"/>
              </w:rPr>
            </w:pPr>
          </w:p>
        </w:tc>
      </w:tr>
      <w:tr w14:paraId="091F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33" w:type="dxa"/>
            <w:vAlign w:val="top"/>
          </w:tcPr>
          <w:p w14:paraId="229B4019">
            <w:pPr>
              <w:spacing w:before="159" w:line="218" w:lineRule="auto"/>
              <w:ind w:left="310"/>
              <w:rPr>
                <w:rFonts w:ascii="宋体" w:hAnsi="宋体" w:eastAsia="宋体" w:cs="宋体"/>
                <w:sz w:val="24"/>
                <w:szCs w:val="24"/>
                <w:highlight w:val="none"/>
              </w:rPr>
            </w:pPr>
            <w:r>
              <w:rPr>
                <w:rFonts w:ascii="宋体" w:hAnsi="宋体" w:eastAsia="宋体" w:cs="宋体"/>
                <w:spacing w:val="-2"/>
                <w:sz w:val="24"/>
                <w:szCs w:val="24"/>
                <w:highlight w:val="none"/>
              </w:rPr>
              <w:t>JF－01</w:t>
            </w:r>
          </w:p>
        </w:tc>
        <w:tc>
          <w:tcPr>
            <w:tcW w:w="3846" w:type="dxa"/>
            <w:vAlign w:val="top"/>
          </w:tcPr>
          <w:p w14:paraId="18FC6F13">
            <w:pPr>
              <w:spacing w:before="159" w:line="220" w:lineRule="auto"/>
              <w:ind w:left="1326"/>
              <w:rPr>
                <w:rFonts w:ascii="宋体" w:hAnsi="宋体" w:eastAsia="宋体" w:cs="宋体"/>
                <w:sz w:val="24"/>
                <w:szCs w:val="24"/>
                <w:highlight w:val="none"/>
              </w:rPr>
            </w:pPr>
            <w:r>
              <w:rPr>
                <w:rFonts w:ascii="宋体" w:hAnsi="宋体" w:eastAsia="宋体" w:cs="宋体"/>
                <w:spacing w:val="-2"/>
                <w:sz w:val="24"/>
                <w:szCs w:val="24"/>
                <w:highlight w:val="none"/>
              </w:rPr>
              <w:t>环境保护费</w:t>
            </w:r>
          </w:p>
        </w:tc>
        <w:tc>
          <w:tcPr>
            <w:tcW w:w="2327" w:type="dxa"/>
            <w:vMerge w:val="restart"/>
            <w:tcBorders>
              <w:bottom w:val="nil"/>
            </w:tcBorders>
            <w:vAlign w:val="top"/>
          </w:tcPr>
          <w:p w14:paraId="7CFB1803">
            <w:pPr>
              <w:spacing w:line="257" w:lineRule="auto"/>
              <w:rPr>
                <w:rFonts w:ascii="Arial"/>
                <w:sz w:val="21"/>
                <w:highlight w:val="none"/>
              </w:rPr>
            </w:pPr>
          </w:p>
          <w:p w14:paraId="2C2EC7E7">
            <w:pPr>
              <w:spacing w:line="257" w:lineRule="auto"/>
              <w:rPr>
                <w:rFonts w:ascii="Arial"/>
                <w:sz w:val="21"/>
                <w:highlight w:val="none"/>
              </w:rPr>
            </w:pPr>
          </w:p>
          <w:p w14:paraId="667E5D60">
            <w:pPr>
              <w:spacing w:line="257" w:lineRule="auto"/>
              <w:rPr>
                <w:rFonts w:ascii="Arial"/>
                <w:sz w:val="21"/>
                <w:highlight w:val="none"/>
              </w:rPr>
            </w:pPr>
          </w:p>
          <w:p w14:paraId="1BC1E017">
            <w:pPr>
              <w:spacing w:before="78" w:line="243" w:lineRule="auto"/>
              <w:ind w:left="930" w:right="139" w:hanging="773"/>
              <w:rPr>
                <w:rFonts w:ascii="宋体" w:hAnsi="宋体" w:eastAsia="宋体" w:cs="宋体"/>
                <w:sz w:val="24"/>
                <w:szCs w:val="24"/>
                <w:highlight w:val="none"/>
              </w:rPr>
            </w:pPr>
            <w:r>
              <w:rPr>
                <w:rFonts w:ascii="宋体" w:hAnsi="宋体" w:eastAsia="宋体" w:cs="宋体"/>
                <w:spacing w:val="-2"/>
                <w:sz w:val="24"/>
                <w:szCs w:val="24"/>
                <w:highlight w:val="none"/>
              </w:rPr>
              <w:t>定额人工费+定额机</w:t>
            </w:r>
            <w:r>
              <w:rPr>
                <w:rFonts w:ascii="宋体" w:hAnsi="宋体" w:eastAsia="宋体" w:cs="宋体"/>
                <w:spacing w:val="-3"/>
                <w:sz w:val="24"/>
                <w:szCs w:val="24"/>
                <w:highlight w:val="none"/>
              </w:rPr>
              <w:t>械费</w:t>
            </w:r>
          </w:p>
        </w:tc>
        <w:tc>
          <w:tcPr>
            <w:tcW w:w="254" w:type="dxa"/>
            <w:tcBorders>
              <w:right w:val="nil"/>
            </w:tcBorders>
            <w:vAlign w:val="top"/>
          </w:tcPr>
          <w:p w14:paraId="64F8B734">
            <w:pPr>
              <w:rPr>
                <w:rFonts w:ascii="Arial"/>
                <w:sz w:val="21"/>
                <w:highlight w:val="none"/>
              </w:rPr>
            </w:pPr>
          </w:p>
        </w:tc>
        <w:tc>
          <w:tcPr>
            <w:tcW w:w="1262" w:type="dxa"/>
            <w:tcBorders>
              <w:left w:val="nil"/>
            </w:tcBorders>
            <w:vAlign w:val="top"/>
          </w:tcPr>
          <w:p w14:paraId="614C2296">
            <w:pPr>
              <w:spacing w:before="159" w:line="239" w:lineRule="auto"/>
              <w:ind w:left="276"/>
              <w:rPr>
                <w:rFonts w:ascii="宋体" w:hAnsi="宋体" w:eastAsia="宋体" w:cs="宋体"/>
                <w:sz w:val="24"/>
                <w:szCs w:val="24"/>
                <w:highlight w:val="none"/>
              </w:rPr>
            </w:pPr>
            <w:r>
              <w:rPr>
                <w:rFonts w:ascii="宋体" w:hAnsi="宋体" w:eastAsia="宋体" w:cs="宋体"/>
                <w:spacing w:val="-3"/>
                <w:sz w:val="24"/>
                <w:szCs w:val="24"/>
                <w:highlight w:val="none"/>
              </w:rPr>
              <w:t>3.28</w:t>
            </w:r>
          </w:p>
        </w:tc>
      </w:tr>
      <w:tr w14:paraId="3FE6E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1333" w:type="dxa"/>
            <w:vAlign w:val="top"/>
          </w:tcPr>
          <w:p w14:paraId="17834C81">
            <w:pPr>
              <w:spacing w:before="160" w:line="218" w:lineRule="auto"/>
              <w:ind w:left="310"/>
              <w:rPr>
                <w:rFonts w:ascii="宋体" w:hAnsi="宋体" w:eastAsia="宋体" w:cs="宋体"/>
                <w:sz w:val="24"/>
                <w:szCs w:val="24"/>
                <w:highlight w:val="none"/>
              </w:rPr>
            </w:pPr>
            <w:r>
              <w:rPr>
                <w:rFonts w:ascii="宋体" w:hAnsi="宋体" w:eastAsia="宋体" w:cs="宋体"/>
                <w:spacing w:val="-2"/>
                <w:sz w:val="24"/>
                <w:szCs w:val="24"/>
                <w:highlight w:val="none"/>
              </w:rPr>
              <w:t>JF－02</w:t>
            </w:r>
          </w:p>
        </w:tc>
        <w:tc>
          <w:tcPr>
            <w:tcW w:w="3846" w:type="dxa"/>
            <w:vAlign w:val="top"/>
          </w:tcPr>
          <w:p w14:paraId="07DD834B">
            <w:pPr>
              <w:spacing w:before="159" w:line="220" w:lineRule="auto"/>
              <w:ind w:left="1328"/>
              <w:rPr>
                <w:rFonts w:ascii="宋体" w:hAnsi="宋体" w:eastAsia="宋体" w:cs="宋体"/>
                <w:sz w:val="24"/>
                <w:szCs w:val="24"/>
                <w:highlight w:val="none"/>
              </w:rPr>
            </w:pPr>
            <w:r>
              <w:rPr>
                <w:rFonts w:ascii="宋体" w:hAnsi="宋体" w:eastAsia="宋体" w:cs="宋体"/>
                <w:spacing w:val="-2"/>
                <w:sz w:val="24"/>
                <w:szCs w:val="24"/>
                <w:highlight w:val="none"/>
              </w:rPr>
              <w:t>文明施工费</w:t>
            </w:r>
          </w:p>
        </w:tc>
        <w:tc>
          <w:tcPr>
            <w:tcW w:w="2327" w:type="dxa"/>
            <w:vMerge w:val="continue"/>
            <w:tcBorders>
              <w:top w:val="nil"/>
              <w:bottom w:val="nil"/>
            </w:tcBorders>
            <w:vAlign w:val="top"/>
          </w:tcPr>
          <w:p w14:paraId="0587466C">
            <w:pPr>
              <w:rPr>
                <w:rFonts w:ascii="Arial"/>
                <w:sz w:val="21"/>
                <w:highlight w:val="none"/>
              </w:rPr>
            </w:pPr>
          </w:p>
        </w:tc>
        <w:tc>
          <w:tcPr>
            <w:tcW w:w="254" w:type="dxa"/>
            <w:tcBorders>
              <w:right w:val="nil"/>
            </w:tcBorders>
            <w:vAlign w:val="top"/>
          </w:tcPr>
          <w:p w14:paraId="6D84EDE3">
            <w:pPr>
              <w:rPr>
                <w:rFonts w:ascii="Arial"/>
                <w:sz w:val="21"/>
                <w:highlight w:val="none"/>
              </w:rPr>
            </w:pPr>
          </w:p>
        </w:tc>
        <w:tc>
          <w:tcPr>
            <w:tcW w:w="1262" w:type="dxa"/>
            <w:tcBorders>
              <w:left w:val="nil"/>
            </w:tcBorders>
            <w:vAlign w:val="top"/>
          </w:tcPr>
          <w:p w14:paraId="67D52CE5">
            <w:pPr>
              <w:spacing w:before="160" w:line="239" w:lineRule="auto"/>
              <w:ind w:left="276"/>
              <w:rPr>
                <w:rFonts w:ascii="宋体" w:hAnsi="宋体" w:eastAsia="宋体" w:cs="宋体"/>
                <w:sz w:val="24"/>
                <w:szCs w:val="24"/>
                <w:highlight w:val="none"/>
              </w:rPr>
            </w:pPr>
            <w:r>
              <w:rPr>
                <w:rFonts w:ascii="宋体" w:hAnsi="宋体" w:eastAsia="宋体" w:cs="宋体"/>
                <w:spacing w:val="-3"/>
                <w:sz w:val="24"/>
                <w:szCs w:val="24"/>
                <w:highlight w:val="none"/>
              </w:rPr>
              <w:t>5.12</w:t>
            </w:r>
          </w:p>
        </w:tc>
      </w:tr>
      <w:tr w14:paraId="0E53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333" w:type="dxa"/>
            <w:vAlign w:val="top"/>
          </w:tcPr>
          <w:p w14:paraId="2F48BF7D">
            <w:pPr>
              <w:spacing w:before="159" w:line="218" w:lineRule="auto"/>
              <w:ind w:left="310"/>
              <w:rPr>
                <w:rFonts w:ascii="宋体" w:hAnsi="宋体" w:eastAsia="宋体" w:cs="宋体"/>
                <w:sz w:val="24"/>
                <w:szCs w:val="24"/>
                <w:highlight w:val="none"/>
              </w:rPr>
            </w:pPr>
            <w:r>
              <w:rPr>
                <w:rFonts w:ascii="宋体" w:hAnsi="宋体" w:eastAsia="宋体" w:cs="宋体"/>
                <w:spacing w:val="-2"/>
                <w:sz w:val="24"/>
                <w:szCs w:val="24"/>
                <w:highlight w:val="none"/>
              </w:rPr>
              <w:t>JF－03</w:t>
            </w:r>
          </w:p>
        </w:tc>
        <w:tc>
          <w:tcPr>
            <w:tcW w:w="3846" w:type="dxa"/>
            <w:vAlign w:val="top"/>
          </w:tcPr>
          <w:p w14:paraId="2EC10F9C">
            <w:pPr>
              <w:spacing w:before="159" w:line="220" w:lineRule="auto"/>
              <w:ind w:left="1331"/>
              <w:rPr>
                <w:rFonts w:ascii="宋体" w:hAnsi="宋体" w:eastAsia="宋体" w:cs="宋体"/>
                <w:sz w:val="24"/>
                <w:szCs w:val="24"/>
                <w:highlight w:val="none"/>
              </w:rPr>
            </w:pPr>
            <w:r>
              <w:rPr>
                <w:rFonts w:ascii="宋体" w:hAnsi="宋体" w:eastAsia="宋体" w:cs="宋体"/>
                <w:spacing w:val="-3"/>
                <w:sz w:val="24"/>
                <w:szCs w:val="24"/>
                <w:highlight w:val="none"/>
              </w:rPr>
              <w:t>安全施工费</w:t>
            </w:r>
          </w:p>
        </w:tc>
        <w:tc>
          <w:tcPr>
            <w:tcW w:w="2327" w:type="dxa"/>
            <w:vMerge w:val="continue"/>
            <w:tcBorders>
              <w:top w:val="nil"/>
              <w:bottom w:val="nil"/>
            </w:tcBorders>
            <w:vAlign w:val="top"/>
          </w:tcPr>
          <w:p w14:paraId="61A42B56">
            <w:pPr>
              <w:rPr>
                <w:rFonts w:ascii="Arial"/>
                <w:sz w:val="21"/>
                <w:highlight w:val="none"/>
              </w:rPr>
            </w:pPr>
          </w:p>
        </w:tc>
        <w:tc>
          <w:tcPr>
            <w:tcW w:w="254" w:type="dxa"/>
            <w:tcBorders>
              <w:right w:val="nil"/>
            </w:tcBorders>
            <w:vAlign w:val="top"/>
          </w:tcPr>
          <w:p w14:paraId="2921FE1A">
            <w:pPr>
              <w:rPr>
                <w:rFonts w:ascii="Arial"/>
                <w:sz w:val="21"/>
                <w:highlight w:val="none"/>
              </w:rPr>
            </w:pPr>
          </w:p>
        </w:tc>
        <w:tc>
          <w:tcPr>
            <w:tcW w:w="1262" w:type="dxa"/>
            <w:tcBorders>
              <w:left w:val="nil"/>
            </w:tcBorders>
            <w:vAlign w:val="top"/>
          </w:tcPr>
          <w:p w14:paraId="18F304FB">
            <w:pPr>
              <w:spacing w:before="159" w:line="239" w:lineRule="auto"/>
              <w:ind w:left="270"/>
              <w:rPr>
                <w:rFonts w:ascii="宋体" w:hAnsi="宋体" w:eastAsia="宋体" w:cs="宋体"/>
                <w:sz w:val="24"/>
                <w:szCs w:val="24"/>
                <w:highlight w:val="none"/>
              </w:rPr>
            </w:pPr>
            <w:r>
              <w:rPr>
                <w:rFonts w:ascii="宋体" w:hAnsi="宋体" w:eastAsia="宋体" w:cs="宋体"/>
                <w:spacing w:val="-2"/>
                <w:sz w:val="24"/>
                <w:szCs w:val="24"/>
                <w:highlight w:val="none"/>
              </w:rPr>
              <w:t>4.13</w:t>
            </w:r>
          </w:p>
        </w:tc>
      </w:tr>
      <w:tr w14:paraId="0A308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1333" w:type="dxa"/>
            <w:vAlign w:val="top"/>
          </w:tcPr>
          <w:p w14:paraId="0C9433F3">
            <w:pPr>
              <w:spacing w:before="162" w:line="218" w:lineRule="auto"/>
              <w:ind w:left="310"/>
              <w:rPr>
                <w:rFonts w:ascii="宋体" w:hAnsi="宋体" w:eastAsia="宋体" w:cs="宋体"/>
                <w:sz w:val="24"/>
                <w:szCs w:val="24"/>
                <w:highlight w:val="none"/>
              </w:rPr>
            </w:pPr>
            <w:r>
              <w:rPr>
                <w:rFonts w:ascii="宋体" w:hAnsi="宋体" w:eastAsia="宋体" w:cs="宋体"/>
                <w:spacing w:val="-2"/>
                <w:sz w:val="24"/>
                <w:szCs w:val="24"/>
                <w:highlight w:val="none"/>
              </w:rPr>
              <w:t>JF－04</w:t>
            </w:r>
          </w:p>
        </w:tc>
        <w:tc>
          <w:tcPr>
            <w:tcW w:w="3846" w:type="dxa"/>
            <w:vAlign w:val="top"/>
          </w:tcPr>
          <w:p w14:paraId="000C9A15">
            <w:pPr>
              <w:spacing w:before="161" w:line="220" w:lineRule="auto"/>
              <w:ind w:left="1339"/>
              <w:rPr>
                <w:rFonts w:ascii="宋体" w:hAnsi="宋体" w:eastAsia="宋体" w:cs="宋体"/>
                <w:sz w:val="24"/>
                <w:szCs w:val="24"/>
                <w:highlight w:val="none"/>
              </w:rPr>
            </w:pPr>
            <w:r>
              <w:rPr>
                <w:rFonts w:ascii="宋体" w:hAnsi="宋体" w:eastAsia="宋体" w:cs="宋体"/>
                <w:spacing w:val="-4"/>
                <w:sz w:val="24"/>
                <w:szCs w:val="24"/>
                <w:highlight w:val="none"/>
              </w:rPr>
              <w:t>临时设施费</w:t>
            </w:r>
          </w:p>
        </w:tc>
        <w:tc>
          <w:tcPr>
            <w:tcW w:w="2327" w:type="dxa"/>
            <w:vMerge w:val="continue"/>
            <w:tcBorders>
              <w:top w:val="nil"/>
            </w:tcBorders>
            <w:vAlign w:val="top"/>
          </w:tcPr>
          <w:p w14:paraId="6CF69879">
            <w:pPr>
              <w:rPr>
                <w:rFonts w:ascii="Arial"/>
                <w:sz w:val="21"/>
                <w:highlight w:val="none"/>
              </w:rPr>
            </w:pPr>
          </w:p>
        </w:tc>
        <w:tc>
          <w:tcPr>
            <w:tcW w:w="254" w:type="dxa"/>
            <w:tcBorders>
              <w:right w:val="nil"/>
            </w:tcBorders>
            <w:vAlign w:val="top"/>
          </w:tcPr>
          <w:p w14:paraId="538FD5F8">
            <w:pPr>
              <w:rPr>
                <w:rFonts w:ascii="Arial"/>
                <w:sz w:val="21"/>
                <w:highlight w:val="none"/>
              </w:rPr>
            </w:pPr>
          </w:p>
        </w:tc>
        <w:tc>
          <w:tcPr>
            <w:tcW w:w="1262" w:type="dxa"/>
            <w:tcBorders>
              <w:left w:val="nil"/>
            </w:tcBorders>
            <w:vAlign w:val="top"/>
          </w:tcPr>
          <w:p w14:paraId="38782853">
            <w:pPr>
              <w:spacing w:before="162" w:line="239" w:lineRule="auto"/>
              <w:ind w:left="332"/>
              <w:rPr>
                <w:rFonts w:ascii="宋体" w:hAnsi="宋体" w:eastAsia="宋体" w:cs="宋体"/>
                <w:sz w:val="24"/>
                <w:szCs w:val="24"/>
                <w:highlight w:val="none"/>
              </w:rPr>
            </w:pPr>
            <w:r>
              <w:rPr>
                <w:rFonts w:ascii="宋体" w:hAnsi="宋体" w:eastAsia="宋体" w:cs="宋体"/>
                <w:spacing w:val="-3"/>
                <w:sz w:val="24"/>
                <w:szCs w:val="24"/>
                <w:highlight w:val="none"/>
              </w:rPr>
              <w:t>8.1</w:t>
            </w:r>
          </w:p>
        </w:tc>
      </w:tr>
      <w:tr w14:paraId="32FF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1333" w:type="dxa"/>
            <w:vAlign w:val="top"/>
          </w:tcPr>
          <w:p w14:paraId="46BF3D50">
            <w:pPr>
              <w:spacing w:before="162" w:line="232" w:lineRule="auto"/>
              <w:ind w:left="317"/>
              <w:rPr>
                <w:rFonts w:ascii="宋体" w:hAnsi="宋体" w:eastAsia="宋体" w:cs="宋体"/>
                <w:sz w:val="24"/>
                <w:szCs w:val="24"/>
                <w:highlight w:val="none"/>
              </w:rPr>
            </w:pPr>
            <w:r>
              <w:rPr>
                <w:rFonts w:ascii="宋体" w:hAnsi="宋体" w:eastAsia="宋体" w:cs="宋体"/>
                <w:spacing w:val="-8"/>
                <w:sz w:val="24"/>
                <w:szCs w:val="24"/>
                <w:highlight w:val="none"/>
              </w:rPr>
              <w:t>（二）</w:t>
            </w:r>
          </w:p>
        </w:tc>
        <w:tc>
          <w:tcPr>
            <w:tcW w:w="3846" w:type="dxa"/>
            <w:vAlign w:val="top"/>
          </w:tcPr>
          <w:p w14:paraId="6BAAF549">
            <w:pPr>
              <w:spacing w:before="163" w:line="220" w:lineRule="auto"/>
              <w:ind w:left="1326"/>
              <w:rPr>
                <w:rFonts w:ascii="宋体" w:hAnsi="宋体" w:eastAsia="宋体" w:cs="宋体"/>
                <w:sz w:val="24"/>
                <w:szCs w:val="24"/>
                <w:highlight w:val="none"/>
              </w:rPr>
            </w:pPr>
            <w:r>
              <w:rPr>
                <w:rFonts w:ascii="宋体" w:hAnsi="宋体" w:eastAsia="宋体" w:cs="宋体"/>
                <w:spacing w:val="-2"/>
                <w:sz w:val="24"/>
                <w:szCs w:val="24"/>
                <w:highlight w:val="none"/>
              </w:rPr>
              <w:t>环境保护税</w:t>
            </w:r>
          </w:p>
        </w:tc>
        <w:tc>
          <w:tcPr>
            <w:tcW w:w="2327" w:type="dxa"/>
            <w:vAlign w:val="top"/>
          </w:tcPr>
          <w:p w14:paraId="199AD06F">
            <w:pPr>
              <w:rPr>
                <w:rFonts w:ascii="Arial"/>
                <w:sz w:val="21"/>
                <w:highlight w:val="none"/>
              </w:rPr>
            </w:pPr>
          </w:p>
        </w:tc>
        <w:tc>
          <w:tcPr>
            <w:tcW w:w="254" w:type="dxa"/>
            <w:tcBorders>
              <w:right w:val="nil"/>
            </w:tcBorders>
            <w:vAlign w:val="top"/>
          </w:tcPr>
          <w:p w14:paraId="21407FD4">
            <w:pPr>
              <w:rPr>
                <w:rFonts w:ascii="Arial"/>
                <w:sz w:val="21"/>
                <w:highlight w:val="none"/>
              </w:rPr>
            </w:pPr>
          </w:p>
        </w:tc>
        <w:tc>
          <w:tcPr>
            <w:tcW w:w="1262" w:type="dxa"/>
            <w:tcBorders>
              <w:left w:val="nil"/>
            </w:tcBorders>
            <w:vAlign w:val="top"/>
          </w:tcPr>
          <w:p w14:paraId="5216EDE1">
            <w:pPr>
              <w:rPr>
                <w:rFonts w:ascii="Arial"/>
                <w:sz w:val="21"/>
                <w:highlight w:val="none"/>
              </w:rPr>
            </w:pPr>
          </w:p>
        </w:tc>
      </w:tr>
      <w:tr w14:paraId="2BF20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33" w:type="dxa"/>
            <w:vAlign w:val="top"/>
          </w:tcPr>
          <w:p w14:paraId="28B4CA04">
            <w:pPr>
              <w:spacing w:before="170" w:line="218" w:lineRule="auto"/>
              <w:ind w:left="310"/>
              <w:rPr>
                <w:rFonts w:ascii="宋体" w:hAnsi="宋体" w:eastAsia="宋体" w:cs="宋体"/>
                <w:sz w:val="24"/>
                <w:szCs w:val="24"/>
                <w:highlight w:val="none"/>
              </w:rPr>
            </w:pPr>
            <w:r>
              <w:rPr>
                <w:rFonts w:ascii="宋体" w:hAnsi="宋体" w:eastAsia="宋体" w:cs="宋体"/>
                <w:spacing w:val="-2"/>
                <w:sz w:val="24"/>
                <w:szCs w:val="24"/>
                <w:highlight w:val="none"/>
              </w:rPr>
              <w:t>JF－05</w:t>
            </w:r>
          </w:p>
        </w:tc>
        <w:tc>
          <w:tcPr>
            <w:tcW w:w="3846" w:type="dxa"/>
            <w:vAlign w:val="top"/>
          </w:tcPr>
          <w:p w14:paraId="1645DC85">
            <w:pPr>
              <w:spacing w:before="171" w:line="220" w:lineRule="auto"/>
              <w:ind w:left="1326"/>
              <w:rPr>
                <w:rFonts w:ascii="宋体" w:hAnsi="宋体" w:eastAsia="宋体" w:cs="宋体"/>
                <w:sz w:val="24"/>
                <w:szCs w:val="24"/>
                <w:highlight w:val="none"/>
              </w:rPr>
            </w:pPr>
            <w:r>
              <w:rPr>
                <w:rFonts w:ascii="宋体" w:hAnsi="宋体" w:eastAsia="宋体" w:cs="宋体"/>
                <w:spacing w:val="-2"/>
                <w:sz w:val="24"/>
                <w:szCs w:val="24"/>
                <w:highlight w:val="none"/>
              </w:rPr>
              <w:t>环境保护税</w:t>
            </w:r>
          </w:p>
        </w:tc>
        <w:tc>
          <w:tcPr>
            <w:tcW w:w="2327" w:type="dxa"/>
            <w:vAlign w:val="top"/>
          </w:tcPr>
          <w:p w14:paraId="140DA8B1">
            <w:pPr>
              <w:rPr>
                <w:rFonts w:ascii="Arial"/>
                <w:sz w:val="21"/>
                <w:highlight w:val="none"/>
              </w:rPr>
            </w:pPr>
          </w:p>
        </w:tc>
        <w:tc>
          <w:tcPr>
            <w:tcW w:w="254" w:type="dxa"/>
            <w:tcBorders>
              <w:right w:val="nil"/>
            </w:tcBorders>
            <w:vAlign w:val="top"/>
          </w:tcPr>
          <w:p w14:paraId="24EC485B">
            <w:pPr>
              <w:rPr>
                <w:rFonts w:ascii="Arial"/>
                <w:sz w:val="21"/>
                <w:highlight w:val="none"/>
              </w:rPr>
            </w:pPr>
          </w:p>
        </w:tc>
        <w:tc>
          <w:tcPr>
            <w:tcW w:w="1262" w:type="dxa"/>
            <w:tcBorders>
              <w:left w:val="nil"/>
            </w:tcBorders>
            <w:vAlign w:val="top"/>
          </w:tcPr>
          <w:p w14:paraId="2C86B53D">
            <w:pPr>
              <w:rPr>
                <w:rFonts w:ascii="Arial"/>
                <w:sz w:val="21"/>
                <w:highlight w:val="none"/>
              </w:rPr>
            </w:pPr>
          </w:p>
        </w:tc>
      </w:tr>
    </w:tbl>
    <w:p w14:paraId="198CCC5D">
      <w:pPr>
        <w:pStyle w:val="3"/>
        <w:spacing w:line="288" w:lineRule="auto"/>
        <w:rPr>
          <w:highlight w:val="none"/>
        </w:rPr>
      </w:pPr>
    </w:p>
    <w:p w14:paraId="0E8CB693">
      <w:pPr>
        <w:pStyle w:val="3"/>
        <w:spacing w:line="288" w:lineRule="auto"/>
        <w:rPr>
          <w:highlight w:val="none"/>
        </w:rPr>
      </w:pPr>
    </w:p>
    <w:p w14:paraId="5408B5A5">
      <w:pPr>
        <w:spacing w:before="78" w:line="212" w:lineRule="auto"/>
        <w:ind w:left="2785"/>
        <w:rPr>
          <w:rFonts w:ascii="宋体" w:hAnsi="宋体" w:eastAsia="宋体" w:cs="宋体"/>
          <w:sz w:val="24"/>
          <w:szCs w:val="24"/>
          <w:highlight w:val="none"/>
        </w:rPr>
      </w:pPr>
      <w:r>
        <w:rPr>
          <w:rFonts w:ascii="宋体" w:hAnsi="宋体" w:eastAsia="宋体" w:cs="宋体"/>
          <w:spacing w:val="-1"/>
          <w:sz w:val="24"/>
          <w:szCs w:val="24"/>
          <w:highlight w:val="none"/>
        </w:rPr>
        <w:t>二、市政公用工程不可竞争费费率</w:t>
      </w:r>
    </w:p>
    <w:tbl>
      <w:tblPr>
        <w:tblStyle w:val="2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8"/>
        <w:gridCol w:w="3841"/>
        <w:gridCol w:w="2335"/>
        <w:gridCol w:w="201"/>
        <w:gridCol w:w="1319"/>
      </w:tblGrid>
      <w:tr w14:paraId="7CA2B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348" w:type="dxa"/>
            <w:vAlign w:val="top"/>
          </w:tcPr>
          <w:p w14:paraId="2AB217AD">
            <w:pPr>
              <w:spacing w:before="133" w:line="220" w:lineRule="auto"/>
              <w:ind w:left="202"/>
              <w:rPr>
                <w:rFonts w:ascii="宋体" w:hAnsi="宋体" w:eastAsia="宋体" w:cs="宋体"/>
                <w:sz w:val="24"/>
                <w:szCs w:val="24"/>
                <w:highlight w:val="none"/>
              </w:rPr>
            </w:pPr>
            <w:r>
              <w:rPr>
                <w:rFonts w:ascii="宋体" w:hAnsi="宋体" w:eastAsia="宋体" w:cs="宋体"/>
                <w:spacing w:val="-3"/>
                <w:sz w:val="24"/>
                <w:szCs w:val="24"/>
                <w:highlight w:val="none"/>
              </w:rPr>
              <w:t>项目编码</w:t>
            </w:r>
          </w:p>
        </w:tc>
        <w:tc>
          <w:tcPr>
            <w:tcW w:w="3841" w:type="dxa"/>
            <w:vAlign w:val="top"/>
          </w:tcPr>
          <w:p w14:paraId="0EABEB7C">
            <w:pPr>
              <w:spacing w:before="134" w:line="220" w:lineRule="auto"/>
              <w:ind w:left="1449"/>
              <w:rPr>
                <w:rFonts w:ascii="宋体" w:hAnsi="宋体" w:eastAsia="宋体" w:cs="宋体"/>
                <w:sz w:val="24"/>
                <w:szCs w:val="24"/>
                <w:highlight w:val="none"/>
              </w:rPr>
            </w:pPr>
            <w:r>
              <w:rPr>
                <w:rFonts w:ascii="宋体" w:hAnsi="宋体" w:eastAsia="宋体" w:cs="宋体"/>
                <w:spacing w:val="-3"/>
                <w:sz w:val="24"/>
                <w:szCs w:val="24"/>
                <w:highlight w:val="none"/>
              </w:rPr>
              <w:t>项目名称</w:t>
            </w:r>
          </w:p>
        </w:tc>
        <w:tc>
          <w:tcPr>
            <w:tcW w:w="2536" w:type="dxa"/>
            <w:gridSpan w:val="2"/>
            <w:vAlign w:val="top"/>
          </w:tcPr>
          <w:p w14:paraId="1036239B">
            <w:pPr>
              <w:spacing w:before="134" w:line="220" w:lineRule="auto"/>
              <w:ind w:left="794"/>
              <w:rPr>
                <w:rFonts w:ascii="宋体" w:hAnsi="宋体" w:eastAsia="宋体" w:cs="宋体"/>
                <w:sz w:val="24"/>
                <w:szCs w:val="24"/>
                <w:highlight w:val="none"/>
              </w:rPr>
            </w:pPr>
            <w:r>
              <w:rPr>
                <w:rFonts w:ascii="宋体" w:hAnsi="宋体" w:eastAsia="宋体" w:cs="宋体"/>
                <w:spacing w:val="-2"/>
                <w:sz w:val="24"/>
                <w:szCs w:val="24"/>
                <w:highlight w:val="none"/>
              </w:rPr>
              <w:t>计费基础</w:t>
            </w:r>
          </w:p>
        </w:tc>
        <w:tc>
          <w:tcPr>
            <w:tcW w:w="1319" w:type="dxa"/>
            <w:vAlign w:val="top"/>
          </w:tcPr>
          <w:p w14:paraId="57CDD386">
            <w:pPr>
              <w:spacing w:before="133" w:line="220" w:lineRule="auto"/>
              <w:ind w:left="137"/>
              <w:rPr>
                <w:rFonts w:ascii="宋体" w:hAnsi="宋体" w:eastAsia="宋体" w:cs="宋体"/>
                <w:sz w:val="24"/>
                <w:szCs w:val="24"/>
                <w:highlight w:val="none"/>
              </w:rPr>
            </w:pPr>
            <w:r>
              <w:rPr>
                <w:rFonts w:ascii="宋体" w:hAnsi="宋体" w:eastAsia="宋体" w:cs="宋体"/>
                <w:spacing w:val="-5"/>
                <w:sz w:val="24"/>
                <w:szCs w:val="24"/>
                <w:highlight w:val="none"/>
              </w:rPr>
              <w:t>费率（%）</w:t>
            </w:r>
          </w:p>
        </w:tc>
      </w:tr>
      <w:tr w14:paraId="1C468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48" w:type="dxa"/>
            <w:vAlign w:val="top"/>
          </w:tcPr>
          <w:p w14:paraId="1224A5A9">
            <w:pPr>
              <w:spacing w:before="130" w:line="232" w:lineRule="auto"/>
              <w:ind w:left="325"/>
              <w:rPr>
                <w:rFonts w:ascii="宋体" w:hAnsi="宋体" w:eastAsia="宋体" w:cs="宋体"/>
                <w:sz w:val="24"/>
                <w:szCs w:val="24"/>
                <w:highlight w:val="none"/>
              </w:rPr>
            </w:pPr>
            <w:r>
              <w:rPr>
                <w:rFonts w:ascii="宋体" w:hAnsi="宋体" w:eastAsia="宋体" w:cs="宋体"/>
                <w:spacing w:val="-6"/>
                <w:sz w:val="24"/>
                <w:szCs w:val="24"/>
                <w:highlight w:val="none"/>
              </w:rPr>
              <w:t>（一）</w:t>
            </w:r>
          </w:p>
        </w:tc>
        <w:tc>
          <w:tcPr>
            <w:tcW w:w="7696" w:type="dxa"/>
            <w:gridSpan w:val="4"/>
            <w:vAlign w:val="top"/>
          </w:tcPr>
          <w:p w14:paraId="3CC71601">
            <w:pPr>
              <w:spacing w:before="129" w:line="220" w:lineRule="auto"/>
              <w:ind w:left="3015"/>
              <w:rPr>
                <w:rFonts w:ascii="宋体" w:hAnsi="宋体" w:eastAsia="宋体" w:cs="宋体"/>
                <w:sz w:val="24"/>
                <w:szCs w:val="24"/>
                <w:highlight w:val="none"/>
              </w:rPr>
            </w:pPr>
            <w:r>
              <w:rPr>
                <w:rFonts w:ascii="宋体" w:hAnsi="宋体" w:eastAsia="宋体" w:cs="宋体"/>
                <w:spacing w:val="-2"/>
                <w:sz w:val="24"/>
                <w:szCs w:val="24"/>
                <w:highlight w:val="none"/>
              </w:rPr>
              <w:t>安全文明施工费</w:t>
            </w:r>
          </w:p>
        </w:tc>
      </w:tr>
      <w:tr w14:paraId="50972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48" w:type="dxa"/>
            <w:vAlign w:val="top"/>
          </w:tcPr>
          <w:p w14:paraId="4D3B3D1C">
            <w:pPr>
              <w:spacing w:before="130" w:line="218" w:lineRule="auto"/>
              <w:ind w:left="317"/>
              <w:rPr>
                <w:rFonts w:ascii="宋体" w:hAnsi="宋体" w:eastAsia="宋体" w:cs="宋体"/>
                <w:sz w:val="24"/>
                <w:szCs w:val="24"/>
                <w:highlight w:val="none"/>
              </w:rPr>
            </w:pPr>
            <w:r>
              <w:rPr>
                <w:rFonts w:ascii="宋体" w:hAnsi="宋体" w:eastAsia="宋体" w:cs="宋体"/>
                <w:spacing w:val="-2"/>
                <w:sz w:val="24"/>
                <w:szCs w:val="24"/>
                <w:highlight w:val="none"/>
              </w:rPr>
              <w:t>JF－01</w:t>
            </w:r>
          </w:p>
        </w:tc>
        <w:tc>
          <w:tcPr>
            <w:tcW w:w="3841" w:type="dxa"/>
            <w:vAlign w:val="top"/>
          </w:tcPr>
          <w:p w14:paraId="4A75A007">
            <w:pPr>
              <w:spacing w:before="130" w:line="220" w:lineRule="auto"/>
              <w:ind w:left="1325"/>
              <w:rPr>
                <w:rFonts w:ascii="宋体" w:hAnsi="宋体" w:eastAsia="宋体" w:cs="宋体"/>
                <w:sz w:val="24"/>
                <w:szCs w:val="24"/>
                <w:highlight w:val="none"/>
              </w:rPr>
            </w:pPr>
            <w:r>
              <w:rPr>
                <w:rFonts w:ascii="宋体" w:hAnsi="宋体" w:eastAsia="宋体" w:cs="宋体"/>
                <w:spacing w:val="-2"/>
                <w:sz w:val="24"/>
                <w:szCs w:val="24"/>
                <w:highlight w:val="none"/>
              </w:rPr>
              <w:t>环境保护费</w:t>
            </w:r>
          </w:p>
        </w:tc>
        <w:tc>
          <w:tcPr>
            <w:tcW w:w="2335" w:type="dxa"/>
            <w:vMerge w:val="restart"/>
            <w:tcBorders>
              <w:bottom w:val="nil"/>
            </w:tcBorders>
            <w:vAlign w:val="top"/>
          </w:tcPr>
          <w:p w14:paraId="1C5662D9">
            <w:pPr>
              <w:spacing w:line="330" w:lineRule="auto"/>
              <w:rPr>
                <w:rFonts w:ascii="Arial"/>
                <w:sz w:val="21"/>
                <w:highlight w:val="none"/>
              </w:rPr>
            </w:pPr>
          </w:p>
          <w:p w14:paraId="2F9C70BD">
            <w:pPr>
              <w:spacing w:line="330" w:lineRule="auto"/>
              <w:rPr>
                <w:rFonts w:ascii="Arial"/>
                <w:sz w:val="21"/>
                <w:highlight w:val="none"/>
              </w:rPr>
            </w:pPr>
          </w:p>
          <w:p w14:paraId="0E67927E">
            <w:pPr>
              <w:spacing w:before="78" w:line="242" w:lineRule="auto"/>
              <w:ind w:left="932" w:right="145" w:hanging="773"/>
              <w:rPr>
                <w:rFonts w:ascii="宋体" w:hAnsi="宋体" w:eastAsia="宋体" w:cs="宋体"/>
                <w:sz w:val="24"/>
                <w:szCs w:val="24"/>
                <w:highlight w:val="none"/>
              </w:rPr>
            </w:pPr>
            <w:r>
              <w:rPr>
                <w:rFonts w:ascii="宋体" w:hAnsi="宋体" w:eastAsia="宋体" w:cs="宋体"/>
                <w:spacing w:val="-2"/>
                <w:sz w:val="24"/>
                <w:szCs w:val="24"/>
                <w:highlight w:val="none"/>
              </w:rPr>
              <w:t>定额人工费+定额机</w:t>
            </w:r>
            <w:r>
              <w:rPr>
                <w:rFonts w:ascii="宋体" w:hAnsi="宋体" w:eastAsia="宋体" w:cs="宋体"/>
                <w:spacing w:val="-3"/>
                <w:sz w:val="24"/>
                <w:szCs w:val="24"/>
                <w:highlight w:val="none"/>
              </w:rPr>
              <w:t>械费</w:t>
            </w:r>
          </w:p>
        </w:tc>
        <w:tc>
          <w:tcPr>
            <w:tcW w:w="1520" w:type="dxa"/>
            <w:gridSpan w:val="2"/>
            <w:vAlign w:val="top"/>
          </w:tcPr>
          <w:p w14:paraId="014783E2">
            <w:pPr>
              <w:spacing w:before="130" w:line="239" w:lineRule="auto"/>
              <w:ind w:left="529"/>
              <w:rPr>
                <w:rFonts w:ascii="宋体" w:hAnsi="宋体" w:eastAsia="宋体" w:cs="宋体"/>
                <w:sz w:val="24"/>
                <w:szCs w:val="24"/>
                <w:highlight w:val="none"/>
              </w:rPr>
            </w:pPr>
            <w:r>
              <w:rPr>
                <w:rFonts w:ascii="宋体" w:hAnsi="宋体" w:eastAsia="宋体" w:cs="宋体"/>
                <w:spacing w:val="-3"/>
                <w:sz w:val="24"/>
                <w:szCs w:val="24"/>
                <w:highlight w:val="none"/>
              </w:rPr>
              <w:t>3.57</w:t>
            </w:r>
          </w:p>
        </w:tc>
      </w:tr>
      <w:tr w14:paraId="5B8F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348" w:type="dxa"/>
            <w:vAlign w:val="top"/>
          </w:tcPr>
          <w:p w14:paraId="2F3A47B1">
            <w:pPr>
              <w:spacing w:before="131" w:line="218" w:lineRule="auto"/>
              <w:ind w:left="317"/>
              <w:rPr>
                <w:rFonts w:ascii="宋体" w:hAnsi="宋体" w:eastAsia="宋体" w:cs="宋体"/>
                <w:sz w:val="24"/>
                <w:szCs w:val="24"/>
                <w:highlight w:val="none"/>
              </w:rPr>
            </w:pPr>
            <w:r>
              <w:rPr>
                <w:rFonts w:ascii="宋体" w:hAnsi="宋体" w:eastAsia="宋体" w:cs="宋体"/>
                <w:spacing w:val="-2"/>
                <w:sz w:val="24"/>
                <w:szCs w:val="24"/>
                <w:highlight w:val="none"/>
              </w:rPr>
              <w:t>JF－02</w:t>
            </w:r>
          </w:p>
        </w:tc>
        <w:tc>
          <w:tcPr>
            <w:tcW w:w="3841" w:type="dxa"/>
            <w:vAlign w:val="top"/>
          </w:tcPr>
          <w:p w14:paraId="403F856C">
            <w:pPr>
              <w:spacing w:before="131" w:line="220" w:lineRule="auto"/>
              <w:ind w:left="1327"/>
              <w:rPr>
                <w:rFonts w:ascii="宋体" w:hAnsi="宋体" w:eastAsia="宋体" w:cs="宋体"/>
                <w:sz w:val="24"/>
                <w:szCs w:val="24"/>
                <w:highlight w:val="none"/>
              </w:rPr>
            </w:pPr>
            <w:r>
              <w:rPr>
                <w:rFonts w:ascii="宋体" w:hAnsi="宋体" w:eastAsia="宋体" w:cs="宋体"/>
                <w:spacing w:val="-2"/>
                <w:sz w:val="24"/>
                <w:szCs w:val="24"/>
                <w:highlight w:val="none"/>
              </w:rPr>
              <w:t>文明施工费</w:t>
            </w:r>
          </w:p>
        </w:tc>
        <w:tc>
          <w:tcPr>
            <w:tcW w:w="2335" w:type="dxa"/>
            <w:vMerge w:val="continue"/>
            <w:tcBorders>
              <w:top w:val="nil"/>
              <w:bottom w:val="nil"/>
            </w:tcBorders>
            <w:vAlign w:val="top"/>
          </w:tcPr>
          <w:p w14:paraId="5BE2656A">
            <w:pPr>
              <w:rPr>
                <w:rFonts w:ascii="Arial"/>
                <w:sz w:val="21"/>
                <w:highlight w:val="none"/>
              </w:rPr>
            </w:pPr>
          </w:p>
        </w:tc>
        <w:tc>
          <w:tcPr>
            <w:tcW w:w="1520" w:type="dxa"/>
            <w:gridSpan w:val="2"/>
            <w:vAlign w:val="top"/>
          </w:tcPr>
          <w:p w14:paraId="67AC459D">
            <w:pPr>
              <w:spacing w:before="131" w:line="239" w:lineRule="auto"/>
              <w:ind w:left="530"/>
              <w:rPr>
                <w:rFonts w:ascii="宋体" w:hAnsi="宋体" w:eastAsia="宋体" w:cs="宋体"/>
                <w:sz w:val="24"/>
                <w:szCs w:val="24"/>
                <w:highlight w:val="none"/>
              </w:rPr>
            </w:pPr>
            <w:r>
              <w:rPr>
                <w:rFonts w:ascii="宋体" w:hAnsi="宋体" w:eastAsia="宋体" w:cs="宋体"/>
                <w:spacing w:val="-3"/>
                <w:sz w:val="24"/>
                <w:szCs w:val="24"/>
                <w:highlight w:val="none"/>
              </w:rPr>
              <w:t>7.33</w:t>
            </w:r>
          </w:p>
        </w:tc>
      </w:tr>
      <w:tr w14:paraId="1DAD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48" w:type="dxa"/>
            <w:vAlign w:val="top"/>
          </w:tcPr>
          <w:p w14:paraId="0AF2E909">
            <w:pPr>
              <w:spacing w:before="132" w:line="218" w:lineRule="auto"/>
              <w:ind w:left="317"/>
              <w:rPr>
                <w:rFonts w:ascii="宋体" w:hAnsi="宋体" w:eastAsia="宋体" w:cs="宋体"/>
                <w:sz w:val="24"/>
                <w:szCs w:val="24"/>
                <w:highlight w:val="none"/>
              </w:rPr>
            </w:pPr>
            <w:r>
              <w:rPr>
                <w:rFonts w:ascii="宋体" w:hAnsi="宋体" w:eastAsia="宋体" w:cs="宋体"/>
                <w:spacing w:val="-2"/>
                <w:sz w:val="24"/>
                <w:szCs w:val="24"/>
                <w:highlight w:val="none"/>
              </w:rPr>
              <w:t>JF－03</w:t>
            </w:r>
          </w:p>
        </w:tc>
        <w:tc>
          <w:tcPr>
            <w:tcW w:w="3841" w:type="dxa"/>
            <w:vAlign w:val="top"/>
          </w:tcPr>
          <w:p w14:paraId="6047A81C">
            <w:pPr>
              <w:spacing w:before="132" w:line="220" w:lineRule="auto"/>
              <w:ind w:left="1330"/>
              <w:rPr>
                <w:rFonts w:ascii="宋体" w:hAnsi="宋体" w:eastAsia="宋体" w:cs="宋体"/>
                <w:sz w:val="24"/>
                <w:szCs w:val="24"/>
                <w:highlight w:val="none"/>
              </w:rPr>
            </w:pPr>
            <w:r>
              <w:rPr>
                <w:rFonts w:ascii="宋体" w:hAnsi="宋体" w:eastAsia="宋体" w:cs="宋体"/>
                <w:spacing w:val="-3"/>
                <w:sz w:val="24"/>
                <w:szCs w:val="24"/>
                <w:highlight w:val="none"/>
              </w:rPr>
              <w:t>安全施工费</w:t>
            </w:r>
          </w:p>
        </w:tc>
        <w:tc>
          <w:tcPr>
            <w:tcW w:w="2335" w:type="dxa"/>
            <w:vMerge w:val="continue"/>
            <w:tcBorders>
              <w:top w:val="nil"/>
              <w:bottom w:val="nil"/>
            </w:tcBorders>
            <w:vAlign w:val="top"/>
          </w:tcPr>
          <w:p w14:paraId="5D24DEAA">
            <w:pPr>
              <w:rPr>
                <w:rFonts w:ascii="Arial"/>
                <w:sz w:val="21"/>
                <w:highlight w:val="none"/>
              </w:rPr>
            </w:pPr>
          </w:p>
        </w:tc>
        <w:tc>
          <w:tcPr>
            <w:tcW w:w="1520" w:type="dxa"/>
            <w:gridSpan w:val="2"/>
            <w:vAlign w:val="top"/>
          </w:tcPr>
          <w:p w14:paraId="50344639">
            <w:pPr>
              <w:spacing w:before="132" w:line="239" w:lineRule="auto"/>
              <w:ind w:left="529"/>
              <w:rPr>
                <w:rFonts w:ascii="宋体" w:hAnsi="宋体" w:eastAsia="宋体" w:cs="宋体"/>
                <w:sz w:val="24"/>
                <w:szCs w:val="24"/>
                <w:highlight w:val="none"/>
              </w:rPr>
            </w:pPr>
            <w:r>
              <w:rPr>
                <w:rFonts w:ascii="宋体" w:hAnsi="宋体" w:eastAsia="宋体" w:cs="宋体"/>
                <w:spacing w:val="-3"/>
                <w:sz w:val="24"/>
                <w:szCs w:val="24"/>
                <w:highlight w:val="none"/>
              </w:rPr>
              <w:t>5.28</w:t>
            </w:r>
          </w:p>
        </w:tc>
      </w:tr>
      <w:tr w14:paraId="7CCED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48" w:type="dxa"/>
            <w:vAlign w:val="top"/>
          </w:tcPr>
          <w:p w14:paraId="3023F806">
            <w:pPr>
              <w:spacing w:before="133" w:line="218" w:lineRule="auto"/>
              <w:ind w:left="317"/>
              <w:rPr>
                <w:rFonts w:ascii="宋体" w:hAnsi="宋体" w:eastAsia="宋体" w:cs="宋体"/>
                <w:sz w:val="24"/>
                <w:szCs w:val="24"/>
                <w:highlight w:val="none"/>
              </w:rPr>
            </w:pPr>
            <w:r>
              <w:rPr>
                <w:rFonts w:ascii="宋体" w:hAnsi="宋体" w:eastAsia="宋体" w:cs="宋体"/>
                <w:spacing w:val="-2"/>
                <w:sz w:val="24"/>
                <w:szCs w:val="24"/>
                <w:highlight w:val="none"/>
              </w:rPr>
              <w:t>JF－04</w:t>
            </w:r>
          </w:p>
        </w:tc>
        <w:tc>
          <w:tcPr>
            <w:tcW w:w="3841" w:type="dxa"/>
            <w:vAlign w:val="top"/>
          </w:tcPr>
          <w:p w14:paraId="54587B10">
            <w:pPr>
              <w:spacing w:before="133" w:line="220" w:lineRule="auto"/>
              <w:ind w:left="1338"/>
              <w:rPr>
                <w:rFonts w:ascii="宋体" w:hAnsi="宋体" w:eastAsia="宋体" w:cs="宋体"/>
                <w:sz w:val="24"/>
                <w:szCs w:val="24"/>
                <w:highlight w:val="none"/>
              </w:rPr>
            </w:pPr>
            <w:r>
              <w:rPr>
                <w:rFonts w:ascii="宋体" w:hAnsi="宋体" w:eastAsia="宋体" w:cs="宋体"/>
                <w:spacing w:val="-4"/>
                <w:sz w:val="24"/>
                <w:szCs w:val="24"/>
                <w:highlight w:val="none"/>
              </w:rPr>
              <w:t>临时设施费</w:t>
            </w:r>
          </w:p>
        </w:tc>
        <w:tc>
          <w:tcPr>
            <w:tcW w:w="2335" w:type="dxa"/>
            <w:vMerge w:val="continue"/>
            <w:tcBorders>
              <w:top w:val="nil"/>
            </w:tcBorders>
            <w:vAlign w:val="top"/>
          </w:tcPr>
          <w:p w14:paraId="0E98139C">
            <w:pPr>
              <w:rPr>
                <w:rFonts w:ascii="Arial"/>
                <w:sz w:val="21"/>
                <w:highlight w:val="none"/>
              </w:rPr>
            </w:pPr>
          </w:p>
        </w:tc>
        <w:tc>
          <w:tcPr>
            <w:tcW w:w="1520" w:type="dxa"/>
            <w:gridSpan w:val="2"/>
            <w:vAlign w:val="top"/>
          </w:tcPr>
          <w:p w14:paraId="64F3A3E2">
            <w:pPr>
              <w:spacing w:before="133" w:line="239" w:lineRule="auto"/>
              <w:ind w:left="525"/>
              <w:rPr>
                <w:rFonts w:ascii="宋体" w:hAnsi="宋体" w:eastAsia="宋体" w:cs="宋体"/>
                <w:sz w:val="24"/>
                <w:szCs w:val="24"/>
                <w:highlight w:val="none"/>
              </w:rPr>
            </w:pPr>
            <w:r>
              <w:rPr>
                <w:rFonts w:ascii="宋体" w:hAnsi="宋体" w:eastAsia="宋体" w:cs="宋体"/>
                <w:spacing w:val="-2"/>
                <w:sz w:val="24"/>
                <w:szCs w:val="24"/>
                <w:highlight w:val="none"/>
              </w:rPr>
              <w:t>9.99</w:t>
            </w:r>
          </w:p>
        </w:tc>
      </w:tr>
      <w:tr w14:paraId="7BCB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348" w:type="dxa"/>
            <w:vAlign w:val="top"/>
          </w:tcPr>
          <w:p w14:paraId="159A228A">
            <w:pPr>
              <w:spacing w:before="133" w:line="232" w:lineRule="auto"/>
              <w:ind w:left="325"/>
              <w:rPr>
                <w:rFonts w:ascii="宋体" w:hAnsi="宋体" w:eastAsia="宋体" w:cs="宋体"/>
                <w:sz w:val="24"/>
                <w:szCs w:val="24"/>
                <w:highlight w:val="none"/>
              </w:rPr>
            </w:pPr>
            <w:r>
              <w:rPr>
                <w:rFonts w:ascii="宋体" w:hAnsi="宋体" w:eastAsia="宋体" w:cs="宋体"/>
                <w:spacing w:val="-8"/>
                <w:sz w:val="24"/>
                <w:szCs w:val="24"/>
                <w:highlight w:val="none"/>
              </w:rPr>
              <w:t>（二）</w:t>
            </w:r>
          </w:p>
        </w:tc>
        <w:tc>
          <w:tcPr>
            <w:tcW w:w="3841" w:type="dxa"/>
            <w:vAlign w:val="top"/>
          </w:tcPr>
          <w:p w14:paraId="037A6C3E">
            <w:pPr>
              <w:spacing w:before="134" w:line="220" w:lineRule="auto"/>
              <w:ind w:left="1325"/>
              <w:rPr>
                <w:rFonts w:ascii="宋体" w:hAnsi="宋体" w:eastAsia="宋体" w:cs="宋体"/>
                <w:sz w:val="24"/>
                <w:szCs w:val="24"/>
                <w:highlight w:val="none"/>
              </w:rPr>
            </w:pPr>
            <w:r>
              <w:rPr>
                <w:rFonts w:ascii="宋体" w:hAnsi="宋体" w:eastAsia="宋体" w:cs="宋体"/>
                <w:spacing w:val="-2"/>
                <w:sz w:val="24"/>
                <w:szCs w:val="24"/>
                <w:highlight w:val="none"/>
              </w:rPr>
              <w:t>环境保护税</w:t>
            </w:r>
          </w:p>
        </w:tc>
        <w:tc>
          <w:tcPr>
            <w:tcW w:w="2335" w:type="dxa"/>
            <w:vAlign w:val="top"/>
          </w:tcPr>
          <w:p w14:paraId="0409E139">
            <w:pPr>
              <w:rPr>
                <w:rFonts w:ascii="Arial"/>
                <w:sz w:val="21"/>
                <w:highlight w:val="none"/>
              </w:rPr>
            </w:pPr>
          </w:p>
        </w:tc>
        <w:tc>
          <w:tcPr>
            <w:tcW w:w="1520" w:type="dxa"/>
            <w:gridSpan w:val="2"/>
            <w:vAlign w:val="top"/>
          </w:tcPr>
          <w:p w14:paraId="16BC091D">
            <w:pPr>
              <w:rPr>
                <w:rFonts w:ascii="Arial"/>
                <w:sz w:val="21"/>
                <w:highlight w:val="none"/>
              </w:rPr>
            </w:pPr>
          </w:p>
        </w:tc>
      </w:tr>
      <w:tr w14:paraId="7ABF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48" w:type="dxa"/>
            <w:vAlign w:val="top"/>
          </w:tcPr>
          <w:p w14:paraId="00FBEFA7">
            <w:pPr>
              <w:spacing w:before="141" w:line="218" w:lineRule="auto"/>
              <w:ind w:left="317"/>
              <w:rPr>
                <w:rFonts w:ascii="宋体" w:hAnsi="宋体" w:eastAsia="宋体" w:cs="宋体"/>
                <w:sz w:val="24"/>
                <w:szCs w:val="24"/>
                <w:highlight w:val="none"/>
              </w:rPr>
            </w:pPr>
            <w:r>
              <w:rPr>
                <w:rFonts w:ascii="宋体" w:hAnsi="宋体" w:eastAsia="宋体" w:cs="宋体"/>
                <w:spacing w:val="-2"/>
                <w:sz w:val="24"/>
                <w:szCs w:val="24"/>
                <w:highlight w:val="none"/>
              </w:rPr>
              <w:t>JF－05</w:t>
            </w:r>
          </w:p>
        </w:tc>
        <w:tc>
          <w:tcPr>
            <w:tcW w:w="3841" w:type="dxa"/>
            <w:vAlign w:val="top"/>
          </w:tcPr>
          <w:p w14:paraId="53782B1B">
            <w:pPr>
              <w:spacing w:before="141" w:line="220" w:lineRule="auto"/>
              <w:ind w:left="1325"/>
              <w:rPr>
                <w:rFonts w:ascii="宋体" w:hAnsi="宋体" w:eastAsia="宋体" w:cs="宋体"/>
                <w:sz w:val="24"/>
                <w:szCs w:val="24"/>
                <w:highlight w:val="none"/>
              </w:rPr>
            </w:pPr>
            <w:r>
              <w:rPr>
                <w:rFonts w:ascii="宋体" w:hAnsi="宋体" w:eastAsia="宋体" w:cs="宋体"/>
                <w:spacing w:val="-2"/>
                <w:sz w:val="24"/>
                <w:szCs w:val="24"/>
                <w:highlight w:val="none"/>
              </w:rPr>
              <w:t>环境保护税</w:t>
            </w:r>
          </w:p>
        </w:tc>
        <w:tc>
          <w:tcPr>
            <w:tcW w:w="2335" w:type="dxa"/>
            <w:vAlign w:val="top"/>
          </w:tcPr>
          <w:p w14:paraId="0FEC3685">
            <w:pPr>
              <w:rPr>
                <w:rFonts w:ascii="Arial"/>
                <w:sz w:val="21"/>
                <w:highlight w:val="none"/>
              </w:rPr>
            </w:pPr>
          </w:p>
        </w:tc>
        <w:tc>
          <w:tcPr>
            <w:tcW w:w="1520" w:type="dxa"/>
            <w:gridSpan w:val="2"/>
            <w:vAlign w:val="top"/>
          </w:tcPr>
          <w:p w14:paraId="4D92C32B">
            <w:pPr>
              <w:rPr>
                <w:rFonts w:ascii="Arial"/>
                <w:sz w:val="21"/>
                <w:highlight w:val="none"/>
              </w:rPr>
            </w:pPr>
          </w:p>
        </w:tc>
      </w:tr>
    </w:tbl>
    <w:p w14:paraId="6508D8E1">
      <w:pPr>
        <w:spacing w:before="127" w:line="220"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2）税金：按</w:t>
      </w:r>
      <w:r>
        <w:rPr>
          <w:rFonts w:ascii="宋体" w:hAnsi="宋体" w:eastAsia="宋体" w:cs="宋体"/>
          <w:spacing w:val="-36"/>
          <w:sz w:val="24"/>
          <w:szCs w:val="24"/>
          <w:highlight w:val="none"/>
        </w:rPr>
        <w:t xml:space="preserve"> </w:t>
      </w:r>
      <w:r>
        <w:rPr>
          <w:rFonts w:ascii="宋体" w:hAnsi="宋体" w:eastAsia="宋体" w:cs="宋体"/>
          <w:spacing w:val="-2"/>
          <w:sz w:val="24"/>
          <w:szCs w:val="24"/>
          <w:highlight w:val="none"/>
        </w:rPr>
        <w:t>9%执行{分部分项工程项目费+措施项目费+不</w:t>
      </w:r>
      <w:r>
        <w:rPr>
          <w:rFonts w:ascii="宋体" w:hAnsi="宋体" w:eastAsia="宋体" w:cs="宋体"/>
          <w:spacing w:val="-3"/>
          <w:sz w:val="24"/>
          <w:szCs w:val="24"/>
          <w:highlight w:val="none"/>
        </w:rPr>
        <w:t>可竞争费+其他项目费}；</w:t>
      </w:r>
    </w:p>
    <w:p w14:paraId="4124B338">
      <w:pPr>
        <w:spacing w:before="122" w:line="219" w:lineRule="auto"/>
        <w:ind w:left="513"/>
        <w:rPr>
          <w:rFonts w:ascii="宋体" w:hAnsi="宋体" w:eastAsia="宋体" w:cs="宋体"/>
          <w:sz w:val="24"/>
          <w:szCs w:val="24"/>
          <w:highlight w:val="none"/>
        </w:rPr>
      </w:pPr>
      <w:r>
        <w:rPr>
          <w:rFonts w:ascii="宋体" w:hAnsi="宋体" w:eastAsia="宋体" w:cs="宋体"/>
          <w:spacing w:val="-3"/>
          <w:sz w:val="24"/>
          <w:szCs w:val="24"/>
          <w:highlight w:val="none"/>
        </w:rPr>
        <w:t>3）招标文件中明确的由招标人自行采购的材料费；</w:t>
      </w:r>
    </w:p>
    <w:p w14:paraId="6A604172">
      <w:pPr>
        <w:spacing w:before="124" w:line="218" w:lineRule="auto"/>
        <w:ind w:left="507"/>
        <w:rPr>
          <w:rFonts w:ascii="宋体" w:hAnsi="宋体" w:eastAsia="宋体" w:cs="宋体"/>
          <w:sz w:val="24"/>
          <w:szCs w:val="24"/>
          <w:highlight w:val="none"/>
        </w:rPr>
      </w:pPr>
      <w:r>
        <w:rPr>
          <w:rFonts w:ascii="宋体" w:hAnsi="宋体" w:eastAsia="宋体" w:cs="宋体"/>
          <w:spacing w:val="-5"/>
          <w:sz w:val="24"/>
          <w:szCs w:val="24"/>
          <w:highlight w:val="none"/>
        </w:rPr>
        <w:t>4）暂列金额、专业工程暂估价；</w:t>
      </w:r>
    </w:p>
    <w:p w14:paraId="370F62A6">
      <w:pPr>
        <w:spacing w:before="124" w:line="219" w:lineRule="auto"/>
        <w:ind w:left="513"/>
        <w:rPr>
          <w:rFonts w:ascii="宋体" w:hAnsi="宋体" w:eastAsia="宋体" w:cs="宋体"/>
          <w:sz w:val="24"/>
          <w:szCs w:val="24"/>
          <w:highlight w:val="none"/>
        </w:rPr>
      </w:pPr>
      <w:r>
        <w:rPr>
          <w:rFonts w:ascii="宋体" w:hAnsi="宋体" w:eastAsia="宋体" w:cs="宋体"/>
          <w:spacing w:val="-2"/>
          <w:sz w:val="24"/>
          <w:szCs w:val="24"/>
          <w:highlight w:val="none"/>
        </w:rPr>
        <w:t>5）法律法规规章、上级文件等规定的其他不可竞争费用。</w:t>
      </w:r>
    </w:p>
    <w:p w14:paraId="47A19AE4">
      <w:pPr>
        <w:spacing w:before="123" w:line="220" w:lineRule="auto"/>
        <w:ind w:left="526"/>
        <w:rPr>
          <w:rFonts w:ascii="宋体" w:hAnsi="宋体" w:eastAsia="宋体" w:cs="宋体"/>
          <w:sz w:val="24"/>
          <w:szCs w:val="24"/>
          <w:highlight w:val="none"/>
        </w:rPr>
      </w:pPr>
      <w:r>
        <w:rPr>
          <w:rFonts w:ascii="宋体" w:hAnsi="宋体" w:eastAsia="宋体" w:cs="宋体"/>
          <w:spacing w:val="-7"/>
          <w:sz w:val="24"/>
          <w:szCs w:val="24"/>
          <w:highlight w:val="none"/>
        </w:rPr>
        <w:t>14.6.2</w:t>
      </w:r>
      <w:r>
        <w:rPr>
          <w:rFonts w:ascii="宋体" w:hAnsi="宋体" w:eastAsia="宋体" w:cs="宋体"/>
          <w:spacing w:val="-38"/>
          <w:sz w:val="24"/>
          <w:szCs w:val="24"/>
          <w:highlight w:val="none"/>
        </w:rPr>
        <w:t xml:space="preserve"> </w:t>
      </w:r>
      <w:r>
        <w:rPr>
          <w:rFonts w:ascii="宋体" w:hAnsi="宋体" w:eastAsia="宋体" w:cs="宋体"/>
          <w:spacing w:val="-7"/>
          <w:sz w:val="24"/>
          <w:szCs w:val="24"/>
          <w:highlight w:val="none"/>
        </w:rPr>
        <w:t>可竞争费用包括：</w:t>
      </w:r>
    </w:p>
    <w:p w14:paraId="204E0B5D">
      <w:pPr>
        <w:spacing w:before="88" w:line="220" w:lineRule="auto"/>
        <w:ind w:left="523"/>
        <w:rPr>
          <w:rFonts w:ascii="宋体" w:hAnsi="宋体" w:eastAsia="宋体" w:cs="宋体"/>
          <w:spacing w:val="-9"/>
          <w:sz w:val="24"/>
          <w:szCs w:val="24"/>
          <w:highlight w:val="none"/>
        </w:rPr>
      </w:pPr>
      <w:r>
        <w:rPr>
          <w:rFonts w:ascii="宋体" w:hAnsi="宋体" w:eastAsia="宋体" w:cs="宋体"/>
          <w:spacing w:val="-9"/>
          <w:sz w:val="24"/>
          <w:szCs w:val="24"/>
          <w:highlight w:val="none"/>
        </w:rPr>
        <w:t>(1)材料费、机械费用；</w:t>
      </w:r>
    </w:p>
    <w:p w14:paraId="371C115D">
      <w:pPr>
        <w:spacing w:before="88" w:line="220" w:lineRule="auto"/>
        <w:ind w:left="523"/>
        <w:rPr>
          <w:rFonts w:ascii="宋体" w:hAnsi="宋体" w:eastAsia="宋体" w:cs="宋体"/>
          <w:sz w:val="24"/>
          <w:szCs w:val="24"/>
          <w:highlight w:val="none"/>
        </w:rPr>
      </w:pPr>
      <w:r>
        <w:rPr>
          <w:rFonts w:ascii="宋体" w:hAnsi="宋体" w:eastAsia="宋体" w:cs="宋体"/>
          <w:spacing w:val="-14"/>
          <w:sz w:val="24"/>
          <w:szCs w:val="24"/>
          <w:highlight w:val="none"/>
        </w:rPr>
        <w:t>(2)综合费；</w:t>
      </w:r>
    </w:p>
    <w:p w14:paraId="51855A71">
      <w:pPr>
        <w:spacing w:before="122" w:line="220" w:lineRule="auto"/>
        <w:ind w:left="523"/>
        <w:rPr>
          <w:rFonts w:ascii="宋体" w:hAnsi="宋体" w:eastAsia="宋体" w:cs="宋体"/>
          <w:sz w:val="24"/>
          <w:szCs w:val="24"/>
          <w:highlight w:val="none"/>
        </w:rPr>
      </w:pPr>
      <w:r>
        <w:rPr>
          <w:rFonts w:ascii="宋体" w:hAnsi="宋体" w:eastAsia="宋体" w:cs="宋体"/>
          <w:spacing w:val="-9"/>
          <w:sz w:val="24"/>
          <w:szCs w:val="24"/>
          <w:highlight w:val="none"/>
        </w:rPr>
        <w:t>(3)措施项目费。</w:t>
      </w:r>
    </w:p>
    <w:p w14:paraId="559C9290">
      <w:pPr>
        <w:spacing w:before="121"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14.7</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工程材料</w:t>
      </w:r>
    </w:p>
    <w:p w14:paraId="3C0E0657">
      <w:pPr>
        <w:spacing w:before="123"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14.7.1</w:t>
      </w:r>
      <w:r>
        <w:rPr>
          <w:rFonts w:ascii="宋体" w:hAnsi="宋体" w:eastAsia="宋体" w:cs="宋体"/>
          <w:spacing w:val="-51"/>
          <w:sz w:val="24"/>
          <w:szCs w:val="24"/>
          <w:highlight w:val="none"/>
        </w:rPr>
        <w:t xml:space="preserve"> </w:t>
      </w:r>
      <w:r>
        <w:rPr>
          <w:rFonts w:ascii="宋体" w:hAnsi="宋体" w:eastAsia="宋体" w:cs="宋体"/>
          <w:spacing w:val="-3"/>
          <w:sz w:val="24"/>
          <w:szCs w:val="24"/>
          <w:highlight w:val="none"/>
        </w:rPr>
        <w:t>材料供应方式：本工程使用的材料由承包方采购供应；</w:t>
      </w:r>
    </w:p>
    <w:p w14:paraId="149FC1E5">
      <w:pPr>
        <w:spacing w:before="124" w:line="257" w:lineRule="auto"/>
        <w:ind w:right="2" w:firstLine="497"/>
        <w:rPr>
          <w:rFonts w:ascii="宋体" w:hAnsi="宋体" w:eastAsia="宋体" w:cs="宋体"/>
          <w:sz w:val="24"/>
          <w:szCs w:val="24"/>
          <w:highlight w:val="none"/>
        </w:rPr>
      </w:pPr>
      <w:r>
        <w:rPr>
          <w:rFonts w:ascii="宋体" w:hAnsi="宋体" w:eastAsia="宋体" w:cs="宋体"/>
          <w:spacing w:val="-3"/>
          <w:sz w:val="24"/>
          <w:szCs w:val="24"/>
          <w:highlight w:val="none"/>
        </w:rPr>
        <w:t>14.7.2</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材料价格：除甲供材和实行暂定价的材料及设备以外，由投标人自行采购的</w:t>
      </w:r>
      <w:r>
        <w:rPr>
          <w:rFonts w:ascii="宋体" w:hAnsi="宋体" w:eastAsia="宋体" w:cs="宋体"/>
          <w:spacing w:val="-1"/>
          <w:sz w:val="24"/>
          <w:szCs w:val="24"/>
          <w:highlight w:val="none"/>
        </w:rPr>
        <w:t>材料确定投标报价时应充分考虑材料价格波动等市场风险因素，中</w:t>
      </w:r>
      <w:r>
        <w:rPr>
          <w:rFonts w:ascii="宋体" w:hAnsi="宋体" w:eastAsia="宋体" w:cs="宋体"/>
          <w:spacing w:val="-2"/>
          <w:sz w:val="24"/>
          <w:szCs w:val="24"/>
          <w:highlight w:val="none"/>
        </w:rPr>
        <w:t>标后不作调整（合同</w:t>
      </w:r>
      <w:r>
        <w:rPr>
          <w:rFonts w:ascii="宋体" w:hAnsi="宋体" w:eastAsia="宋体" w:cs="宋体"/>
          <w:spacing w:val="-1"/>
          <w:sz w:val="24"/>
          <w:szCs w:val="24"/>
          <w:highlight w:val="none"/>
        </w:rPr>
        <w:t>另有约定的除外），综合单价中的材料费应包括材料运杂费、运输损</w:t>
      </w:r>
      <w:r>
        <w:rPr>
          <w:rFonts w:ascii="宋体" w:hAnsi="宋体" w:eastAsia="宋体" w:cs="宋体"/>
          <w:spacing w:val="-2"/>
          <w:sz w:val="24"/>
          <w:szCs w:val="24"/>
          <w:highlight w:val="none"/>
        </w:rPr>
        <w:t>耗费、采保费。</w:t>
      </w:r>
    </w:p>
    <w:p w14:paraId="4571AB67">
      <w:pPr>
        <w:spacing w:before="126" w:line="247" w:lineRule="auto"/>
        <w:ind w:left="4" w:right="2" w:firstLine="493"/>
        <w:rPr>
          <w:rFonts w:ascii="宋体" w:hAnsi="宋体" w:eastAsia="宋体" w:cs="宋体"/>
          <w:sz w:val="24"/>
          <w:szCs w:val="24"/>
          <w:highlight w:val="none"/>
        </w:rPr>
      </w:pPr>
      <w:r>
        <w:rPr>
          <w:rFonts w:ascii="宋体" w:hAnsi="宋体" w:eastAsia="宋体" w:cs="宋体"/>
          <w:spacing w:val="-3"/>
          <w:sz w:val="24"/>
          <w:szCs w:val="24"/>
          <w:highlight w:val="none"/>
        </w:rPr>
        <w:t>14.7.3</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结算时实行暂定价的材料和设备的价差仅计取税金，不再计取其他费用。实</w:t>
      </w:r>
      <w:r>
        <w:rPr>
          <w:rFonts w:ascii="宋体" w:hAnsi="宋体" w:eastAsia="宋体" w:cs="宋体"/>
          <w:spacing w:val="-2"/>
          <w:sz w:val="24"/>
          <w:szCs w:val="24"/>
          <w:highlight w:val="none"/>
        </w:rPr>
        <w:t>行暂定价的材料招标，应按相关规定进行二次招标。</w:t>
      </w:r>
    </w:p>
    <w:p w14:paraId="0B14B259">
      <w:pPr>
        <w:spacing w:before="126" w:line="265" w:lineRule="auto"/>
        <w:ind w:right="2" w:firstLine="498"/>
        <w:rPr>
          <w:rFonts w:ascii="宋体" w:hAnsi="宋体" w:eastAsia="宋体" w:cs="宋体"/>
          <w:sz w:val="24"/>
          <w:szCs w:val="24"/>
          <w:highlight w:val="none"/>
        </w:rPr>
      </w:pPr>
      <w:r>
        <w:rPr>
          <w:rFonts w:ascii="宋体" w:hAnsi="宋体" w:eastAsia="宋体" w:cs="宋体"/>
          <w:spacing w:val="-3"/>
          <w:sz w:val="24"/>
          <w:szCs w:val="24"/>
          <w:highlight w:val="none"/>
        </w:rPr>
        <w:t>14.8</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本招标工程的施工地点为本须知前附表所述，投标人应自行到施工现场踏勘以</w:t>
      </w:r>
      <w:r>
        <w:rPr>
          <w:rFonts w:ascii="宋体" w:hAnsi="宋体" w:eastAsia="宋体" w:cs="宋体"/>
          <w:spacing w:val="-1"/>
          <w:sz w:val="24"/>
          <w:szCs w:val="24"/>
          <w:highlight w:val="none"/>
        </w:rPr>
        <w:t>充分了解工地位置、道路、储存空间、装卸限制及任何其它足以影响投标报价的情况，任何因忽视或误解施工场地情况而导致的索赔或工期延长申请将不被批准。对于受施工</w:t>
      </w:r>
      <w:r>
        <w:rPr>
          <w:rFonts w:ascii="宋体" w:hAnsi="宋体" w:eastAsia="宋体" w:cs="宋体"/>
          <w:spacing w:val="-6"/>
          <w:sz w:val="24"/>
          <w:szCs w:val="24"/>
          <w:highlight w:val="none"/>
        </w:rPr>
        <w:t>现场场地限制，如需要另外寻找场地解决临时住宿、材料及设备堆放，由此所产</w:t>
      </w:r>
      <w:r>
        <w:rPr>
          <w:rFonts w:ascii="宋体" w:hAnsi="宋体" w:eastAsia="宋体" w:cs="宋体"/>
          <w:spacing w:val="-7"/>
          <w:sz w:val="24"/>
          <w:szCs w:val="24"/>
          <w:highlight w:val="none"/>
        </w:rPr>
        <w:t>生的费</w:t>
      </w:r>
      <w:r>
        <w:rPr>
          <w:rFonts w:ascii="宋体" w:hAnsi="宋体" w:eastAsia="宋体" w:cs="宋体"/>
          <w:spacing w:val="-2"/>
          <w:sz w:val="24"/>
          <w:szCs w:val="24"/>
          <w:highlight w:val="none"/>
        </w:rPr>
        <w:t>用应包含在投标报价范围内，招标人不再承担该费用。</w:t>
      </w:r>
    </w:p>
    <w:p w14:paraId="554D72B1">
      <w:pPr>
        <w:spacing w:before="124" w:line="218"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14.9</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工程造价的确定与控制</w:t>
      </w:r>
    </w:p>
    <w:p w14:paraId="5F4E8393">
      <w:pPr>
        <w:spacing w:before="128" w:line="277" w:lineRule="auto"/>
        <w:ind w:left="1" w:firstLine="479"/>
        <w:jc w:val="both"/>
        <w:rPr>
          <w:rFonts w:ascii="宋体" w:hAnsi="宋体" w:eastAsia="宋体" w:cs="宋体"/>
          <w:sz w:val="24"/>
          <w:szCs w:val="24"/>
          <w:highlight w:val="none"/>
        </w:rPr>
      </w:pPr>
      <w:r>
        <w:rPr>
          <w:rFonts w:ascii="宋体" w:hAnsi="宋体" w:eastAsia="宋体" w:cs="宋体"/>
          <w:spacing w:val="-1"/>
          <w:sz w:val="24"/>
          <w:szCs w:val="24"/>
          <w:highlight w:val="none"/>
        </w:rPr>
        <w:t>本工程采用百分比报价方式（审定预算价的百分比）招标，中标人收到中标通知书后，须在投标须知前附表规定的时间内与招标人签订费率合同。在单项工程施工图设计完成后，由本项目招标代理机构（工程造价咨询单位）编制施工图预算并送审，待审核</w:t>
      </w:r>
      <w:r>
        <w:rPr>
          <w:rFonts w:ascii="宋体" w:hAnsi="宋体" w:eastAsia="宋体" w:cs="宋体"/>
          <w:spacing w:val="-2"/>
          <w:sz w:val="24"/>
          <w:szCs w:val="24"/>
          <w:highlight w:val="none"/>
        </w:rPr>
        <w:t>部门对工程预算审核完成后 10</w:t>
      </w:r>
      <w:r>
        <w:rPr>
          <w:rFonts w:ascii="宋体" w:hAnsi="宋体" w:eastAsia="宋体" w:cs="宋体"/>
          <w:spacing w:val="54"/>
          <w:sz w:val="24"/>
          <w:szCs w:val="24"/>
          <w:highlight w:val="none"/>
        </w:rPr>
        <w:t xml:space="preserve"> </w:t>
      </w:r>
      <w:r>
        <w:rPr>
          <w:rFonts w:ascii="宋体" w:hAnsi="宋体" w:eastAsia="宋体" w:cs="宋体"/>
          <w:spacing w:val="-2"/>
          <w:sz w:val="24"/>
          <w:szCs w:val="24"/>
          <w:highlight w:val="none"/>
        </w:rPr>
        <w:t>日内中标人须与招标人签订补充协议，对该单项工程造</w:t>
      </w:r>
      <w:r>
        <w:rPr>
          <w:rFonts w:ascii="宋体" w:hAnsi="宋体" w:eastAsia="宋体" w:cs="宋体"/>
          <w:spacing w:val="-10"/>
          <w:sz w:val="24"/>
          <w:szCs w:val="24"/>
          <w:highlight w:val="none"/>
        </w:rPr>
        <w:t>价予以明确；</w:t>
      </w:r>
    </w:p>
    <w:p w14:paraId="2C5B546C">
      <w:pPr>
        <w:spacing w:before="48" w:line="276" w:lineRule="auto"/>
        <w:ind w:right="10" w:firstLine="479"/>
        <w:rPr>
          <w:rFonts w:ascii="宋体" w:hAnsi="宋体" w:eastAsia="宋体" w:cs="宋体"/>
          <w:sz w:val="24"/>
          <w:szCs w:val="24"/>
          <w:highlight w:val="none"/>
        </w:rPr>
      </w:pPr>
      <w:r>
        <w:rPr>
          <w:rFonts w:ascii="宋体" w:hAnsi="宋体" w:eastAsia="宋体" w:cs="宋体"/>
          <w:spacing w:val="2"/>
          <w:sz w:val="24"/>
          <w:szCs w:val="24"/>
          <w:highlight w:val="none"/>
        </w:rPr>
        <w:t>补充协议价格=经政府或建设单位委托的预算审核单位审定的本项目承包范围内的</w:t>
      </w:r>
      <w:r>
        <w:rPr>
          <w:rFonts w:ascii="宋体" w:hAnsi="宋体" w:eastAsia="宋体" w:cs="宋体"/>
          <w:spacing w:val="-2"/>
          <w:sz w:val="24"/>
          <w:szCs w:val="24"/>
          <w:highlight w:val="none"/>
        </w:rPr>
        <w:t>清单预算价×投标报价（费率</w:t>
      </w:r>
      <w:r>
        <w:rPr>
          <w:rFonts w:ascii="宋体" w:hAnsi="宋体" w:eastAsia="宋体" w:cs="宋体"/>
          <w:spacing w:val="5"/>
          <w:sz w:val="24"/>
          <w:szCs w:val="24"/>
          <w:highlight w:val="none"/>
        </w:rPr>
        <w:t>），</w:t>
      </w:r>
      <w:r>
        <w:rPr>
          <w:rFonts w:ascii="宋体" w:hAnsi="宋体" w:eastAsia="宋体" w:cs="宋体"/>
          <w:spacing w:val="-2"/>
          <w:sz w:val="24"/>
          <w:szCs w:val="24"/>
          <w:highlight w:val="none"/>
        </w:rPr>
        <w:t>其中暂列金额及其税金不下浮。</w:t>
      </w:r>
    </w:p>
    <w:p w14:paraId="030C4C7B">
      <w:pPr>
        <w:spacing w:before="50" w:line="277" w:lineRule="auto"/>
        <w:ind w:left="1" w:right="3" w:firstLine="478"/>
        <w:rPr>
          <w:rFonts w:ascii="宋体" w:hAnsi="宋体" w:eastAsia="宋体" w:cs="宋体"/>
          <w:sz w:val="24"/>
          <w:szCs w:val="24"/>
          <w:highlight w:val="none"/>
        </w:rPr>
      </w:pPr>
      <w:r>
        <w:rPr>
          <w:rFonts w:ascii="宋体" w:hAnsi="宋体" w:eastAsia="宋体" w:cs="宋体"/>
          <w:spacing w:val="-1"/>
          <w:sz w:val="24"/>
          <w:szCs w:val="24"/>
          <w:highlight w:val="none"/>
        </w:rPr>
        <w:t>注：本项目采用限额设计，补充协议价格不得超过</w:t>
      </w:r>
      <w:r>
        <w:rPr>
          <w:rFonts w:ascii="宋体" w:hAnsi="宋体" w:eastAsia="宋体" w:cs="宋体"/>
          <w:spacing w:val="-44"/>
          <w:sz w:val="24"/>
          <w:szCs w:val="24"/>
          <w:highlight w:val="none"/>
        </w:rPr>
        <w:t xml:space="preserve"> </w:t>
      </w:r>
      <w:r>
        <w:rPr>
          <w:rFonts w:hint="eastAsia" w:ascii="宋体" w:hAnsi="宋体" w:eastAsia="宋体" w:cs="宋体"/>
          <w:spacing w:val="-1"/>
          <w:sz w:val="24"/>
          <w:szCs w:val="24"/>
          <w:highlight w:val="none"/>
          <w:lang w:val="en-US" w:eastAsia="zh-CN"/>
        </w:rPr>
        <w:t>2189.77</w:t>
      </w:r>
      <w:r>
        <w:rPr>
          <w:rFonts w:ascii="宋体" w:hAnsi="宋体" w:eastAsia="宋体" w:cs="宋体"/>
          <w:spacing w:val="-2"/>
          <w:sz w:val="24"/>
          <w:szCs w:val="24"/>
          <w:highlight w:val="none"/>
        </w:rPr>
        <w:t>万元，否则招标人有权</w:t>
      </w:r>
      <w:r>
        <w:rPr>
          <w:rFonts w:ascii="宋体" w:hAnsi="宋体" w:eastAsia="宋体" w:cs="宋体"/>
          <w:spacing w:val="-3"/>
          <w:sz w:val="24"/>
          <w:szCs w:val="24"/>
          <w:highlight w:val="none"/>
        </w:rPr>
        <w:t>要求承包人重新修改设计直至满足要求为止。</w:t>
      </w:r>
    </w:p>
    <w:p w14:paraId="1C31066E">
      <w:pPr>
        <w:spacing w:before="47" w:line="277" w:lineRule="auto"/>
        <w:ind w:left="2" w:firstLine="479"/>
        <w:jc w:val="both"/>
        <w:rPr>
          <w:rFonts w:ascii="宋体" w:hAnsi="宋体" w:eastAsia="宋体" w:cs="宋体"/>
          <w:sz w:val="24"/>
          <w:szCs w:val="24"/>
          <w:highlight w:val="none"/>
        </w:rPr>
      </w:pPr>
      <w:r>
        <w:rPr>
          <w:rFonts w:ascii="宋体" w:hAnsi="宋体" w:eastAsia="宋体" w:cs="宋体"/>
          <w:spacing w:val="-1"/>
          <w:sz w:val="24"/>
          <w:szCs w:val="24"/>
          <w:highlight w:val="none"/>
        </w:rPr>
        <w:t>经政府或建设单位委托的预算审核单位审定的本项目预算成果文件（包含工程量清单及详细价格等）作为补充协议的附件，该附件作为本项目工程款支付、变更、结算等</w:t>
      </w:r>
      <w:r>
        <w:rPr>
          <w:rFonts w:ascii="宋体" w:hAnsi="宋体" w:eastAsia="宋体" w:cs="宋体"/>
          <w:spacing w:val="-2"/>
          <w:sz w:val="24"/>
          <w:szCs w:val="24"/>
          <w:highlight w:val="none"/>
        </w:rPr>
        <w:t>的计算依据。如发生工程变更，变更价款按照专用合同条款约定执行。</w:t>
      </w:r>
    </w:p>
    <w:p w14:paraId="26421387">
      <w:pPr>
        <w:spacing w:before="46" w:line="218" w:lineRule="auto"/>
        <w:ind w:left="18"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15、本招标工程不保证最低价（费率）中标。</w:t>
      </w:r>
    </w:p>
    <w:p w14:paraId="0E9879D0">
      <w:pPr>
        <w:spacing w:before="126" w:line="219" w:lineRule="auto"/>
        <w:ind w:left="18" w:firstLine="448" w:firstLineChars="200"/>
        <w:rPr>
          <w:rFonts w:ascii="宋体" w:hAnsi="宋体" w:eastAsia="宋体" w:cs="宋体"/>
          <w:sz w:val="24"/>
          <w:szCs w:val="24"/>
          <w:highlight w:val="none"/>
        </w:rPr>
      </w:pPr>
      <w:r>
        <w:rPr>
          <w:rFonts w:ascii="宋体" w:hAnsi="宋体" w:eastAsia="宋体" w:cs="宋体"/>
          <w:spacing w:val="-8"/>
          <w:sz w:val="24"/>
          <w:szCs w:val="24"/>
          <w:highlight w:val="none"/>
        </w:rPr>
        <w:t>16、投标货币</w:t>
      </w:r>
    </w:p>
    <w:p w14:paraId="31B34176">
      <w:pPr>
        <w:spacing w:before="77" w:line="218"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本工程投标报价采用的币种为</w:t>
      </w:r>
      <w:r>
        <w:rPr>
          <w:rFonts w:ascii="宋体" w:hAnsi="宋体" w:eastAsia="宋体" w:cs="宋体"/>
          <w:spacing w:val="-1"/>
          <w:sz w:val="24"/>
          <w:szCs w:val="24"/>
          <w:highlight w:val="none"/>
          <w:u w:val="single" w:color="auto"/>
        </w:rPr>
        <w:t>人民币</w:t>
      </w:r>
      <w:r>
        <w:rPr>
          <w:rFonts w:ascii="宋体" w:hAnsi="宋体" w:eastAsia="宋体" w:cs="宋体"/>
          <w:spacing w:val="-1"/>
          <w:sz w:val="24"/>
          <w:szCs w:val="24"/>
          <w:highlight w:val="none"/>
        </w:rPr>
        <w:t>。</w:t>
      </w:r>
    </w:p>
    <w:p w14:paraId="548E586D">
      <w:pPr>
        <w:spacing w:before="76" w:line="220" w:lineRule="auto"/>
        <w:ind w:left="18" w:firstLine="456" w:firstLineChars="200"/>
        <w:rPr>
          <w:rFonts w:ascii="宋体" w:hAnsi="宋体" w:eastAsia="宋体" w:cs="宋体"/>
          <w:sz w:val="24"/>
          <w:szCs w:val="24"/>
          <w:highlight w:val="none"/>
        </w:rPr>
      </w:pPr>
      <w:r>
        <w:rPr>
          <w:rFonts w:ascii="宋体" w:hAnsi="宋体" w:eastAsia="宋体" w:cs="宋体"/>
          <w:spacing w:val="-6"/>
          <w:sz w:val="24"/>
          <w:szCs w:val="24"/>
          <w:highlight w:val="none"/>
        </w:rPr>
        <w:t>17、投标有效期</w:t>
      </w:r>
    </w:p>
    <w:p w14:paraId="47ADCDFB">
      <w:pPr>
        <w:spacing w:before="75" w:line="248" w:lineRule="auto"/>
        <w:ind w:right="2"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17.1</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投标有效期见本须知前附表的规定，在此期限内，凡符合本招标文件要求的投</w:t>
      </w:r>
      <w:r>
        <w:rPr>
          <w:rFonts w:ascii="宋体" w:hAnsi="宋体" w:eastAsia="宋体" w:cs="宋体"/>
          <w:spacing w:val="-5"/>
          <w:sz w:val="24"/>
          <w:szCs w:val="24"/>
          <w:highlight w:val="none"/>
        </w:rPr>
        <w:t>标文件均保持有效。</w:t>
      </w:r>
    </w:p>
    <w:p w14:paraId="0349126F">
      <w:pPr>
        <w:spacing w:before="90" w:line="277" w:lineRule="auto"/>
        <w:ind w:left="239" w:leftChars="114" w:right="2" w:firstLine="229" w:firstLineChars="98"/>
        <w:rPr>
          <w:rFonts w:ascii="宋体" w:hAnsi="宋体" w:eastAsia="宋体" w:cs="宋体"/>
          <w:sz w:val="24"/>
          <w:szCs w:val="24"/>
          <w:highlight w:val="none"/>
        </w:rPr>
      </w:pPr>
      <w:r>
        <w:rPr>
          <w:rFonts w:ascii="宋体" w:hAnsi="宋体" w:eastAsia="宋体" w:cs="宋体"/>
          <w:spacing w:val="-3"/>
          <w:sz w:val="24"/>
          <w:szCs w:val="24"/>
          <w:highlight w:val="none"/>
        </w:rPr>
        <w:t>17.2</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特殊情况下，招标人在原定投标有效期内，可以根据需要向投标人提出延长投</w:t>
      </w:r>
      <w:r>
        <w:rPr>
          <w:rFonts w:ascii="宋体" w:hAnsi="宋体" w:eastAsia="宋体" w:cs="宋体"/>
          <w:spacing w:val="-1"/>
          <w:sz w:val="24"/>
          <w:szCs w:val="24"/>
          <w:highlight w:val="none"/>
        </w:rPr>
        <w:t>标有效期的要求，对此要求招标人须以书面方式网上通知投标人。投标人可以拒绝招标人这种要求并有权收回投标保证金，但是对拒绝延长投标有效期的投标人，招标人有权利拒绝其投标文件。同意延长投标有效期的投标人既不能要求也不被允许修改其投标文件，但需要相应的延长投标担保的有效期；在延长的投标有效期内本须知第 18 条关于</w:t>
      </w:r>
      <w:r>
        <w:rPr>
          <w:rFonts w:ascii="宋体" w:hAnsi="宋体" w:eastAsia="宋体" w:cs="宋体"/>
          <w:spacing w:val="-4"/>
          <w:sz w:val="24"/>
          <w:szCs w:val="24"/>
          <w:highlight w:val="none"/>
        </w:rPr>
        <w:t>投标担保的相关规定仍然适用。</w:t>
      </w:r>
    </w:p>
    <w:p w14:paraId="2BAA9CDA">
      <w:pPr>
        <w:spacing w:line="219" w:lineRule="auto"/>
        <w:ind w:left="18"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18、投标担保、放弃投标、中标</w:t>
      </w:r>
    </w:p>
    <w:p w14:paraId="5EF1472B">
      <w:pPr>
        <w:spacing w:before="75" w:line="248" w:lineRule="auto"/>
        <w:ind w:left="5" w:firstLine="492"/>
        <w:rPr>
          <w:rFonts w:ascii="宋体" w:hAnsi="宋体" w:eastAsia="宋体" w:cs="宋体"/>
          <w:sz w:val="24"/>
          <w:szCs w:val="24"/>
          <w:highlight w:val="none"/>
        </w:rPr>
      </w:pPr>
      <w:r>
        <w:rPr>
          <w:rFonts w:ascii="宋体" w:hAnsi="宋体" w:eastAsia="宋体" w:cs="宋体"/>
          <w:spacing w:val="-3"/>
          <w:sz w:val="24"/>
          <w:szCs w:val="24"/>
          <w:highlight w:val="none"/>
        </w:rPr>
        <w:t>18.1</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本工程投标担保采用投标保证金形式，投标人应按照投标须知前附表的规定提</w:t>
      </w:r>
      <w:r>
        <w:rPr>
          <w:rFonts w:ascii="宋体" w:hAnsi="宋体" w:eastAsia="宋体" w:cs="宋体"/>
          <w:spacing w:val="-2"/>
          <w:sz w:val="24"/>
          <w:szCs w:val="24"/>
          <w:highlight w:val="none"/>
        </w:rPr>
        <w:t>交投标保证金并作为其投标文件的一部分。</w:t>
      </w:r>
    </w:p>
    <w:p w14:paraId="0614A5C7">
      <w:pPr>
        <w:spacing w:before="74" w:line="248" w:lineRule="auto"/>
        <w:ind w:firstLine="497"/>
        <w:rPr>
          <w:rFonts w:ascii="宋体" w:hAnsi="宋体" w:eastAsia="宋体" w:cs="宋体"/>
          <w:sz w:val="24"/>
          <w:szCs w:val="24"/>
          <w:highlight w:val="none"/>
        </w:rPr>
      </w:pPr>
      <w:r>
        <w:rPr>
          <w:rFonts w:ascii="宋体" w:hAnsi="宋体" w:eastAsia="宋体" w:cs="宋体"/>
          <w:spacing w:val="-2"/>
          <w:sz w:val="24"/>
          <w:szCs w:val="24"/>
          <w:highlight w:val="none"/>
        </w:rPr>
        <w:t>18.2</w:t>
      </w:r>
      <w:r>
        <w:rPr>
          <w:rFonts w:ascii="宋体" w:hAnsi="宋体" w:eastAsia="宋体" w:cs="宋体"/>
          <w:spacing w:val="-35"/>
          <w:sz w:val="24"/>
          <w:szCs w:val="24"/>
          <w:highlight w:val="none"/>
        </w:rPr>
        <w:t xml:space="preserve"> </w:t>
      </w:r>
      <w:r>
        <w:rPr>
          <w:rFonts w:ascii="宋体" w:hAnsi="宋体" w:eastAsia="宋体" w:cs="宋体"/>
          <w:spacing w:val="-2"/>
          <w:sz w:val="24"/>
          <w:szCs w:val="24"/>
          <w:highlight w:val="none"/>
        </w:rPr>
        <w:t>对于未能按上述第 18.1</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条要求提交投标保证金</w:t>
      </w:r>
      <w:r>
        <w:rPr>
          <w:rFonts w:ascii="宋体" w:hAnsi="宋体" w:eastAsia="宋体" w:cs="宋体"/>
          <w:spacing w:val="-3"/>
          <w:sz w:val="24"/>
          <w:szCs w:val="24"/>
          <w:highlight w:val="none"/>
        </w:rPr>
        <w:t>的投标，招标人将视其为不响</w:t>
      </w:r>
      <w:r>
        <w:rPr>
          <w:rFonts w:ascii="宋体" w:hAnsi="宋体" w:eastAsia="宋体" w:cs="宋体"/>
          <w:spacing w:val="-2"/>
          <w:sz w:val="24"/>
          <w:szCs w:val="24"/>
          <w:highlight w:val="none"/>
        </w:rPr>
        <w:t>应招标文件，交由评标委员会予以确认后，不进入评审。</w:t>
      </w:r>
    </w:p>
    <w:p w14:paraId="7D17F26D">
      <w:pPr>
        <w:spacing w:before="75"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18.3</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投标保证金的退还见投标须知前附表的规定。</w:t>
      </w:r>
    </w:p>
    <w:p w14:paraId="0CAE47AE">
      <w:pPr>
        <w:spacing w:before="75" w:line="220"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18.4</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rPr>
        <w:t>有下列情形之一的，投标保证金将不予退还：</w:t>
      </w:r>
    </w:p>
    <w:p w14:paraId="05DFC119">
      <w:pPr>
        <w:spacing w:before="74" w:line="220" w:lineRule="auto"/>
        <w:ind w:left="7"/>
        <w:rPr>
          <w:rFonts w:ascii="宋体" w:hAnsi="宋体" w:eastAsia="宋体" w:cs="宋体"/>
          <w:sz w:val="24"/>
          <w:szCs w:val="24"/>
          <w:highlight w:val="none"/>
        </w:rPr>
      </w:pPr>
      <w:r>
        <w:rPr>
          <w:rFonts w:ascii="宋体" w:hAnsi="宋体" w:eastAsia="宋体" w:cs="宋体"/>
          <w:spacing w:val="-4"/>
          <w:sz w:val="24"/>
          <w:szCs w:val="24"/>
          <w:highlight w:val="none"/>
        </w:rPr>
        <w:t>（1）投标截止后投标人撤销投标文件；</w:t>
      </w:r>
    </w:p>
    <w:p w14:paraId="313016B1">
      <w:pPr>
        <w:spacing w:before="75" w:line="248" w:lineRule="auto"/>
        <w:ind w:left="1" w:right="39" w:firstLine="5"/>
        <w:rPr>
          <w:rFonts w:ascii="宋体" w:hAnsi="宋体" w:eastAsia="宋体" w:cs="宋体"/>
          <w:sz w:val="24"/>
          <w:szCs w:val="24"/>
          <w:highlight w:val="none"/>
        </w:rPr>
      </w:pPr>
      <w:r>
        <w:rPr>
          <w:rFonts w:ascii="宋体" w:hAnsi="宋体" w:eastAsia="宋体" w:cs="宋体"/>
          <w:spacing w:val="1"/>
          <w:sz w:val="24"/>
          <w:szCs w:val="24"/>
          <w:highlight w:val="none"/>
        </w:rPr>
        <w:t>（2）中标人在收到中标通知书后，无正当理由不与招标人订立合同，在签订合同时向</w:t>
      </w:r>
      <w:r>
        <w:rPr>
          <w:rFonts w:ascii="宋体" w:hAnsi="宋体" w:eastAsia="宋体" w:cs="宋体"/>
          <w:spacing w:val="-2"/>
          <w:sz w:val="24"/>
          <w:szCs w:val="24"/>
          <w:highlight w:val="none"/>
        </w:rPr>
        <w:t>招标人提出附加条件，或者不按照招标文件要求</w:t>
      </w:r>
      <w:r>
        <w:rPr>
          <w:rFonts w:ascii="宋体" w:hAnsi="宋体" w:eastAsia="宋体" w:cs="宋体"/>
          <w:spacing w:val="-3"/>
          <w:sz w:val="24"/>
          <w:szCs w:val="24"/>
          <w:highlight w:val="none"/>
        </w:rPr>
        <w:t>提交履约保证金；</w:t>
      </w:r>
    </w:p>
    <w:p w14:paraId="06E7ACB9">
      <w:pPr>
        <w:spacing w:before="74" w:line="220" w:lineRule="auto"/>
        <w:ind w:left="7"/>
        <w:rPr>
          <w:rFonts w:ascii="宋体" w:hAnsi="宋体" w:eastAsia="宋体" w:cs="宋体"/>
          <w:sz w:val="24"/>
          <w:szCs w:val="24"/>
          <w:highlight w:val="none"/>
        </w:rPr>
      </w:pPr>
      <w:r>
        <w:rPr>
          <w:rFonts w:ascii="宋体" w:hAnsi="宋体" w:eastAsia="宋体" w:cs="宋体"/>
          <w:spacing w:val="-2"/>
          <w:sz w:val="24"/>
          <w:szCs w:val="24"/>
          <w:highlight w:val="none"/>
        </w:rPr>
        <w:t>（3）招投标法律法规规定的其他不予退还投标保证金情形。</w:t>
      </w:r>
    </w:p>
    <w:p w14:paraId="646F189A">
      <w:pPr>
        <w:spacing w:before="74" w:line="220" w:lineRule="auto"/>
        <w:ind w:left="18"/>
        <w:rPr>
          <w:rFonts w:ascii="宋体" w:hAnsi="宋体" w:eastAsia="宋体" w:cs="宋体"/>
          <w:sz w:val="24"/>
          <w:szCs w:val="24"/>
          <w:highlight w:val="none"/>
        </w:rPr>
      </w:pPr>
      <w:r>
        <w:rPr>
          <w:rFonts w:ascii="宋体" w:hAnsi="宋体" w:eastAsia="宋体" w:cs="宋体"/>
          <w:spacing w:val="-5"/>
          <w:sz w:val="24"/>
          <w:szCs w:val="24"/>
          <w:highlight w:val="none"/>
        </w:rPr>
        <w:t>19、投标替代方案</w:t>
      </w:r>
    </w:p>
    <w:p w14:paraId="0F71903D">
      <w:pPr>
        <w:spacing w:before="74" w:line="258" w:lineRule="auto"/>
        <w:ind w:firstLine="497"/>
        <w:rPr>
          <w:rFonts w:ascii="宋体" w:hAnsi="宋体" w:eastAsia="宋体" w:cs="宋体"/>
          <w:sz w:val="24"/>
          <w:szCs w:val="24"/>
          <w:highlight w:val="none"/>
        </w:rPr>
      </w:pPr>
      <w:r>
        <w:rPr>
          <w:rFonts w:ascii="宋体" w:hAnsi="宋体" w:eastAsia="宋体" w:cs="宋体"/>
          <w:spacing w:val="-3"/>
          <w:sz w:val="24"/>
          <w:szCs w:val="24"/>
          <w:highlight w:val="none"/>
        </w:rPr>
        <w:t>19.1</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投标人所提交的方案应满足招标文件的要求。除非投标须知前附表中允许投标</w:t>
      </w:r>
      <w:r>
        <w:rPr>
          <w:rFonts w:ascii="宋体" w:hAnsi="宋体" w:eastAsia="宋体" w:cs="宋体"/>
          <w:spacing w:val="-5"/>
          <w:sz w:val="24"/>
          <w:szCs w:val="24"/>
          <w:highlight w:val="none"/>
        </w:rPr>
        <w:t>人提交替代方案，否则替代方案不予考虑。如</w:t>
      </w:r>
      <w:r>
        <w:rPr>
          <w:rFonts w:ascii="宋体" w:hAnsi="宋体" w:eastAsia="宋体" w:cs="宋体"/>
          <w:spacing w:val="-6"/>
          <w:sz w:val="24"/>
          <w:szCs w:val="24"/>
          <w:highlight w:val="none"/>
        </w:rPr>
        <w:t>果允许投标人提交替代方案，</w:t>
      </w:r>
      <w:r>
        <w:rPr>
          <w:rFonts w:ascii="宋体" w:hAnsi="宋体" w:eastAsia="宋体" w:cs="宋体"/>
          <w:spacing w:val="63"/>
          <w:sz w:val="24"/>
          <w:szCs w:val="24"/>
          <w:highlight w:val="none"/>
        </w:rPr>
        <w:t xml:space="preserve"> </w:t>
      </w:r>
      <w:r>
        <w:rPr>
          <w:rFonts w:ascii="宋体" w:hAnsi="宋体" w:eastAsia="宋体" w:cs="宋体"/>
          <w:spacing w:val="-6"/>
          <w:sz w:val="24"/>
          <w:szCs w:val="24"/>
          <w:highlight w:val="none"/>
        </w:rPr>
        <w:t>则执行以下</w:t>
      </w:r>
      <w:r>
        <w:rPr>
          <w:rFonts w:ascii="宋体" w:hAnsi="宋体" w:eastAsia="宋体" w:cs="宋体"/>
          <w:spacing w:val="-8"/>
          <w:sz w:val="24"/>
          <w:szCs w:val="24"/>
          <w:highlight w:val="none"/>
        </w:rPr>
        <w:t>第</w:t>
      </w:r>
      <w:r>
        <w:rPr>
          <w:rFonts w:ascii="宋体" w:hAnsi="宋体" w:eastAsia="宋体" w:cs="宋体"/>
          <w:spacing w:val="-33"/>
          <w:sz w:val="24"/>
          <w:szCs w:val="24"/>
          <w:highlight w:val="none"/>
        </w:rPr>
        <w:t xml:space="preserve"> </w:t>
      </w:r>
      <w:r>
        <w:rPr>
          <w:rFonts w:ascii="宋体" w:hAnsi="宋体" w:eastAsia="宋体" w:cs="宋体"/>
          <w:spacing w:val="-8"/>
          <w:sz w:val="24"/>
          <w:szCs w:val="24"/>
          <w:highlight w:val="none"/>
        </w:rPr>
        <w:t>19.2</w:t>
      </w:r>
      <w:r>
        <w:rPr>
          <w:rFonts w:ascii="宋体" w:hAnsi="宋体" w:eastAsia="宋体" w:cs="宋体"/>
          <w:spacing w:val="-49"/>
          <w:sz w:val="24"/>
          <w:szCs w:val="24"/>
          <w:highlight w:val="none"/>
        </w:rPr>
        <w:t xml:space="preserve"> </w:t>
      </w:r>
      <w:r>
        <w:rPr>
          <w:rFonts w:ascii="宋体" w:hAnsi="宋体" w:eastAsia="宋体" w:cs="宋体"/>
          <w:spacing w:val="-8"/>
          <w:sz w:val="24"/>
          <w:szCs w:val="24"/>
          <w:highlight w:val="none"/>
        </w:rPr>
        <w:t>条规定。</w:t>
      </w:r>
    </w:p>
    <w:p w14:paraId="389EEBD0">
      <w:pPr>
        <w:spacing w:before="76" w:line="257" w:lineRule="auto"/>
        <w:ind w:right="1" w:firstLine="498"/>
        <w:rPr>
          <w:rFonts w:ascii="宋体" w:hAnsi="宋体" w:eastAsia="宋体" w:cs="宋体"/>
          <w:sz w:val="24"/>
          <w:szCs w:val="24"/>
          <w:highlight w:val="none"/>
        </w:rPr>
      </w:pPr>
      <w:r>
        <w:rPr>
          <w:rFonts w:ascii="宋体" w:hAnsi="宋体" w:eastAsia="宋体" w:cs="宋体"/>
          <w:spacing w:val="-3"/>
          <w:sz w:val="24"/>
          <w:szCs w:val="24"/>
          <w:highlight w:val="none"/>
        </w:rPr>
        <w:t>19.2</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如果投标须知前附表中允许投标人提交替代方案，则投标人除提交正式投标文</w:t>
      </w:r>
      <w:r>
        <w:rPr>
          <w:rFonts w:ascii="宋体" w:hAnsi="宋体" w:eastAsia="宋体" w:cs="宋体"/>
          <w:spacing w:val="-1"/>
          <w:sz w:val="24"/>
          <w:szCs w:val="24"/>
          <w:highlight w:val="none"/>
        </w:rPr>
        <w:t>件外，还应按照招标文件要求提交替代方案。替代方案应包括设计计算书、技术规范、单价分析表、替代方案报价书、所建议的施工方案等满足评审</w:t>
      </w:r>
      <w:r>
        <w:rPr>
          <w:rFonts w:ascii="宋体" w:hAnsi="宋体" w:eastAsia="宋体" w:cs="宋体"/>
          <w:spacing w:val="-2"/>
          <w:sz w:val="24"/>
          <w:szCs w:val="24"/>
          <w:highlight w:val="none"/>
        </w:rPr>
        <w:t>需要的全部资料。</w:t>
      </w:r>
    </w:p>
    <w:p w14:paraId="09155864">
      <w:pPr>
        <w:spacing w:before="76" w:line="220" w:lineRule="auto"/>
        <w:ind w:left="3"/>
        <w:rPr>
          <w:rFonts w:ascii="宋体" w:hAnsi="宋体" w:eastAsia="宋体" w:cs="宋体"/>
          <w:sz w:val="24"/>
          <w:szCs w:val="24"/>
          <w:highlight w:val="none"/>
        </w:rPr>
      </w:pPr>
      <w:r>
        <w:rPr>
          <w:rFonts w:ascii="宋体" w:hAnsi="宋体" w:eastAsia="宋体" w:cs="宋体"/>
          <w:spacing w:val="-2"/>
          <w:sz w:val="24"/>
          <w:szCs w:val="24"/>
          <w:highlight w:val="none"/>
        </w:rPr>
        <w:t>20、投标文件的签署和份数</w:t>
      </w:r>
    </w:p>
    <w:p w14:paraId="560F1EC5">
      <w:pPr>
        <w:spacing w:before="76" w:line="248" w:lineRule="auto"/>
        <w:ind w:left="1" w:right="9" w:firstLine="481"/>
        <w:rPr>
          <w:rFonts w:ascii="宋体" w:hAnsi="宋体" w:eastAsia="宋体" w:cs="宋体"/>
          <w:sz w:val="24"/>
          <w:szCs w:val="24"/>
          <w:highlight w:val="none"/>
        </w:rPr>
      </w:pPr>
      <w:r>
        <w:rPr>
          <w:rFonts w:ascii="宋体" w:hAnsi="宋体" w:eastAsia="宋体" w:cs="宋体"/>
          <w:spacing w:val="2"/>
          <w:sz w:val="24"/>
          <w:szCs w:val="24"/>
          <w:highlight w:val="none"/>
        </w:rPr>
        <w:t>20.1 投标人应按投标须知前附表规定的份数和招标文件规定的格式编制并提交投</w:t>
      </w:r>
      <w:r>
        <w:rPr>
          <w:rFonts w:ascii="宋体" w:hAnsi="宋体" w:eastAsia="宋体" w:cs="宋体"/>
          <w:spacing w:val="-9"/>
          <w:sz w:val="24"/>
          <w:szCs w:val="24"/>
          <w:highlight w:val="none"/>
        </w:rPr>
        <w:t>标文件。</w:t>
      </w:r>
    </w:p>
    <w:p w14:paraId="0ABB8A00">
      <w:pPr>
        <w:spacing w:before="76" w:line="265" w:lineRule="auto"/>
        <w:ind w:firstLine="482"/>
        <w:rPr>
          <w:rFonts w:ascii="宋体" w:hAnsi="宋体" w:eastAsia="宋体" w:cs="宋体"/>
          <w:sz w:val="24"/>
          <w:szCs w:val="24"/>
          <w:highlight w:val="none"/>
        </w:rPr>
      </w:pPr>
      <w:r>
        <w:rPr>
          <w:rFonts w:ascii="宋体" w:hAnsi="宋体" w:eastAsia="宋体" w:cs="宋体"/>
          <w:spacing w:val="-3"/>
          <w:sz w:val="24"/>
          <w:szCs w:val="24"/>
          <w:highlight w:val="none"/>
        </w:rPr>
        <w:t>20.2</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投标文件格式中标明需签字或盖章的位置均应按要求签字或盖章、联合体共同</w:t>
      </w:r>
      <w:r>
        <w:rPr>
          <w:rFonts w:ascii="宋体" w:hAnsi="宋体" w:eastAsia="宋体" w:cs="宋体"/>
          <w:spacing w:val="-1"/>
          <w:sz w:val="24"/>
          <w:szCs w:val="24"/>
          <w:highlight w:val="none"/>
        </w:rPr>
        <w:t>投标协议书(若有)应加盖投标人电子签章并由法定代表人或其委托代理人电子签章。委托代理人签章的，在投标文件中须同时提交授权委托书；授权委托书应符合第四章“投</w:t>
      </w:r>
      <w:r>
        <w:rPr>
          <w:rFonts w:ascii="宋体" w:hAnsi="宋体" w:eastAsia="宋体" w:cs="宋体"/>
          <w:spacing w:val="-7"/>
          <w:sz w:val="24"/>
          <w:szCs w:val="24"/>
          <w:highlight w:val="none"/>
        </w:rPr>
        <w:t>标文件格式”要求，否则无效。以联合体共同投标的，提供的联合体共同投标协议书须有</w:t>
      </w:r>
      <w:r>
        <w:rPr>
          <w:rFonts w:ascii="宋体" w:hAnsi="宋体" w:eastAsia="宋体" w:cs="宋体"/>
          <w:spacing w:val="-4"/>
          <w:sz w:val="24"/>
          <w:szCs w:val="24"/>
          <w:highlight w:val="none"/>
        </w:rPr>
        <w:t>各成员单位的合法授权代表签章并加盖各成员单</w:t>
      </w:r>
      <w:r>
        <w:rPr>
          <w:rFonts w:ascii="宋体" w:hAnsi="宋体" w:eastAsia="宋体" w:cs="宋体"/>
          <w:spacing w:val="-5"/>
          <w:sz w:val="24"/>
          <w:szCs w:val="24"/>
          <w:highlight w:val="none"/>
        </w:rPr>
        <w:t>位电子签章。</w:t>
      </w:r>
    </w:p>
    <w:p w14:paraId="60BC7650">
      <w:pPr>
        <w:spacing w:before="76" w:line="248" w:lineRule="auto"/>
        <w:ind w:left="30" w:firstLine="453"/>
        <w:rPr>
          <w:rFonts w:ascii="宋体" w:hAnsi="宋体" w:eastAsia="宋体" w:cs="宋体"/>
          <w:sz w:val="24"/>
          <w:szCs w:val="24"/>
          <w:highlight w:val="none"/>
        </w:rPr>
      </w:pPr>
      <w:r>
        <w:rPr>
          <w:rFonts w:ascii="宋体" w:hAnsi="宋体" w:eastAsia="宋体" w:cs="宋体"/>
          <w:spacing w:val="-1"/>
          <w:sz w:val="24"/>
          <w:szCs w:val="24"/>
          <w:highlight w:val="none"/>
        </w:rPr>
        <w:t>20.3</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投标人按照本须知第</w:t>
      </w:r>
      <w:r>
        <w:rPr>
          <w:rFonts w:ascii="宋体" w:hAnsi="宋体" w:eastAsia="宋体" w:cs="宋体"/>
          <w:spacing w:val="-30"/>
          <w:sz w:val="24"/>
          <w:szCs w:val="24"/>
          <w:highlight w:val="none"/>
        </w:rPr>
        <w:t xml:space="preserve"> </w:t>
      </w:r>
      <w:r>
        <w:rPr>
          <w:rFonts w:ascii="宋体" w:hAnsi="宋体" w:eastAsia="宋体" w:cs="宋体"/>
          <w:spacing w:val="-1"/>
          <w:sz w:val="24"/>
          <w:szCs w:val="24"/>
          <w:highlight w:val="none"/>
        </w:rPr>
        <w:t>20.2</w:t>
      </w:r>
      <w:r>
        <w:rPr>
          <w:rFonts w:ascii="宋体" w:hAnsi="宋体" w:eastAsia="宋体" w:cs="宋体"/>
          <w:spacing w:val="-32"/>
          <w:sz w:val="24"/>
          <w:szCs w:val="24"/>
          <w:highlight w:val="none"/>
        </w:rPr>
        <w:t xml:space="preserve"> </w:t>
      </w:r>
      <w:r>
        <w:rPr>
          <w:rFonts w:ascii="宋体" w:hAnsi="宋体" w:eastAsia="宋体" w:cs="宋体"/>
          <w:spacing w:val="-1"/>
          <w:sz w:val="24"/>
          <w:szCs w:val="24"/>
          <w:highlight w:val="none"/>
        </w:rPr>
        <w:t>条规定对其投标文件</w:t>
      </w:r>
      <w:r>
        <w:rPr>
          <w:rFonts w:ascii="宋体" w:hAnsi="宋体" w:eastAsia="宋体" w:cs="宋体"/>
          <w:spacing w:val="-2"/>
          <w:sz w:val="24"/>
          <w:szCs w:val="24"/>
          <w:highlight w:val="none"/>
        </w:rPr>
        <w:t>签署盖章后，其投标文件所有</w:t>
      </w:r>
      <w:r>
        <w:rPr>
          <w:rFonts w:ascii="宋体" w:hAnsi="宋体" w:eastAsia="宋体" w:cs="宋体"/>
          <w:spacing w:val="-4"/>
          <w:sz w:val="24"/>
          <w:szCs w:val="24"/>
          <w:highlight w:val="none"/>
        </w:rPr>
        <w:t>内容均视为确认，对投标人起约束作用。</w:t>
      </w:r>
    </w:p>
    <w:p w14:paraId="699AFC9E">
      <w:pPr>
        <w:spacing w:before="267" w:line="225" w:lineRule="auto"/>
        <w:ind w:left="17"/>
        <w:outlineLvl w:val="1"/>
        <w:rPr>
          <w:rFonts w:ascii="宋体" w:hAnsi="宋体" w:eastAsia="宋体" w:cs="宋体"/>
          <w:sz w:val="31"/>
          <w:szCs w:val="31"/>
          <w:highlight w:val="none"/>
        </w:rPr>
      </w:pPr>
      <w:bookmarkStart w:id="8" w:name="_Toc19376"/>
      <w:r>
        <w:rPr>
          <w:rFonts w:ascii="宋体" w:hAnsi="宋体" w:eastAsia="宋体" w:cs="宋体"/>
          <w:b/>
          <w:bCs/>
          <w:spacing w:val="4"/>
          <w:sz w:val="31"/>
          <w:szCs w:val="31"/>
          <w:highlight w:val="none"/>
        </w:rPr>
        <w:t>（五）投标文件的提交</w:t>
      </w:r>
      <w:bookmarkEnd w:id="8"/>
    </w:p>
    <w:p w14:paraId="0CB9D544">
      <w:pPr>
        <w:spacing w:before="311" w:line="220" w:lineRule="auto"/>
        <w:ind w:left="3"/>
        <w:rPr>
          <w:rFonts w:ascii="宋体" w:hAnsi="宋体" w:eastAsia="宋体" w:cs="宋体"/>
          <w:sz w:val="24"/>
          <w:szCs w:val="24"/>
          <w:highlight w:val="none"/>
        </w:rPr>
      </w:pPr>
      <w:r>
        <w:rPr>
          <w:rFonts w:ascii="宋体" w:hAnsi="宋体" w:eastAsia="宋体" w:cs="宋体"/>
          <w:spacing w:val="-2"/>
          <w:sz w:val="24"/>
          <w:szCs w:val="24"/>
          <w:highlight w:val="none"/>
        </w:rPr>
        <w:t>21、加密电子版投标文件的提交</w:t>
      </w:r>
    </w:p>
    <w:p w14:paraId="048ADCBF">
      <w:pPr>
        <w:spacing w:before="76" w:line="265" w:lineRule="auto"/>
        <w:ind w:firstLine="482"/>
        <w:rPr>
          <w:rFonts w:ascii="宋体" w:hAnsi="宋体" w:eastAsia="宋体" w:cs="宋体"/>
          <w:spacing w:val="-7"/>
          <w:sz w:val="24"/>
          <w:szCs w:val="24"/>
          <w:highlight w:val="none"/>
        </w:rPr>
      </w:pPr>
      <w:r>
        <w:rPr>
          <w:rFonts w:ascii="宋体" w:hAnsi="宋体" w:eastAsia="宋体" w:cs="宋体"/>
          <w:spacing w:val="-7"/>
          <w:sz w:val="24"/>
          <w:szCs w:val="24"/>
          <w:highlight w:val="none"/>
        </w:rPr>
        <w:t>投标人应在投标截止时间之前，从网上递交加密电子版投标文件。未在投标截止时间前通过网上招投标系统递交加密电子版投标文件的，开标系统不予接收。投标截止时间后不再接受任何有关本项目资料。</w:t>
      </w:r>
    </w:p>
    <w:p w14:paraId="3BA308D9">
      <w:pPr>
        <w:spacing w:before="89" w:line="280" w:lineRule="auto"/>
        <w:ind w:right="104"/>
        <w:rPr>
          <w:rFonts w:ascii="宋体" w:hAnsi="宋体" w:eastAsia="宋体" w:cs="宋体"/>
          <w:sz w:val="24"/>
          <w:szCs w:val="24"/>
          <w:highlight w:val="none"/>
        </w:rPr>
      </w:pPr>
      <w:r>
        <w:rPr>
          <w:rFonts w:ascii="宋体" w:hAnsi="宋体" w:eastAsia="宋体" w:cs="宋体"/>
          <w:spacing w:val="-2"/>
          <w:sz w:val="24"/>
          <w:szCs w:val="24"/>
          <w:highlight w:val="none"/>
        </w:rPr>
        <w:t>22、加密电子版投标文件的解密</w:t>
      </w:r>
      <w:r>
        <w:rPr>
          <w:rFonts w:ascii="宋体" w:hAnsi="宋体" w:eastAsia="宋体" w:cs="宋体"/>
          <w:spacing w:val="-1"/>
          <w:sz w:val="24"/>
          <w:szCs w:val="24"/>
          <w:highlight w:val="none"/>
        </w:rPr>
        <w:t>投标人应在解密程序开始后规定时间内（见前附表规定）完成加密电子版投标文件</w:t>
      </w:r>
      <w:r>
        <w:rPr>
          <w:rFonts w:ascii="宋体" w:hAnsi="宋体" w:eastAsia="宋体" w:cs="宋体"/>
          <w:spacing w:val="-9"/>
          <w:sz w:val="24"/>
          <w:szCs w:val="24"/>
          <w:highlight w:val="none"/>
        </w:rPr>
        <w:t>的解密工作。</w:t>
      </w:r>
    </w:p>
    <w:p w14:paraId="61139E03">
      <w:pPr>
        <w:spacing w:before="183" w:line="226" w:lineRule="auto"/>
        <w:ind w:left="19"/>
        <w:outlineLvl w:val="1"/>
        <w:rPr>
          <w:rFonts w:ascii="宋体" w:hAnsi="宋体" w:eastAsia="宋体" w:cs="宋体"/>
          <w:sz w:val="31"/>
          <w:szCs w:val="31"/>
          <w:highlight w:val="none"/>
        </w:rPr>
      </w:pPr>
      <w:bookmarkStart w:id="9" w:name="_Toc21366"/>
      <w:r>
        <w:rPr>
          <w:rFonts w:ascii="宋体" w:hAnsi="宋体" w:eastAsia="宋体" w:cs="宋体"/>
          <w:b/>
          <w:bCs/>
          <w:sz w:val="31"/>
          <w:szCs w:val="31"/>
          <w:highlight w:val="none"/>
        </w:rPr>
        <w:t>（六）开标</w:t>
      </w:r>
      <w:bookmarkEnd w:id="9"/>
    </w:p>
    <w:p w14:paraId="14FFFD76">
      <w:pPr>
        <w:spacing w:before="308" w:line="220" w:lineRule="auto"/>
        <w:ind w:left="5"/>
        <w:rPr>
          <w:rFonts w:ascii="宋体" w:hAnsi="宋体" w:eastAsia="宋体" w:cs="宋体"/>
          <w:sz w:val="24"/>
          <w:szCs w:val="24"/>
          <w:highlight w:val="none"/>
        </w:rPr>
      </w:pPr>
      <w:r>
        <w:rPr>
          <w:rFonts w:ascii="宋体" w:hAnsi="宋体" w:eastAsia="宋体" w:cs="宋体"/>
          <w:spacing w:val="-4"/>
          <w:sz w:val="24"/>
          <w:szCs w:val="24"/>
          <w:highlight w:val="none"/>
        </w:rPr>
        <w:t>25、开标</w:t>
      </w:r>
    </w:p>
    <w:p w14:paraId="52BA6267">
      <w:pPr>
        <w:spacing w:before="124" w:line="262" w:lineRule="auto"/>
        <w:ind w:left="2" w:right="105" w:firstLine="485"/>
        <w:rPr>
          <w:rFonts w:ascii="宋体" w:hAnsi="宋体" w:eastAsia="宋体" w:cs="宋体"/>
          <w:sz w:val="24"/>
          <w:szCs w:val="24"/>
          <w:highlight w:val="none"/>
        </w:rPr>
      </w:pPr>
      <w:r>
        <w:rPr>
          <w:rFonts w:ascii="宋体" w:hAnsi="宋体" w:eastAsia="宋体" w:cs="宋体"/>
          <w:b/>
          <w:bCs/>
          <w:spacing w:val="-5"/>
          <w:sz w:val="24"/>
          <w:szCs w:val="24"/>
          <w:highlight w:val="none"/>
        </w:rPr>
        <w:t>25.1</w:t>
      </w:r>
      <w:r>
        <w:rPr>
          <w:rFonts w:ascii="宋体" w:hAnsi="宋体" w:eastAsia="宋体" w:cs="宋体"/>
          <w:spacing w:val="-49"/>
          <w:sz w:val="24"/>
          <w:szCs w:val="24"/>
          <w:highlight w:val="none"/>
        </w:rPr>
        <w:t xml:space="preserve"> </w:t>
      </w:r>
      <w:r>
        <w:rPr>
          <w:rFonts w:ascii="宋体" w:hAnsi="宋体" w:eastAsia="宋体" w:cs="宋体"/>
          <w:b/>
          <w:bCs/>
          <w:spacing w:val="-5"/>
          <w:sz w:val="24"/>
          <w:szCs w:val="24"/>
          <w:highlight w:val="none"/>
        </w:rPr>
        <w:t>本项目采用不见面开标方式，投标人无需至开标现场。招标</w:t>
      </w:r>
      <w:r>
        <w:rPr>
          <w:rFonts w:ascii="宋体" w:hAnsi="宋体" w:eastAsia="宋体" w:cs="宋体"/>
          <w:b/>
          <w:bCs/>
          <w:spacing w:val="-6"/>
          <w:sz w:val="24"/>
          <w:szCs w:val="24"/>
          <w:highlight w:val="none"/>
        </w:rPr>
        <w:t>人应当按照本项目</w:t>
      </w:r>
      <w:r>
        <w:rPr>
          <w:rFonts w:ascii="宋体" w:hAnsi="宋体" w:eastAsia="宋体" w:cs="宋体"/>
          <w:b/>
          <w:bCs/>
          <w:spacing w:val="-3"/>
          <w:sz w:val="24"/>
          <w:szCs w:val="24"/>
          <w:highlight w:val="none"/>
        </w:rPr>
        <w:t>招标文件规定的时间和地点公开开标，投标人必须参加开标会议。参</w:t>
      </w:r>
      <w:r>
        <w:rPr>
          <w:rFonts w:ascii="宋体" w:hAnsi="宋体" w:eastAsia="宋体" w:cs="宋体"/>
          <w:b/>
          <w:bCs/>
          <w:spacing w:val="-4"/>
          <w:sz w:val="24"/>
          <w:szCs w:val="24"/>
          <w:highlight w:val="none"/>
        </w:rPr>
        <w:t>加本项目的投标人</w:t>
      </w:r>
      <w:r>
        <w:rPr>
          <w:rFonts w:ascii="宋体" w:hAnsi="宋体" w:eastAsia="宋体" w:cs="宋体"/>
          <w:b/>
          <w:bCs/>
          <w:spacing w:val="-3"/>
          <w:sz w:val="24"/>
          <w:szCs w:val="24"/>
          <w:highlight w:val="none"/>
        </w:rPr>
        <w:t>应提前准备好电脑、耳麦等相关设备，确保开标顺利进行，如因设备</w:t>
      </w:r>
      <w:r>
        <w:rPr>
          <w:rFonts w:ascii="宋体" w:hAnsi="宋体" w:eastAsia="宋体" w:cs="宋体"/>
          <w:b/>
          <w:bCs/>
          <w:spacing w:val="-4"/>
          <w:sz w:val="24"/>
          <w:szCs w:val="24"/>
          <w:highlight w:val="none"/>
        </w:rPr>
        <w:t>造成的问题由投标</w:t>
      </w:r>
      <w:r>
        <w:rPr>
          <w:rFonts w:ascii="宋体" w:hAnsi="宋体" w:eastAsia="宋体" w:cs="宋体"/>
          <w:b/>
          <w:bCs/>
          <w:spacing w:val="-8"/>
          <w:sz w:val="24"/>
          <w:szCs w:val="24"/>
          <w:highlight w:val="none"/>
        </w:rPr>
        <w:t>人自行负责。</w:t>
      </w:r>
    </w:p>
    <w:p w14:paraId="2B538131">
      <w:pPr>
        <w:spacing w:before="123"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25.2</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开标由招标人或招标代理机构主持</w:t>
      </w:r>
      <w:r>
        <w:rPr>
          <w:rFonts w:ascii="宋体" w:hAnsi="宋体" w:eastAsia="宋体" w:cs="宋体"/>
          <w:spacing w:val="-3"/>
          <w:sz w:val="24"/>
          <w:szCs w:val="24"/>
          <w:highlight w:val="none"/>
        </w:rPr>
        <w:t>，主持人并按下列程序进行：</w:t>
      </w:r>
    </w:p>
    <w:p w14:paraId="7D789B83">
      <w:pPr>
        <w:spacing w:before="124" w:line="219" w:lineRule="auto"/>
        <w:ind w:left="485"/>
        <w:rPr>
          <w:rFonts w:ascii="宋体" w:hAnsi="宋体" w:eastAsia="宋体" w:cs="宋体"/>
          <w:sz w:val="24"/>
          <w:szCs w:val="24"/>
          <w:highlight w:val="none"/>
        </w:rPr>
      </w:pPr>
      <w:r>
        <w:rPr>
          <w:rFonts w:ascii="宋体" w:hAnsi="宋体" w:eastAsia="宋体" w:cs="宋体"/>
          <w:spacing w:val="-6"/>
          <w:sz w:val="24"/>
          <w:szCs w:val="24"/>
          <w:highlight w:val="none"/>
        </w:rPr>
        <w:t>25.2.1</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宣布开标纪律；</w:t>
      </w:r>
    </w:p>
    <w:p w14:paraId="1C8C5B62">
      <w:pPr>
        <w:spacing w:before="123" w:line="219"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25.2.2</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宣布开标人、唱标人、记录人、监标人等有关人员姓名；</w:t>
      </w:r>
    </w:p>
    <w:p w14:paraId="1427C459">
      <w:pPr>
        <w:spacing w:before="123"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25.2.3</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公布在投标截止时间前递交投标文件的投</w:t>
      </w:r>
      <w:r>
        <w:rPr>
          <w:rFonts w:ascii="宋体" w:hAnsi="宋体" w:eastAsia="宋体" w:cs="宋体"/>
          <w:spacing w:val="-3"/>
          <w:sz w:val="24"/>
          <w:szCs w:val="24"/>
          <w:highlight w:val="none"/>
        </w:rPr>
        <w:t>标人名称。</w:t>
      </w:r>
    </w:p>
    <w:p w14:paraId="5296D7E0">
      <w:pPr>
        <w:spacing w:before="126" w:line="246" w:lineRule="auto"/>
        <w:ind w:left="1" w:right="102" w:firstLine="483"/>
        <w:rPr>
          <w:rFonts w:ascii="宋体" w:hAnsi="宋体" w:eastAsia="宋体" w:cs="宋体"/>
          <w:sz w:val="24"/>
          <w:szCs w:val="24"/>
          <w:highlight w:val="none"/>
        </w:rPr>
      </w:pPr>
      <w:r>
        <w:rPr>
          <w:rFonts w:ascii="宋体" w:hAnsi="宋体" w:eastAsia="宋体" w:cs="宋体"/>
          <w:spacing w:val="-2"/>
          <w:sz w:val="24"/>
          <w:szCs w:val="24"/>
          <w:highlight w:val="none"/>
        </w:rPr>
        <w:t>25.2.4</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投标人依次解密，并在规定时</w:t>
      </w:r>
      <w:r>
        <w:rPr>
          <w:rFonts w:ascii="宋体" w:hAnsi="宋体" w:eastAsia="宋体" w:cs="宋体"/>
          <w:spacing w:val="-3"/>
          <w:sz w:val="24"/>
          <w:szCs w:val="24"/>
          <w:highlight w:val="none"/>
        </w:rPr>
        <w:t>间内（见前附表规定）完成加密电子版投标文件的解密工作,解密要求详见前附表。</w:t>
      </w:r>
    </w:p>
    <w:p w14:paraId="260617D3">
      <w:pPr>
        <w:spacing w:before="126" w:line="219"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25.2.5</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按照招标文件的规定确定并宣布投标文件开标顺序；</w:t>
      </w:r>
    </w:p>
    <w:p w14:paraId="4C780871">
      <w:pPr>
        <w:spacing w:before="124" w:line="218"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25.2.6</w:t>
      </w:r>
      <w:r>
        <w:rPr>
          <w:rFonts w:ascii="宋体" w:hAnsi="宋体" w:eastAsia="宋体" w:cs="宋体"/>
          <w:spacing w:val="-41"/>
          <w:sz w:val="24"/>
          <w:szCs w:val="24"/>
          <w:highlight w:val="none"/>
        </w:rPr>
        <w:t xml:space="preserve"> </w:t>
      </w:r>
      <w:r>
        <w:rPr>
          <w:rFonts w:ascii="宋体" w:hAnsi="宋体" w:eastAsia="宋体" w:cs="宋体"/>
          <w:spacing w:val="-4"/>
          <w:sz w:val="24"/>
          <w:szCs w:val="24"/>
          <w:highlight w:val="none"/>
        </w:rPr>
        <w:t>设有最高限价的，公布最高限价；</w:t>
      </w:r>
    </w:p>
    <w:p w14:paraId="4C33164A">
      <w:pPr>
        <w:spacing w:before="125" w:line="247" w:lineRule="auto"/>
        <w:ind w:left="3" w:right="102" w:firstLine="481"/>
        <w:rPr>
          <w:rFonts w:ascii="宋体" w:hAnsi="宋体" w:eastAsia="宋体" w:cs="宋体"/>
          <w:sz w:val="24"/>
          <w:szCs w:val="24"/>
          <w:highlight w:val="none"/>
        </w:rPr>
      </w:pPr>
      <w:r>
        <w:rPr>
          <w:rFonts w:ascii="宋体" w:hAnsi="宋体" w:eastAsia="宋体" w:cs="宋体"/>
          <w:spacing w:val="-2"/>
          <w:sz w:val="24"/>
          <w:szCs w:val="24"/>
          <w:highlight w:val="none"/>
        </w:rPr>
        <w:t>25.2.7</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按照宣布的开标顺序当众开标，公</w:t>
      </w:r>
      <w:r>
        <w:rPr>
          <w:rFonts w:ascii="宋体" w:hAnsi="宋体" w:eastAsia="宋体" w:cs="宋体"/>
          <w:spacing w:val="-3"/>
          <w:sz w:val="24"/>
          <w:szCs w:val="24"/>
          <w:highlight w:val="none"/>
        </w:rPr>
        <w:t>布投标人名称、标段名称、投标保证金的</w:t>
      </w:r>
      <w:r>
        <w:rPr>
          <w:rFonts w:ascii="宋体" w:hAnsi="宋体" w:eastAsia="宋体" w:cs="宋体"/>
          <w:spacing w:val="-2"/>
          <w:sz w:val="24"/>
          <w:szCs w:val="24"/>
          <w:highlight w:val="none"/>
        </w:rPr>
        <w:t>递交情况、投标报价、质量目标、工期及其他内</w:t>
      </w:r>
      <w:r>
        <w:rPr>
          <w:rFonts w:ascii="宋体" w:hAnsi="宋体" w:eastAsia="宋体" w:cs="宋体"/>
          <w:spacing w:val="-3"/>
          <w:sz w:val="24"/>
          <w:szCs w:val="24"/>
          <w:highlight w:val="none"/>
        </w:rPr>
        <w:t>容，并进行记录；</w:t>
      </w:r>
    </w:p>
    <w:p w14:paraId="2A4821E2">
      <w:pPr>
        <w:spacing w:before="125"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25.2.8</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招标人代表、监标人、记录人等有关人员在开标</w:t>
      </w:r>
      <w:r>
        <w:rPr>
          <w:rFonts w:ascii="宋体" w:hAnsi="宋体" w:eastAsia="宋体" w:cs="宋体"/>
          <w:spacing w:val="-3"/>
          <w:sz w:val="24"/>
          <w:szCs w:val="24"/>
          <w:highlight w:val="none"/>
        </w:rPr>
        <w:t>记录上签字确认；</w:t>
      </w:r>
    </w:p>
    <w:p w14:paraId="39CB1720">
      <w:pPr>
        <w:spacing w:before="122" w:line="220" w:lineRule="auto"/>
        <w:ind w:left="485"/>
        <w:rPr>
          <w:rFonts w:ascii="宋体" w:hAnsi="宋体" w:eastAsia="宋体" w:cs="宋体"/>
          <w:sz w:val="24"/>
          <w:szCs w:val="24"/>
          <w:highlight w:val="none"/>
        </w:rPr>
      </w:pPr>
      <w:r>
        <w:rPr>
          <w:rFonts w:ascii="宋体" w:hAnsi="宋体" w:eastAsia="宋体" w:cs="宋体"/>
          <w:spacing w:val="-5"/>
          <w:sz w:val="24"/>
          <w:szCs w:val="24"/>
          <w:highlight w:val="none"/>
        </w:rPr>
        <w:t>25.2.9</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开标结束。</w:t>
      </w:r>
    </w:p>
    <w:p w14:paraId="59699C10">
      <w:pPr>
        <w:spacing w:before="122"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25.3</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招标人或其委托的招标代理机构对开标过程进行记录，并存档备查。</w:t>
      </w:r>
    </w:p>
    <w:p w14:paraId="229E9673">
      <w:pPr>
        <w:spacing w:before="127" w:line="257" w:lineRule="auto"/>
        <w:ind w:right="111" w:firstLine="485"/>
        <w:rPr>
          <w:rFonts w:ascii="宋体" w:hAnsi="宋体" w:eastAsia="宋体" w:cs="宋体"/>
          <w:sz w:val="24"/>
          <w:szCs w:val="24"/>
          <w:highlight w:val="none"/>
        </w:rPr>
      </w:pPr>
      <w:r>
        <w:rPr>
          <w:rFonts w:ascii="宋体" w:hAnsi="宋体" w:eastAsia="宋体" w:cs="宋体"/>
          <w:spacing w:val="-14"/>
          <w:sz w:val="24"/>
          <w:szCs w:val="24"/>
          <w:highlight w:val="none"/>
        </w:rPr>
        <w:t>26</w:t>
      </w:r>
      <w:r>
        <w:rPr>
          <w:rFonts w:ascii="宋体" w:hAnsi="宋体" w:eastAsia="宋体" w:cs="宋体"/>
          <w:spacing w:val="-43"/>
          <w:sz w:val="24"/>
          <w:szCs w:val="24"/>
          <w:highlight w:val="none"/>
        </w:rPr>
        <w:t xml:space="preserve"> </w:t>
      </w:r>
      <w:r>
        <w:rPr>
          <w:rFonts w:ascii="宋体" w:hAnsi="宋体" w:eastAsia="宋体" w:cs="宋体"/>
          <w:spacing w:val="-14"/>
          <w:sz w:val="24"/>
          <w:szCs w:val="24"/>
          <w:highlight w:val="none"/>
        </w:rPr>
        <w:t>、</w:t>
      </w:r>
      <w:r>
        <w:rPr>
          <w:rFonts w:ascii="宋体" w:hAnsi="宋体" w:eastAsia="宋体" w:cs="宋体"/>
          <w:spacing w:val="-57"/>
          <w:sz w:val="24"/>
          <w:szCs w:val="24"/>
          <w:highlight w:val="none"/>
        </w:rPr>
        <w:t xml:space="preserve"> </w:t>
      </w:r>
      <w:r>
        <w:rPr>
          <w:rFonts w:ascii="宋体" w:hAnsi="宋体" w:eastAsia="宋体" w:cs="宋体"/>
          <w:spacing w:val="-14"/>
          <w:sz w:val="24"/>
          <w:szCs w:val="24"/>
          <w:highlight w:val="none"/>
        </w:rPr>
        <w:t>投</w:t>
      </w:r>
      <w:r>
        <w:rPr>
          <w:rFonts w:ascii="宋体" w:hAnsi="宋体" w:eastAsia="宋体" w:cs="宋体"/>
          <w:spacing w:val="-62"/>
          <w:sz w:val="24"/>
          <w:szCs w:val="24"/>
          <w:highlight w:val="none"/>
        </w:rPr>
        <w:t xml:space="preserve"> </w:t>
      </w:r>
      <w:r>
        <w:rPr>
          <w:rFonts w:ascii="宋体" w:hAnsi="宋体" w:eastAsia="宋体" w:cs="宋体"/>
          <w:spacing w:val="-14"/>
          <w:sz w:val="24"/>
          <w:szCs w:val="24"/>
          <w:highlight w:val="none"/>
        </w:rPr>
        <w:t>标</w:t>
      </w:r>
      <w:r>
        <w:rPr>
          <w:rFonts w:ascii="宋体" w:hAnsi="宋体" w:eastAsia="宋体" w:cs="宋体"/>
          <w:spacing w:val="-59"/>
          <w:sz w:val="24"/>
          <w:szCs w:val="24"/>
          <w:highlight w:val="none"/>
        </w:rPr>
        <w:t xml:space="preserve"> </w:t>
      </w:r>
      <w:r>
        <w:rPr>
          <w:rFonts w:ascii="宋体" w:hAnsi="宋体" w:eastAsia="宋体" w:cs="宋体"/>
          <w:spacing w:val="-14"/>
          <w:sz w:val="24"/>
          <w:szCs w:val="24"/>
          <w:highlight w:val="none"/>
        </w:rPr>
        <w:t>人</w:t>
      </w:r>
      <w:r>
        <w:rPr>
          <w:rFonts w:ascii="宋体" w:hAnsi="宋体" w:eastAsia="宋体" w:cs="宋体"/>
          <w:spacing w:val="-58"/>
          <w:sz w:val="24"/>
          <w:szCs w:val="24"/>
          <w:highlight w:val="none"/>
        </w:rPr>
        <w:t xml:space="preserve"> </w:t>
      </w:r>
      <w:r>
        <w:rPr>
          <w:rFonts w:ascii="宋体" w:hAnsi="宋体" w:eastAsia="宋体" w:cs="宋体"/>
          <w:spacing w:val="-14"/>
          <w:sz w:val="24"/>
          <w:szCs w:val="24"/>
          <w:highlight w:val="none"/>
        </w:rPr>
        <w:t>登</w:t>
      </w:r>
      <w:r>
        <w:rPr>
          <w:rFonts w:ascii="宋体" w:hAnsi="宋体" w:eastAsia="宋体" w:cs="宋体"/>
          <w:spacing w:val="-59"/>
          <w:sz w:val="24"/>
          <w:szCs w:val="24"/>
          <w:highlight w:val="none"/>
        </w:rPr>
        <w:t xml:space="preserve"> </w:t>
      </w:r>
      <w:r>
        <w:rPr>
          <w:rFonts w:ascii="宋体" w:hAnsi="宋体" w:eastAsia="宋体" w:cs="宋体"/>
          <w:spacing w:val="-14"/>
          <w:sz w:val="24"/>
          <w:szCs w:val="24"/>
          <w:highlight w:val="none"/>
        </w:rPr>
        <w:t>录</w:t>
      </w:r>
      <w:r>
        <w:rPr>
          <w:rFonts w:ascii="宋体" w:hAnsi="宋体" w:eastAsia="宋体" w:cs="宋体"/>
          <w:spacing w:val="-72"/>
          <w:sz w:val="24"/>
          <w:szCs w:val="24"/>
          <w:highlight w:val="none"/>
        </w:rPr>
        <w:t xml:space="preserve"> </w:t>
      </w:r>
      <w:r>
        <w:rPr>
          <w:rFonts w:ascii="宋体" w:hAnsi="宋体" w:eastAsia="宋体" w:cs="宋体"/>
          <w:spacing w:val="-14"/>
          <w:sz w:val="24"/>
          <w:szCs w:val="24"/>
          <w:highlight w:val="none"/>
        </w:rPr>
        <w:t>“</w:t>
      </w:r>
      <w:r>
        <w:rPr>
          <w:rFonts w:ascii="宋体" w:hAnsi="宋体" w:eastAsia="宋体" w:cs="宋体"/>
          <w:spacing w:val="-61"/>
          <w:sz w:val="24"/>
          <w:szCs w:val="24"/>
          <w:highlight w:val="none"/>
        </w:rPr>
        <w:t xml:space="preserve"> </w:t>
      </w:r>
      <w:r>
        <w:rPr>
          <w:rFonts w:ascii="宋体" w:hAnsi="宋体" w:eastAsia="宋体" w:cs="宋体"/>
          <w:spacing w:val="-14"/>
          <w:sz w:val="24"/>
          <w:szCs w:val="24"/>
          <w:highlight w:val="none"/>
        </w:rPr>
        <w:t>六</w:t>
      </w:r>
      <w:r>
        <w:rPr>
          <w:rFonts w:ascii="宋体" w:hAnsi="宋体" w:eastAsia="宋体" w:cs="宋体"/>
          <w:spacing w:val="-56"/>
          <w:sz w:val="24"/>
          <w:szCs w:val="24"/>
          <w:highlight w:val="none"/>
        </w:rPr>
        <w:t xml:space="preserve"> </w:t>
      </w:r>
      <w:r>
        <w:rPr>
          <w:rFonts w:ascii="宋体" w:hAnsi="宋体" w:eastAsia="宋体" w:cs="宋体"/>
          <w:spacing w:val="-14"/>
          <w:sz w:val="24"/>
          <w:szCs w:val="24"/>
          <w:highlight w:val="none"/>
        </w:rPr>
        <w:t>安</w:t>
      </w:r>
      <w:r>
        <w:rPr>
          <w:rFonts w:ascii="宋体" w:hAnsi="宋体" w:eastAsia="宋体" w:cs="宋体"/>
          <w:spacing w:val="-54"/>
          <w:sz w:val="24"/>
          <w:szCs w:val="24"/>
          <w:highlight w:val="none"/>
        </w:rPr>
        <w:t xml:space="preserve"> </w:t>
      </w:r>
      <w:r>
        <w:rPr>
          <w:rFonts w:ascii="宋体" w:hAnsi="宋体" w:eastAsia="宋体" w:cs="宋体"/>
          <w:spacing w:val="-14"/>
          <w:sz w:val="24"/>
          <w:szCs w:val="24"/>
          <w:highlight w:val="none"/>
        </w:rPr>
        <w:t>市</w:t>
      </w:r>
      <w:r>
        <w:rPr>
          <w:rFonts w:ascii="宋体" w:hAnsi="宋体" w:eastAsia="宋体" w:cs="宋体"/>
          <w:spacing w:val="-55"/>
          <w:sz w:val="24"/>
          <w:szCs w:val="24"/>
          <w:highlight w:val="none"/>
        </w:rPr>
        <w:t xml:space="preserve"> </w:t>
      </w:r>
      <w:r>
        <w:rPr>
          <w:rFonts w:ascii="宋体" w:hAnsi="宋体" w:eastAsia="宋体" w:cs="宋体"/>
          <w:spacing w:val="-14"/>
          <w:sz w:val="24"/>
          <w:szCs w:val="24"/>
          <w:highlight w:val="none"/>
        </w:rPr>
        <w:t>公</w:t>
      </w:r>
      <w:r>
        <w:rPr>
          <w:rFonts w:ascii="宋体" w:hAnsi="宋体" w:eastAsia="宋体" w:cs="宋体"/>
          <w:spacing w:val="-62"/>
          <w:sz w:val="24"/>
          <w:szCs w:val="24"/>
          <w:highlight w:val="none"/>
        </w:rPr>
        <w:t xml:space="preserve"> </w:t>
      </w:r>
      <w:r>
        <w:rPr>
          <w:rFonts w:ascii="宋体" w:hAnsi="宋体" w:eastAsia="宋体" w:cs="宋体"/>
          <w:spacing w:val="-14"/>
          <w:sz w:val="24"/>
          <w:szCs w:val="24"/>
          <w:highlight w:val="none"/>
        </w:rPr>
        <w:t>共</w:t>
      </w:r>
      <w:r>
        <w:rPr>
          <w:rFonts w:ascii="宋体" w:hAnsi="宋体" w:eastAsia="宋体" w:cs="宋体"/>
          <w:spacing w:val="-52"/>
          <w:sz w:val="24"/>
          <w:szCs w:val="24"/>
          <w:highlight w:val="none"/>
        </w:rPr>
        <w:t xml:space="preserve"> </w:t>
      </w:r>
      <w:r>
        <w:rPr>
          <w:rFonts w:ascii="宋体" w:hAnsi="宋体" w:eastAsia="宋体" w:cs="宋体"/>
          <w:spacing w:val="-14"/>
          <w:sz w:val="24"/>
          <w:szCs w:val="24"/>
          <w:highlight w:val="none"/>
        </w:rPr>
        <w:t>资</w:t>
      </w:r>
      <w:r>
        <w:rPr>
          <w:rFonts w:ascii="宋体" w:hAnsi="宋体" w:eastAsia="宋体" w:cs="宋体"/>
          <w:spacing w:val="-62"/>
          <w:sz w:val="24"/>
          <w:szCs w:val="24"/>
          <w:highlight w:val="none"/>
        </w:rPr>
        <w:t xml:space="preserve"> </w:t>
      </w:r>
      <w:r>
        <w:rPr>
          <w:rFonts w:ascii="宋体" w:hAnsi="宋体" w:eastAsia="宋体" w:cs="宋体"/>
          <w:spacing w:val="-14"/>
          <w:sz w:val="24"/>
          <w:szCs w:val="24"/>
          <w:highlight w:val="none"/>
        </w:rPr>
        <w:t>源</w:t>
      </w:r>
      <w:r>
        <w:rPr>
          <w:rFonts w:ascii="宋体" w:hAnsi="宋体" w:eastAsia="宋体" w:cs="宋体"/>
          <w:spacing w:val="-58"/>
          <w:sz w:val="24"/>
          <w:szCs w:val="24"/>
          <w:highlight w:val="none"/>
        </w:rPr>
        <w:t xml:space="preserve"> </w:t>
      </w:r>
      <w:r>
        <w:rPr>
          <w:rFonts w:ascii="宋体" w:hAnsi="宋体" w:eastAsia="宋体" w:cs="宋体"/>
          <w:spacing w:val="-14"/>
          <w:sz w:val="24"/>
          <w:szCs w:val="24"/>
          <w:highlight w:val="none"/>
        </w:rPr>
        <w:t>交</w:t>
      </w:r>
      <w:r>
        <w:rPr>
          <w:rFonts w:ascii="宋体" w:hAnsi="宋体" w:eastAsia="宋体" w:cs="宋体"/>
          <w:spacing w:val="-47"/>
          <w:sz w:val="24"/>
          <w:szCs w:val="24"/>
          <w:highlight w:val="none"/>
        </w:rPr>
        <w:t xml:space="preserve"> </w:t>
      </w:r>
      <w:r>
        <w:rPr>
          <w:rFonts w:ascii="宋体" w:hAnsi="宋体" w:eastAsia="宋体" w:cs="宋体"/>
          <w:spacing w:val="-14"/>
          <w:sz w:val="24"/>
          <w:szCs w:val="24"/>
          <w:highlight w:val="none"/>
        </w:rPr>
        <w:t>易</w:t>
      </w:r>
      <w:r>
        <w:rPr>
          <w:rFonts w:ascii="宋体" w:hAnsi="宋体" w:eastAsia="宋体" w:cs="宋体"/>
          <w:spacing w:val="-57"/>
          <w:sz w:val="24"/>
          <w:szCs w:val="24"/>
          <w:highlight w:val="none"/>
        </w:rPr>
        <w:t xml:space="preserve"> </w:t>
      </w:r>
      <w:r>
        <w:rPr>
          <w:rFonts w:ascii="宋体" w:hAnsi="宋体" w:eastAsia="宋体" w:cs="宋体"/>
          <w:spacing w:val="-14"/>
          <w:sz w:val="24"/>
          <w:szCs w:val="24"/>
          <w:highlight w:val="none"/>
        </w:rPr>
        <w:t>不</w:t>
      </w:r>
      <w:r>
        <w:rPr>
          <w:rFonts w:ascii="宋体" w:hAnsi="宋体" w:eastAsia="宋体" w:cs="宋体"/>
          <w:spacing w:val="-56"/>
          <w:sz w:val="24"/>
          <w:szCs w:val="24"/>
          <w:highlight w:val="none"/>
        </w:rPr>
        <w:t xml:space="preserve"> </w:t>
      </w:r>
      <w:r>
        <w:rPr>
          <w:rFonts w:ascii="宋体" w:hAnsi="宋体" w:eastAsia="宋体" w:cs="宋体"/>
          <w:spacing w:val="-14"/>
          <w:sz w:val="24"/>
          <w:szCs w:val="24"/>
          <w:highlight w:val="none"/>
        </w:rPr>
        <w:t>见</w:t>
      </w:r>
      <w:r>
        <w:rPr>
          <w:rFonts w:ascii="宋体" w:hAnsi="宋体" w:eastAsia="宋体" w:cs="宋体"/>
          <w:spacing w:val="-62"/>
          <w:sz w:val="24"/>
          <w:szCs w:val="24"/>
          <w:highlight w:val="none"/>
        </w:rPr>
        <w:t xml:space="preserve"> </w:t>
      </w:r>
      <w:r>
        <w:rPr>
          <w:rFonts w:ascii="宋体" w:hAnsi="宋体" w:eastAsia="宋体" w:cs="宋体"/>
          <w:spacing w:val="-14"/>
          <w:sz w:val="24"/>
          <w:szCs w:val="24"/>
          <w:highlight w:val="none"/>
        </w:rPr>
        <w:t>面</w:t>
      </w:r>
      <w:r>
        <w:rPr>
          <w:rFonts w:ascii="宋体" w:hAnsi="宋体" w:eastAsia="宋体" w:cs="宋体"/>
          <w:spacing w:val="-60"/>
          <w:sz w:val="24"/>
          <w:szCs w:val="24"/>
          <w:highlight w:val="none"/>
        </w:rPr>
        <w:t xml:space="preserve"> </w:t>
      </w:r>
      <w:r>
        <w:rPr>
          <w:rFonts w:ascii="宋体" w:hAnsi="宋体" w:eastAsia="宋体" w:cs="宋体"/>
          <w:spacing w:val="-14"/>
          <w:sz w:val="24"/>
          <w:szCs w:val="24"/>
          <w:highlight w:val="none"/>
        </w:rPr>
        <w:t>开</w:t>
      </w:r>
      <w:r>
        <w:rPr>
          <w:rFonts w:ascii="宋体" w:hAnsi="宋体" w:eastAsia="宋体" w:cs="宋体"/>
          <w:spacing w:val="-62"/>
          <w:sz w:val="24"/>
          <w:szCs w:val="24"/>
          <w:highlight w:val="none"/>
        </w:rPr>
        <w:t xml:space="preserve"> </w:t>
      </w:r>
      <w:r>
        <w:rPr>
          <w:rFonts w:ascii="宋体" w:hAnsi="宋体" w:eastAsia="宋体" w:cs="宋体"/>
          <w:spacing w:val="-14"/>
          <w:sz w:val="24"/>
          <w:szCs w:val="24"/>
          <w:highlight w:val="none"/>
        </w:rPr>
        <w:t>标</w:t>
      </w:r>
      <w:r>
        <w:rPr>
          <w:rFonts w:ascii="宋体" w:hAnsi="宋体" w:eastAsia="宋体" w:cs="宋体"/>
          <w:spacing w:val="-55"/>
          <w:sz w:val="24"/>
          <w:szCs w:val="24"/>
          <w:highlight w:val="none"/>
        </w:rPr>
        <w:t xml:space="preserve"> </w:t>
      </w:r>
      <w:r>
        <w:rPr>
          <w:rFonts w:ascii="宋体" w:hAnsi="宋体" w:eastAsia="宋体" w:cs="宋体"/>
          <w:spacing w:val="-14"/>
          <w:sz w:val="24"/>
          <w:szCs w:val="24"/>
          <w:highlight w:val="none"/>
        </w:rPr>
        <w:t>系</w:t>
      </w:r>
      <w:r>
        <w:rPr>
          <w:rFonts w:ascii="宋体" w:hAnsi="宋体" w:eastAsia="宋体" w:cs="宋体"/>
          <w:spacing w:val="-57"/>
          <w:sz w:val="24"/>
          <w:szCs w:val="24"/>
          <w:highlight w:val="none"/>
        </w:rPr>
        <w:t xml:space="preserve"> </w:t>
      </w:r>
      <w:r>
        <w:rPr>
          <w:rFonts w:ascii="宋体" w:hAnsi="宋体" w:eastAsia="宋体" w:cs="宋体"/>
          <w:spacing w:val="-14"/>
          <w:sz w:val="24"/>
          <w:szCs w:val="24"/>
          <w:highlight w:val="none"/>
        </w:rPr>
        <w:t>统</w:t>
      </w:r>
      <w:r>
        <w:rPr>
          <w:rFonts w:ascii="宋体" w:hAnsi="宋体" w:eastAsia="宋体" w:cs="宋体"/>
          <w:spacing w:val="-41"/>
          <w:sz w:val="24"/>
          <w:szCs w:val="24"/>
          <w:highlight w:val="none"/>
        </w:rPr>
        <w:t xml:space="preserve"> </w:t>
      </w:r>
      <w:r>
        <w:rPr>
          <w:rFonts w:ascii="宋体" w:hAnsi="宋体" w:eastAsia="宋体" w:cs="宋体"/>
          <w:spacing w:val="-14"/>
          <w:sz w:val="24"/>
          <w:szCs w:val="24"/>
          <w:highlight w:val="none"/>
        </w:rPr>
        <w:t>”</w:t>
      </w:r>
      <w:r>
        <w:rPr>
          <w:rFonts w:ascii="宋体" w:hAnsi="宋体" w:eastAsia="宋体" w:cs="宋体"/>
          <w:spacing w:val="-72"/>
          <w:sz w:val="24"/>
          <w:szCs w:val="24"/>
          <w:highlight w:val="none"/>
        </w:rPr>
        <w:t xml:space="preserve"> </w:t>
      </w:r>
      <w:r>
        <w:rPr>
          <w:rFonts w:ascii="宋体" w:hAnsi="宋体" w:eastAsia="宋体" w:cs="宋体"/>
          <w:spacing w:val="-14"/>
          <w:sz w:val="24"/>
          <w:szCs w:val="24"/>
          <w:highlight w:val="none"/>
        </w:rPr>
        <w:t>，</w:t>
      </w:r>
      <w:r>
        <w:rPr>
          <w:rFonts w:ascii="宋体" w:hAnsi="宋体" w:eastAsia="宋体" w:cs="宋体"/>
          <w:spacing w:val="-42"/>
          <w:sz w:val="24"/>
          <w:szCs w:val="24"/>
          <w:highlight w:val="none"/>
        </w:rPr>
        <w:t xml:space="preserve"> </w:t>
      </w:r>
      <w:r>
        <w:rPr>
          <w:rFonts w:ascii="宋体" w:hAnsi="宋体" w:eastAsia="宋体" w:cs="宋体"/>
          <w:spacing w:val="-14"/>
          <w:sz w:val="24"/>
          <w:szCs w:val="24"/>
          <w:highlight w:val="none"/>
        </w:rPr>
        <w:t>网</w:t>
      </w:r>
      <w:r>
        <w:rPr>
          <w:rFonts w:ascii="宋体" w:hAnsi="宋体" w:eastAsia="宋体" w:cs="宋体"/>
          <w:spacing w:val="-62"/>
          <w:sz w:val="24"/>
          <w:szCs w:val="24"/>
          <w:highlight w:val="none"/>
        </w:rPr>
        <w:t xml:space="preserve"> </w:t>
      </w:r>
      <w:r>
        <w:rPr>
          <w:rFonts w:ascii="宋体" w:hAnsi="宋体" w:eastAsia="宋体" w:cs="宋体"/>
          <w:spacing w:val="-14"/>
          <w:sz w:val="24"/>
          <w:szCs w:val="24"/>
          <w:highlight w:val="none"/>
        </w:rPr>
        <w:t>址</w:t>
      </w:r>
      <w:r>
        <w:rPr>
          <w:rFonts w:ascii="宋体" w:hAnsi="宋体" w:eastAsia="宋体" w:cs="宋体"/>
          <w:spacing w:val="-58"/>
          <w:sz w:val="24"/>
          <w:szCs w:val="24"/>
          <w:highlight w:val="none"/>
        </w:rPr>
        <w:t xml:space="preserve"> </w:t>
      </w:r>
      <w:r>
        <w:rPr>
          <w:rFonts w:ascii="宋体" w:hAnsi="宋体" w:eastAsia="宋体" w:cs="宋体"/>
          <w:spacing w:val="-14"/>
          <w:sz w:val="24"/>
          <w:szCs w:val="24"/>
          <w:highlight w:val="none"/>
        </w:rPr>
        <w:t>为</w:t>
      </w:r>
      <w:r>
        <w:rPr>
          <w:rFonts w:ascii="宋体" w:hAnsi="宋体" w:eastAsia="宋体" w:cs="宋体"/>
          <w:spacing w:val="-39"/>
          <w:sz w:val="24"/>
          <w:szCs w:val="24"/>
          <w:highlight w:val="none"/>
        </w:rPr>
        <w:t xml:space="preserve"> </w:t>
      </w:r>
      <w:r>
        <w:rPr>
          <w:rFonts w:ascii="宋体" w:hAnsi="宋体" w:eastAsia="宋体" w:cs="宋体"/>
          <w:spacing w:val="-14"/>
          <w:sz w:val="24"/>
          <w:szCs w:val="24"/>
          <w:highlight w:val="none"/>
        </w:rPr>
        <w:t>：</w:t>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"http://183.162.78.64:9016/BidOpening/bidopeninghallaction/hall/login" </w:instrText>
      </w:r>
      <w:r>
        <w:rPr>
          <w:highlight w:val="none"/>
        </w:rPr>
        <w:fldChar w:fldCharType="separate"/>
      </w:r>
      <w:r>
        <w:rPr>
          <w:rFonts w:ascii="宋体" w:hAnsi="宋体" w:eastAsia="宋体" w:cs="宋体"/>
          <w:sz w:val="24"/>
          <w:szCs w:val="24"/>
          <w:highlight w:val="none"/>
        </w:rPr>
        <w:t>http://183.162.78.64:9016/BidOpening/bidope</w:t>
      </w:r>
      <w:r>
        <w:rPr>
          <w:rFonts w:ascii="宋体" w:hAnsi="宋体" w:eastAsia="宋体" w:cs="宋体"/>
          <w:spacing w:val="-1"/>
          <w:sz w:val="24"/>
          <w:szCs w:val="24"/>
          <w:highlight w:val="none"/>
        </w:rPr>
        <w:t>ninghallaction/hall/login</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，观看开</w:t>
      </w:r>
      <w:r>
        <w:rPr>
          <w:rFonts w:ascii="宋体" w:hAnsi="宋体" w:eastAsia="宋体" w:cs="宋体"/>
          <w:spacing w:val="-2"/>
          <w:sz w:val="24"/>
          <w:szCs w:val="24"/>
          <w:highlight w:val="none"/>
        </w:rPr>
        <w:t>标现场音视频直播并进行互动交流和监督。</w:t>
      </w:r>
    </w:p>
    <w:p w14:paraId="01D0D903">
      <w:pPr>
        <w:spacing w:before="267" w:line="226" w:lineRule="auto"/>
        <w:ind w:left="19"/>
        <w:outlineLvl w:val="1"/>
        <w:rPr>
          <w:rFonts w:ascii="宋体" w:hAnsi="宋体" w:eastAsia="宋体" w:cs="宋体"/>
          <w:sz w:val="31"/>
          <w:szCs w:val="31"/>
          <w:highlight w:val="none"/>
        </w:rPr>
      </w:pPr>
      <w:bookmarkStart w:id="10" w:name="_Toc27704"/>
      <w:r>
        <w:rPr>
          <w:rFonts w:ascii="宋体" w:hAnsi="宋体" w:eastAsia="宋体" w:cs="宋体"/>
          <w:b/>
          <w:bCs/>
          <w:spacing w:val="2"/>
          <w:sz w:val="31"/>
          <w:szCs w:val="31"/>
          <w:highlight w:val="none"/>
        </w:rPr>
        <w:t>（七）评标、定标</w:t>
      </w:r>
      <w:bookmarkEnd w:id="10"/>
    </w:p>
    <w:p w14:paraId="6F838047">
      <w:pPr>
        <w:spacing w:before="308" w:line="219" w:lineRule="auto"/>
        <w:ind w:left="5"/>
        <w:rPr>
          <w:rFonts w:ascii="宋体" w:hAnsi="宋体" w:eastAsia="宋体" w:cs="宋体"/>
          <w:sz w:val="24"/>
          <w:szCs w:val="24"/>
          <w:highlight w:val="none"/>
        </w:rPr>
      </w:pPr>
      <w:r>
        <w:rPr>
          <w:rFonts w:ascii="宋体" w:hAnsi="宋体" w:eastAsia="宋体" w:cs="宋体"/>
          <w:spacing w:val="-2"/>
          <w:sz w:val="24"/>
          <w:szCs w:val="24"/>
          <w:highlight w:val="none"/>
        </w:rPr>
        <w:t>27、评标委员会与评标</w:t>
      </w:r>
    </w:p>
    <w:p w14:paraId="2DE8E58C">
      <w:pPr>
        <w:spacing w:before="75" w:line="258" w:lineRule="auto"/>
        <w:ind w:left="3" w:right="102" w:firstLine="481"/>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27.1</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评标委员会由招标人依法组建，评标</w:t>
      </w:r>
      <w:r>
        <w:rPr>
          <w:rFonts w:ascii="宋体" w:hAnsi="宋体" w:eastAsia="宋体" w:cs="宋体"/>
          <w:spacing w:val="-3"/>
          <w:sz w:val="24"/>
          <w:szCs w:val="24"/>
          <w:highlight w:val="none"/>
        </w:rPr>
        <w:t>委员会的专家成员从依法建立的评标专家</w:t>
      </w:r>
      <w:r>
        <w:rPr>
          <w:rFonts w:ascii="宋体" w:hAnsi="宋体" w:eastAsia="宋体" w:cs="宋体"/>
          <w:spacing w:val="-1"/>
          <w:sz w:val="24"/>
          <w:szCs w:val="24"/>
          <w:highlight w:val="none"/>
        </w:rPr>
        <w:t>库中采用电脑随机抽取，评标活动由评标委员会负责。评标委员会主任应由职称较高、</w:t>
      </w:r>
      <w:r>
        <w:rPr>
          <w:rFonts w:ascii="宋体" w:hAnsi="宋体" w:eastAsia="宋体" w:cs="宋体"/>
          <w:sz w:val="24"/>
          <w:szCs w:val="24"/>
          <w:highlight w:val="none"/>
        </w:rPr>
        <w:t>经验丰富、原则性强的专家评委担任，业主评委</w:t>
      </w:r>
      <w:r>
        <w:rPr>
          <w:rFonts w:ascii="宋体" w:hAnsi="宋体" w:eastAsia="宋体" w:cs="宋体"/>
          <w:spacing w:val="-1"/>
          <w:sz w:val="24"/>
          <w:szCs w:val="24"/>
          <w:highlight w:val="none"/>
        </w:rPr>
        <w:t>不得担任评标委员会主任</w:t>
      </w:r>
      <w:r>
        <w:rPr>
          <w:rFonts w:hint="eastAsia" w:ascii="宋体" w:hAnsi="宋体" w:eastAsia="宋体" w:cs="宋体"/>
          <w:spacing w:val="-1"/>
          <w:sz w:val="24"/>
          <w:szCs w:val="24"/>
          <w:highlight w:val="none"/>
          <w:lang w:eastAsia="zh-CN"/>
        </w:rPr>
        <w:t>。</w:t>
      </w:r>
    </w:p>
    <w:p w14:paraId="2E6F55A3">
      <w:pPr>
        <w:spacing w:before="75"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27.2</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开标结束后，开始评标，评标采用保密</w:t>
      </w:r>
      <w:r>
        <w:rPr>
          <w:rFonts w:ascii="宋体" w:hAnsi="宋体" w:eastAsia="宋体" w:cs="宋体"/>
          <w:spacing w:val="-3"/>
          <w:sz w:val="24"/>
          <w:szCs w:val="24"/>
          <w:highlight w:val="none"/>
        </w:rPr>
        <w:t>方式进行。</w:t>
      </w:r>
    </w:p>
    <w:p w14:paraId="24985B76">
      <w:pPr>
        <w:spacing w:before="27" w:line="290" w:lineRule="auto"/>
        <w:ind w:left="3" w:right="102" w:firstLine="480"/>
        <w:rPr>
          <w:rFonts w:ascii="宋体" w:hAnsi="宋体" w:eastAsia="宋体" w:cs="宋体"/>
          <w:sz w:val="24"/>
          <w:szCs w:val="24"/>
          <w:highlight w:val="none"/>
        </w:rPr>
      </w:pPr>
      <w:r>
        <w:rPr>
          <w:rFonts w:ascii="仿宋" w:hAnsi="仿宋" w:eastAsia="仿宋" w:cs="仿宋"/>
          <w:spacing w:val="-2"/>
          <w:sz w:val="24"/>
          <w:szCs w:val="24"/>
          <w:highlight w:val="none"/>
        </w:rPr>
        <w:t>27.3</w:t>
      </w:r>
      <w:r>
        <w:rPr>
          <w:rFonts w:ascii="仿宋" w:hAnsi="仿宋" w:eastAsia="仿宋" w:cs="仿宋"/>
          <w:spacing w:val="-52"/>
          <w:sz w:val="24"/>
          <w:szCs w:val="24"/>
          <w:highlight w:val="none"/>
        </w:rPr>
        <w:t xml:space="preserve"> </w:t>
      </w:r>
      <w:r>
        <w:rPr>
          <w:rFonts w:ascii="宋体" w:hAnsi="宋体" w:eastAsia="宋体" w:cs="宋体"/>
          <w:spacing w:val="-2"/>
          <w:sz w:val="24"/>
          <w:szCs w:val="24"/>
          <w:highlight w:val="none"/>
        </w:rPr>
        <w:t>评标委员会应详细审查投标人、投标项</w:t>
      </w:r>
      <w:r>
        <w:rPr>
          <w:rFonts w:ascii="宋体" w:hAnsi="宋体" w:eastAsia="宋体" w:cs="宋体"/>
          <w:spacing w:val="-3"/>
          <w:sz w:val="24"/>
          <w:szCs w:val="24"/>
          <w:highlight w:val="none"/>
        </w:rPr>
        <w:t>目经理（建造师）及项目班子成员的资</w:t>
      </w:r>
      <w:r>
        <w:rPr>
          <w:rFonts w:ascii="宋体" w:hAnsi="宋体" w:eastAsia="宋体" w:cs="宋体"/>
          <w:spacing w:val="-2"/>
          <w:sz w:val="24"/>
          <w:szCs w:val="24"/>
          <w:highlight w:val="none"/>
        </w:rPr>
        <w:t>质和资格情况。投标人存在以下情形之一的，审查不予通过，否决其投标：</w:t>
      </w:r>
    </w:p>
    <w:p w14:paraId="06B95F72">
      <w:pPr>
        <w:spacing w:before="47" w:line="220" w:lineRule="auto"/>
        <w:ind w:left="2" w:firstLine="460" w:firstLineChars="200"/>
        <w:rPr>
          <w:rFonts w:ascii="宋体" w:hAnsi="宋体" w:eastAsia="宋体" w:cs="宋体"/>
          <w:sz w:val="24"/>
          <w:szCs w:val="24"/>
          <w:highlight w:val="none"/>
        </w:rPr>
      </w:pPr>
      <w:r>
        <w:rPr>
          <w:rFonts w:ascii="宋体" w:hAnsi="宋体" w:eastAsia="宋体" w:cs="宋体"/>
          <w:spacing w:val="-5"/>
          <w:sz w:val="24"/>
          <w:szCs w:val="24"/>
          <w:highlight w:val="none"/>
        </w:rPr>
        <w:t>（一）投标人不满足招标文件载明的企业资质、项目负责人资格、业绩条件（若有）</w:t>
      </w:r>
      <w:r>
        <w:rPr>
          <w:rFonts w:ascii="宋体" w:hAnsi="宋体" w:eastAsia="宋体" w:cs="宋体"/>
          <w:spacing w:val="-8"/>
          <w:sz w:val="24"/>
          <w:szCs w:val="24"/>
          <w:highlight w:val="none"/>
        </w:rPr>
        <w:t>等资格和标准的；</w:t>
      </w:r>
    </w:p>
    <w:p w14:paraId="43AA7E36">
      <w:pPr>
        <w:spacing w:before="183" w:line="220"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（二）投标联合体没有提交联合体协议的；</w:t>
      </w:r>
    </w:p>
    <w:p w14:paraId="5DE47832">
      <w:pPr>
        <w:spacing w:before="179" w:line="218"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（三）同一个投标人对同一标段提交两个以上不同的投标文件或者投标报价的；</w:t>
      </w:r>
    </w:p>
    <w:p w14:paraId="53B7320B">
      <w:pPr>
        <w:spacing w:before="184" w:line="219"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（四）项目经理、技术负责人不是本单位工作人员的；</w:t>
      </w:r>
    </w:p>
    <w:p w14:paraId="2348C81E">
      <w:pPr>
        <w:spacing w:before="180"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（五）项目经理有在建工程（包括已中标待建工程）的；</w:t>
      </w:r>
    </w:p>
    <w:p w14:paraId="5E1244B7">
      <w:pPr>
        <w:spacing w:before="182"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（六）投标人未按照招标文件的要求提交投标保证金的；</w:t>
      </w:r>
    </w:p>
    <w:p w14:paraId="26595144">
      <w:pPr>
        <w:spacing w:before="179" w:line="313" w:lineRule="auto"/>
        <w:ind w:left="3" w:right="8" w:firstLine="483"/>
        <w:rPr>
          <w:rFonts w:ascii="宋体" w:hAnsi="宋体" w:eastAsia="宋体" w:cs="宋体"/>
          <w:sz w:val="24"/>
          <w:szCs w:val="24"/>
          <w:highlight w:val="none"/>
        </w:rPr>
      </w:pPr>
      <w:r>
        <w:rPr>
          <w:rFonts w:ascii="宋体" w:hAnsi="宋体" w:eastAsia="宋体" w:cs="宋体"/>
          <w:spacing w:val="2"/>
          <w:sz w:val="24"/>
          <w:szCs w:val="24"/>
          <w:highlight w:val="none"/>
        </w:rPr>
        <w:t>（七）投标人被县级及以上建设行政主管部门/房屋建筑和市政基础设施工程招标</w:t>
      </w:r>
      <w:r>
        <w:rPr>
          <w:rFonts w:ascii="宋体" w:hAnsi="宋体" w:eastAsia="宋体" w:cs="宋体"/>
          <w:spacing w:val="6"/>
          <w:sz w:val="24"/>
          <w:szCs w:val="24"/>
          <w:highlight w:val="none"/>
        </w:rPr>
        <w:t>投标活动的监督部门暂停或取消本次招标项目工程所</w:t>
      </w:r>
      <w:r>
        <w:rPr>
          <w:rFonts w:ascii="宋体" w:hAnsi="宋体" w:eastAsia="宋体" w:cs="宋体"/>
          <w:spacing w:val="5"/>
          <w:sz w:val="24"/>
          <w:szCs w:val="24"/>
          <w:highlight w:val="none"/>
        </w:rPr>
        <w:t>在地或公共资源交易平台所在地</w:t>
      </w:r>
      <w:r>
        <w:rPr>
          <w:rFonts w:ascii="宋体" w:hAnsi="宋体" w:eastAsia="宋体" w:cs="宋体"/>
          <w:spacing w:val="-3"/>
          <w:sz w:val="24"/>
          <w:szCs w:val="24"/>
          <w:highlight w:val="none"/>
        </w:rPr>
        <w:t>的投标资格或限制投标资格，且处于有效期内的；</w:t>
      </w:r>
    </w:p>
    <w:p w14:paraId="0F046D54">
      <w:pPr>
        <w:spacing w:before="182" w:line="218" w:lineRule="auto"/>
        <w:ind w:left="487"/>
        <w:rPr>
          <w:rFonts w:ascii="宋体" w:hAnsi="宋体" w:eastAsia="宋体" w:cs="宋体"/>
          <w:sz w:val="24"/>
          <w:szCs w:val="24"/>
          <w:highlight w:val="none"/>
        </w:rPr>
      </w:pPr>
      <w:r>
        <w:rPr>
          <w:rFonts w:ascii="宋体" w:hAnsi="宋体" w:eastAsia="宋体" w:cs="宋体"/>
          <w:spacing w:val="-5"/>
          <w:sz w:val="24"/>
          <w:szCs w:val="24"/>
          <w:highlight w:val="none"/>
        </w:rPr>
        <w:t>（八）投标报价高于最高限价的；</w:t>
      </w:r>
    </w:p>
    <w:p w14:paraId="27DB8F52">
      <w:pPr>
        <w:spacing w:before="182"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（九）不同投标人的投标文件检测码一致的；</w:t>
      </w:r>
    </w:p>
    <w:p w14:paraId="4E373776">
      <w:pPr>
        <w:spacing w:before="182" w:line="220"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（十）被列入严重违法失信企业名录的；</w:t>
      </w:r>
    </w:p>
    <w:p w14:paraId="2C5B841A">
      <w:pPr>
        <w:spacing w:before="230" w:line="220" w:lineRule="auto"/>
        <w:ind w:left="496"/>
        <w:rPr>
          <w:rFonts w:ascii="宋体" w:hAnsi="宋体" w:eastAsia="宋体" w:cs="宋体"/>
          <w:sz w:val="24"/>
          <w:szCs w:val="24"/>
          <w:highlight w:val="none"/>
        </w:rPr>
      </w:pPr>
      <w:r>
        <w:rPr>
          <w:rFonts w:ascii="宋体" w:hAnsi="宋体" w:eastAsia="宋体" w:cs="宋体"/>
          <w:spacing w:val="-4"/>
          <w:sz w:val="24"/>
          <w:szCs w:val="24"/>
          <w:highlight w:val="none"/>
        </w:rPr>
        <w:t>（十一）被列入重大税收违法案件当事人的；</w:t>
      </w:r>
    </w:p>
    <w:p w14:paraId="46D8F3E5">
      <w:pPr>
        <w:spacing w:before="83" w:line="220" w:lineRule="auto"/>
        <w:ind w:left="487"/>
        <w:rPr>
          <w:rFonts w:ascii="宋体" w:hAnsi="宋体" w:eastAsia="宋体" w:cs="宋体"/>
          <w:sz w:val="24"/>
          <w:szCs w:val="24"/>
          <w:highlight w:val="none"/>
        </w:rPr>
      </w:pPr>
      <w:r>
        <w:rPr>
          <w:rFonts w:ascii="宋体" w:hAnsi="宋体" w:eastAsia="宋体" w:cs="宋体"/>
          <w:spacing w:val="-5"/>
          <w:sz w:val="24"/>
          <w:szCs w:val="24"/>
          <w:highlight w:val="none"/>
        </w:rPr>
        <w:t>（十二）被列入失信被执行人的；</w:t>
      </w:r>
    </w:p>
    <w:p w14:paraId="4510C094">
      <w:pPr>
        <w:spacing w:before="182"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（十三）被列入拖欠农民工工资失信联合惩戒对象名单的；</w:t>
      </w:r>
    </w:p>
    <w:p w14:paraId="39A5F095">
      <w:pPr>
        <w:spacing w:before="179" w:line="290" w:lineRule="auto"/>
        <w:ind w:left="2" w:right="13" w:firstLine="484"/>
        <w:rPr>
          <w:rFonts w:ascii="宋体" w:hAnsi="宋体" w:eastAsia="宋体" w:cs="宋体"/>
          <w:sz w:val="24"/>
          <w:szCs w:val="24"/>
          <w:highlight w:val="none"/>
        </w:rPr>
      </w:pPr>
      <w:r>
        <w:rPr>
          <w:rFonts w:ascii="宋体" w:hAnsi="宋体" w:eastAsia="宋体" w:cs="宋体"/>
          <w:spacing w:val="-1"/>
          <w:sz w:val="24"/>
          <w:szCs w:val="24"/>
          <w:highlight w:val="none"/>
        </w:rPr>
        <w:t>（十四）依照招标文件的要求应当提交承诺函而未提交的或承诺的内容不符</w:t>
      </w:r>
      <w:r>
        <w:rPr>
          <w:rFonts w:ascii="宋体" w:hAnsi="宋体" w:eastAsia="宋体" w:cs="宋体"/>
          <w:spacing w:val="-2"/>
          <w:sz w:val="24"/>
          <w:szCs w:val="24"/>
          <w:highlight w:val="none"/>
        </w:rPr>
        <w:t>合招标</w:t>
      </w:r>
      <w:r>
        <w:rPr>
          <w:rFonts w:ascii="宋体" w:hAnsi="宋体" w:eastAsia="宋体" w:cs="宋体"/>
          <w:spacing w:val="-3"/>
          <w:sz w:val="24"/>
          <w:szCs w:val="24"/>
          <w:highlight w:val="none"/>
        </w:rPr>
        <w:t>文件要求，或未经法定代表人签署并加盖单位印章的；</w:t>
      </w:r>
    </w:p>
    <w:p w14:paraId="4A5DDC73">
      <w:pPr>
        <w:spacing w:before="183"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（十五）不符合资格审查条件的其他情形。</w:t>
      </w:r>
    </w:p>
    <w:p w14:paraId="6DD3C22F">
      <w:pPr>
        <w:spacing w:before="228" w:line="277" w:lineRule="auto"/>
        <w:ind w:left="1"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27.4</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评标委员会应对投标文件进行雷同性</w:t>
      </w:r>
      <w:r>
        <w:rPr>
          <w:rFonts w:ascii="宋体" w:hAnsi="宋体" w:eastAsia="宋体" w:cs="宋体"/>
          <w:spacing w:val="-3"/>
          <w:sz w:val="24"/>
          <w:szCs w:val="24"/>
          <w:highlight w:val="none"/>
        </w:rPr>
        <w:t>检查，评标系统显示投标人的投标文件与</w:t>
      </w:r>
      <w:r>
        <w:rPr>
          <w:rFonts w:ascii="宋体" w:hAnsi="宋体" w:eastAsia="宋体" w:cs="宋体"/>
          <w:spacing w:val="-1"/>
          <w:sz w:val="24"/>
          <w:szCs w:val="24"/>
          <w:highlight w:val="none"/>
        </w:rPr>
        <w:t>其他投标人的投标文件制作机器码或文件创建识别码一致的，由评标委员会判定按废标</w:t>
      </w:r>
      <w:r>
        <w:rPr>
          <w:rFonts w:ascii="宋体" w:hAnsi="宋体" w:eastAsia="宋体" w:cs="宋体"/>
          <w:spacing w:val="-6"/>
          <w:sz w:val="24"/>
          <w:szCs w:val="24"/>
          <w:highlight w:val="none"/>
        </w:rPr>
        <w:t>处理并对上述评标系统显示一致的信息截图打印、签名确认；由公共资源交易监</w:t>
      </w:r>
      <w:r>
        <w:rPr>
          <w:rFonts w:ascii="宋体" w:hAnsi="宋体" w:eastAsia="宋体" w:cs="宋体"/>
          <w:spacing w:val="-7"/>
          <w:sz w:val="24"/>
          <w:szCs w:val="24"/>
          <w:highlight w:val="none"/>
        </w:rPr>
        <w:t>督管理</w:t>
      </w:r>
      <w:r>
        <w:rPr>
          <w:rFonts w:ascii="宋体" w:hAnsi="宋体" w:eastAsia="宋体" w:cs="宋体"/>
          <w:spacing w:val="-1"/>
          <w:sz w:val="24"/>
          <w:szCs w:val="24"/>
          <w:highlight w:val="none"/>
        </w:rPr>
        <w:t>部门进行调查，视情节记不良行为记录并扣除诚信分。调查结果符合《</w:t>
      </w:r>
      <w:r>
        <w:rPr>
          <w:rFonts w:hint="eastAsia" w:ascii="宋体" w:hAnsi="宋体" w:eastAsia="宋体" w:cs="宋体"/>
          <w:spacing w:val="-1"/>
          <w:sz w:val="24"/>
          <w:szCs w:val="24"/>
          <w:highlight w:val="none"/>
          <w:lang w:eastAsia="zh-CN"/>
        </w:rPr>
        <w:t>中华人民共和国招标投标法实施条例</w:t>
      </w:r>
      <w:r>
        <w:rPr>
          <w:rFonts w:ascii="宋体" w:hAnsi="宋体" w:eastAsia="宋体" w:cs="宋体"/>
          <w:spacing w:val="-2"/>
          <w:sz w:val="24"/>
          <w:szCs w:val="24"/>
          <w:highlight w:val="none"/>
        </w:rPr>
        <w:t>》第四十条规定情形之一的，公共资源交易监督管理部门视情节依法取消其 1</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至</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2</w:t>
      </w:r>
      <w:r>
        <w:rPr>
          <w:rFonts w:ascii="宋体" w:hAnsi="宋体" w:eastAsia="宋体" w:cs="宋体"/>
          <w:spacing w:val="-1"/>
          <w:sz w:val="24"/>
          <w:szCs w:val="24"/>
          <w:highlight w:val="none"/>
        </w:rPr>
        <w:t>年内参加依法必须进行招标项目投标资格。情节</w:t>
      </w:r>
      <w:r>
        <w:rPr>
          <w:rFonts w:ascii="宋体" w:hAnsi="宋体" w:eastAsia="宋体" w:cs="宋体"/>
          <w:spacing w:val="-2"/>
          <w:sz w:val="24"/>
          <w:szCs w:val="24"/>
          <w:highlight w:val="none"/>
        </w:rPr>
        <w:t>严重的移交公安机关处理。</w:t>
      </w:r>
    </w:p>
    <w:p w14:paraId="7D92DB03">
      <w:pPr>
        <w:spacing w:line="220" w:lineRule="auto"/>
        <w:ind w:left="3"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28、评标过程的保密</w:t>
      </w:r>
    </w:p>
    <w:p w14:paraId="5B6C80B4">
      <w:pPr>
        <w:spacing w:before="75" w:line="259" w:lineRule="auto"/>
        <w:ind w:left="1" w:right="6" w:firstLine="481"/>
        <w:rPr>
          <w:rFonts w:ascii="宋体" w:hAnsi="宋体" w:eastAsia="宋体" w:cs="宋体"/>
          <w:sz w:val="24"/>
          <w:szCs w:val="24"/>
          <w:highlight w:val="none"/>
        </w:rPr>
      </w:pPr>
      <w:r>
        <w:rPr>
          <w:rFonts w:ascii="宋体" w:hAnsi="宋体" w:eastAsia="宋体" w:cs="宋体"/>
          <w:spacing w:val="-3"/>
          <w:sz w:val="24"/>
          <w:szCs w:val="24"/>
          <w:highlight w:val="none"/>
        </w:rPr>
        <w:t>28.1</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开标后，直至授予中标人合同为止，凡属于对投标文件的审查、澄清、评价和</w:t>
      </w:r>
      <w:r>
        <w:rPr>
          <w:rFonts w:ascii="宋体" w:hAnsi="宋体" w:eastAsia="宋体" w:cs="宋体"/>
          <w:spacing w:val="6"/>
          <w:sz w:val="24"/>
          <w:szCs w:val="24"/>
          <w:highlight w:val="none"/>
        </w:rPr>
        <w:t>比较的有关资料以及中标候选人的推荐情况以及与评标有</w:t>
      </w:r>
      <w:r>
        <w:rPr>
          <w:rFonts w:ascii="宋体" w:hAnsi="宋体" w:eastAsia="宋体" w:cs="宋体"/>
          <w:spacing w:val="5"/>
          <w:sz w:val="24"/>
          <w:szCs w:val="24"/>
          <w:highlight w:val="none"/>
        </w:rPr>
        <w:t>关的其他任何情况均严格保</w:t>
      </w:r>
      <w:r>
        <w:rPr>
          <w:rFonts w:ascii="宋体" w:hAnsi="宋体" w:eastAsia="宋体" w:cs="宋体"/>
          <w:spacing w:val="-12"/>
          <w:sz w:val="24"/>
          <w:szCs w:val="24"/>
          <w:highlight w:val="none"/>
        </w:rPr>
        <w:t>密。</w:t>
      </w:r>
    </w:p>
    <w:p w14:paraId="65631295">
      <w:pPr>
        <w:spacing w:before="69" w:line="248" w:lineRule="auto"/>
        <w:ind w:left="1" w:right="4" w:firstLine="481"/>
        <w:rPr>
          <w:rFonts w:ascii="宋体" w:hAnsi="宋体" w:eastAsia="宋体" w:cs="宋体"/>
          <w:sz w:val="24"/>
          <w:szCs w:val="24"/>
          <w:highlight w:val="none"/>
        </w:rPr>
      </w:pPr>
      <w:r>
        <w:rPr>
          <w:rFonts w:ascii="宋体" w:hAnsi="宋体" w:eastAsia="宋体" w:cs="宋体"/>
          <w:spacing w:val="-5"/>
          <w:sz w:val="24"/>
          <w:szCs w:val="24"/>
          <w:highlight w:val="none"/>
        </w:rPr>
        <w:t>28.2</w:t>
      </w:r>
      <w:r>
        <w:rPr>
          <w:rFonts w:ascii="宋体" w:hAnsi="宋体" w:eastAsia="宋体" w:cs="宋体"/>
          <w:spacing w:val="-51"/>
          <w:sz w:val="24"/>
          <w:szCs w:val="24"/>
          <w:highlight w:val="none"/>
        </w:rPr>
        <w:t xml:space="preserve"> </w:t>
      </w:r>
      <w:r>
        <w:rPr>
          <w:rFonts w:ascii="宋体" w:hAnsi="宋体" w:eastAsia="宋体" w:cs="宋体"/>
          <w:spacing w:val="-5"/>
          <w:sz w:val="24"/>
          <w:szCs w:val="24"/>
          <w:highlight w:val="none"/>
        </w:rPr>
        <w:t>在投标文件的评审和比较、中标候选人推荐以及授予合同的过程中，投标人向</w:t>
      </w:r>
      <w:r>
        <w:rPr>
          <w:rFonts w:ascii="宋体" w:hAnsi="宋体" w:eastAsia="宋体" w:cs="宋体"/>
          <w:spacing w:val="-2"/>
          <w:sz w:val="24"/>
          <w:szCs w:val="24"/>
          <w:highlight w:val="none"/>
        </w:rPr>
        <w:t>招标人和评标委员会施加影响的任何行为，都将会导致其投标被拒绝。</w:t>
      </w:r>
    </w:p>
    <w:p w14:paraId="744C021E">
      <w:pPr>
        <w:spacing w:before="75" w:line="248" w:lineRule="auto"/>
        <w:ind w:right="4" w:firstLine="483"/>
        <w:rPr>
          <w:rFonts w:ascii="宋体" w:hAnsi="宋体" w:eastAsia="宋体" w:cs="宋体"/>
          <w:sz w:val="24"/>
          <w:szCs w:val="24"/>
          <w:highlight w:val="none"/>
        </w:rPr>
      </w:pPr>
      <w:r>
        <w:rPr>
          <w:rFonts w:ascii="宋体" w:hAnsi="宋体" w:eastAsia="宋体" w:cs="宋体"/>
          <w:spacing w:val="-3"/>
          <w:sz w:val="24"/>
          <w:szCs w:val="24"/>
          <w:highlight w:val="none"/>
        </w:rPr>
        <w:t>28.3</w:t>
      </w:r>
      <w:r>
        <w:rPr>
          <w:rFonts w:ascii="宋体" w:hAnsi="宋体" w:eastAsia="宋体" w:cs="宋体"/>
          <w:spacing w:val="-28"/>
          <w:sz w:val="24"/>
          <w:szCs w:val="24"/>
          <w:highlight w:val="none"/>
        </w:rPr>
        <w:t xml:space="preserve"> </w:t>
      </w:r>
      <w:r>
        <w:rPr>
          <w:rFonts w:ascii="宋体" w:hAnsi="宋体" w:eastAsia="宋体" w:cs="宋体"/>
          <w:spacing w:val="-3"/>
          <w:sz w:val="24"/>
          <w:szCs w:val="24"/>
          <w:highlight w:val="none"/>
        </w:rPr>
        <w:t>中标人确定后，招标人不对未中标人就评标过程以及未能中标原因作</w:t>
      </w:r>
      <w:r>
        <w:rPr>
          <w:rFonts w:ascii="宋体" w:hAnsi="宋体" w:eastAsia="宋体" w:cs="宋体"/>
          <w:spacing w:val="-4"/>
          <w:sz w:val="24"/>
          <w:szCs w:val="24"/>
          <w:highlight w:val="none"/>
        </w:rPr>
        <w:t>出任何解</w:t>
      </w:r>
      <w:r>
        <w:rPr>
          <w:rFonts w:ascii="宋体" w:hAnsi="宋体" w:eastAsia="宋体" w:cs="宋体"/>
          <w:spacing w:val="-1"/>
          <w:sz w:val="24"/>
          <w:szCs w:val="24"/>
          <w:highlight w:val="none"/>
        </w:rPr>
        <w:t>释。未中标人不得向评标委员会组成人员或其他有关人员索问评标过程的</w:t>
      </w:r>
      <w:r>
        <w:rPr>
          <w:rFonts w:ascii="宋体" w:hAnsi="宋体" w:eastAsia="宋体" w:cs="宋体"/>
          <w:spacing w:val="-2"/>
          <w:sz w:val="24"/>
          <w:szCs w:val="24"/>
          <w:highlight w:val="none"/>
        </w:rPr>
        <w:t>情况和材料。</w:t>
      </w:r>
    </w:p>
    <w:p w14:paraId="03049712">
      <w:pPr>
        <w:spacing w:before="75" w:line="220" w:lineRule="auto"/>
        <w:ind w:left="3"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29、投标文件的澄清</w:t>
      </w:r>
    </w:p>
    <w:p w14:paraId="05486177">
      <w:pPr>
        <w:spacing w:before="93" w:line="262" w:lineRule="auto"/>
        <w:ind w:left="1" w:firstLine="481"/>
        <w:rPr>
          <w:rFonts w:ascii="宋体" w:hAnsi="宋体" w:eastAsia="宋体" w:cs="宋体"/>
          <w:sz w:val="24"/>
          <w:szCs w:val="24"/>
          <w:highlight w:val="none"/>
        </w:rPr>
      </w:pPr>
      <w:r>
        <w:rPr>
          <w:rFonts w:ascii="宋体" w:hAnsi="宋体" w:eastAsia="宋体" w:cs="宋体"/>
          <w:spacing w:val="-5"/>
          <w:sz w:val="24"/>
          <w:szCs w:val="24"/>
          <w:highlight w:val="none"/>
        </w:rPr>
        <w:t>29.1</w:t>
      </w:r>
      <w:r>
        <w:rPr>
          <w:rFonts w:ascii="宋体" w:hAnsi="宋体" w:eastAsia="宋体" w:cs="宋体"/>
          <w:spacing w:val="-47"/>
          <w:sz w:val="24"/>
          <w:szCs w:val="24"/>
          <w:highlight w:val="none"/>
        </w:rPr>
        <w:t xml:space="preserve"> </w:t>
      </w:r>
      <w:r>
        <w:rPr>
          <w:rFonts w:ascii="宋体" w:hAnsi="宋体" w:eastAsia="宋体" w:cs="宋体"/>
          <w:spacing w:val="-5"/>
          <w:sz w:val="24"/>
          <w:szCs w:val="24"/>
          <w:highlight w:val="none"/>
        </w:rPr>
        <w:t>为有助于对投标文件的审查、评价和比较，</w:t>
      </w:r>
      <w:r>
        <w:rPr>
          <w:rFonts w:ascii="宋体" w:hAnsi="宋体" w:eastAsia="宋体" w:cs="宋体"/>
          <w:spacing w:val="-29"/>
          <w:sz w:val="24"/>
          <w:szCs w:val="24"/>
          <w:highlight w:val="none"/>
        </w:rPr>
        <w:t xml:space="preserve"> </w:t>
      </w:r>
      <w:r>
        <w:rPr>
          <w:rFonts w:ascii="宋体" w:hAnsi="宋体" w:eastAsia="宋体" w:cs="宋体"/>
          <w:spacing w:val="-5"/>
          <w:sz w:val="24"/>
          <w:szCs w:val="24"/>
          <w:highlight w:val="none"/>
        </w:rPr>
        <w:t>评标委员会可以要求投标人对投标</w:t>
      </w:r>
      <w:r>
        <w:rPr>
          <w:rFonts w:ascii="宋体" w:hAnsi="宋体" w:eastAsia="宋体" w:cs="宋体"/>
          <w:spacing w:val="-1"/>
          <w:sz w:val="24"/>
          <w:szCs w:val="24"/>
          <w:highlight w:val="none"/>
        </w:rPr>
        <w:t>文件中含义不明确的内容作必要的澄清或者说明，投标人应采用书面形式进行澄清或说明，但是澄清或者说明不得超出投标文件的范围或者改变投标文件的实质性内容。根据</w:t>
      </w:r>
      <w:r>
        <w:rPr>
          <w:rFonts w:ascii="宋体" w:hAnsi="宋体" w:eastAsia="宋体" w:cs="宋体"/>
          <w:spacing w:val="-2"/>
          <w:sz w:val="24"/>
          <w:szCs w:val="24"/>
          <w:highlight w:val="none"/>
        </w:rPr>
        <w:t>本须知第</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31</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条规定，凡属于评标委员会在评标中发现的计算错误进行修正</w:t>
      </w:r>
      <w:r>
        <w:rPr>
          <w:rFonts w:ascii="宋体" w:hAnsi="宋体" w:eastAsia="宋体" w:cs="宋体"/>
          <w:spacing w:val="-3"/>
          <w:sz w:val="24"/>
          <w:szCs w:val="24"/>
          <w:highlight w:val="none"/>
        </w:rPr>
        <w:t>的不在此列。</w:t>
      </w:r>
    </w:p>
    <w:p w14:paraId="485CB97D">
      <w:pPr>
        <w:spacing w:before="74" w:line="258" w:lineRule="auto"/>
        <w:ind w:left="1" w:right="85" w:firstLine="481"/>
        <w:rPr>
          <w:rFonts w:ascii="宋体" w:hAnsi="宋体" w:eastAsia="宋体" w:cs="宋体"/>
          <w:sz w:val="24"/>
          <w:szCs w:val="24"/>
          <w:highlight w:val="none"/>
        </w:rPr>
      </w:pPr>
      <w:r>
        <w:rPr>
          <w:rFonts w:ascii="宋体" w:hAnsi="宋体" w:eastAsia="宋体" w:cs="宋体"/>
          <w:spacing w:val="-3"/>
          <w:sz w:val="24"/>
          <w:szCs w:val="24"/>
          <w:highlight w:val="none"/>
        </w:rPr>
        <w:t>29.2</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有下列情形之一的，评标时，评标委员会应当询标，要求投标人当场作出书面</w:t>
      </w:r>
      <w:r>
        <w:rPr>
          <w:rFonts w:ascii="宋体" w:hAnsi="宋体" w:eastAsia="宋体" w:cs="宋体"/>
          <w:spacing w:val="-1"/>
          <w:sz w:val="24"/>
          <w:szCs w:val="24"/>
          <w:highlight w:val="none"/>
        </w:rPr>
        <w:t>说明，评标委员会列举的投标文件中存在的问题应采用书面方式进行记录并由投标人的</w:t>
      </w:r>
      <w:r>
        <w:rPr>
          <w:rFonts w:ascii="宋体" w:hAnsi="宋体" w:eastAsia="宋体" w:cs="宋体"/>
          <w:spacing w:val="-4"/>
          <w:sz w:val="24"/>
          <w:szCs w:val="24"/>
          <w:highlight w:val="none"/>
        </w:rPr>
        <w:t>法定代表人或其委托代理人签字认可：</w:t>
      </w:r>
    </w:p>
    <w:p w14:paraId="6F30C2DA">
      <w:pPr>
        <w:spacing w:before="74" w:line="218" w:lineRule="auto"/>
        <w:ind w:left="247"/>
        <w:rPr>
          <w:rFonts w:ascii="宋体" w:hAnsi="宋体" w:eastAsia="宋体" w:cs="宋体"/>
          <w:sz w:val="24"/>
          <w:szCs w:val="24"/>
          <w:highlight w:val="none"/>
        </w:rPr>
      </w:pPr>
      <w:r>
        <w:rPr>
          <w:rFonts w:ascii="宋体" w:hAnsi="宋体" w:eastAsia="宋体" w:cs="宋体"/>
          <w:spacing w:val="-3"/>
          <w:sz w:val="24"/>
          <w:szCs w:val="24"/>
          <w:highlight w:val="none"/>
        </w:rPr>
        <w:t>（1）设有最高限价的，投标报价低于最高限价合理幅度的；</w:t>
      </w:r>
    </w:p>
    <w:p w14:paraId="539B8A69">
      <w:pPr>
        <w:spacing w:before="76" w:line="220" w:lineRule="auto"/>
        <w:ind w:firstLine="236" w:firstLineChars="100"/>
        <w:rPr>
          <w:rFonts w:ascii="宋体" w:hAnsi="宋体" w:eastAsia="宋体" w:cs="宋体"/>
          <w:spacing w:val="-2"/>
          <w:sz w:val="24"/>
          <w:szCs w:val="24"/>
          <w:highlight w:val="none"/>
        </w:rPr>
      </w:pPr>
      <w:r>
        <w:rPr>
          <w:rFonts w:ascii="宋体" w:hAnsi="宋体" w:eastAsia="宋体" w:cs="宋体"/>
          <w:spacing w:val="-2"/>
          <w:sz w:val="24"/>
          <w:szCs w:val="24"/>
          <w:highlight w:val="none"/>
        </w:rPr>
        <w:t>（2）</w:t>
      </w:r>
      <w:r>
        <w:rPr>
          <w:rFonts w:hint="eastAsia" w:ascii="宋体" w:hAnsi="宋体" w:eastAsia="宋体" w:cs="宋体"/>
          <w:spacing w:val="-2"/>
          <w:sz w:val="24"/>
          <w:szCs w:val="24"/>
          <w:highlight w:val="none"/>
          <w:lang w:val="en-US" w:eastAsia="zh-CN"/>
        </w:rPr>
        <w:t xml:space="preserve">未设最高限价的，投标报价明显低于其他投标报价，有可能低于其企业成本的； </w:t>
      </w:r>
    </w:p>
    <w:p w14:paraId="3327410A">
      <w:pPr>
        <w:spacing w:line="240" w:lineRule="auto"/>
        <w:ind w:left="0" w:firstLine="0" w:firstLineChars="0"/>
        <w:rPr>
          <w:rFonts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经评标委员会论证，认定该投标人的报价低于其企业成本的，不能推荐为中标人或中标候选人，评标委员会写出结论性评标报告。</w:t>
      </w:r>
    </w:p>
    <w:p w14:paraId="6AB9271E">
      <w:pPr>
        <w:spacing w:before="76" w:line="220" w:lineRule="auto"/>
        <w:ind w:left="5" w:firstLine="468" w:firstLineChars="200"/>
        <w:rPr>
          <w:rFonts w:ascii="宋体" w:hAnsi="宋体" w:eastAsia="宋体" w:cs="宋体"/>
          <w:sz w:val="24"/>
          <w:szCs w:val="24"/>
          <w:highlight w:val="none"/>
        </w:rPr>
      </w:pPr>
      <w:r>
        <w:rPr>
          <w:rFonts w:ascii="宋体" w:hAnsi="宋体" w:eastAsia="宋体" w:cs="宋体"/>
          <w:spacing w:val="-3"/>
          <w:sz w:val="24"/>
          <w:szCs w:val="24"/>
          <w:highlight w:val="none"/>
        </w:rPr>
        <w:t>30、投标文件的评审程序</w:t>
      </w:r>
    </w:p>
    <w:p w14:paraId="11498FC3">
      <w:pPr>
        <w:spacing w:before="75" w:line="248" w:lineRule="auto"/>
        <w:ind w:right="85" w:firstLine="484"/>
        <w:rPr>
          <w:rFonts w:ascii="宋体" w:hAnsi="宋体" w:eastAsia="宋体" w:cs="宋体"/>
          <w:sz w:val="24"/>
          <w:szCs w:val="24"/>
          <w:highlight w:val="none"/>
        </w:rPr>
      </w:pPr>
      <w:r>
        <w:rPr>
          <w:rFonts w:ascii="宋体" w:hAnsi="宋体" w:eastAsia="宋体" w:cs="宋体"/>
          <w:spacing w:val="-3"/>
          <w:sz w:val="24"/>
          <w:szCs w:val="24"/>
          <w:highlight w:val="none"/>
        </w:rPr>
        <w:t>30.1</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评标委员会应当根据招标文件有关规定，审查并逐项列出投标文件的全部投标偏差。投标偏差分重大偏差和细微偏差。</w:t>
      </w:r>
    </w:p>
    <w:p w14:paraId="18A08589">
      <w:pPr>
        <w:spacing w:before="74"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30.2</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投标偏差的界定和评审</w:t>
      </w:r>
    </w:p>
    <w:p w14:paraId="3001B0D4">
      <w:pPr>
        <w:spacing w:before="75" w:line="277" w:lineRule="auto"/>
        <w:ind w:right="87" w:firstLine="476"/>
        <w:rPr>
          <w:rFonts w:ascii="宋体" w:hAnsi="宋体" w:eastAsia="宋体" w:cs="宋体"/>
          <w:sz w:val="24"/>
          <w:szCs w:val="24"/>
          <w:highlight w:val="none"/>
        </w:rPr>
      </w:pPr>
      <w:r>
        <w:rPr>
          <w:rFonts w:ascii="宋体" w:hAnsi="宋体" w:eastAsia="宋体" w:cs="宋体"/>
          <w:spacing w:val="-2"/>
          <w:sz w:val="24"/>
          <w:szCs w:val="24"/>
          <w:highlight w:val="none"/>
        </w:rPr>
        <w:t>30.2.1</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重大偏差的认定，投标文件有下列情形之一的</w:t>
      </w:r>
      <w:r>
        <w:rPr>
          <w:rFonts w:ascii="宋体" w:hAnsi="宋体" w:eastAsia="宋体" w:cs="宋体"/>
          <w:spacing w:val="-3"/>
          <w:sz w:val="24"/>
          <w:szCs w:val="24"/>
          <w:highlight w:val="none"/>
        </w:rPr>
        <w:t>，属于重大偏差，由评标委员</w:t>
      </w:r>
      <w:r>
        <w:rPr>
          <w:rFonts w:ascii="宋体" w:hAnsi="宋体" w:eastAsia="宋体" w:cs="宋体"/>
          <w:spacing w:val="-6"/>
          <w:sz w:val="24"/>
          <w:szCs w:val="24"/>
          <w:highlight w:val="none"/>
        </w:rPr>
        <w:t>会评审后按废标处理：</w:t>
      </w:r>
    </w:p>
    <w:p w14:paraId="790CA01B">
      <w:pPr>
        <w:spacing w:before="1" w:line="218" w:lineRule="auto"/>
        <w:ind w:left="403"/>
        <w:rPr>
          <w:rFonts w:ascii="宋体" w:hAnsi="宋体" w:eastAsia="宋体" w:cs="宋体"/>
          <w:sz w:val="24"/>
          <w:szCs w:val="24"/>
          <w:highlight w:val="none"/>
        </w:rPr>
      </w:pPr>
      <w:r>
        <w:rPr>
          <w:rFonts w:ascii="宋体" w:hAnsi="宋体" w:eastAsia="宋体" w:cs="宋体"/>
          <w:spacing w:val="-3"/>
          <w:sz w:val="24"/>
          <w:szCs w:val="24"/>
          <w:highlight w:val="none"/>
        </w:rPr>
        <w:t>(1)无单位电子签章或无法定代表人或法定代表人授权的代理人电子签</w:t>
      </w:r>
      <w:r>
        <w:rPr>
          <w:rFonts w:ascii="宋体" w:hAnsi="宋体" w:eastAsia="宋体" w:cs="宋体"/>
          <w:spacing w:val="-4"/>
          <w:sz w:val="24"/>
          <w:szCs w:val="24"/>
          <w:highlight w:val="none"/>
        </w:rPr>
        <w:t>章的；</w:t>
      </w:r>
    </w:p>
    <w:p w14:paraId="23F00CC4">
      <w:pPr>
        <w:spacing w:before="75" w:line="220" w:lineRule="auto"/>
        <w:ind w:left="403"/>
        <w:rPr>
          <w:rFonts w:ascii="宋体" w:hAnsi="宋体" w:eastAsia="宋体" w:cs="宋体"/>
          <w:sz w:val="24"/>
          <w:szCs w:val="24"/>
          <w:highlight w:val="none"/>
        </w:rPr>
      </w:pPr>
      <w:r>
        <w:rPr>
          <w:rFonts w:ascii="宋体" w:hAnsi="宋体" w:eastAsia="宋体" w:cs="宋体"/>
          <w:spacing w:val="-3"/>
          <w:sz w:val="24"/>
          <w:szCs w:val="24"/>
          <w:highlight w:val="none"/>
        </w:rPr>
        <w:t>(2)未按规定的格式填写，实质性内容不全或关键字迹模糊、无法</w:t>
      </w:r>
      <w:r>
        <w:rPr>
          <w:rFonts w:ascii="宋体" w:hAnsi="宋体" w:eastAsia="宋体" w:cs="宋体"/>
          <w:spacing w:val="-4"/>
          <w:sz w:val="24"/>
          <w:szCs w:val="24"/>
          <w:highlight w:val="none"/>
        </w:rPr>
        <w:t>辨认的；</w:t>
      </w:r>
    </w:p>
    <w:p w14:paraId="7C56E96E">
      <w:pPr>
        <w:spacing w:before="75" w:line="248" w:lineRule="auto"/>
        <w:ind w:left="1" w:right="85" w:firstLine="401"/>
        <w:rPr>
          <w:rFonts w:ascii="宋体" w:hAnsi="宋体" w:eastAsia="宋体" w:cs="宋体"/>
          <w:sz w:val="24"/>
          <w:szCs w:val="24"/>
          <w:highlight w:val="none"/>
        </w:rPr>
      </w:pPr>
      <w:r>
        <w:rPr>
          <w:rFonts w:ascii="宋体" w:hAnsi="宋体" w:eastAsia="宋体" w:cs="宋体"/>
          <w:spacing w:val="-2"/>
          <w:sz w:val="24"/>
          <w:szCs w:val="24"/>
          <w:highlight w:val="none"/>
        </w:rPr>
        <w:t>(3)组成联合体投标的投标人未附《联合体各方共同投标协议书》（资格预审时已经</w:t>
      </w:r>
      <w:r>
        <w:rPr>
          <w:rFonts w:ascii="宋体" w:hAnsi="宋体" w:eastAsia="宋体" w:cs="宋体"/>
          <w:spacing w:val="-10"/>
          <w:sz w:val="24"/>
          <w:szCs w:val="24"/>
          <w:highlight w:val="none"/>
        </w:rPr>
        <w:t>提交的除外</w:t>
      </w:r>
      <w:r>
        <w:rPr>
          <w:rFonts w:ascii="宋体" w:hAnsi="宋体" w:eastAsia="宋体" w:cs="宋体"/>
          <w:spacing w:val="-4"/>
          <w:sz w:val="24"/>
          <w:szCs w:val="24"/>
          <w:highlight w:val="none"/>
        </w:rPr>
        <w:t>）；</w:t>
      </w:r>
    </w:p>
    <w:p w14:paraId="201C5239">
      <w:pPr>
        <w:spacing w:before="74" w:line="258" w:lineRule="auto"/>
        <w:ind w:left="15" w:right="85" w:firstLine="388"/>
        <w:rPr>
          <w:rFonts w:ascii="宋体" w:hAnsi="宋体" w:eastAsia="宋体" w:cs="宋体"/>
          <w:sz w:val="24"/>
          <w:szCs w:val="24"/>
          <w:highlight w:val="none"/>
        </w:rPr>
      </w:pPr>
      <w:r>
        <w:rPr>
          <w:rFonts w:ascii="宋体" w:hAnsi="宋体" w:eastAsia="宋体" w:cs="宋体"/>
          <w:spacing w:val="-2"/>
          <w:sz w:val="24"/>
          <w:szCs w:val="24"/>
          <w:highlight w:val="none"/>
        </w:rPr>
        <w:t>(4)投标人递交两份或多份内容不同的投标文件，或在一份投标文件中对同一招标项</w:t>
      </w:r>
      <w:r>
        <w:rPr>
          <w:rFonts w:ascii="宋体" w:hAnsi="宋体" w:eastAsia="宋体" w:cs="宋体"/>
          <w:spacing w:val="-1"/>
          <w:sz w:val="24"/>
          <w:szCs w:val="24"/>
          <w:highlight w:val="none"/>
        </w:rPr>
        <w:t>目报有两个或多个报价，且未声明哪一个有效的。按招标文件规定提交备选投标方案的</w:t>
      </w:r>
      <w:r>
        <w:rPr>
          <w:rFonts w:ascii="宋体" w:hAnsi="宋体" w:eastAsia="宋体" w:cs="宋体"/>
          <w:spacing w:val="-18"/>
          <w:sz w:val="24"/>
          <w:szCs w:val="24"/>
          <w:highlight w:val="none"/>
        </w:rPr>
        <w:t>除外；</w:t>
      </w:r>
    </w:p>
    <w:p w14:paraId="5A6CD735">
      <w:pPr>
        <w:spacing w:before="75" w:line="248" w:lineRule="auto"/>
        <w:ind w:left="2" w:right="85" w:firstLine="400"/>
        <w:rPr>
          <w:rFonts w:ascii="宋体" w:hAnsi="宋体" w:eastAsia="宋体" w:cs="宋体"/>
          <w:sz w:val="24"/>
          <w:szCs w:val="24"/>
          <w:highlight w:val="none"/>
        </w:rPr>
      </w:pPr>
      <w:r>
        <w:rPr>
          <w:rFonts w:ascii="宋体" w:hAnsi="宋体" w:eastAsia="宋体" w:cs="宋体"/>
          <w:spacing w:val="-2"/>
          <w:sz w:val="24"/>
          <w:szCs w:val="24"/>
          <w:highlight w:val="none"/>
        </w:rPr>
        <w:t>(5)投标文件明显不符合招标文件规定的报价、工期、质量标准、技术规格、施工方</w:t>
      </w:r>
      <w:r>
        <w:rPr>
          <w:rFonts w:ascii="宋体" w:hAnsi="宋体" w:eastAsia="宋体" w:cs="宋体"/>
          <w:spacing w:val="-4"/>
          <w:sz w:val="24"/>
          <w:szCs w:val="24"/>
          <w:highlight w:val="none"/>
        </w:rPr>
        <w:t>案评审文件标准或其它实质性要求；</w:t>
      </w:r>
    </w:p>
    <w:p w14:paraId="441007B1">
      <w:pPr>
        <w:spacing w:before="74" w:line="220" w:lineRule="auto"/>
        <w:ind w:left="403"/>
        <w:rPr>
          <w:rFonts w:ascii="宋体" w:hAnsi="宋体" w:eastAsia="宋体" w:cs="宋体"/>
          <w:sz w:val="24"/>
          <w:szCs w:val="24"/>
          <w:highlight w:val="none"/>
        </w:rPr>
      </w:pPr>
      <w:r>
        <w:rPr>
          <w:rFonts w:ascii="宋体" w:hAnsi="宋体" w:eastAsia="宋体" w:cs="宋体"/>
          <w:spacing w:val="-6"/>
          <w:sz w:val="24"/>
          <w:szCs w:val="24"/>
          <w:highlight w:val="none"/>
        </w:rPr>
        <w:t>(6)未按招标文件要求提交投标保证金的；</w:t>
      </w:r>
    </w:p>
    <w:p w14:paraId="0F159D01">
      <w:pPr>
        <w:spacing w:before="75" w:line="219" w:lineRule="auto"/>
        <w:ind w:left="403"/>
        <w:rPr>
          <w:rFonts w:ascii="宋体" w:hAnsi="宋体" w:eastAsia="宋体" w:cs="宋体"/>
          <w:sz w:val="24"/>
          <w:szCs w:val="24"/>
          <w:highlight w:val="none"/>
        </w:rPr>
      </w:pPr>
      <w:r>
        <w:rPr>
          <w:rFonts w:ascii="宋体" w:hAnsi="宋体" w:eastAsia="宋体" w:cs="宋体"/>
          <w:spacing w:val="-3"/>
          <w:sz w:val="24"/>
          <w:szCs w:val="24"/>
          <w:highlight w:val="none"/>
        </w:rPr>
        <w:t>(7)投标文件中存在招标人不能接受的其它实质性条件</w:t>
      </w:r>
      <w:r>
        <w:rPr>
          <w:rFonts w:ascii="宋体" w:hAnsi="宋体" w:eastAsia="宋体" w:cs="宋体"/>
          <w:spacing w:val="-4"/>
          <w:sz w:val="24"/>
          <w:szCs w:val="24"/>
          <w:highlight w:val="none"/>
        </w:rPr>
        <w:t>或提供虚假文件；</w:t>
      </w:r>
    </w:p>
    <w:p w14:paraId="58B8378E">
      <w:pPr>
        <w:spacing w:before="75" w:line="220" w:lineRule="auto"/>
        <w:ind w:left="403"/>
        <w:rPr>
          <w:rFonts w:ascii="宋体" w:hAnsi="宋体" w:eastAsia="宋体" w:cs="宋体"/>
          <w:sz w:val="24"/>
          <w:szCs w:val="24"/>
          <w:highlight w:val="none"/>
        </w:rPr>
      </w:pPr>
      <w:r>
        <w:rPr>
          <w:rFonts w:ascii="宋体" w:hAnsi="宋体" w:eastAsia="宋体" w:cs="宋体"/>
          <w:spacing w:val="-6"/>
          <w:sz w:val="24"/>
          <w:szCs w:val="24"/>
          <w:highlight w:val="none"/>
        </w:rPr>
        <w:t>(8)投标人拒绝对细微偏差作出补正；</w:t>
      </w:r>
    </w:p>
    <w:p w14:paraId="3F314BB8">
      <w:pPr>
        <w:spacing w:before="76" w:line="248" w:lineRule="auto"/>
        <w:ind w:right="96" w:firstLine="403"/>
        <w:rPr>
          <w:rFonts w:ascii="宋体" w:hAnsi="宋体" w:eastAsia="宋体" w:cs="宋体"/>
          <w:sz w:val="24"/>
          <w:szCs w:val="24"/>
          <w:highlight w:val="none"/>
        </w:rPr>
      </w:pPr>
      <w:r>
        <w:rPr>
          <w:rFonts w:ascii="宋体" w:hAnsi="宋体" w:eastAsia="宋体" w:cs="宋体"/>
          <w:spacing w:val="-2"/>
          <w:sz w:val="24"/>
          <w:szCs w:val="24"/>
          <w:highlight w:val="none"/>
        </w:rPr>
        <w:t>(9)投标文件中填报的项目经理（注册建造师）与资格审查通过的项目经理（注册建</w:t>
      </w:r>
      <w:r>
        <w:rPr>
          <w:rFonts w:ascii="宋体" w:hAnsi="宋体" w:eastAsia="宋体" w:cs="宋体"/>
          <w:spacing w:val="-5"/>
          <w:sz w:val="24"/>
          <w:szCs w:val="24"/>
          <w:highlight w:val="none"/>
        </w:rPr>
        <w:t>造师）前后不一致的；</w:t>
      </w:r>
    </w:p>
    <w:p w14:paraId="639F7722">
      <w:pPr>
        <w:spacing w:before="74" w:line="220" w:lineRule="auto"/>
        <w:ind w:left="403"/>
        <w:rPr>
          <w:rFonts w:ascii="宋体" w:hAnsi="宋体" w:eastAsia="宋体" w:cs="宋体"/>
          <w:sz w:val="24"/>
          <w:szCs w:val="24"/>
          <w:highlight w:val="none"/>
        </w:rPr>
      </w:pPr>
      <w:r>
        <w:rPr>
          <w:rFonts w:ascii="宋体" w:hAnsi="宋体" w:eastAsia="宋体" w:cs="宋体"/>
          <w:spacing w:val="-5"/>
          <w:sz w:val="24"/>
          <w:szCs w:val="24"/>
          <w:highlight w:val="none"/>
        </w:rPr>
        <w:t>(10)投标文件中的其他重大偏差（包括缺项、漏项</w:t>
      </w:r>
      <w:r>
        <w:rPr>
          <w:rFonts w:ascii="宋体" w:hAnsi="宋体" w:eastAsia="宋体" w:cs="宋体"/>
          <w:spacing w:val="7"/>
          <w:sz w:val="24"/>
          <w:szCs w:val="24"/>
          <w:highlight w:val="none"/>
        </w:rPr>
        <w:t>）：</w:t>
      </w:r>
    </w:p>
    <w:p w14:paraId="52875B1E">
      <w:pPr>
        <w:spacing w:before="72" w:line="263" w:lineRule="auto"/>
        <w:ind w:right="85" w:firstLine="358"/>
        <w:rPr>
          <w:rFonts w:ascii="宋体" w:hAnsi="宋体" w:eastAsia="宋体" w:cs="宋体"/>
          <w:sz w:val="24"/>
          <w:szCs w:val="24"/>
          <w:highlight w:val="none"/>
        </w:rPr>
      </w:pPr>
      <w:r>
        <w:rPr>
          <w:rFonts w:ascii="宋体" w:hAnsi="宋体" w:eastAsia="宋体" w:cs="宋体"/>
          <w:spacing w:val="2"/>
          <w:sz w:val="24"/>
          <w:szCs w:val="24"/>
          <w:highlight w:val="none"/>
        </w:rPr>
        <w:t>①当投标文件填报的工程量清单报价书中的分项、分部工程项目名称、内容、计量</w:t>
      </w:r>
      <w:r>
        <w:rPr>
          <w:rFonts w:ascii="宋体" w:hAnsi="宋体" w:eastAsia="宋体" w:cs="宋体"/>
          <w:spacing w:val="-1"/>
          <w:sz w:val="24"/>
          <w:szCs w:val="24"/>
          <w:highlight w:val="none"/>
        </w:rPr>
        <w:t>单位（未依照通用标准或法定标准）或者工程量，与招标人依照通用标准或法定标准提供的工程量清单中的分项、分部工程项目名称、内容、计量单位、工程量不一致，且不</w:t>
      </w:r>
      <w:r>
        <w:rPr>
          <w:rFonts w:ascii="宋体" w:hAnsi="宋体" w:eastAsia="宋体" w:cs="宋体"/>
          <w:spacing w:val="-3"/>
          <w:sz w:val="24"/>
          <w:szCs w:val="24"/>
          <w:highlight w:val="none"/>
        </w:rPr>
        <w:t>能比照细微偏差修正原则进行修正的。</w:t>
      </w:r>
    </w:p>
    <w:p w14:paraId="059994E5">
      <w:pPr>
        <w:spacing w:before="91" w:line="217" w:lineRule="auto"/>
        <w:ind w:left="359"/>
        <w:rPr>
          <w:rFonts w:ascii="宋体" w:hAnsi="宋体" w:eastAsia="宋体" w:cs="宋体"/>
          <w:spacing w:val="-3"/>
          <w:sz w:val="24"/>
          <w:szCs w:val="24"/>
          <w:highlight w:val="none"/>
        </w:rPr>
      </w:pPr>
      <w:r>
        <w:rPr>
          <w:rFonts w:ascii="宋体" w:hAnsi="宋体" w:eastAsia="宋体" w:cs="宋体"/>
          <w:spacing w:val="1"/>
          <w:sz w:val="24"/>
          <w:szCs w:val="24"/>
          <w:highlight w:val="none"/>
        </w:rPr>
        <w:t>②不可竞争费用中安全文明施工费降低费率标准、税金降低费率标准和计费基数、</w:t>
      </w:r>
      <w:r>
        <w:rPr>
          <w:rFonts w:ascii="宋体" w:hAnsi="宋体" w:eastAsia="宋体" w:cs="宋体"/>
          <w:spacing w:val="-3"/>
          <w:sz w:val="24"/>
          <w:szCs w:val="24"/>
          <w:highlight w:val="none"/>
        </w:rPr>
        <w:t>或擅自减少不可竞争费用项目进行竞标的。</w:t>
      </w:r>
    </w:p>
    <w:p w14:paraId="09E62E45">
      <w:pPr>
        <w:spacing w:before="91" w:line="217" w:lineRule="auto"/>
        <w:ind w:left="359"/>
        <w:rPr>
          <w:rFonts w:ascii="宋体" w:hAnsi="宋体" w:eastAsia="宋体" w:cs="宋体"/>
          <w:sz w:val="24"/>
          <w:szCs w:val="24"/>
          <w:highlight w:val="none"/>
        </w:rPr>
      </w:pPr>
      <w:r>
        <w:rPr>
          <w:rFonts w:ascii="宋体" w:hAnsi="宋体" w:eastAsia="宋体" w:cs="宋体"/>
          <w:spacing w:val="-2"/>
          <w:sz w:val="24"/>
          <w:szCs w:val="24"/>
          <w:highlight w:val="none"/>
        </w:rPr>
        <w:t>③投标报价高于或等于控制价（最高限价）的。</w:t>
      </w:r>
    </w:p>
    <w:p w14:paraId="73565C9A">
      <w:pPr>
        <w:spacing w:before="79" w:line="262" w:lineRule="auto"/>
        <w:ind w:right="2" w:firstLine="359"/>
        <w:rPr>
          <w:rFonts w:ascii="宋体" w:hAnsi="宋体" w:eastAsia="宋体" w:cs="宋体"/>
          <w:sz w:val="24"/>
          <w:szCs w:val="24"/>
          <w:highlight w:val="none"/>
        </w:rPr>
      </w:pPr>
      <w:r>
        <w:rPr>
          <w:rFonts w:ascii="宋体" w:hAnsi="宋体" w:eastAsia="宋体" w:cs="宋体"/>
          <w:spacing w:val="-2"/>
          <w:sz w:val="24"/>
          <w:szCs w:val="24"/>
          <w:highlight w:val="none"/>
        </w:rPr>
        <w:t>④因投标人原因造成投标报价及其综合单价遗漏的工程项目、工程内容、工程数量、</w:t>
      </w:r>
      <w:r>
        <w:rPr>
          <w:rFonts w:ascii="宋体" w:hAnsi="宋体" w:eastAsia="宋体" w:cs="宋体"/>
          <w:spacing w:val="-5"/>
          <w:sz w:val="24"/>
          <w:szCs w:val="24"/>
          <w:highlight w:val="none"/>
        </w:rPr>
        <w:t>费用或计算错误等绝对值累计总额（高估冒算、多报费用</w:t>
      </w:r>
      <w:r>
        <w:rPr>
          <w:rFonts w:ascii="宋体" w:hAnsi="宋体" w:eastAsia="宋体" w:cs="宋体"/>
          <w:spacing w:val="-6"/>
          <w:sz w:val="24"/>
          <w:szCs w:val="24"/>
          <w:highlight w:val="none"/>
        </w:rPr>
        <w:t>不得抵消缺漏费用）</w:t>
      </w:r>
      <w:r>
        <w:rPr>
          <w:rFonts w:ascii="宋体" w:hAnsi="宋体" w:eastAsia="宋体" w:cs="宋体"/>
          <w:spacing w:val="60"/>
          <w:sz w:val="24"/>
          <w:szCs w:val="24"/>
          <w:highlight w:val="none"/>
        </w:rPr>
        <w:t xml:space="preserve"> </w:t>
      </w:r>
      <w:r>
        <w:rPr>
          <w:rFonts w:ascii="宋体" w:hAnsi="宋体" w:eastAsia="宋体" w:cs="宋体"/>
          <w:spacing w:val="-6"/>
          <w:sz w:val="24"/>
          <w:szCs w:val="24"/>
          <w:highlight w:val="none"/>
        </w:rPr>
        <w:t>占投标报</w:t>
      </w:r>
      <w:r>
        <w:rPr>
          <w:rFonts w:ascii="宋体" w:hAnsi="宋体" w:eastAsia="宋体" w:cs="宋体"/>
          <w:spacing w:val="-2"/>
          <w:sz w:val="24"/>
          <w:szCs w:val="24"/>
          <w:highlight w:val="none"/>
        </w:rPr>
        <w:t>价</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3%（含）以上的。凡招标文件要求或者工</w:t>
      </w:r>
      <w:r>
        <w:rPr>
          <w:rFonts w:ascii="宋体" w:hAnsi="宋体" w:eastAsia="宋体" w:cs="宋体"/>
          <w:spacing w:val="-3"/>
          <w:sz w:val="24"/>
          <w:szCs w:val="24"/>
          <w:highlight w:val="none"/>
        </w:rPr>
        <w:t>程造价组成应计算的项目、费用而投标人未</w:t>
      </w:r>
      <w:r>
        <w:rPr>
          <w:rFonts w:ascii="宋体" w:hAnsi="宋体" w:eastAsia="宋体" w:cs="宋体"/>
          <w:spacing w:val="-1"/>
          <w:sz w:val="24"/>
          <w:szCs w:val="24"/>
          <w:highlight w:val="none"/>
        </w:rPr>
        <w:t>报，且投标文件未阐明充分理由、提供足够证据证明的，均视为缺</w:t>
      </w:r>
      <w:r>
        <w:rPr>
          <w:rFonts w:ascii="宋体" w:hAnsi="宋体" w:eastAsia="宋体" w:cs="宋体"/>
          <w:spacing w:val="-2"/>
          <w:sz w:val="24"/>
          <w:szCs w:val="24"/>
          <w:highlight w:val="none"/>
        </w:rPr>
        <w:t>漏项目或费用。</w:t>
      </w:r>
    </w:p>
    <w:p w14:paraId="70C9FAA5">
      <w:pPr>
        <w:spacing w:before="74" w:line="248" w:lineRule="auto"/>
        <w:ind w:left="2" w:right="95" w:firstLine="357"/>
        <w:rPr>
          <w:rFonts w:ascii="宋体" w:hAnsi="宋体" w:eastAsia="宋体" w:cs="宋体"/>
          <w:sz w:val="24"/>
          <w:szCs w:val="24"/>
          <w:highlight w:val="none"/>
        </w:rPr>
      </w:pPr>
      <w:r>
        <w:rPr>
          <w:rFonts w:ascii="宋体" w:hAnsi="宋体" w:eastAsia="宋体" w:cs="宋体"/>
          <w:spacing w:val="2"/>
          <w:sz w:val="24"/>
          <w:szCs w:val="24"/>
          <w:highlight w:val="none"/>
        </w:rPr>
        <w:t>⑤投标人拒不按照要求对投标文件进行澄清、说明、补正的，或者评标委员</w:t>
      </w:r>
      <w:r>
        <w:rPr>
          <w:rFonts w:hint="eastAsia" w:ascii="宋体" w:hAnsi="宋体" w:eastAsia="宋体" w:cs="宋体"/>
          <w:spacing w:val="2"/>
          <w:sz w:val="24"/>
          <w:szCs w:val="24"/>
          <w:highlight w:val="none"/>
          <w:lang w:val="en-US" w:eastAsia="zh-CN"/>
        </w:rPr>
        <w:t>会</w:t>
      </w:r>
      <w:r>
        <w:rPr>
          <w:rFonts w:ascii="宋体" w:hAnsi="宋体" w:eastAsia="宋体" w:cs="宋体"/>
          <w:spacing w:val="2"/>
          <w:sz w:val="24"/>
          <w:szCs w:val="24"/>
          <w:highlight w:val="none"/>
        </w:rPr>
        <w:t>根据招</w:t>
      </w:r>
      <w:r>
        <w:rPr>
          <w:rFonts w:ascii="宋体" w:hAnsi="宋体" w:eastAsia="宋体" w:cs="宋体"/>
          <w:spacing w:val="-1"/>
          <w:sz w:val="24"/>
          <w:szCs w:val="24"/>
          <w:highlight w:val="none"/>
        </w:rPr>
        <w:t>标文件的规定对投标文件的计算错误进行修正后，投标人不接受修正后</w:t>
      </w:r>
      <w:r>
        <w:rPr>
          <w:rFonts w:ascii="宋体" w:hAnsi="宋体" w:eastAsia="宋体" w:cs="宋体"/>
          <w:spacing w:val="-2"/>
          <w:sz w:val="24"/>
          <w:szCs w:val="24"/>
          <w:highlight w:val="none"/>
        </w:rPr>
        <w:t>的投标报价的。</w:t>
      </w:r>
    </w:p>
    <w:p w14:paraId="53F2F12C">
      <w:pPr>
        <w:spacing w:before="77" w:line="248" w:lineRule="auto"/>
        <w:ind w:left="1" w:right="85" w:firstLine="358"/>
        <w:rPr>
          <w:rFonts w:ascii="宋体" w:hAnsi="宋体" w:eastAsia="宋体" w:cs="宋体"/>
          <w:sz w:val="24"/>
          <w:szCs w:val="24"/>
          <w:highlight w:val="none"/>
        </w:rPr>
      </w:pPr>
      <w:r>
        <w:rPr>
          <w:rFonts w:ascii="宋体" w:hAnsi="宋体" w:eastAsia="宋体" w:cs="宋体"/>
          <w:spacing w:val="3"/>
          <w:sz w:val="24"/>
          <w:szCs w:val="24"/>
          <w:highlight w:val="none"/>
        </w:rPr>
        <w:t>⑥投标报价中变更招标人提供的暂列金额或专业工程暂估价</w:t>
      </w:r>
      <w:r>
        <w:rPr>
          <w:rFonts w:ascii="宋体" w:hAnsi="宋体" w:eastAsia="宋体" w:cs="宋体"/>
          <w:spacing w:val="2"/>
          <w:sz w:val="24"/>
          <w:szCs w:val="24"/>
          <w:highlight w:val="none"/>
        </w:rPr>
        <w:t>或暂定材料（设备）价</w:t>
      </w:r>
      <w:r>
        <w:rPr>
          <w:rFonts w:ascii="宋体" w:hAnsi="宋体" w:eastAsia="宋体" w:cs="宋体"/>
          <w:spacing w:val="-12"/>
          <w:sz w:val="24"/>
          <w:szCs w:val="24"/>
          <w:highlight w:val="none"/>
        </w:rPr>
        <w:t>格。</w:t>
      </w:r>
    </w:p>
    <w:p w14:paraId="54849F33">
      <w:pPr>
        <w:spacing w:before="75" w:line="248" w:lineRule="auto"/>
        <w:ind w:left="3" w:right="83" w:firstLine="356"/>
        <w:rPr>
          <w:rFonts w:ascii="宋体" w:hAnsi="宋体" w:eastAsia="宋体" w:cs="宋体"/>
          <w:sz w:val="24"/>
          <w:szCs w:val="24"/>
          <w:highlight w:val="none"/>
        </w:rPr>
      </w:pPr>
      <w:r>
        <w:rPr>
          <w:rFonts w:ascii="宋体" w:hAnsi="宋体" w:eastAsia="宋体" w:cs="宋体"/>
          <w:spacing w:val="-4"/>
          <w:sz w:val="24"/>
          <w:szCs w:val="24"/>
          <w:highlight w:val="none"/>
        </w:rPr>
        <w:t>⑦投标人填报的材料、设备的品牌、数量、单位、规格型号、产地、技术参数(标准)</w:t>
      </w:r>
      <w:r>
        <w:rPr>
          <w:rFonts w:ascii="宋体" w:hAnsi="宋体" w:eastAsia="宋体" w:cs="宋体"/>
          <w:spacing w:val="-3"/>
          <w:sz w:val="24"/>
          <w:szCs w:val="24"/>
          <w:highlight w:val="none"/>
        </w:rPr>
        <w:t>等与招标文件要求不一致的。</w:t>
      </w:r>
    </w:p>
    <w:p w14:paraId="19E5ABFA">
      <w:pPr>
        <w:spacing w:before="75" w:line="217" w:lineRule="auto"/>
        <w:ind w:left="359"/>
        <w:rPr>
          <w:rFonts w:ascii="宋体" w:hAnsi="宋体" w:eastAsia="宋体" w:cs="宋体"/>
          <w:sz w:val="24"/>
          <w:szCs w:val="24"/>
          <w:highlight w:val="none"/>
        </w:rPr>
      </w:pPr>
      <w:r>
        <w:rPr>
          <w:rFonts w:ascii="宋体" w:hAnsi="宋体" w:eastAsia="宋体" w:cs="宋体"/>
          <w:spacing w:val="-2"/>
          <w:sz w:val="24"/>
          <w:szCs w:val="24"/>
          <w:highlight w:val="none"/>
        </w:rPr>
        <w:t>⑧技术标文件或投标报价经评审委员会评审不合格的。</w:t>
      </w:r>
    </w:p>
    <w:p w14:paraId="56BBD427">
      <w:pPr>
        <w:spacing w:before="78" w:line="217" w:lineRule="auto"/>
        <w:ind w:left="359"/>
        <w:rPr>
          <w:rFonts w:ascii="宋体" w:hAnsi="宋体" w:eastAsia="宋体" w:cs="宋体"/>
          <w:sz w:val="24"/>
          <w:szCs w:val="24"/>
          <w:highlight w:val="none"/>
        </w:rPr>
      </w:pPr>
      <w:r>
        <w:rPr>
          <w:rFonts w:ascii="宋体" w:hAnsi="宋体" w:eastAsia="宋体" w:cs="宋体"/>
          <w:spacing w:val="-3"/>
          <w:sz w:val="24"/>
          <w:szCs w:val="24"/>
          <w:highlight w:val="none"/>
        </w:rPr>
        <w:t>⑨法律、法规规定的其它情形。</w:t>
      </w:r>
    </w:p>
    <w:p w14:paraId="0CDBA2EF">
      <w:pPr>
        <w:spacing w:before="79" w:line="262" w:lineRule="auto"/>
        <w:ind w:left="3" w:right="85" w:firstLine="482"/>
        <w:rPr>
          <w:rFonts w:ascii="宋体" w:hAnsi="宋体" w:eastAsia="宋体" w:cs="宋体"/>
          <w:sz w:val="24"/>
          <w:szCs w:val="24"/>
          <w:highlight w:val="none"/>
        </w:rPr>
      </w:pPr>
      <w:r>
        <w:rPr>
          <w:rFonts w:ascii="宋体" w:hAnsi="宋体" w:eastAsia="宋体" w:cs="宋体"/>
          <w:spacing w:val="-3"/>
          <w:sz w:val="24"/>
          <w:szCs w:val="24"/>
          <w:highlight w:val="none"/>
        </w:rPr>
        <w:t>30.3</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细微偏差的认定：细微偏差是指投标文件在实质上响应招标文件要求，但在个</w:t>
      </w:r>
      <w:r>
        <w:rPr>
          <w:rFonts w:ascii="宋体" w:hAnsi="宋体" w:eastAsia="宋体" w:cs="宋体"/>
          <w:spacing w:val="-1"/>
          <w:sz w:val="24"/>
          <w:szCs w:val="24"/>
          <w:highlight w:val="none"/>
        </w:rPr>
        <w:t>别地方存在漏项或者提供了不完整的技术信息和数据等情况，并且补正这些遗漏或者不完整不会对其他投标人造成不公平的结果。细微偏差不影响投标文件的有效性。评标委员会对界定为细微偏差的应做相应调整，投标</w:t>
      </w:r>
      <w:r>
        <w:rPr>
          <w:rFonts w:ascii="宋体" w:hAnsi="宋体" w:eastAsia="宋体" w:cs="宋体"/>
          <w:spacing w:val="-2"/>
          <w:sz w:val="24"/>
          <w:szCs w:val="24"/>
          <w:highlight w:val="none"/>
        </w:rPr>
        <w:t>人应现场书面接受调整内容。</w:t>
      </w:r>
    </w:p>
    <w:p w14:paraId="480A9648">
      <w:pPr>
        <w:spacing w:before="74" w:line="263" w:lineRule="auto"/>
        <w:ind w:right="83" w:firstLine="486"/>
        <w:rPr>
          <w:rFonts w:ascii="宋体" w:hAnsi="宋体" w:eastAsia="宋体" w:cs="宋体"/>
          <w:sz w:val="24"/>
          <w:szCs w:val="24"/>
          <w:highlight w:val="none"/>
        </w:rPr>
      </w:pPr>
      <w:r>
        <w:rPr>
          <w:rFonts w:ascii="宋体" w:hAnsi="宋体" w:eastAsia="宋体" w:cs="宋体"/>
          <w:spacing w:val="-2"/>
          <w:sz w:val="24"/>
          <w:szCs w:val="24"/>
          <w:highlight w:val="none"/>
        </w:rPr>
        <w:t>30.4</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投标文件的澄清：投标文件需澄清</w:t>
      </w:r>
      <w:r>
        <w:rPr>
          <w:rFonts w:ascii="宋体" w:hAnsi="宋体" w:eastAsia="宋体" w:cs="宋体"/>
          <w:spacing w:val="-3"/>
          <w:sz w:val="24"/>
          <w:szCs w:val="24"/>
          <w:highlight w:val="none"/>
        </w:rPr>
        <w:t>、说明或者补正的(包括补正投标报价)以及</w:t>
      </w:r>
      <w:r>
        <w:rPr>
          <w:rFonts w:ascii="宋体" w:hAnsi="宋体" w:eastAsia="宋体" w:cs="宋体"/>
          <w:spacing w:val="-1"/>
          <w:sz w:val="24"/>
          <w:szCs w:val="24"/>
          <w:highlight w:val="none"/>
        </w:rPr>
        <w:t>投标文件存在细微偏差需要补正的，评标委员会应当以书面形式进行询标，要求投标人</w:t>
      </w:r>
      <w:r>
        <w:rPr>
          <w:rFonts w:ascii="宋体" w:hAnsi="宋体" w:eastAsia="宋体" w:cs="宋体"/>
          <w:spacing w:val="-10"/>
          <w:sz w:val="24"/>
          <w:szCs w:val="24"/>
          <w:highlight w:val="none"/>
        </w:rPr>
        <w:t>进行书面澄清、说明、补正或确认，</w:t>
      </w:r>
      <w:r>
        <w:rPr>
          <w:rFonts w:ascii="宋体" w:hAnsi="宋体" w:eastAsia="宋体" w:cs="宋体"/>
          <w:spacing w:val="62"/>
          <w:sz w:val="24"/>
          <w:szCs w:val="24"/>
          <w:highlight w:val="none"/>
        </w:rPr>
        <w:t xml:space="preserve"> </w:t>
      </w:r>
      <w:r>
        <w:rPr>
          <w:rFonts w:ascii="宋体" w:hAnsi="宋体" w:eastAsia="宋体" w:cs="宋体"/>
          <w:spacing w:val="-10"/>
          <w:sz w:val="24"/>
          <w:szCs w:val="24"/>
          <w:highlight w:val="none"/>
        </w:rPr>
        <w:t>细微偏差的修正将由评委进行评审、</w:t>
      </w:r>
      <w:r>
        <w:rPr>
          <w:rFonts w:ascii="宋体" w:hAnsi="宋体" w:eastAsia="宋体" w:cs="宋体"/>
          <w:spacing w:val="-11"/>
          <w:sz w:val="24"/>
          <w:szCs w:val="24"/>
          <w:highlight w:val="none"/>
        </w:rPr>
        <w:t>解释，</w:t>
      </w:r>
      <w:r>
        <w:rPr>
          <w:rFonts w:ascii="宋体" w:hAnsi="宋体" w:eastAsia="宋体" w:cs="宋体"/>
          <w:spacing w:val="63"/>
          <w:sz w:val="24"/>
          <w:szCs w:val="24"/>
          <w:highlight w:val="none"/>
        </w:rPr>
        <w:t xml:space="preserve"> </w:t>
      </w:r>
      <w:r>
        <w:rPr>
          <w:rFonts w:ascii="宋体" w:hAnsi="宋体" w:eastAsia="宋体" w:cs="宋体"/>
          <w:spacing w:val="-11"/>
          <w:sz w:val="24"/>
          <w:szCs w:val="24"/>
          <w:highlight w:val="none"/>
        </w:rPr>
        <w:t>投标人</w:t>
      </w:r>
      <w:r>
        <w:rPr>
          <w:rFonts w:ascii="宋体" w:hAnsi="宋体" w:eastAsia="宋体" w:cs="宋体"/>
          <w:spacing w:val="-3"/>
          <w:sz w:val="24"/>
          <w:szCs w:val="24"/>
          <w:highlight w:val="none"/>
        </w:rPr>
        <w:t>的法定代表人或其委托代理人应签字认可。</w:t>
      </w:r>
    </w:p>
    <w:p w14:paraId="443D5208">
      <w:pPr>
        <w:spacing w:before="74" w:line="258" w:lineRule="auto"/>
        <w:ind w:left="1" w:right="85" w:firstLine="484"/>
        <w:rPr>
          <w:rFonts w:ascii="宋体" w:hAnsi="宋体" w:eastAsia="宋体" w:cs="宋体"/>
          <w:sz w:val="24"/>
          <w:szCs w:val="24"/>
          <w:highlight w:val="none"/>
        </w:rPr>
      </w:pPr>
      <w:r>
        <w:rPr>
          <w:rFonts w:ascii="宋体" w:hAnsi="宋体" w:eastAsia="宋体" w:cs="宋体"/>
          <w:spacing w:val="-3"/>
          <w:sz w:val="24"/>
          <w:szCs w:val="24"/>
          <w:highlight w:val="none"/>
        </w:rPr>
        <w:t>30.5</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如果投标文件实质上不响应招标文件的各项要求，评标委员会将予以拒绝，并</w:t>
      </w:r>
      <w:r>
        <w:rPr>
          <w:rFonts w:ascii="宋体" w:hAnsi="宋体" w:eastAsia="宋体" w:cs="宋体"/>
          <w:spacing w:val="-1"/>
          <w:sz w:val="24"/>
          <w:szCs w:val="24"/>
          <w:highlight w:val="none"/>
        </w:rPr>
        <w:t>且不允许投标人通过修改或撤销其不符合要求的差异或保留，使之成为具有响应性的投</w:t>
      </w:r>
      <w:r>
        <w:rPr>
          <w:rFonts w:ascii="宋体" w:hAnsi="宋体" w:eastAsia="宋体" w:cs="宋体"/>
          <w:spacing w:val="-12"/>
          <w:sz w:val="24"/>
          <w:szCs w:val="24"/>
          <w:highlight w:val="none"/>
        </w:rPr>
        <w:t>标。</w:t>
      </w:r>
    </w:p>
    <w:p w14:paraId="4E7F0BE5">
      <w:pPr>
        <w:spacing w:before="74" w:line="219" w:lineRule="auto"/>
        <w:jc w:val="right"/>
        <w:rPr>
          <w:rFonts w:ascii="宋体" w:hAnsi="宋体" w:eastAsia="宋体" w:cs="宋体"/>
          <w:sz w:val="24"/>
          <w:szCs w:val="24"/>
          <w:highlight w:val="none"/>
        </w:rPr>
      </w:pPr>
      <w:r>
        <w:rPr>
          <w:rFonts w:ascii="宋体" w:hAnsi="宋体" w:eastAsia="宋体" w:cs="宋体"/>
          <w:spacing w:val="-6"/>
          <w:sz w:val="24"/>
          <w:szCs w:val="24"/>
          <w:highlight w:val="none"/>
        </w:rPr>
        <w:t>30.6</w:t>
      </w:r>
      <w:r>
        <w:rPr>
          <w:rFonts w:ascii="宋体" w:hAnsi="宋体" w:eastAsia="宋体" w:cs="宋体"/>
          <w:spacing w:val="-48"/>
          <w:sz w:val="24"/>
          <w:szCs w:val="24"/>
          <w:highlight w:val="none"/>
        </w:rPr>
        <w:t xml:space="preserve"> </w:t>
      </w:r>
      <w:r>
        <w:rPr>
          <w:rFonts w:ascii="宋体" w:hAnsi="宋体" w:eastAsia="宋体" w:cs="宋体"/>
          <w:spacing w:val="-6"/>
          <w:sz w:val="24"/>
          <w:szCs w:val="24"/>
          <w:highlight w:val="none"/>
        </w:rPr>
        <w:t>经审查符合招标文件要求的有效投</w:t>
      </w:r>
      <w:r>
        <w:rPr>
          <w:rFonts w:ascii="宋体" w:hAnsi="宋体" w:eastAsia="宋体" w:cs="宋体"/>
          <w:spacing w:val="-7"/>
          <w:sz w:val="24"/>
          <w:szCs w:val="24"/>
          <w:highlight w:val="none"/>
        </w:rPr>
        <w:t>标文件，由评标委员会进行详细评审、比较。</w:t>
      </w:r>
    </w:p>
    <w:p w14:paraId="42EBB4DF">
      <w:pPr>
        <w:spacing w:before="75" w:line="220" w:lineRule="auto"/>
        <w:ind w:left="6"/>
        <w:rPr>
          <w:rFonts w:ascii="宋体" w:hAnsi="宋体" w:eastAsia="宋体" w:cs="宋体"/>
          <w:sz w:val="24"/>
          <w:szCs w:val="24"/>
          <w:highlight w:val="none"/>
        </w:rPr>
      </w:pPr>
      <w:r>
        <w:rPr>
          <w:rFonts w:ascii="宋体" w:hAnsi="宋体" w:eastAsia="宋体" w:cs="宋体"/>
          <w:spacing w:val="-1"/>
          <w:sz w:val="24"/>
          <w:szCs w:val="24"/>
          <w:highlight w:val="none"/>
        </w:rPr>
        <w:t>31、投标文件计算错误的修正</w:t>
      </w:r>
    </w:p>
    <w:p w14:paraId="2BFCAE8D">
      <w:pPr>
        <w:spacing w:before="74" w:line="277" w:lineRule="auto"/>
        <w:ind w:left="9" w:right="85" w:firstLine="477"/>
        <w:rPr>
          <w:rFonts w:ascii="宋体" w:hAnsi="宋体" w:eastAsia="宋体" w:cs="宋体"/>
          <w:sz w:val="24"/>
          <w:szCs w:val="24"/>
          <w:highlight w:val="none"/>
        </w:rPr>
      </w:pPr>
      <w:r>
        <w:rPr>
          <w:rFonts w:ascii="宋体" w:hAnsi="宋体" w:eastAsia="宋体" w:cs="宋体"/>
          <w:spacing w:val="-3"/>
          <w:sz w:val="24"/>
          <w:szCs w:val="24"/>
          <w:highlight w:val="none"/>
        </w:rPr>
        <w:t>31.1</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评标委员会将对确定为实质上响应招标文件要求的投标文件进行校核，看其是否有计算或表达上的细微偏差，细微偏差的修正原则如下：</w:t>
      </w:r>
    </w:p>
    <w:p w14:paraId="2C973389">
      <w:pPr>
        <w:spacing w:before="1" w:line="248" w:lineRule="auto"/>
        <w:ind w:left="2" w:right="85" w:firstLine="483"/>
        <w:rPr>
          <w:rFonts w:ascii="宋体" w:hAnsi="宋体" w:eastAsia="宋体" w:cs="宋体"/>
          <w:sz w:val="24"/>
          <w:szCs w:val="24"/>
          <w:highlight w:val="none"/>
        </w:rPr>
      </w:pPr>
      <w:r>
        <w:rPr>
          <w:rFonts w:ascii="宋体" w:hAnsi="宋体" w:eastAsia="宋体" w:cs="宋体"/>
          <w:spacing w:val="-3"/>
          <w:sz w:val="24"/>
          <w:szCs w:val="24"/>
          <w:highlight w:val="none"/>
        </w:rPr>
        <w:t>31.1.1</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投标文件中填报的投标报价、投标工期、工程质量标准前后不一致时，以投</w:t>
      </w:r>
      <w:r>
        <w:rPr>
          <w:rFonts w:ascii="宋体" w:hAnsi="宋体" w:eastAsia="宋体" w:cs="宋体"/>
          <w:spacing w:val="-5"/>
          <w:sz w:val="24"/>
          <w:szCs w:val="24"/>
          <w:highlight w:val="none"/>
        </w:rPr>
        <w:t>标函填报的为准。</w:t>
      </w:r>
    </w:p>
    <w:p w14:paraId="5899B32C">
      <w:pPr>
        <w:spacing w:before="74" w:line="258" w:lineRule="auto"/>
        <w:ind w:right="87" w:firstLine="485"/>
        <w:rPr>
          <w:rFonts w:ascii="宋体" w:hAnsi="宋体" w:eastAsia="宋体" w:cs="宋体"/>
          <w:sz w:val="24"/>
          <w:szCs w:val="24"/>
          <w:highlight w:val="none"/>
        </w:rPr>
      </w:pPr>
      <w:r>
        <w:rPr>
          <w:rFonts w:ascii="宋体" w:hAnsi="宋体" w:eastAsia="宋体" w:cs="宋体"/>
          <w:spacing w:val="-3"/>
          <w:sz w:val="24"/>
          <w:szCs w:val="24"/>
          <w:highlight w:val="none"/>
        </w:rPr>
        <w:t>31.1.2</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投标文件中填写的工程名称、工程结构、建筑面积、层数有误时，以招标工</w:t>
      </w:r>
      <w:r>
        <w:rPr>
          <w:rFonts w:ascii="宋体" w:hAnsi="宋体" w:eastAsia="宋体" w:cs="宋体"/>
          <w:spacing w:val="-1"/>
          <w:sz w:val="24"/>
          <w:szCs w:val="24"/>
          <w:highlight w:val="none"/>
        </w:rPr>
        <w:t>程的实际内容为准，招标人的招标范围以招标公告和设计图纸内容为准，超过招标范围</w:t>
      </w:r>
      <w:r>
        <w:rPr>
          <w:rFonts w:ascii="宋体" w:hAnsi="宋体" w:eastAsia="宋体" w:cs="宋体"/>
          <w:spacing w:val="-5"/>
          <w:sz w:val="24"/>
          <w:szCs w:val="24"/>
          <w:highlight w:val="none"/>
        </w:rPr>
        <w:t>的部分招标无效。</w:t>
      </w:r>
    </w:p>
    <w:p w14:paraId="1070316B">
      <w:pPr>
        <w:spacing w:before="75" w:line="277" w:lineRule="auto"/>
        <w:ind w:left="2" w:right="87" w:firstLine="483"/>
        <w:jc w:val="both"/>
        <w:rPr>
          <w:rFonts w:ascii="宋体" w:hAnsi="宋体" w:eastAsia="宋体" w:cs="宋体"/>
          <w:sz w:val="24"/>
          <w:szCs w:val="24"/>
          <w:highlight w:val="none"/>
        </w:rPr>
      </w:pPr>
      <w:r>
        <w:rPr>
          <w:rFonts w:ascii="宋体" w:hAnsi="宋体" w:eastAsia="宋体" w:cs="宋体"/>
          <w:spacing w:val="2"/>
          <w:sz w:val="24"/>
          <w:szCs w:val="24"/>
          <w:highlight w:val="none"/>
        </w:rPr>
        <w:t>31.2 按上述修正错误的原则及方法调整或修正投标文件的投标报价，投标人同意</w:t>
      </w:r>
      <w:r>
        <w:rPr>
          <w:rFonts w:ascii="宋体" w:hAnsi="宋体" w:eastAsia="宋体" w:cs="宋体"/>
          <w:spacing w:val="-5"/>
          <w:sz w:val="24"/>
          <w:szCs w:val="24"/>
          <w:highlight w:val="none"/>
        </w:rPr>
        <w:t>后，调整后的投标报价对投标人起约束作用</w:t>
      </w:r>
      <w:r>
        <w:rPr>
          <w:rFonts w:ascii="宋体" w:hAnsi="宋体" w:eastAsia="宋体" w:cs="宋体"/>
          <w:spacing w:val="-6"/>
          <w:sz w:val="24"/>
          <w:szCs w:val="24"/>
          <w:highlight w:val="none"/>
        </w:rPr>
        <w:t>。如果投标人不接受修正后的报价，则其投</w:t>
      </w:r>
      <w:r>
        <w:rPr>
          <w:rFonts w:ascii="宋体" w:hAnsi="宋体" w:eastAsia="宋体" w:cs="宋体"/>
          <w:spacing w:val="-3"/>
          <w:sz w:val="24"/>
          <w:szCs w:val="24"/>
          <w:highlight w:val="none"/>
        </w:rPr>
        <w:t>标将被拒绝，并不影响评标工作。</w:t>
      </w:r>
    </w:p>
    <w:p w14:paraId="08D2407F">
      <w:pPr>
        <w:spacing w:before="90" w:line="218" w:lineRule="auto"/>
        <w:ind w:left="2"/>
        <w:rPr>
          <w:rFonts w:ascii="宋体" w:hAnsi="宋体" w:eastAsia="宋体" w:cs="宋体"/>
          <w:sz w:val="24"/>
          <w:szCs w:val="24"/>
          <w:highlight w:val="none"/>
        </w:rPr>
      </w:pPr>
      <w:r>
        <w:rPr>
          <w:rFonts w:ascii="宋体" w:hAnsi="宋体" w:eastAsia="宋体" w:cs="宋体"/>
          <w:spacing w:val="-2"/>
          <w:sz w:val="24"/>
          <w:szCs w:val="24"/>
          <w:highlight w:val="none"/>
        </w:rPr>
        <w:t>32、按照第</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30.4</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条款、第</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31</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条款规定进行澄清、补正后的投标报价经投标人的法定代</w:t>
      </w:r>
      <w:r>
        <w:rPr>
          <w:rFonts w:ascii="宋体" w:hAnsi="宋体" w:eastAsia="宋体" w:cs="宋体"/>
          <w:spacing w:val="-1"/>
          <w:sz w:val="24"/>
          <w:szCs w:val="24"/>
          <w:highlight w:val="none"/>
        </w:rPr>
        <w:t>表人或其委托代理人确认后即为该投标人的最终投标报价。投标人一旦中标，此报价即</w:t>
      </w:r>
      <w:r>
        <w:rPr>
          <w:rFonts w:ascii="宋体" w:hAnsi="宋体" w:eastAsia="宋体" w:cs="宋体"/>
          <w:spacing w:val="-8"/>
          <w:sz w:val="24"/>
          <w:szCs w:val="24"/>
          <w:highlight w:val="none"/>
        </w:rPr>
        <w:t>为中标价。</w:t>
      </w:r>
    </w:p>
    <w:p w14:paraId="7FA8A9E7">
      <w:pPr>
        <w:spacing w:before="76" w:line="220" w:lineRule="auto"/>
        <w:ind w:left="4"/>
        <w:rPr>
          <w:rFonts w:ascii="宋体" w:hAnsi="宋体" w:eastAsia="宋体" w:cs="宋体"/>
          <w:sz w:val="24"/>
          <w:szCs w:val="24"/>
          <w:highlight w:val="none"/>
        </w:rPr>
      </w:pPr>
      <w:r>
        <w:rPr>
          <w:rFonts w:ascii="宋体" w:hAnsi="宋体" w:eastAsia="宋体" w:cs="宋体"/>
          <w:spacing w:val="-2"/>
          <w:sz w:val="24"/>
          <w:szCs w:val="24"/>
          <w:highlight w:val="none"/>
        </w:rPr>
        <w:t>33、投标文件的评审、比较和否决</w:t>
      </w:r>
    </w:p>
    <w:p w14:paraId="5702EFEA">
      <w:pPr>
        <w:spacing w:before="73" w:line="248" w:lineRule="auto"/>
        <w:ind w:right="28" w:firstLine="483"/>
        <w:rPr>
          <w:rFonts w:ascii="宋体" w:hAnsi="宋体" w:eastAsia="宋体" w:cs="宋体"/>
          <w:sz w:val="24"/>
          <w:szCs w:val="24"/>
          <w:highlight w:val="none"/>
        </w:rPr>
      </w:pPr>
      <w:r>
        <w:rPr>
          <w:rFonts w:ascii="宋体" w:hAnsi="宋体" w:eastAsia="宋体" w:cs="宋体"/>
          <w:spacing w:val="-2"/>
          <w:sz w:val="24"/>
          <w:szCs w:val="24"/>
          <w:highlight w:val="none"/>
        </w:rPr>
        <w:t>33.1</w:t>
      </w:r>
      <w:r>
        <w:rPr>
          <w:rFonts w:ascii="宋体" w:hAnsi="宋体" w:eastAsia="宋体" w:cs="宋体"/>
          <w:spacing w:val="-21"/>
          <w:sz w:val="24"/>
          <w:szCs w:val="24"/>
          <w:highlight w:val="none"/>
        </w:rPr>
        <w:t xml:space="preserve"> </w:t>
      </w:r>
      <w:r>
        <w:rPr>
          <w:rFonts w:ascii="宋体" w:hAnsi="宋体" w:eastAsia="宋体" w:cs="宋体"/>
          <w:spacing w:val="-2"/>
          <w:sz w:val="24"/>
          <w:szCs w:val="24"/>
          <w:highlight w:val="none"/>
        </w:rPr>
        <w:t>评标委员会将按照本须知第</w:t>
      </w:r>
      <w:r>
        <w:rPr>
          <w:rFonts w:ascii="宋体" w:hAnsi="宋体" w:eastAsia="宋体" w:cs="宋体"/>
          <w:spacing w:val="-28"/>
          <w:sz w:val="24"/>
          <w:szCs w:val="24"/>
          <w:highlight w:val="none"/>
        </w:rPr>
        <w:t xml:space="preserve"> </w:t>
      </w:r>
      <w:r>
        <w:rPr>
          <w:rFonts w:ascii="宋体" w:hAnsi="宋体" w:eastAsia="宋体" w:cs="宋体"/>
          <w:spacing w:val="-2"/>
          <w:sz w:val="24"/>
          <w:szCs w:val="24"/>
          <w:highlight w:val="none"/>
        </w:rPr>
        <w:t>30</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条规定，仅对在实质上响应招标文件要求的投</w:t>
      </w:r>
      <w:r>
        <w:rPr>
          <w:rFonts w:ascii="宋体" w:hAnsi="宋体" w:eastAsia="宋体" w:cs="宋体"/>
          <w:spacing w:val="-4"/>
          <w:sz w:val="24"/>
          <w:szCs w:val="24"/>
          <w:highlight w:val="none"/>
        </w:rPr>
        <w:t>标文件进行评估和比较。</w:t>
      </w:r>
    </w:p>
    <w:p w14:paraId="66E0BCE5">
      <w:pPr>
        <w:spacing w:before="76" w:line="248" w:lineRule="auto"/>
        <w:ind w:left="19" w:right="17" w:firstLine="465"/>
        <w:rPr>
          <w:rFonts w:ascii="宋体" w:hAnsi="宋体" w:eastAsia="宋体" w:cs="宋体"/>
          <w:sz w:val="24"/>
          <w:szCs w:val="24"/>
          <w:highlight w:val="none"/>
        </w:rPr>
      </w:pPr>
      <w:r>
        <w:rPr>
          <w:rFonts w:ascii="宋体" w:hAnsi="宋体" w:eastAsia="宋体" w:cs="宋体"/>
          <w:spacing w:val="-1"/>
          <w:sz w:val="24"/>
          <w:szCs w:val="24"/>
          <w:highlight w:val="none"/>
        </w:rPr>
        <w:t>33.2 在评审过程中,评标委员会可以书面形式要求投标人就投标文件中含义不明确</w:t>
      </w:r>
      <w:r>
        <w:rPr>
          <w:rFonts w:ascii="宋体" w:hAnsi="宋体" w:eastAsia="宋体" w:cs="宋体"/>
          <w:spacing w:val="-6"/>
          <w:sz w:val="24"/>
          <w:szCs w:val="24"/>
          <w:highlight w:val="none"/>
        </w:rPr>
        <w:t>的内容进行书面说明。</w:t>
      </w:r>
    </w:p>
    <w:p w14:paraId="363A1F94">
      <w:pPr>
        <w:spacing w:before="77" w:line="262" w:lineRule="auto"/>
        <w:ind w:right="17" w:firstLine="483"/>
        <w:rPr>
          <w:rFonts w:ascii="宋体" w:hAnsi="宋体" w:eastAsia="宋体" w:cs="宋体"/>
          <w:sz w:val="24"/>
          <w:szCs w:val="24"/>
          <w:highlight w:val="none"/>
        </w:rPr>
      </w:pPr>
      <w:r>
        <w:rPr>
          <w:rFonts w:ascii="宋体" w:hAnsi="宋体" w:eastAsia="宋体" w:cs="宋体"/>
          <w:spacing w:val="-2"/>
          <w:sz w:val="24"/>
          <w:szCs w:val="24"/>
          <w:highlight w:val="none"/>
        </w:rPr>
        <w:t>33.3</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评标委员会依据招标文件规定的评</w:t>
      </w:r>
      <w:r>
        <w:rPr>
          <w:rFonts w:ascii="宋体" w:hAnsi="宋体" w:eastAsia="宋体" w:cs="宋体"/>
          <w:spacing w:val="-3"/>
          <w:sz w:val="24"/>
          <w:szCs w:val="24"/>
          <w:highlight w:val="none"/>
        </w:rPr>
        <w:t>标标准和方法，对合格投标文件分别进行评</w:t>
      </w:r>
      <w:r>
        <w:rPr>
          <w:rFonts w:ascii="宋体" w:hAnsi="宋体" w:eastAsia="宋体" w:cs="宋体"/>
          <w:spacing w:val="-1"/>
          <w:sz w:val="24"/>
          <w:szCs w:val="24"/>
          <w:highlight w:val="none"/>
        </w:rPr>
        <w:t>审和比较，通过评审的综合评分得分最高的投标人为第一名，即第一中标候选人；综合得分次低、第三低的投标人依次作为第二中标候选人和第三中标候选人。如出现两家或</w:t>
      </w:r>
      <w:r>
        <w:rPr>
          <w:rFonts w:ascii="宋体" w:hAnsi="宋体" w:eastAsia="宋体" w:cs="宋体"/>
          <w:spacing w:val="-2"/>
          <w:sz w:val="24"/>
          <w:szCs w:val="24"/>
          <w:highlight w:val="none"/>
        </w:rPr>
        <w:t>两家以上投标人得分相同时，由评标委员会确定中标候选人排序。</w:t>
      </w:r>
    </w:p>
    <w:p w14:paraId="37A7AD79">
      <w:pPr>
        <w:spacing w:before="76" w:line="258" w:lineRule="auto"/>
        <w:ind w:right="18" w:firstLine="483"/>
        <w:rPr>
          <w:rFonts w:ascii="宋体" w:hAnsi="宋体" w:eastAsia="宋体" w:cs="宋体"/>
          <w:sz w:val="24"/>
          <w:szCs w:val="24"/>
          <w:highlight w:val="none"/>
        </w:rPr>
      </w:pPr>
      <w:r>
        <w:rPr>
          <w:rFonts w:ascii="宋体" w:hAnsi="宋体" w:eastAsia="宋体" w:cs="宋体"/>
          <w:spacing w:val="-3"/>
          <w:sz w:val="24"/>
          <w:szCs w:val="24"/>
          <w:highlight w:val="none"/>
        </w:rPr>
        <w:t>33.4</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招标人根据评标委员会提交的书面评标报告推荐的中标候选人，依据法律法规</w:t>
      </w:r>
      <w:r>
        <w:rPr>
          <w:rFonts w:ascii="宋体" w:hAnsi="宋体" w:eastAsia="宋体" w:cs="宋体"/>
          <w:spacing w:val="-1"/>
          <w:sz w:val="24"/>
          <w:szCs w:val="24"/>
          <w:highlight w:val="none"/>
        </w:rPr>
        <w:t>规章等规定确定中标人。招标人也可以授权评标委员会依据法律法规规章等规定直接确</w:t>
      </w:r>
      <w:r>
        <w:rPr>
          <w:rFonts w:ascii="宋体" w:hAnsi="宋体" w:eastAsia="宋体" w:cs="宋体"/>
          <w:spacing w:val="-8"/>
          <w:sz w:val="24"/>
          <w:szCs w:val="24"/>
          <w:highlight w:val="none"/>
        </w:rPr>
        <w:t>定中标人。</w:t>
      </w:r>
    </w:p>
    <w:p w14:paraId="52FC710A">
      <w:pPr>
        <w:spacing w:before="73" w:line="248" w:lineRule="auto"/>
        <w:ind w:left="1" w:right="18" w:firstLine="482"/>
        <w:rPr>
          <w:rFonts w:ascii="宋体" w:hAnsi="宋体" w:eastAsia="宋体" w:cs="宋体"/>
          <w:sz w:val="24"/>
          <w:szCs w:val="24"/>
          <w:highlight w:val="none"/>
        </w:rPr>
      </w:pPr>
      <w:r>
        <w:rPr>
          <w:rFonts w:ascii="宋体" w:hAnsi="宋体" w:eastAsia="宋体" w:cs="宋体"/>
          <w:spacing w:val="-3"/>
          <w:sz w:val="24"/>
          <w:szCs w:val="24"/>
          <w:highlight w:val="none"/>
        </w:rPr>
        <w:t>33.5</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评标委员会经评审，认为所有投标都不符合招标文件要求的，应列出具体理由</w:t>
      </w:r>
      <w:r>
        <w:rPr>
          <w:rFonts w:ascii="宋体" w:hAnsi="宋体" w:eastAsia="宋体" w:cs="宋体"/>
          <w:spacing w:val="-2"/>
          <w:sz w:val="24"/>
          <w:szCs w:val="24"/>
          <w:highlight w:val="none"/>
        </w:rPr>
        <w:t>依法否决所有投标。所有投标被否决后，招标人应当依法重新招标。</w:t>
      </w:r>
    </w:p>
    <w:p w14:paraId="69B52B96">
      <w:pPr>
        <w:spacing w:before="75" w:line="220" w:lineRule="auto"/>
        <w:ind w:left="4"/>
        <w:rPr>
          <w:rFonts w:ascii="宋体" w:hAnsi="宋体" w:eastAsia="宋体" w:cs="宋体"/>
          <w:sz w:val="24"/>
          <w:szCs w:val="24"/>
          <w:highlight w:val="none"/>
        </w:rPr>
      </w:pPr>
      <w:r>
        <w:rPr>
          <w:rFonts w:ascii="宋体" w:hAnsi="宋体" w:eastAsia="宋体" w:cs="宋体"/>
          <w:spacing w:val="-3"/>
          <w:sz w:val="24"/>
          <w:szCs w:val="24"/>
          <w:highlight w:val="none"/>
        </w:rPr>
        <w:t>34、评标办法和程序</w:t>
      </w:r>
    </w:p>
    <w:p w14:paraId="416E6664">
      <w:pPr>
        <w:spacing w:before="74" w:line="248" w:lineRule="auto"/>
        <w:ind w:firstLine="483"/>
        <w:rPr>
          <w:rFonts w:ascii="宋体" w:hAnsi="宋体" w:eastAsia="宋体" w:cs="宋体"/>
          <w:sz w:val="24"/>
          <w:szCs w:val="24"/>
          <w:highlight w:val="none"/>
        </w:rPr>
      </w:pPr>
      <w:r>
        <w:rPr>
          <w:rFonts w:ascii="宋体" w:hAnsi="宋体" w:eastAsia="宋体" w:cs="宋体"/>
          <w:spacing w:val="-2"/>
          <w:sz w:val="24"/>
          <w:szCs w:val="24"/>
          <w:highlight w:val="none"/>
        </w:rPr>
        <w:t>34.1</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评标和定标工作不约请投标人参加，投标人对评标工作所提出的问题和意</w:t>
      </w:r>
      <w:r>
        <w:rPr>
          <w:rFonts w:ascii="宋体" w:hAnsi="宋体" w:eastAsia="宋体" w:cs="宋体"/>
          <w:spacing w:val="-3"/>
          <w:sz w:val="24"/>
          <w:szCs w:val="24"/>
          <w:highlight w:val="none"/>
        </w:rPr>
        <w:t>见，</w:t>
      </w:r>
      <w:r>
        <w:rPr>
          <w:rFonts w:ascii="宋体" w:hAnsi="宋体" w:eastAsia="宋体" w:cs="宋体"/>
          <w:spacing w:val="-4"/>
          <w:sz w:val="24"/>
          <w:szCs w:val="24"/>
          <w:highlight w:val="none"/>
        </w:rPr>
        <w:t>招标代理机构不作答复。</w:t>
      </w:r>
    </w:p>
    <w:p w14:paraId="6677BD8C">
      <w:pPr>
        <w:spacing w:before="76" w:line="218"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34.2</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评标办法：本项目采用（经评审的）综</w:t>
      </w:r>
      <w:r>
        <w:rPr>
          <w:rFonts w:ascii="宋体" w:hAnsi="宋体" w:eastAsia="宋体" w:cs="宋体"/>
          <w:spacing w:val="-3"/>
          <w:sz w:val="24"/>
          <w:szCs w:val="24"/>
          <w:highlight w:val="none"/>
        </w:rPr>
        <w:t>合评价法。</w:t>
      </w:r>
    </w:p>
    <w:p w14:paraId="2E3A60FC">
      <w:pPr>
        <w:spacing w:before="77" w:line="220" w:lineRule="auto"/>
        <w:ind w:left="478"/>
        <w:rPr>
          <w:rFonts w:ascii="宋体" w:hAnsi="宋体" w:eastAsia="宋体" w:cs="宋体"/>
          <w:sz w:val="24"/>
          <w:szCs w:val="24"/>
          <w:highlight w:val="none"/>
        </w:rPr>
      </w:pPr>
      <w:r>
        <w:rPr>
          <w:rFonts w:ascii="宋体" w:hAnsi="宋体" w:eastAsia="宋体" w:cs="宋体"/>
          <w:spacing w:val="-11"/>
          <w:sz w:val="24"/>
          <w:szCs w:val="24"/>
          <w:highlight w:val="none"/>
        </w:rPr>
        <w:t>评标程序：</w:t>
      </w:r>
    </w:p>
    <w:p w14:paraId="151494C9">
      <w:pPr>
        <w:spacing w:before="72" w:line="263" w:lineRule="auto"/>
        <w:ind w:right="18" w:firstLine="486"/>
        <w:rPr>
          <w:rFonts w:ascii="宋体" w:hAnsi="宋体" w:eastAsia="宋体" w:cs="宋体"/>
          <w:sz w:val="24"/>
          <w:szCs w:val="24"/>
          <w:highlight w:val="none"/>
        </w:rPr>
      </w:pPr>
      <w:r>
        <w:rPr>
          <w:rFonts w:ascii="宋体" w:hAnsi="宋体" w:eastAsia="宋体" w:cs="宋体"/>
          <w:spacing w:val="2"/>
          <w:sz w:val="24"/>
          <w:szCs w:val="24"/>
          <w:highlight w:val="none"/>
        </w:rPr>
        <w:t>（1）采用资格预审招标的，先评技术标一、再评技术标二、最后开评商务标。技</w:t>
      </w:r>
      <w:r>
        <w:rPr>
          <w:rFonts w:ascii="宋体" w:hAnsi="宋体" w:eastAsia="宋体" w:cs="宋体"/>
          <w:spacing w:val="-1"/>
          <w:sz w:val="24"/>
          <w:szCs w:val="24"/>
          <w:highlight w:val="none"/>
        </w:rPr>
        <w:t>术标或商务标评审未通过的，则不予评分；对通过技术标和商务标评审的投标文件进行综合评分。最后按照得分从高到低排出顺序并确定第一中标候选人、第二中标候选人和</w:t>
      </w:r>
      <w:r>
        <w:rPr>
          <w:rFonts w:ascii="宋体" w:hAnsi="宋体" w:eastAsia="宋体" w:cs="宋体"/>
          <w:spacing w:val="-5"/>
          <w:sz w:val="24"/>
          <w:szCs w:val="24"/>
          <w:highlight w:val="none"/>
        </w:rPr>
        <w:t>第三中标候选人。</w:t>
      </w:r>
    </w:p>
    <w:p w14:paraId="6EC10D07">
      <w:pPr>
        <w:spacing w:before="72" w:line="263" w:lineRule="auto"/>
        <w:ind w:right="16" w:firstLine="486"/>
        <w:rPr>
          <w:rFonts w:ascii="宋体" w:hAnsi="宋体" w:eastAsia="宋体" w:cs="宋体"/>
          <w:sz w:val="24"/>
          <w:szCs w:val="24"/>
          <w:highlight w:val="none"/>
        </w:rPr>
      </w:pPr>
      <w:r>
        <w:rPr>
          <w:rFonts w:ascii="宋体" w:hAnsi="宋体" w:eastAsia="宋体" w:cs="宋体"/>
          <w:spacing w:val="2"/>
          <w:sz w:val="24"/>
          <w:szCs w:val="24"/>
          <w:highlight w:val="none"/>
        </w:rPr>
        <w:t>（2）采用资格后审招标的，首先对投标人进行资格后审评审。资格后审评审通过</w:t>
      </w:r>
      <w:r>
        <w:rPr>
          <w:rFonts w:ascii="宋体" w:hAnsi="宋体" w:eastAsia="宋体" w:cs="宋体"/>
          <w:spacing w:val="-1"/>
          <w:sz w:val="24"/>
          <w:szCs w:val="24"/>
          <w:highlight w:val="none"/>
        </w:rPr>
        <w:t>的，对投标人先评技术标一、再评技术标二、最后开评商务标。技术标或商务标评审未通过的，则不予评分；对通过技术标和商务标评审的投标文件进行综合评分。最后按照得分从高到低排出顺序并确定第一中标候选人、第二中标候选人和第</w:t>
      </w:r>
      <w:r>
        <w:rPr>
          <w:rFonts w:ascii="宋体" w:hAnsi="宋体" w:eastAsia="宋体" w:cs="宋体"/>
          <w:spacing w:val="-2"/>
          <w:sz w:val="24"/>
          <w:szCs w:val="24"/>
          <w:highlight w:val="none"/>
        </w:rPr>
        <w:t>三中标候选人。</w:t>
      </w:r>
    </w:p>
    <w:p w14:paraId="24BEB5E4">
      <w:pPr>
        <w:spacing w:before="74" w:line="220" w:lineRule="auto"/>
        <w:ind w:left="604"/>
        <w:rPr>
          <w:rFonts w:ascii="宋体" w:hAnsi="宋体" w:eastAsia="宋体" w:cs="宋体"/>
          <w:sz w:val="24"/>
          <w:szCs w:val="24"/>
          <w:highlight w:val="none"/>
        </w:rPr>
      </w:pPr>
      <w:r>
        <w:rPr>
          <w:rFonts w:ascii="宋体" w:hAnsi="宋体" w:eastAsia="宋体" w:cs="宋体"/>
          <w:spacing w:val="-3"/>
          <w:sz w:val="24"/>
          <w:szCs w:val="24"/>
          <w:highlight w:val="none"/>
        </w:rPr>
        <w:t>34.2.1</w:t>
      </w:r>
      <w:r>
        <w:rPr>
          <w:rFonts w:ascii="宋体" w:hAnsi="宋体" w:eastAsia="宋体" w:cs="宋体"/>
          <w:spacing w:val="-41"/>
          <w:sz w:val="24"/>
          <w:szCs w:val="24"/>
          <w:highlight w:val="none"/>
        </w:rPr>
        <w:t xml:space="preserve"> </w:t>
      </w:r>
      <w:r>
        <w:rPr>
          <w:rFonts w:ascii="宋体" w:hAnsi="宋体" w:eastAsia="宋体" w:cs="宋体"/>
          <w:spacing w:val="-3"/>
          <w:sz w:val="24"/>
          <w:szCs w:val="24"/>
          <w:highlight w:val="none"/>
        </w:rPr>
        <w:t>技术标评审</w:t>
      </w:r>
    </w:p>
    <w:p w14:paraId="3C436315">
      <w:pPr>
        <w:spacing w:before="74" w:line="258" w:lineRule="auto"/>
        <w:ind w:right="19" w:firstLine="485"/>
        <w:rPr>
          <w:rFonts w:ascii="宋体" w:hAnsi="宋体" w:eastAsia="宋体" w:cs="宋体"/>
          <w:sz w:val="24"/>
          <w:szCs w:val="24"/>
          <w:highlight w:val="none"/>
        </w:rPr>
      </w:pPr>
      <w:r>
        <w:rPr>
          <w:rFonts w:ascii="宋体" w:hAnsi="宋体" w:eastAsia="宋体" w:cs="宋体"/>
          <w:spacing w:val="2"/>
          <w:sz w:val="24"/>
          <w:szCs w:val="24"/>
          <w:highlight w:val="none"/>
        </w:rPr>
        <w:t>（1）评标委员会主要从以下几个方面对投标人的技术标进行评审打分。设计服务</w:t>
      </w:r>
      <w:r>
        <w:rPr>
          <w:rFonts w:ascii="宋体" w:hAnsi="宋体" w:eastAsia="宋体" w:cs="宋体"/>
          <w:spacing w:val="-1"/>
          <w:sz w:val="24"/>
          <w:szCs w:val="24"/>
          <w:highlight w:val="none"/>
        </w:rPr>
        <w:t>方案、施工组织设计、运营方案的得分，必须从评委打分中去掉一个最高分和一个最低</w:t>
      </w:r>
      <w:r>
        <w:rPr>
          <w:rFonts w:ascii="宋体" w:hAnsi="宋体" w:eastAsia="宋体" w:cs="宋体"/>
          <w:spacing w:val="-5"/>
          <w:sz w:val="24"/>
          <w:szCs w:val="24"/>
          <w:highlight w:val="none"/>
        </w:rPr>
        <w:t>分后进行算术平均。</w:t>
      </w:r>
    </w:p>
    <w:p w14:paraId="4C8A56DF">
      <w:pPr>
        <w:spacing w:before="75" w:line="220"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（2）项目班子配备</w:t>
      </w:r>
    </w:p>
    <w:p w14:paraId="44A1F770">
      <w:pPr>
        <w:spacing w:before="75" w:line="257" w:lineRule="auto"/>
        <w:ind w:left="3" w:right="30" w:firstLine="475"/>
        <w:rPr>
          <w:rFonts w:ascii="宋体" w:hAnsi="宋体" w:eastAsia="宋体" w:cs="宋体"/>
          <w:sz w:val="24"/>
          <w:szCs w:val="24"/>
          <w:highlight w:val="none"/>
        </w:rPr>
      </w:pPr>
      <w:r>
        <w:rPr>
          <w:rFonts w:ascii="宋体" w:hAnsi="宋体" w:eastAsia="宋体" w:cs="宋体"/>
          <w:spacing w:val="-1"/>
          <w:sz w:val="24"/>
          <w:szCs w:val="24"/>
          <w:highlight w:val="none"/>
        </w:rPr>
        <w:t>①设计负责人、项目经理（注册建造师</w:t>
      </w:r>
      <w:r>
        <w:rPr>
          <w:rFonts w:ascii="宋体" w:hAnsi="宋体" w:eastAsia="宋体" w:cs="宋体"/>
          <w:spacing w:val="2"/>
          <w:sz w:val="24"/>
          <w:szCs w:val="24"/>
          <w:highlight w:val="none"/>
        </w:rPr>
        <w:t>）：</w:t>
      </w:r>
      <w:r>
        <w:rPr>
          <w:rFonts w:ascii="宋体" w:hAnsi="宋体" w:eastAsia="宋体" w:cs="宋体"/>
          <w:spacing w:val="-1"/>
          <w:sz w:val="24"/>
          <w:szCs w:val="24"/>
          <w:highlight w:val="none"/>
        </w:rPr>
        <w:t>拟任设计负责人、项目经理（</w:t>
      </w:r>
      <w:r>
        <w:rPr>
          <w:rFonts w:ascii="宋体" w:hAnsi="宋体" w:eastAsia="宋体" w:cs="宋体"/>
          <w:spacing w:val="-2"/>
          <w:sz w:val="24"/>
          <w:szCs w:val="24"/>
          <w:highlight w:val="none"/>
        </w:rPr>
        <w:t>注册建造</w:t>
      </w:r>
      <w:r>
        <w:rPr>
          <w:rFonts w:ascii="宋体" w:hAnsi="宋体" w:eastAsia="宋体" w:cs="宋体"/>
          <w:spacing w:val="-1"/>
          <w:sz w:val="24"/>
          <w:szCs w:val="24"/>
          <w:highlight w:val="none"/>
        </w:rPr>
        <w:t>师）必须与资格审查合格通过的设计负责人、项目经理（注册建造师）在名称、专业、资质等级、类似工程业绩（若招标公告要求）</w:t>
      </w:r>
      <w:r>
        <w:rPr>
          <w:rFonts w:ascii="宋体" w:hAnsi="宋体" w:eastAsia="宋体" w:cs="宋体"/>
          <w:spacing w:val="-2"/>
          <w:sz w:val="24"/>
          <w:szCs w:val="24"/>
          <w:highlight w:val="none"/>
        </w:rPr>
        <w:t>等方面一致。</w:t>
      </w:r>
    </w:p>
    <w:p w14:paraId="398B2EBA">
      <w:pPr>
        <w:spacing w:line="240" w:lineRule="auto"/>
        <w:ind w:left="0" w:firstLine="476" w:firstLineChars="200"/>
        <w:jc w:val="left"/>
        <w:rPr>
          <w:rFonts w:ascii="宋体" w:hAnsi="宋体" w:eastAsia="宋体" w:cs="宋体"/>
          <w:spacing w:val="-3"/>
          <w:sz w:val="24"/>
          <w:szCs w:val="24"/>
          <w:highlight w:val="none"/>
        </w:rPr>
      </w:pPr>
      <w:r>
        <w:rPr>
          <w:rFonts w:ascii="宋体" w:hAnsi="宋体" w:eastAsia="宋体" w:cs="宋体"/>
          <w:spacing w:val="-1"/>
          <w:sz w:val="24"/>
          <w:szCs w:val="24"/>
          <w:highlight w:val="none"/>
        </w:rPr>
        <w:t>②项目技术负责人应具有与工程项目相适应专业的中级工程师及以上职称，专业不配套按不实质性相应招标文件要求处理。</w:t>
      </w:r>
    </w:p>
    <w:p w14:paraId="11E31738">
      <w:pPr>
        <w:spacing w:before="91" w:line="217" w:lineRule="auto"/>
        <w:ind w:left="478"/>
        <w:rPr>
          <w:rFonts w:ascii="宋体" w:hAnsi="宋体" w:eastAsia="宋体" w:cs="宋体"/>
          <w:sz w:val="24"/>
          <w:szCs w:val="24"/>
          <w:highlight w:val="none"/>
        </w:rPr>
      </w:pPr>
      <w:r>
        <w:rPr>
          <w:rFonts w:ascii="宋体" w:hAnsi="宋体" w:eastAsia="宋体" w:cs="宋体"/>
          <w:spacing w:val="-3"/>
          <w:sz w:val="24"/>
          <w:szCs w:val="24"/>
          <w:highlight w:val="none"/>
        </w:rPr>
        <w:t>③施工项目部关键岗位人员配备结构及数量标准：</w:t>
      </w:r>
    </w:p>
    <w:p w14:paraId="221F27B2">
      <w:pPr>
        <w:spacing w:before="77" w:line="277" w:lineRule="auto"/>
        <w:ind w:left="2" w:right="25" w:firstLine="481"/>
        <w:rPr>
          <w:rFonts w:ascii="宋体" w:hAnsi="宋体" w:eastAsia="宋体" w:cs="宋体"/>
          <w:sz w:val="24"/>
          <w:szCs w:val="24"/>
          <w:highlight w:val="none"/>
        </w:rPr>
      </w:pPr>
      <w:r>
        <w:rPr>
          <w:rFonts w:ascii="宋体" w:hAnsi="宋体" w:eastAsia="宋体" w:cs="宋体"/>
          <w:spacing w:val="3"/>
          <w:sz w:val="24"/>
          <w:szCs w:val="24"/>
          <w:highlight w:val="none"/>
        </w:rPr>
        <w:t>关键岗位人员：项目经理（建造师）、技术</w:t>
      </w:r>
      <w:r>
        <w:rPr>
          <w:rFonts w:ascii="宋体" w:hAnsi="宋体" w:eastAsia="宋体" w:cs="宋体"/>
          <w:spacing w:val="2"/>
          <w:sz w:val="24"/>
          <w:szCs w:val="24"/>
          <w:highlight w:val="none"/>
        </w:rPr>
        <w:t>负责人、施工员（2 名）、质量员（2</w:t>
      </w:r>
      <w:r>
        <w:rPr>
          <w:rFonts w:ascii="宋体" w:hAnsi="宋体" w:eastAsia="宋体" w:cs="宋体"/>
          <w:spacing w:val="-1"/>
          <w:sz w:val="24"/>
          <w:szCs w:val="24"/>
          <w:highlight w:val="none"/>
        </w:rPr>
        <w:t>名）、安全员（2</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名）、资料员（1</w:t>
      </w:r>
      <w:r>
        <w:rPr>
          <w:rFonts w:ascii="宋体" w:hAnsi="宋体" w:eastAsia="宋体" w:cs="宋体"/>
          <w:spacing w:val="-30"/>
          <w:sz w:val="24"/>
          <w:szCs w:val="24"/>
          <w:highlight w:val="none"/>
        </w:rPr>
        <w:t xml:space="preserve"> </w:t>
      </w:r>
      <w:r>
        <w:rPr>
          <w:rFonts w:ascii="宋体" w:hAnsi="宋体" w:eastAsia="宋体" w:cs="宋体"/>
          <w:spacing w:val="-1"/>
          <w:sz w:val="24"/>
          <w:szCs w:val="24"/>
          <w:highlight w:val="none"/>
        </w:rPr>
        <w:t>名）、取样员（1</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名,可兼任</w:t>
      </w:r>
      <w:r>
        <w:rPr>
          <w:rFonts w:ascii="宋体" w:hAnsi="宋体" w:eastAsia="宋体" w:cs="宋体"/>
          <w:spacing w:val="-2"/>
          <w:sz w:val="24"/>
          <w:szCs w:val="24"/>
          <w:highlight w:val="none"/>
        </w:rPr>
        <w:t>）。人员配备结构和人数不符合要求，按不实质性响应招标文件要求处理。</w:t>
      </w:r>
    </w:p>
    <w:p w14:paraId="3AEA93F8">
      <w:pPr>
        <w:spacing w:line="248" w:lineRule="auto"/>
        <w:ind w:left="2" w:right="30" w:firstLine="476"/>
        <w:rPr>
          <w:rFonts w:ascii="宋体" w:hAnsi="宋体" w:eastAsia="宋体" w:cs="宋体"/>
          <w:sz w:val="24"/>
          <w:szCs w:val="24"/>
          <w:highlight w:val="none"/>
        </w:rPr>
      </w:pPr>
      <w:r>
        <w:rPr>
          <w:rFonts w:ascii="宋体" w:hAnsi="宋体" w:eastAsia="宋体" w:cs="宋体"/>
          <w:spacing w:val="1"/>
          <w:sz w:val="24"/>
          <w:szCs w:val="24"/>
          <w:highlight w:val="none"/>
        </w:rPr>
        <w:t>④设计主要人员要求：除设计负责人外，相关专业设计人</w:t>
      </w:r>
      <w:r>
        <w:rPr>
          <w:rFonts w:ascii="宋体" w:hAnsi="宋体" w:eastAsia="宋体" w:cs="宋体"/>
          <w:sz w:val="24"/>
          <w:szCs w:val="24"/>
          <w:highlight w:val="none"/>
        </w:rPr>
        <w:t>员</w:t>
      </w:r>
      <w:r>
        <w:rPr>
          <w:rFonts w:hint="eastAsia" w:ascii="宋体" w:hAnsi="宋体" w:eastAsia="宋体" w:cs="宋体"/>
          <w:sz w:val="24"/>
          <w:szCs w:val="24"/>
          <w:highlight w:val="none"/>
          <w:lang w:val="en-US" w:eastAsia="zh-CN"/>
        </w:rPr>
        <w:t>5</w:t>
      </w:r>
      <w:r>
        <w:rPr>
          <w:rFonts w:ascii="宋体" w:hAnsi="宋体" w:eastAsia="宋体" w:cs="宋体"/>
          <w:spacing w:val="-47"/>
          <w:sz w:val="24"/>
          <w:szCs w:val="24"/>
          <w:highlight w:val="none"/>
        </w:rPr>
        <w:t xml:space="preserve"> </w:t>
      </w:r>
      <w:r>
        <w:rPr>
          <w:rFonts w:ascii="宋体" w:hAnsi="宋体" w:eastAsia="宋体" w:cs="宋体"/>
          <w:sz w:val="24"/>
          <w:szCs w:val="24"/>
          <w:highlight w:val="none"/>
        </w:rPr>
        <w:t>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含建筑、结构、景观、给排水、电气专业中级及以上职称</w:t>
      </w:r>
      <w:r>
        <w:rPr>
          <w:rFonts w:ascii="宋体" w:hAnsi="宋体" w:eastAsia="宋体" w:cs="宋体"/>
          <w:sz w:val="24"/>
          <w:szCs w:val="24"/>
          <w:highlight w:val="none"/>
        </w:rPr>
        <w:t>。人员配备人数不</w:t>
      </w:r>
      <w:r>
        <w:rPr>
          <w:rFonts w:ascii="宋体" w:hAnsi="宋体" w:eastAsia="宋体" w:cs="宋体"/>
          <w:spacing w:val="-3"/>
          <w:sz w:val="24"/>
          <w:szCs w:val="24"/>
          <w:highlight w:val="none"/>
        </w:rPr>
        <w:t>符合要求，按不实质性响应招标文件要求处理。</w:t>
      </w:r>
    </w:p>
    <w:p w14:paraId="2043DC54">
      <w:pPr>
        <w:spacing w:before="74" w:line="249" w:lineRule="auto"/>
        <w:ind w:left="2" w:right="29" w:firstLine="476"/>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⑤</w:t>
      </w:r>
      <w:r>
        <w:rPr>
          <w:rFonts w:ascii="宋体" w:hAnsi="宋体" w:eastAsia="宋体" w:cs="宋体"/>
          <w:spacing w:val="-1"/>
          <w:sz w:val="24"/>
          <w:szCs w:val="24"/>
          <w:highlight w:val="none"/>
        </w:rPr>
        <w:t>设计负责人、项目经理（建造师）及项目班子成员以投标文件载明的成员名单为</w:t>
      </w:r>
      <w:r>
        <w:rPr>
          <w:rFonts w:ascii="宋体" w:hAnsi="宋体" w:eastAsia="宋体" w:cs="宋体"/>
          <w:spacing w:val="-12"/>
          <w:sz w:val="24"/>
          <w:szCs w:val="24"/>
          <w:highlight w:val="none"/>
        </w:rPr>
        <w:t>准。</w:t>
      </w:r>
    </w:p>
    <w:p w14:paraId="00280A6D">
      <w:pPr>
        <w:spacing w:before="72" w:line="220"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注:技术标评审不合格、不通过的，商务标不予评审。</w:t>
      </w:r>
    </w:p>
    <w:p w14:paraId="668D31A1">
      <w:pPr>
        <w:spacing w:before="74" w:line="220" w:lineRule="auto"/>
        <w:ind w:left="646"/>
        <w:rPr>
          <w:rFonts w:ascii="宋体" w:hAnsi="宋体" w:eastAsia="宋体" w:cs="宋体"/>
          <w:sz w:val="24"/>
          <w:szCs w:val="24"/>
          <w:highlight w:val="none"/>
        </w:rPr>
      </w:pPr>
      <w:r>
        <w:rPr>
          <w:rFonts w:ascii="宋体" w:hAnsi="宋体" w:eastAsia="宋体" w:cs="宋体"/>
          <w:spacing w:val="-3"/>
          <w:sz w:val="24"/>
          <w:szCs w:val="24"/>
          <w:highlight w:val="none"/>
        </w:rPr>
        <w:t>34.2.2</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商务标评审</w:t>
      </w:r>
    </w:p>
    <w:p w14:paraId="42677EAB">
      <w:pPr>
        <w:spacing w:before="74" w:line="220" w:lineRule="auto"/>
        <w:ind w:left="485"/>
        <w:rPr>
          <w:rFonts w:ascii="宋体" w:hAnsi="宋体" w:eastAsia="宋体" w:cs="宋体"/>
          <w:sz w:val="24"/>
          <w:szCs w:val="24"/>
          <w:highlight w:val="none"/>
        </w:rPr>
      </w:pPr>
      <w:r>
        <w:rPr>
          <w:highlight w:val="none"/>
        </w:rPr>
        <w:fldChar w:fldCharType="begin"/>
      </w:r>
      <w:r>
        <w:rPr>
          <w:highlight w:val="none"/>
        </w:rPr>
        <w:instrText xml:space="preserve"> HYPERLINK "34.2.2.1" </w:instrText>
      </w:r>
      <w:r>
        <w:rPr>
          <w:highlight w:val="none"/>
        </w:rPr>
        <w:fldChar w:fldCharType="separate"/>
      </w:r>
      <w:r>
        <w:rPr>
          <w:rFonts w:ascii="宋体" w:hAnsi="宋体" w:eastAsia="宋体" w:cs="宋体"/>
          <w:spacing w:val="-2"/>
          <w:sz w:val="24"/>
          <w:szCs w:val="24"/>
          <w:highlight w:val="none"/>
        </w:rPr>
        <w:t>34.2.2.1</w:t>
      </w:r>
      <w:r>
        <w:rPr>
          <w:rFonts w:ascii="宋体" w:hAnsi="宋体" w:eastAsia="宋体" w:cs="宋体"/>
          <w:spacing w:val="-2"/>
          <w:sz w:val="24"/>
          <w:szCs w:val="24"/>
          <w:highlight w:val="none"/>
        </w:rPr>
        <w:fldChar w:fldCharType="end"/>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商务标初步评审</w:t>
      </w:r>
    </w:p>
    <w:p w14:paraId="69524921">
      <w:pPr>
        <w:spacing w:before="74" w:line="275" w:lineRule="auto"/>
        <w:ind w:left="5" w:right="27" w:firstLine="476"/>
        <w:rPr>
          <w:rFonts w:ascii="宋体" w:hAnsi="宋体" w:eastAsia="宋体" w:cs="宋体"/>
          <w:spacing w:val="-7"/>
          <w:sz w:val="24"/>
          <w:szCs w:val="24"/>
          <w:highlight w:val="none"/>
        </w:rPr>
      </w:pPr>
      <w:r>
        <w:rPr>
          <w:rFonts w:ascii="宋体" w:hAnsi="宋体" w:eastAsia="宋体" w:cs="宋体"/>
          <w:spacing w:val="-3"/>
          <w:sz w:val="24"/>
          <w:szCs w:val="24"/>
          <w:highlight w:val="none"/>
        </w:rPr>
        <w:t>本项目招标设有最高限价</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A,投标总报价大于或等于最高限价</w:t>
      </w:r>
      <w:r>
        <w:rPr>
          <w:rFonts w:ascii="宋体" w:hAnsi="宋体" w:eastAsia="宋体" w:cs="宋体"/>
          <w:spacing w:val="-58"/>
          <w:sz w:val="24"/>
          <w:szCs w:val="24"/>
          <w:highlight w:val="none"/>
        </w:rPr>
        <w:t xml:space="preserve"> </w:t>
      </w:r>
      <w:r>
        <w:rPr>
          <w:rFonts w:ascii="宋体" w:hAnsi="宋体" w:eastAsia="宋体" w:cs="宋体"/>
          <w:spacing w:val="-3"/>
          <w:sz w:val="24"/>
          <w:szCs w:val="24"/>
          <w:highlight w:val="none"/>
        </w:rPr>
        <w:t>A</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为无效投标，商务标</w:t>
      </w:r>
      <w:r>
        <w:rPr>
          <w:rFonts w:ascii="宋体" w:hAnsi="宋体" w:eastAsia="宋体" w:cs="宋体"/>
          <w:spacing w:val="-7"/>
          <w:sz w:val="24"/>
          <w:szCs w:val="24"/>
          <w:highlight w:val="none"/>
        </w:rPr>
        <w:t>书不予评审。</w:t>
      </w:r>
    </w:p>
    <w:p w14:paraId="014D27DF">
      <w:pPr>
        <w:spacing w:before="74" w:line="275" w:lineRule="auto"/>
        <w:ind w:left="5" w:right="27" w:firstLine="476"/>
        <w:rPr>
          <w:rFonts w:ascii="宋体" w:hAnsi="宋体" w:eastAsia="宋体" w:cs="宋体"/>
          <w:spacing w:val="-7"/>
          <w:sz w:val="24"/>
          <w:szCs w:val="24"/>
          <w:highlight w:val="none"/>
        </w:rPr>
      </w:pPr>
    </w:p>
    <w:p w14:paraId="776C0397">
      <w:pPr>
        <w:spacing w:before="74" w:line="275" w:lineRule="auto"/>
        <w:ind w:left="5" w:right="27" w:firstLine="476"/>
        <w:rPr>
          <w:rFonts w:ascii="宋体" w:hAnsi="宋体" w:eastAsia="宋体" w:cs="宋体"/>
          <w:spacing w:val="-7"/>
          <w:sz w:val="24"/>
          <w:szCs w:val="24"/>
          <w:highlight w:val="none"/>
        </w:rPr>
      </w:pPr>
    </w:p>
    <w:p w14:paraId="175F7838">
      <w:pPr>
        <w:spacing w:before="1" w:line="219" w:lineRule="auto"/>
        <w:rPr>
          <w:rFonts w:ascii="宋体" w:hAnsi="宋体" w:eastAsia="宋体" w:cs="宋体"/>
          <w:sz w:val="30"/>
          <w:szCs w:val="30"/>
          <w:highlight w:val="none"/>
        </w:rPr>
      </w:pPr>
      <w:r>
        <w:rPr>
          <w:rFonts w:ascii="宋体" w:hAnsi="宋体" w:eastAsia="宋体" w:cs="宋体"/>
          <w:b/>
          <w:bCs/>
          <w:spacing w:val="-7"/>
          <w:sz w:val="30"/>
          <w:szCs w:val="30"/>
          <w:highlight w:val="none"/>
        </w:rPr>
        <w:t>（八）</w:t>
      </w:r>
      <w:r>
        <w:rPr>
          <w:rFonts w:ascii="宋体" w:hAnsi="宋体" w:eastAsia="宋体" w:cs="宋体"/>
          <w:spacing w:val="-79"/>
          <w:sz w:val="30"/>
          <w:szCs w:val="30"/>
          <w:highlight w:val="none"/>
        </w:rPr>
        <w:t xml:space="preserve"> </w:t>
      </w:r>
      <w:r>
        <w:rPr>
          <w:rFonts w:ascii="宋体" w:hAnsi="宋体" w:eastAsia="宋体" w:cs="宋体"/>
          <w:b/>
          <w:bCs/>
          <w:spacing w:val="-7"/>
          <w:sz w:val="30"/>
          <w:szCs w:val="30"/>
          <w:highlight w:val="none"/>
        </w:rPr>
        <w:t>综合评分法商务标（40</w:t>
      </w:r>
      <w:r>
        <w:rPr>
          <w:rFonts w:ascii="宋体" w:hAnsi="宋体" w:eastAsia="宋体" w:cs="宋体"/>
          <w:spacing w:val="-57"/>
          <w:sz w:val="30"/>
          <w:szCs w:val="30"/>
          <w:highlight w:val="none"/>
        </w:rPr>
        <w:t xml:space="preserve"> </w:t>
      </w:r>
      <w:r>
        <w:rPr>
          <w:rFonts w:ascii="宋体" w:hAnsi="宋体" w:eastAsia="宋体" w:cs="宋体"/>
          <w:b/>
          <w:bCs/>
          <w:spacing w:val="-7"/>
          <w:sz w:val="30"/>
          <w:szCs w:val="30"/>
          <w:highlight w:val="none"/>
        </w:rPr>
        <w:t>分）分值计算方法</w:t>
      </w:r>
    </w:p>
    <w:p w14:paraId="7B952C4F">
      <w:pPr>
        <w:spacing w:before="46" w:line="218" w:lineRule="auto"/>
        <w:ind w:firstLine="482" w:firstLineChars="200"/>
        <w:rPr>
          <w:rFonts w:hint="eastAsia" w:ascii="宋体" w:hAnsi="宋体" w:eastAsia="宋体" w:cs="宋体"/>
          <w:sz w:val="24"/>
          <w:szCs w:val="24"/>
          <w:highlight w:val="none"/>
          <w:lang w:eastAsia="zh-CN"/>
        </w:rPr>
      </w:pPr>
      <w:r>
        <w:rPr>
          <w:rFonts w:ascii="宋体" w:hAnsi="宋体" w:eastAsia="宋体" w:cs="宋体"/>
          <w:b/>
          <w:bCs/>
          <w:sz w:val="24"/>
          <w:szCs w:val="24"/>
          <w:highlight w:val="none"/>
        </w:rPr>
        <w:t>鉴于本项目为百分比费率招标，取费率报价百分比符号（%）前的数字（保留</w:t>
      </w:r>
      <w:r>
        <w:rPr>
          <w:rFonts w:ascii="宋体" w:hAnsi="宋体" w:eastAsia="宋体" w:cs="宋体"/>
          <w:b/>
          <w:bCs/>
          <w:spacing w:val="-1"/>
          <w:sz w:val="24"/>
          <w:szCs w:val="24"/>
          <w:highlight w:val="none"/>
        </w:rPr>
        <w:t>两位</w:t>
      </w:r>
      <w:r>
        <w:rPr>
          <w:rFonts w:ascii="宋体" w:hAnsi="宋体" w:eastAsia="宋体" w:cs="宋体"/>
          <w:b/>
          <w:bCs/>
          <w:spacing w:val="-3"/>
          <w:sz w:val="24"/>
          <w:szCs w:val="24"/>
          <w:highlight w:val="none"/>
        </w:rPr>
        <w:t>小数）列入计算（计算时的最高限价按</w:t>
      </w:r>
      <w:r>
        <w:rPr>
          <w:rFonts w:ascii="宋体" w:hAnsi="宋体" w:eastAsia="宋体" w:cs="宋体"/>
          <w:spacing w:val="-28"/>
          <w:sz w:val="24"/>
          <w:szCs w:val="24"/>
          <w:highlight w:val="none"/>
        </w:rPr>
        <w:t xml:space="preserve"> </w:t>
      </w:r>
      <w:r>
        <w:rPr>
          <w:rFonts w:ascii="宋体" w:hAnsi="宋体" w:eastAsia="宋体" w:cs="宋体"/>
          <w:b/>
          <w:bCs/>
          <w:spacing w:val="-3"/>
          <w:sz w:val="24"/>
          <w:szCs w:val="24"/>
          <w:highlight w:val="none"/>
        </w:rPr>
        <w:t>100.00</w:t>
      </w:r>
      <w:r>
        <w:rPr>
          <w:rFonts w:ascii="宋体" w:hAnsi="宋体" w:eastAsia="宋体" w:cs="宋体"/>
          <w:spacing w:val="-45"/>
          <w:sz w:val="24"/>
          <w:szCs w:val="24"/>
          <w:highlight w:val="none"/>
        </w:rPr>
        <w:t xml:space="preserve"> </w:t>
      </w:r>
      <w:r>
        <w:rPr>
          <w:rFonts w:ascii="宋体" w:hAnsi="宋体" w:eastAsia="宋体" w:cs="宋体"/>
          <w:b/>
          <w:bCs/>
          <w:spacing w:val="-3"/>
          <w:sz w:val="24"/>
          <w:szCs w:val="24"/>
          <w:highlight w:val="none"/>
        </w:rPr>
        <w:t>确定）。例：报价（百分比）为</w:t>
      </w:r>
      <w:r>
        <w:rPr>
          <w:rFonts w:ascii="宋体" w:hAnsi="宋体" w:eastAsia="宋体" w:cs="宋体"/>
          <w:spacing w:val="-47"/>
          <w:sz w:val="24"/>
          <w:szCs w:val="24"/>
          <w:highlight w:val="none"/>
        </w:rPr>
        <w:t xml:space="preserve"> </w:t>
      </w:r>
      <w:r>
        <w:rPr>
          <w:rFonts w:ascii="宋体" w:hAnsi="宋体" w:eastAsia="宋体" w:cs="宋体"/>
          <w:b/>
          <w:bCs/>
          <w:spacing w:val="-3"/>
          <w:sz w:val="24"/>
          <w:szCs w:val="24"/>
          <w:highlight w:val="none"/>
        </w:rPr>
        <w:t>92</w:t>
      </w:r>
      <w:r>
        <w:rPr>
          <w:rFonts w:ascii="宋体" w:hAnsi="宋体" w:eastAsia="宋体" w:cs="宋体"/>
          <w:b/>
          <w:bCs/>
          <w:spacing w:val="-4"/>
          <w:sz w:val="24"/>
          <w:szCs w:val="24"/>
          <w:highlight w:val="none"/>
        </w:rPr>
        <w:t>.99%</w:t>
      </w:r>
      <w:r>
        <w:rPr>
          <w:rFonts w:ascii="宋体" w:hAnsi="宋体" w:eastAsia="宋体" w:cs="宋体"/>
          <w:b/>
          <w:bCs/>
          <w:spacing w:val="-5"/>
          <w:sz w:val="24"/>
          <w:szCs w:val="24"/>
          <w:highlight w:val="none"/>
        </w:rPr>
        <w:t>取</w:t>
      </w:r>
      <w:r>
        <w:rPr>
          <w:rFonts w:ascii="宋体" w:hAnsi="宋体" w:eastAsia="宋体" w:cs="宋体"/>
          <w:spacing w:val="-38"/>
          <w:sz w:val="24"/>
          <w:szCs w:val="24"/>
          <w:highlight w:val="none"/>
        </w:rPr>
        <w:t xml:space="preserve"> </w:t>
      </w:r>
      <w:r>
        <w:rPr>
          <w:rFonts w:ascii="宋体" w:hAnsi="宋体" w:eastAsia="宋体" w:cs="宋体"/>
          <w:b/>
          <w:bCs/>
          <w:spacing w:val="-5"/>
          <w:sz w:val="24"/>
          <w:szCs w:val="24"/>
          <w:highlight w:val="none"/>
        </w:rPr>
        <w:t>92.99</w:t>
      </w:r>
      <w:r>
        <w:rPr>
          <w:rFonts w:ascii="宋体" w:hAnsi="宋体" w:eastAsia="宋体" w:cs="宋体"/>
          <w:spacing w:val="-45"/>
          <w:sz w:val="24"/>
          <w:szCs w:val="24"/>
          <w:highlight w:val="none"/>
        </w:rPr>
        <w:t xml:space="preserve"> </w:t>
      </w:r>
      <w:r>
        <w:rPr>
          <w:rFonts w:ascii="宋体" w:hAnsi="宋体" w:eastAsia="宋体" w:cs="宋体"/>
          <w:b/>
          <w:bCs/>
          <w:spacing w:val="-5"/>
          <w:sz w:val="24"/>
          <w:szCs w:val="24"/>
          <w:highlight w:val="none"/>
        </w:rPr>
        <w:t>列入计算，90.60%取</w:t>
      </w:r>
      <w:r>
        <w:rPr>
          <w:rFonts w:ascii="宋体" w:hAnsi="宋体" w:eastAsia="宋体" w:cs="宋体"/>
          <w:spacing w:val="-50"/>
          <w:sz w:val="24"/>
          <w:szCs w:val="24"/>
          <w:highlight w:val="none"/>
        </w:rPr>
        <w:t xml:space="preserve"> </w:t>
      </w:r>
      <w:r>
        <w:rPr>
          <w:rFonts w:ascii="宋体" w:hAnsi="宋体" w:eastAsia="宋体" w:cs="宋体"/>
          <w:b/>
          <w:bCs/>
          <w:spacing w:val="-5"/>
          <w:sz w:val="24"/>
          <w:szCs w:val="24"/>
          <w:highlight w:val="none"/>
        </w:rPr>
        <w:t>90.60</w:t>
      </w:r>
      <w:r>
        <w:rPr>
          <w:rFonts w:ascii="宋体" w:hAnsi="宋体" w:eastAsia="宋体" w:cs="宋体"/>
          <w:spacing w:val="-43"/>
          <w:sz w:val="24"/>
          <w:szCs w:val="24"/>
          <w:highlight w:val="none"/>
        </w:rPr>
        <w:t xml:space="preserve"> </w:t>
      </w:r>
      <w:r>
        <w:rPr>
          <w:rFonts w:ascii="宋体" w:hAnsi="宋体" w:eastAsia="宋体" w:cs="宋体"/>
          <w:b/>
          <w:bCs/>
          <w:spacing w:val="-5"/>
          <w:sz w:val="24"/>
          <w:szCs w:val="24"/>
          <w:highlight w:val="none"/>
        </w:rPr>
        <w:t>列入计算。</w:t>
      </w:r>
    </w:p>
    <w:tbl>
      <w:tblPr>
        <w:tblStyle w:val="24"/>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6378"/>
        <w:gridCol w:w="829"/>
      </w:tblGrid>
      <w:tr w14:paraId="3B71D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1852" w:type="dxa"/>
            <w:vAlign w:val="top"/>
          </w:tcPr>
          <w:p w14:paraId="2109183E">
            <w:pPr>
              <w:spacing w:line="253" w:lineRule="auto"/>
              <w:rPr>
                <w:rFonts w:ascii="Arial"/>
                <w:sz w:val="21"/>
                <w:highlight w:val="none"/>
              </w:rPr>
            </w:pPr>
          </w:p>
          <w:p w14:paraId="56CF995F">
            <w:pPr>
              <w:spacing w:line="253" w:lineRule="auto"/>
              <w:rPr>
                <w:rFonts w:ascii="Arial"/>
                <w:sz w:val="21"/>
                <w:highlight w:val="none"/>
              </w:rPr>
            </w:pPr>
          </w:p>
          <w:p w14:paraId="427BFA30">
            <w:pPr>
              <w:spacing w:line="253" w:lineRule="auto"/>
              <w:rPr>
                <w:rFonts w:ascii="Arial"/>
                <w:sz w:val="21"/>
                <w:highlight w:val="none"/>
              </w:rPr>
            </w:pPr>
          </w:p>
          <w:p w14:paraId="66C91359">
            <w:pPr>
              <w:pStyle w:val="25"/>
              <w:spacing w:before="78" w:line="218" w:lineRule="auto"/>
              <w:ind w:left="200"/>
              <w:rPr>
                <w:rFonts w:hint="default" w:eastAsia="仿宋"/>
                <w:highlight w:val="none"/>
                <w:lang w:val="en-US" w:eastAsia="zh-CN"/>
              </w:rPr>
            </w:pPr>
            <w:r>
              <w:rPr>
                <w:rFonts w:hint="default" w:eastAsia="仿宋"/>
                <w:highlight w:val="none"/>
                <w:lang w:val="en-US" w:eastAsia="zh-CN"/>
              </w:rPr>
              <w:t>商务标</w:t>
            </w:r>
          </w:p>
        </w:tc>
        <w:tc>
          <w:tcPr>
            <w:tcW w:w="6378" w:type="dxa"/>
            <w:vAlign w:val="top"/>
          </w:tcPr>
          <w:p w14:paraId="6127C1B0">
            <w:pPr>
              <w:keepNext w:val="0"/>
              <w:keepLines w:val="0"/>
              <w:widowControl/>
              <w:suppressLineNumbers w:val="0"/>
              <w:jc w:val="left"/>
              <w:rPr>
                <w:highlight w:val="none"/>
              </w:rPr>
            </w:pPr>
            <w:r>
              <w:rPr>
                <w:rFonts w:ascii="仿宋" w:hAnsi="仿宋" w:eastAsia="仿宋" w:cs="仿宋"/>
                <w:snapToGrid w:val="0"/>
                <w:color w:val="000000"/>
                <w:kern w:val="0"/>
                <w:sz w:val="24"/>
                <w:szCs w:val="24"/>
                <w:highlight w:val="none"/>
                <w:lang w:val="en-US" w:eastAsia="zh-CN" w:bidi="ar"/>
              </w:rPr>
              <w:t xml:space="preserve">投标费率不能超过最高投标限价（100.00%） </w:t>
            </w:r>
          </w:p>
          <w:p w14:paraId="5D3B3196">
            <w:pPr>
              <w:keepNext w:val="0"/>
              <w:keepLines w:val="0"/>
              <w:widowControl/>
              <w:suppressLineNumbers w:val="0"/>
              <w:jc w:val="left"/>
              <w:rPr>
                <w:highlight w:val="none"/>
              </w:rPr>
            </w:pPr>
            <w:r>
              <w:rPr>
                <w:rFonts w:hint="eastAsia" w:ascii="仿宋" w:hAnsi="仿宋" w:eastAsia="仿宋" w:cs="仿宋"/>
                <w:b/>
                <w:bCs/>
                <w:snapToGrid w:val="0"/>
                <w:color w:val="000000"/>
                <w:kern w:val="0"/>
                <w:sz w:val="24"/>
                <w:szCs w:val="24"/>
                <w:highlight w:val="none"/>
                <w:lang w:val="en-US" w:eastAsia="zh-CN" w:bidi="ar"/>
              </w:rPr>
              <w:t xml:space="preserve">注：超过最高投标限价其投标文件将被否决。 </w:t>
            </w:r>
          </w:p>
          <w:p w14:paraId="39B8783C">
            <w:pPr>
              <w:keepNext w:val="0"/>
              <w:keepLines w:val="0"/>
              <w:widowControl/>
              <w:suppressLineNumbers w:val="0"/>
              <w:jc w:val="left"/>
              <w:rPr>
                <w:highlight w:val="none"/>
              </w:rPr>
            </w:pPr>
            <w:r>
              <w:rPr>
                <w:rFonts w:hint="eastAsia" w:ascii="仿宋" w:hAnsi="仿宋" w:eastAsia="仿宋" w:cs="仿宋"/>
                <w:snapToGrid w:val="0"/>
                <w:color w:val="000000"/>
                <w:kern w:val="0"/>
                <w:sz w:val="24"/>
                <w:szCs w:val="24"/>
                <w:highlight w:val="none"/>
                <w:lang w:val="en-US" w:eastAsia="zh-CN" w:bidi="ar"/>
              </w:rPr>
              <w:t>1、投标费率等于最高投标限价时得 F 分（F=30</w:t>
            </w:r>
            <w:r>
              <w:rPr>
                <w:rFonts w:hint="eastAsia" w:ascii="仿宋" w:hAnsi="仿宋" w:eastAsia="仿宋" w:cs="仿宋"/>
                <w:snapToGrid w:val="0"/>
                <w:color w:val="000000"/>
                <w:kern w:val="0"/>
                <w:sz w:val="23"/>
                <w:szCs w:val="23"/>
                <w:highlight w:val="none"/>
                <w:lang w:val="en-US" w:eastAsia="zh-CN" w:bidi="ar"/>
              </w:rPr>
              <w:t>），</w:t>
            </w:r>
            <w:r>
              <w:rPr>
                <w:rFonts w:hint="eastAsia" w:ascii="仿宋" w:hAnsi="仿宋" w:eastAsia="仿宋" w:cs="仿宋"/>
                <w:snapToGrid w:val="0"/>
                <w:color w:val="000000"/>
                <w:kern w:val="0"/>
                <w:sz w:val="24"/>
                <w:szCs w:val="24"/>
                <w:highlight w:val="none"/>
                <w:lang w:val="en-US" w:eastAsia="zh-CN" w:bidi="ar"/>
              </w:rPr>
              <w:t xml:space="preserve">在此基础上每下降 1 个百分点加1分，最高得 40 分。（得分保留两位小数，小数点后第三位四舍五入。） </w:t>
            </w:r>
          </w:p>
          <w:p w14:paraId="279703B3">
            <w:pPr>
              <w:keepNext w:val="0"/>
              <w:keepLines w:val="0"/>
              <w:widowControl/>
              <w:suppressLineNumbers w:val="0"/>
              <w:jc w:val="left"/>
              <w:rPr>
                <w:highlight w:val="none"/>
              </w:rPr>
            </w:pPr>
            <w:r>
              <w:rPr>
                <w:rFonts w:hint="eastAsia" w:ascii="仿宋" w:hAnsi="仿宋" w:eastAsia="仿宋" w:cs="仿宋"/>
                <w:snapToGrid w:val="0"/>
                <w:color w:val="000000"/>
                <w:kern w:val="0"/>
                <w:sz w:val="24"/>
                <w:szCs w:val="24"/>
                <w:highlight w:val="none"/>
                <w:lang w:val="en-US" w:eastAsia="zh-CN" w:bidi="ar"/>
              </w:rPr>
              <w:t>公式如下：投标总报价得分=F+（最高投标限价-投标费率）*100*1</w:t>
            </w:r>
          </w:p>
          <w:p w14:paraId="18A0EC74">
            <w:pPr>
              <w:pStyle w:val="25"/>
              <w:spacing w:before="1" w:line="223" w:lineRule="auto"/>
              <w:ind w:left="118" w:right="105"/>
              <w:rPr>
                <w:highlight w:val="none"/>
              </w:rPr>
            </w:pPr>
          </w:p>
        </w:tc>
        <w:tc>
          <w:tcPr>
            <w:tcW w:w="829" w:type="dxa"/>
            <w:vAlign w:val="top"/>
          </w:tcPr>
          <w:p w14:paraId="34462F2E">
            <w:pPr>
              <w:spacing w:line="243" w:lineRule="auto"/>
              <w:rPr>
                <w:rFonts w:ascii="Arial"/>
                <w:sz w:val="21"/>
                <w:highlight w:val="none"/>
              </w:rPr>
            </w:pPr>
          </w:p>
          <w:p w14:paraId="691BC29F">
            <w:pPr>
              <w:spacing w:line="243" w:lineRule="auto"/>
              <w:rPr>
                <w:rFonts w:ascii="Arial"/>
                <w:sz w:val="21"/>
                <w:highlight w:val="none"/>
              </w:rPr>
            </w:pPr>
          </w:p>
          <w:p w14:paraId="2F891F97">
            <w:pPr>
              <w:spacing w:line="243" w:lineRule="auto"/>
              <w:rPr>
                <w:rFonts w:ascii="Arial"/>
                <w:sz w:val="21"/>
                <w:highlight w:val="none"/>
              </w:rPr>
            </w:pPr>
          </w:p>
          <w:p w14:paraId="5B1AD377">
            <w:pPr>
              <w:pStyle w:val="25"/>
              <w:spacing w:before="78" w:line="238" w:lineRule="auto"/>
              <w:ind w:left="294"/>
              <w:rPr>
                <w:rFonts w:hint="eastAsia" w:eastAsia="仿宋"/>
                <w:highlight w:val="none"/>
                <w:lang w:val="en-US" w:eastAsia="zh-CN"/>
              </w:rPr>
            </w:pPr>
            <w:r>
              <w:rPr>
                <w:highlight w:val="none"/>
              </w:rPr>
              <w:t>4</w:t>
            </w:r>
            <w:r>
              <w:rPr>
                <w:rFonts w:hint="eastAsia"/>
                <w:highlight w:val="none"/>
                <w:lang w:val="en-US" w:eastAsia="zh-CN"/>
              </w:rPr>
              <w:t>0</w:t>
            </w:r>
          </w:p>
        </w:tc>
      </w:tr>
    </w:tbl>
    <w:p w14:paraId="74A4052E">
      <w:pPr>
        <w:spacing w:before="36" w:line="220" w:lineRule="auto"/>
        <w:ind w:left="134"/>
        <w:outlineLvl w:val="1"/>
        <w:rPr>
          <w:rFonts w:ascii="宋体" w:hAnsi="宋体" w:eastAsia="宋体" w:cs="宋体"/>
          <w:sz w:val="30"/>
          <w:szCs w:val="30"/>
          <w:highlight w:val="none"/>
        </w:rPr>
      </w:pPr>
      <w:bookmarkStart w:id="11" w:name="_Toc20325"/>
      <w:r>
        <w:rPr>
          <w:rFonts w:ascii="宋体" w:hAnsi="宋体" w:eastAsia="宋体" w:cs="宋体"/>
          <w:b/>
          <w:bCs/>
          <w:spacing w:val="-7"/>
          <w:sz w:val="30"/>
          <w:szCs w:val="30"/>
          <w:highlight w:val="none"/>
        </w:rPr>
        <w:t>（九）</w:t>
      </w:r>
      <w:r>
        <w:rPr>
          <w:rFonts w:ascii="宋体" w:hAnsi="宋体" w:eastAsia="宋体" w:cs="宋体"/>
          <w:spacing w:val="-79"/>
          <w:sz w:val="30"/>
          <w:szCs w:val="30"/>
          <w:highlight w:val="none"/>
        </w:rPr>
        <w:t xml:space="preserve"> </w:t>
      </w:r>
      <w:r>
        <w:rPr>
          <w:rFonts w:ascii="宋体" w:hAnsi="宋体" w:eastAsia="宋体" w:cs="宋体"/>
          <w:b/>
          <w:bCs/>
          <w:spacing w:val="-7"/>
          <w:sz w:val="30"/>
          <w:szCs w:val="30"/>
          <w:highlight w:val="none"/>
        </w:rPr>
        <w:t>综合评分法技术标（</w:t>
      </w:r>
      <w:r>
        <w:rPr>
          <w:rFonts w:hint="eastAsia" w:ascii="宋体" w:hAnsi="宋体" w:eastAsia="宋体" w:cs="宋体"/>
          <w:b/>
          <w:bCs/>
          <w:spacing w:val="-7"/>
          <w:sz w:val="30"/>
          <w:szCs w:val="30"/>
          <w:highlight w:val="none"/>
          <w:lang w:val="en-US" w:eastAsia="zh-CN"/>
        </w:rPr>
        <w:t>59</w:t>
      </w:r>
      <w:r>
        <w:rPr>
          <w:rFonts w:ascii="宋体" w:hAnsi="宋体" w:eastAsia="宋体" w:cs="宋体"/>
          <w:b/>
          <w:bCs/>
          <w:spacing w:val="-7"/>
          <w:sz w:val="30"/>
          <w:szCs w:val="30"/>
          <w:highlight w:val="none"/>
        </w:rPr>
        <w:t>分）分值计分方法</w:t>
      </w:r>
      <w:bookmarkEnd w:id="11"/>
    </w:p>
    <w:p w14:paraId="03227EAF">
      <w:pPr>
        <w:spacing w:before="228" w:line="210" w:lineRule="auto"/>
        <w:ind w:left="251"/>
        <w:rPr>
          <w:rFonts w:ascii="宋体" w:hAnsi="宋体" w:eastAsia="宋体" w:cs="宋体"/>
          <w:sz w:val="27"/>
          <w:szCs w:val="27"/>
          <w:highlight w:val="none"/>
        </w:rPr>
      </w:pPr>
      <w:r>
        <w:rPr>
          <w:rFonts w:ascii="宋体" w:hAnsi="宋体" w:eastAsia="宋体" w:cs="宋体"/>
          <w:b/>
          <w:bCs/>
          <w:sz w:val="27"/>
          <w:szCs w:val="27"/>
          <w:highlight w:val="none"/>
        </w:rPr>
        <w:t>技术标一评分（50</w:t>
      </w:r>
      <w:r>
        <w:rPr>
          <w:rFonts w:ascii="宋体" w:hAnsi="宋体" w:eastAsia="宋体" w:cs="宋体"/>
          <w:spacing w:val="-48"/>
          <w:sz w:val="27"/>
          <w:szCs w:val="27"/>
          <w:highlight w:val="none"/>
        </w:rPr>
        <w:t xml:space="preserve"> </w:t>
      </w:r>
      <w:r>
        <w:rPr>
          <w:rFonts w:ascii="宋体" w:hAnsi="宋体" w:eastAsia="宋体" w:cs="宋体"/>
          <w:b/>
          <w:bCs/>
          <w:sz w:val="27"/>
          <w:szCs w:val="27"/>
          <w:highlight w:val="none"/>
        </w:rPr>
        <w:t>分）</w:t>
      </w:r>
    </w:p>
    <w:tbl>
      <w:tblPr>
        <w:tblStyle w:val="24"/>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935"/>
        <w:gridCol w:w="1548"/>
        <w:gridCol w:w="5331"/>
        <w:gridCol w:w="693"/>
      </w:tblGrid>
      <w:tr w14:paraId="7BA4B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52" w:type="dxa"/>
            <w:gridSpan w:val="2"/>
            <w:vAlign w:val="top"/>
          </w:tcPr>
          <w:p w14:paraId="1D4E8F28">
            <w:pPr>
              <w:pStyle w:val="25"/>
              <w:spacing w:before="194" w:line="219" w:lineRule="auto"/>
              <w:ind w:left="479"/>
              <w:rPr>
                <w:highlight w:val="none"/>
              </w:rPr>
            </w:pPr>
            <w:r>
              <w:rPr>
                <w:spacing w:val="-5"/>
                <w:highlight w:val="none"/>
              </w:rPr>
              <w:t>条款号</w:t>
            </w:r>
          </w:p>
        </w:tc>
        <w:tc>
          <w:tcPr>
            <w:tcW w:w="1548" w:type="dxa"/>
            <w:vAlign w:val="top"/>
          </w:tcPr>
          <w:p w14:paraId="14C9A9C5">
            <w:pPr>
              <w:pStyle w:val="25"/>
              <w:spacing w:before="194" w:line="218" w:lineRule="auto"/>
              <w:ind w:left="306"/>
              <w:rPr>
                <w:highlight w:val="none"/>
              </w:rPr>
            </w:pPr>
            <w:r>
              <w:rPr>
                <w:spacing w:val="-4"/>
                <w:highlight w:val="none"/>
              </w:rPr>
              <w:t>评审因素</w:t>
            </w:r>
          </w:p>
        </w:tc>
        <w:tc>
          <w:tcPr>
            <w:tcW w:w="5331" w:type="dxa"/>
            <w:vAlign w:val="top"/>
          </w:tcPr>
          <w:p w14:paraId="5503A626">
            <w:pPr>
              <w:pStyle w:val="25"/>
              <w:spacing w:before="194" w:line="218" w:lineRule="auto"/>
              <w:ind w:left="2198"/>
              <w:rPr>
                <w:highlight w:val="none"/>
              </w:rPr>
            </w:pPr>
            <w:r>
              <w:rPr>
                <w:spacing w:val="-4"/>
                <w:highlight w:val="none"/>
              </w:rPr>
              <w:t>评分标准</w:t>
            </w:r>
          </w:p>
        </w:tc>
        <w:tc>
          <w:tcPr>
            <w:tcW w:w="693" w:type="dxa"/>
            <w:textDirection w:val="tbRlV"/>
            <w:vAlign w:val="top"/>
          </w:tcPr>
          <w:p w14:paraId="019CFEE0">
            <w:pPr>
              <w:pStyle w:val="25"/>
              <w:spacing w:before="224" w:line="201" w:lineRule="auto"/>
              <w:ind w:left="38"/>
              <w:rPr>
                <w:highlight w:val="none"/>
              </w:rPr>
            </w:pPr>
            <w:r>
              <w:rPr>
                <w:highlight w:val="none"/>
              </w:rPr>
              <w:t>满</w:t>
            </w:r>
            <w:r>
              <w:rPr>
                <w:spacing w:val="-48"/>
                <w:highlight w:val="none"/>
              </w:rPr>
              <w:t xml:space="preserve"> </w:t>
            </w:r>
            <w:r>
              <w:rPr>
                <w:highlight w:val="none"/>
              </w:rPr>
              <w:t>分</w:t>
            </w:r>
          </w:p>
        </w:tc>
      </w:tr>
      <w:tr w14:paraId="1B70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17" w:type="dxa"/>
            <w:vMerge w:val="restart"/>
            <w:tcBorders>
              <w:bottom w:val="nil"/>
              <w:right w:val="single" w:color="auto" w:sz="4" w:space="0"/>
            </w:tcBorders>
            <w:vAlign w:val="top"/>
          </w:tcPr>
          <w:p w14:paraId="3D7EB4F4">
            <w:pPr>
              <w:spacing w:line="252" w:lineRule="auto"/>
              <w:rPr>
                <w:rFonts w:ascii="Arial"/>
                <w:sz w:val="21"/>
                <w:highlight w:val="yellow"/>
              </w:rPr>
            </w:pPr>
          </w:p>
          <w:p w14:paraId="51ED7334">
            <w:pPr>
              <w:spacing w:line="252" w:lineRule="auto"/>
              <w:rPr>
                <w:rFonts w:ascii="Arial"/>
                <w:sz w:val="21"/>
                <w:highlight w:val="yellow"/>
              </w:rPr>
            </w:pPr>
          </w:p>
          <w:p w14:paraId="75DBC556">
            <w:pPr>
              <w:spacing w:line="252" w:lineRule="auto"/>
              <w:rPr>
                <w:rFonts w:ascii="Arial"/>
                <w:sz w:val="21"/>
                <w:highlight w:val="yellow"/>
              </w:rPr>
            </w:pPr>
          </w:p>
          <w:p w14:paraId="36DBF08E">
            <w:pPr>
              <w:spacing w:line="252" w:lineRule="auto"/>
              <w:rPr>
                <w:rFonts w:ascii="Arial"/>
                <w:sz w:val="21"/>
                <w:highlight w:val="yellow"/>
              </w:rPr>
            </w:pPr>
          </w:p>
          <w:p w14:paraId="2C2F9004">
            <w:pPr>
              <w:spacing w:line="252" w:lineRule="auto"/>
              <w:rPr>
                <w:rFonts w:ascii="Arial"/>
                <w:sz w:val="21"/>
                <w:highlight w:val="yellow"/>
              </w:rPr>
            </w:pPr>
          </w:p>
          <w:p w14:paraId="2749A377">
            <w:pPr>
              <w:spacing w:line="252" w:lineRule="auto"/>
              <w:rPr>
                <w:rFonts w:ascii="Arial"/>
                <w:sz w:val="21"/>
                <w:highlight w:val="yellow"/>
              </w:rPr>
            </w:pPr>
          </w:p>
          <w:p w14:paraId="4B94F91D">
            <w:pPr>
              <w:spacing w:line="252" w:lineRule="auto"/>
              <w:rPr>
                <w:rFonts w:ascii="Arial"/>
                <w:sz w:val="21"/>
                <w:highlight w:val="yellow"/>
              </w:rPr>
            </w:pPr>
          </w:p>
          <w:p w14:paraId="5D158B94">
            <w:pPr>
              <w:spacing w:line="252" w:lineRule="auto"/>
              <w:rPr>
                <w:rFonts w:ascii="Arial"/>
                <w:sz w:val="21"/>
                <w:highlight w:val="yellow"/>
              </w:rPr>
            </w:pPr>
          </w:p>
          <w:p w14:paraId="3B75401A">
            <w:pPr>
              <w:spacing w:line="253" w:lineRule="auto"/>
              <w:rPr>
                <w:rFonts w:ascii="Arial"/>
                <w:sz w:val="21"/>
                <w:highlight w:val="yellow"/>
              </w:rPr>
            </w:pPr>
          </w:p>
          <w:p w14:paraId="46E52684">
            <w:pPr>
              <w:spacing w:line="253" w:lineRule="auto"/>
              <w:rPr>
                <w:rFonts w:ascii="Arial"/>
                <w:sz w:val="21"/>
                <w:highlight w:val="yellow"/>
              </w:rPr>
            </w:pPr>
          </w:p>
          <w:p w14:paraId="2B00DBA4">
            <w:pPr>
              <w:spacing w:line="253" w:lineRule="auto"/>
              <w:rPr>
                <w:rFonts w:ascii="Arial"/>
                <w:sz w:val="21"/>
                <w:highlight w:val="yellow"/>
              </w:rPr>
            </w:pPr>
          </w:p>
          <w:p w14:paraId="38E7F298">
            <w:pPr>
              <w:spacing w:line="253" w:lineRule="auto"/>
              <w:rPr>
                <w:rFonts w:ascii="Arial"/>
                <w:sz w:val="21"/>
                <w:highlight w:val="yellow"/>
              </w:rPr>
            </w:pPr>
          </w:p>
          <w:p w14:paraId="0A85C8E9">
            <w:pPr>
              <w:spacing w:line="253" w:lineRule="auto"/>
              <w:rPr>
                <w:rFonts w:ascii="Arial"/>
                <w:sz w:val="21"/>
                <w:highlight w:val="yellow"/>
              </w:rPr>
            </w:pPr>
          </w:p>
          <w:p w14:paraId="3830523A">
            <w:pPr>
              <w:spacing w:line="253" w:lineRule="auto"/>
              <w:rPr>
                <w:rFonts w:ascii="Arial"/>
                <w:sz w:val="21"/>
                <w:highlight w:val="none"/>
              </w:rPr>
            </w:pPr>
          </w:p>
          <w:p w14:paraId="425E5049">
            <w:pPr>
              <w:pStyle w:val="25"/>
              <w:spacing w:before="78" w:line="220" w:lineRule="auto"/>
              <w:ind w:left="249"/>
              <w:rPr>
                <w:highlight w:val="none"/>
              </w:rPr>
            </w:pPr>
            <w:r>
              <w:rPr>
                <w:highlight w:val="none"/>
              </w:rPr>
              <w:t>技</w:t>
            </w:r>
          </w:p>
          <w:p w14:paraId="731EADBC">
            <w:pPr>
              <w:spacing w:line="255" w:lineRule="auto"/>
              <w:rPr>
                <w:rFonts w:ascii="Arial"/>
                <w:sz w:val="21"/>
                <w:highlight w:val="none"/>
              </w:rPr>
            </w:pPr>
          </w:p>
          <w:p w14:paraId="4D825EFB">
            <w:pPr>
              <w:pStyle w:val="25"/>
              <w:spacing w:before="78" w:line="218" w:lineRule="auto"/>
              <w:ind w:left="249"/>
              <w:rPr>
                <w:highlight w:val="none"/>
              </w:rPr>
            </w:pPr>
            <w:r>
              <w:rPr>
                <w:highlight w:val="none"/>
              </w:rPr>
              <w:t>术</w:t>
            </w:r>
          </w:p>
          <w:p w14:paraId="6E17DAD8">
            <w:pPr>
              <w:spacing w:line="258" w:lineRule="auto"/>
              <w:rPr>
                <w:rFonts w:ascii="Arial"/>
                <w:sz w:val="21"/>
                <w:highlight w:val="none"/>
              </w:rPr>
            </w:pPr>
          </w:p>
          <w:p w14:paraId="06ADB3B6">
            <w:pPr>
              <w:pStyle w:val="25"/>
              <w:spacing w:before="78" w:line="218" w:lineRule="auto"/>
              <w:ind w:left="247"/>
              <w:rPr>
                <w:highlight w:val="none"/>
              </w:rPr>
            </w:pPr>
            <w:r>
              <w:rPr>
                <w:highlight w:val="none"/>
              </w:rPr>
              <w:t>标</w:t>
            </w:r>
          </w:p>
          <w:p w14:paraId="74EAA3B7">
            <w:pPr>
              <w:pStyle w:val="25"/>
              <w:spacing w:before="125" w:line="179" w:lineRule="exact"/>
              <w:ind w:left="252"/>
              <w:rPr>
                <w:highlight w:val="none"/>
              </w:rPr>
            </w:pPr>
            <w:r>
              <w:rPr>
                <w:position w:val="-4"/>
                <w:highlight w:val="none"/>
              </w:rPr>
              <w:t>一</w:t>
            </w:r>
          </w:p>
          <w:p w14:paraId="2ECC39B3">
            <w:pPr>
              <w:pStyle w:val="25"/>
              <w:spacing w:before="37"/>
              <w:ind w:left="130" w:right="119" w:hanging="2"/>
              <w:rPr>
                <w:highlight w:val="yellow"/>
              </w:rPr>
            </w:pPr>
            <w:r>
              <w:rPr>
                <w:spacing w:val="-6"/>
                <w:highlight w:val="none"/>
              </w:rPr>
              <w:t>（50</w:t>
            </w:r>
            <w:r>
              <w:rPr>
                <w:spacing w:val="-18"/>
                <w:highlight w:val="none"/>
              </w:rPr>
              <w:t>分）</w:t>
            </w:r>
          </w:p>
        </w:tc>
        <w:tc>
          <w:tcPr>
            <w:tcW w:w="935" w:type="dxa"/>
            <w:vMerge w:val="restart"/>
            <w:tcBorders>
              <w:top w:val="single" w:color="auto" w:sz="4" w:space="0"/>
              <w:left w:val="single" w:color="auto" w:sz="4" w:space="0"/>
              <w:bottom w:val="nil"/>
            </w:tcBorders>
            <w:vAlign w:val="top"/>
          </w:tcPr>
          <w:p w14:paraId="1BF33226">
            <w:pPr>
              <w:spacing w:line="253" w:lineRule="auto"/>
              <w:rPr>
                <w:rFonts w:ascii="Arial"/>
                <w:sz w:val="21"/>
                <w:highlight w:val="none"/>
              </w:rPr>
            </w:pPr>
          </w:p>
          <w:p w14:paraId="6192EF6A">
            <w:pPr>
              <w:spacing w:line="253" w:lineRule="auto"/>
              <w:rPr>
                <w:rFonts w:ascii="Arial"/>
                <w:sz w:val="21"/>
                <w:highlight w:val="none"/>
              </w:rPr>
            </w:pPr>
          </w:p>
          <w:p w14:paraId="6B939707">
            <w:pPr>
              <w:spacing w:line="253" w:lineRule="auto"/>
              <w:rPr>
                <w:rFonts w:ascii="Arial"/>
                <w:sz w:val="21"/>
                <w:highlight w:val="none"/>
              </w:rPr>
            </w:pPr>
          </w:p>
          <w:p w14:paraId="2D741713">
            <w:pPr>
              <w:spacing w:line="253" w:lineRule="auto"/>
              <w:rPr>
                <w:rFonts w:ascii="Arial"/>
                <w:sz w:val="21"/>
                <w:highlight w:val="none"/>
              </w:rPr>
            </w:pPr>
          </w:p>
          <w:p w14:paraId="31A25927">
            <w:pPr>
              <w:spacing w:line="253" w:lineRule="auto"/>
              <w:rPr>
                <w:rFonts w:ascii="Arial"/>
                <w:sz w:val="21"/>
                <w:highlight w:val="none"/>
              </w:rPr>
            </w:pPr>
          </w:p>
          <w:p w14:paraId="59A3DAFE">
            <w:pPr>
              <w:spacing w:line="253" w:lineRule="auto"/>
              <w:rPr>
                <w:rFonts w:ascii="Arial"/>
                <w:sz w:val="21"/>
                <w:highlight w:val="none"/>
              </w:rPr>
            </w:pPr>
          </w:p>
          <w:p w14:paraId="2EB11EEB">
            <w:pPr>
              <w:spacing w:line="253" w:lineRule="auto"/>
              <w:rPr>
                <w:rFonts w:ascii="Arial"/>
                <w:sz w:val="21"/>
                <w:highlight w:val="none"/>
              </w:rPr>
            </w:pPr>
          </w:p>
          <w:p w14:paraId="4E8EC7A0">
            <w:pPr>
              <w:spacing w:line="253" w:lineRule="auto"/>
              <w:rPr>
                <w:rFonts w:ascii="Arial"/>
                <w:sz w:val="21"/>
                <w:highlight w:val="none"/>
              </w:rPr>
            </w:pPr>
          </w:p>
          <w:p w14:paraId="5E34B0C5">
            <w:pPr>
              <w:spacing w:line="253" w:lineRule="auto"/>
              <w:rPr>
                <w:rFonts w:ascii="Arial"/>
                <w:sz w:val="21"/>
                <w:highlight w:val="none"/>
              </w:rPr>
            </w:pPr>
          </w:p>
          <w:p w14:paraId="2D5D3E21">
            <w:pPr>
              <w:spacing w:line="253" w:lineRule="auto"/>
              <w:rPr>
                <w:rFonts w:ascii="Arial"/>
                <w:sz w:val="21"/>
                <w:highlight w:val="none"/>
              </w:rPr>
            </w:pPr>
          </w:p>
          <w:p w14:paraId="24A76C93">
            <w:pPr>
              <w:spacing w:line="254" w:lineRule="auto"/>
              <w:rPr>
                <w:rFonts w:ascii="Arial"/>
                <w:sz w:val="21"/>
                <w:highlight w:val="none"/>
              </w:rPr>
            </w:pPr>
          </w:p>
          <w:p w14:paraId="602FAAC1">
            <w:pPr>
              <w:spacing w:line="254" w:lineRule="auto"/>
              <w:rPr>
                <w:rFonts w:ascii="Arial"/>
                <w:sz w:val="21"/>
                <w:highlight w:val="none"/>
              </w:rPr>
            </w:pPr>
          </w:p>
          <w:p w14:paraId="19B2EB46">
            <w:pPr>
              <w:spacing w:line="254" w:lineRule="auto"/>
              <w:rPr>
                <w:rFonts w:ascii="Arial"/>
                <w:sz w:val="21"/>
                <w:highlight w:val="none"/>
              </w:rPr>
            </w:pPr>
          </w:p>
          <w:p w14:paraId="23D82391">
            <w:pPr>
              <w:spacing w:line="254" w:lineRule="auto"/>
              <w:rPr>
                <w:rFonts w:ascii="Arial"/>
                <w:sz w:val="21"/>
                <w:highlight w:val="none"/>
              </w:rPr>
            </w:pPr>
          </w:p>
          <w:p w14:paraId="07DFCB56">
            <w:pPr>
              <w:spacing w:line="254" w:lineRule="auto"/>
              <w:rPr>
                <w:rFonts w:ascii="Arial"/>
                <w:sz w:val="21"/>
                <w:highlight w:val="none"/>
              </w:rPr>
            </w:pPr>
          </w:p>
          <w:p w14:paraId="5394AE21">
            <w:pPr>
              <w:spacing w:line="254" w:lineRule="auto"/>
              <w:rPr>
                <w:rFonts w:ascii="Arial"/>
                <w:sz w:val="21"/>
                <w:highlight w:val="none"/>
              </w:rPr>
            </w:pPr>
          </w:p>
          <w:p w14:paraId="1330C90B">
            <w:pPr>
              <w:spacing w:line="254" w:lineRule="auto"/>
              <w:rPr>
                <w:rFonts w:ascii="Arial"/>
                <w:sz w:val="21"/>
                <w:highlight w:val="none"/>
              </w:rPr>
            </w:pPr>
          </w:p>
          <w:p w14:paraId="5CA5EE15">
            <w:pPr>
              <w:pStyle w:val="25"/>
              <w:spacing w:before="78"/>
              <w:ind w:left="158" w:right="116" w:hanging="5"/>
              <w:jc w:val="both"/>
              <w:rPr>
                <w:highlight w:val="none"/>
              </w:rPr>
            </w:pPr>
            <w:r>
              <w:rPr>
                <w:spacing w:val="-29"/>
                <w:highlight w:val="none"/>
              </w:rPr>
              <w:t>设计服</w:t>
            </w:r>
            <w:r>
              <w:rPr>
                <w:spacing w:val="-31"/>
                <w:highlight w:val="none"/>
              </w:rPr>
              <w:t>务方案</w:t>
            </w:r>
            <w:r>
              <w:rPr>
                <w:spacing w:val="-22"/>
                <w:w w:val="96"/>
                <w:highlight w:val="none"/>
              </w:rPr>
              <w:t>(</w:t>
            </w:r>
            <w:r>
              <w:rPr>
                <w:rFonts w:hint="eastAsia"/>
                <w:spacing w:val="-22"/>
                <w:w w:val="96"/>
                <w:highlight w:val="none"/>
                <w:lang w:val="en-US" w:eastAsia="zh-CN"/>
              </w:rPr>
              <w:t>20</w:t>
            </w:r>
            <w:r>
              <w:rPr>
                <w:spacing w:val="-22"/>
                <w:w w:val="96"/>
                <w:highlight w:val="none"/>
              </w:rPr>
              <w:t>分)</w:t>
            </w:r>
          </w:p>
        </w:tc>
        <w:tc>
          <w:tcPr>
            <w:tcW w:w="1548" w:type="dxa"/>
            <w:tcBorders>
              <w:top w:val="single" w:color="auto" w:sz="4" w:space="0"/>
              <w:right w:val="single" w:color="auto" w:sz="4" w:space="0"/>
            </w:tcBorders>
            <w:vAlign w:val="top"/>
          </w:tcPr>
          <w:p w14:paraId="51060F81">
            <w:pPr>
              <w:spacing w:line="253" w:lineRule="auto"/>
              <w:rPr>
                <w:rFonts w:ascii="Arial"/>
                <w:sz w:val="21"/>
                <w:highlight w:val="none"/>
              </w:rPr>
            </w:pPr>
          </w:p>
          <w:p w14:paraId="25284A87">
            <w:pPr>
              <w:spacing w:line="253" w:lineRule="auto"/>
              <w:rPr>
                <w:rFonts w:ascii="Arial"/>
                <w:sz w:val="21"/>
                <w:highlight w:val="none"/>
              </w:rPr>
            </w:pPr>
          </w:p>
          <w:p w14:paraId="76E798B6">
            <w:pPr>
              <w:spacing w:line="253" w:lineRule="auto"/>
              <w:rPr>
                <w:rFonts w:ascii="Arial"/>
                <w:sz w:val="21"/>
                <w:highlight w:val="none"/>
              </w:rPr>
            </w:pPr>
          </w:p>
          <w:p w14:paraId="1C59369E">
            <w:pPr>
              <w:pStyle w:val="25"/>
              <w:spacing w:before="78" w:line="218" w:lineRule="auto"/>
              <w:ind w:left="200"/>
              <w:rPr>
                <w:rFonts w:hint="default" w:eastAsia="仿宋"/>
                <w:highlight w:val="none"/>
                <w:lang w:val="en-US" w:eastAsia="zh-CN"/>
              </w:rPr>
            </w:pPr>
            <w:r>
              <w:rPr>
                <w:spacing w:val="-25"/>
                <w:highlight w:val="none"/>
              </w:rPr>
              <w:t>1、</w:t>
            </w:r>
            <w:r>
              <w:rPr>
                <w:rFonts w:hint="eastAsia"/>
                <w:spacing w:val="-25"/>
                <w:highlight w:val="none"/>
                <w:lang w:val="en-US" w:eastAsia="zh-CN"/>
              </w:rPr>
              <w:t>现状分析及设计理念</w:t>
            </w:r>
          </w:p>
        </w:tc>
        <w:tc>
          <w:tcPr>
            <w:tcW w:w="5331" w:type="dxa"/>
            <w:tcBorders>
              <w:left w:val="single" w:color="auto" w:sz="4" w:space="0"/>
            </w:tcBorders>
            <w:vAlign w:val="top"/>
          </w:tcPr>
          <w:p w14:paraId="2103A3C5">
            <w:pPr>
              <w:pStyle w:val="25"/>
              <w:spacing w:before="33" w:line="239" w:lineRule="auto"/>
              <w:ind w:left="139" w:right="101" w:firstLine="411"/>
              <w:rPr>
                <w:spacing w:val="-28"/>
                <w:highlight w:val="none"/>
              </w:rPr>
            </w:pPr>
            <w:r>
              <w:rPr>
                <w:spacing w:val="-28"/>
                <w:highlight w:val="none"/>
              </w:rPr>
              <w:t>对项目建设</w:t>
            </w:r>
            <w:r>
              <w:rPr>
                <w:rFonts w:hint="eastAsia"/>
                <w:spacing w:val="-28"/>
                <w:highlight w:val="none"/>
                <w:lang w:val="en-US" w:eastAsia="zh-CN"/>
              </w:rPr>
              <w:t>现状</w:t>
            </w:r>
            <w:r>
              <w:rPr>
                <w:spacing w:val="-28"/>
                <w:highlight w:val="none"/>
              </w:rPr>
              <w:t>条件的认识和掌握程度，对整体设计思路清晰</w:t>
            </w:r>
            <w:r>
              <w:rPr>
                <w:rFonts w:hint="eastAsia"/>
                <w:spacing w:val="-28"/>
                <w:highlight w:val="none"/>
                <w:lang w:eastAsia="zh-CN"/>
              </w:rPr>
              <w:t>、</w:t>
            </w:r>
            <w:r>
              <w:rPr>
                <w:spacing w:val="-28"/>
                <w:highlight w:val="none"/>
                <w:lang w:val="en-US" w:eastAsia="zh-CN"/>
              </w:rPr>
              <w:t>设计理念先进</w:t>
            </w:r>
            <w:r>
              <w:rPr>
                <w:rFonts w:hint="eastAsia"/>
                <w:spacing w:val="-28"/>
                <w:highlight w:val="none"/>
                <w:lang w:val="en-US" w:eastAsia="zh-CN"/>
              </w:rPr>
              <w:t>、契合项目</w:t>
            </w:r>
            <w:r>
              <w:rPr>
                <w:spacing w:val="-28"/>
                <w:highlight w:val="none"/>
              </w:rPr>
              <w:t>。</w:t>
            </w:r>
          </w:p>
          <w:p w14:paraId="63878E7C">
            <w:pPr>
              <w:pStyle w:val="25"/>
              <w:spacing w:before="2" w:line="239" w:lineRule="auto"/>
              <w:ind w:left="126" w:right="206" w:firstLine="423"/>
              <w:rPr>
                <w:highlight w:val="none"/>
              </w:rPr>
            </w:pPr>
            <w:r>
              <w:rPr>
                <w:spacing w:val="-24"/>
                <w:highlight w:val="none"/>
              </w:rPr>
              <w:t>评委根据描述的内容综合比较评审：</w:t>
            </w:r>
            <w:r>
              <w:rPr>
                <w:rFonts w:hint="eastAsia"/>
                <w:spacing w:val="-24"/>
                <w:highlight w:val="none"/>
                <w:lang w:eastAsia="zh-CN"/>
              </w:rPr>
              <w:t>优得3.0＜F ≤4.0 分，良得2.0≤F≤3.0 分，差得 0≤F&lt;2.0 分</w:t>
            </w:r>
            <w:r>
              <w:rPr>
                <w:spacing w:val="-22"/>
                <w:highlight w:val="none"/>
              </w:rPr>
              <w:t>。</w:t>
            </w:r>
          </w:p>
          <w:p w14:paraId="470E2B20">
            <w:pPr>
              <w:pStyle w:val="25"/>
              <w:spacing w:before="1" w:line="223" w:lineRule="auto"/>
              <w:ind w:left="118" w:right="105"/>
              <w:rPr>
                <w:highlight w:val="none"/>
              </w:rPr>
            </w:pPr>
            <w:r>
              <w:rPr>
                <w:spacing w:val="-25"/>
                <w:highlight w:val="none"/>
              </w:rPr>
              <w:t>未体现以上内容或上述内容描述不合理、不科学</w:t>
            </w:r>
            <w:r>
              <w:rPr>
                <w:spacing w:val="-26"/>
                <w:highlight w:val="none"/>
              </w:rPr>
              <w:t>的得</w:t>
            </w:r>
            <w:r>
              <w:rPr>
                <w:spacing w:val="-57"/>
                <w:highlight w:val="none"/>
              </w:rPr>
              <w:t xml:space="preserve"> </w:t>
            </w:r>
            <w:r>
              <w:rPr>
                <w:spacing w:val="-26"/>
                <w:highlight w:val="none"/>
              </w:rPr>
              <w:t>0</w:t>
            </w:r>
            <w:r>
              <w:rPr>
                <w:spacing w:val="-21"/>
                <w:highlight w:val="none"/>
              </w:rPr>
              <w:t>分。</w:t>
            </w:r>
          </w:p>
        </w:tc>
        <w:tc>
          <w:tcPr>
            <w:tcW w:w="693" w:type="dxa"/>
            <w:vAlign w:val="top"/>
          </w:tcPr>
          <w:p w14:paraId="22562304">
            <w:pPr>
              <w:spacing w:line="243" w:lineRule="auto"/>
              <w:rPr>
                <w:rFonts w:ascii="Arial"/>
                <w:sz w:val="21"/>
                <w:highlight w:val="none"/>
              </w:rPr>
            </w:pPr>
          </w:p>
          <w:p w14:paraId="58575E84">
            <w:pPr>
              <w:spacing w:line="243" w:lineRule="auto"/>
              <w:rPr>
                <w:rFonts w:ascii="Arial"/>
                <w:sz w:val="21"/>
                <w:highlight w:val="none"/>
              </w:rPr>
            </w:pPr>
          </w:p>
          <w:p w14:paraId="3525B5D3">
            <w:pPr>
              <w:spacing w:line="243" w:lineRule="auto"/>
              <w:rPr>
                <w:rFonts w:ascii="Arial"/>
                <w:sz w:val="21"/>
                <w:highlight w:val="none"/>
              </w:rPr>
            </w:pPr>
          </w:p>
          <w:p w14:paraId="3799FCDE">
            <w:pPr>
              <w:pStyle w:val="25"/>
              <w:spacing w:before="78" w:line="238" w:lineRule="auto"/>
              <w:ind w:left="294"/>
              <w:rPr>
                <w:rFonts w:hint="default" w:eastAsia="仿宋"/>
                <w:highlight w:val="none"/>
                <w:lang w:val="en-US" w:eastAsia="zh-CN"/>
              </w:rPr>
            </w:pPr>
            <w:r>
              <w:rPr>
                <w:rFonts w:hint="eastAsia"/>
                <w:highlight w:val="none"/>
                <w:lang w:val="en-US" w:eastAsia="zh-CN"/>
              </w:rPr>
              <w:t>4</w:t>
            </w:r>
          </w:p>
        </w:tc>
      </w:tr>
      <w:tr w14:paraId="50DC8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17" w:type="dxa"/>
            <w:vMerge w:val="continue"/>
            <w:tcBorders>
              <w:top w:val="nil"/>
              <w:bottom w:val="nil"/>
              <w:right w:val="single" w:color="auto" w:sz="4" w:space="0"/>
            </w:tcBorders>
            <w:vAlign w:val="top"/>
          </w:tcPr>
          <w:p w14:paraId="0764C867">
            <w:pPr>
              <w:rPr>
                <w:rFonts w:ascii="Arial"/>
                <w:sz w:val="21"/>
                <w:highlight w:val="yellow"/>
              </w:rPr>
            </w:pPr>
          </w:p>
        </w:tc>
        <w:tc>
          <w:tcPr>
            <w:tcW w:w="935" w:type="dxa"/>
            <w:vMerge w:val="continue"/>
            <w:tcBorders>
              <w:top w:val="nil"/>
              <w:left w:val="single" w:color="auto" w:sz="4" w:space="0"/>
              <w:bottom w:val="nil"/>
            </w:tcBorders>
            <w:vAlign w:val="top"/>
          </w:tcPr>
          <w:p w14:paraId="3BD517B8">
            <w:pPr>
              <w:rPr>
                <w:rFonts w:ascii="Arial"/>
                <w:sz w:val="21"/>
                <w:highlight w:val="none"/>
              </w:rPr>
            </w:pPr>
          </w:p>
        </w:tc>
        <w:tc>
          <w:tcPr>
            <w:tcW w:w="1548" w:type="dxa"/>
            <w:tcBorders>
              <w:right w:val="single" w:color="auto" w:sz="4" w:space="0"/>
            </w:tcBorders>
            <w:vAlign w:val="top"/>
          </w:tcPr>
          <w:p w14:paraId="44BD6599">
            <w:pPr>
              <w:spacing w:line="309" w:lineRule="auto"/>
              <w:rPr>
                <w:rFonts w:ascii="Arial"/>
                <w:sz w:val="21"/>
                <w:highlight w:val="none"/>
              </w:rPr>
            </w:pPr>
          </w:p>
          <w:p w14:paraId="3E03B361">
            <w:pPr>
              <w:spacing w:line="309" w:lineRule="auto"/>
              <w:rPr>
                <w:rFonts w:ascii="Arial"/>
                <w:sz w:val="21"/>
                <w:highlight w:val="none"/>
              </w:rPr>
            </w:pPr>
          </w:p>
          <w:p w14:paraId="7D8205DB">
            <w:pPr>
              <w:pStyle w:val="25"/>
              <w:spacing w:before="78" w:line="221" w:lineRule="auto"/>
              <w:ind w:left="570" w:right="103" w:hanging="456"/>
              <w:rPr>
                <w:rFonts w:hint="default" w:eastAsia="仿宋"/>
                <w:highlight w:val="none"/>
                <w:lang w:val="en-US" w:eastAsia="zh-CN"/>
              </w:rPr>
            </w:pPr>
            <w:r>
              <w:rPr>
                <w:spacing w:val="-34"/>
                <w:highlight w:val="none"/>
              </w:rPr>
              <w:t>2、</w:t>
            </w:r>
            <w:r>
              <w:rPr>
                <w:rFonts w:hint="eastAsia"/>
                <w:spacing w:val="-34"/>
                <w:highlight w:val="none"/>
                <w:lang w:val="en-US" w:eastAsia="zh-CN"/>
              </w:rPr>
              <w:t>总体设计及详细设计</w:t>
            </w:r>
          </w:p>
        </w:tc>
        <w:tc>
          <w:tcPr>
            <w:tcW w:w="5331" w:type="dxa"/>
            <w:tcBorders>
              <w:left w:val="single" w:color="auto" w:sz="4" w:space="0"/>
            </w:tcBorders>
            <w:vAlign w:val="top"/>
          </w:tcPr>
          <w:p w14:paraId="6298C3F8">
            <w:pPr>
              <w:pStyle w:val="25"/>
              <w:spacing w:before="34" w:line="239" w:lineRule="auto"/>
              <w:ind w:left="117" w:right="101" w:firstLine="432"/>
              <w:rPr>
                <w:highlight w:val="none"/>
              </w:rPr>
            </w:pPr>
            <w:r>
              <w:rPr>
                <w:rFonts w:hint="eastAsia"/>
                <w:spacing w:val="-24"/>
                <w:highlight w:val="none"/>
                <w:lang w:val="en-US" w:eastAsia="zh-CN"/>
              </w:rPr>
              <w:t>方案设计新颖、平面布局合理、功能符合需求；分析图、效果图完善</w:t>
            </w:r>
            <w:r>
              <w:rPr>
                <w:spacing w:val="-24"/>
                <w:highlight w:val="none"/>
              </w:rPr>
              <w:t>。</w:t>
            </w:r>
          </w:p>
          <w:p w14:paraId="46F8CC98">
            <w:pPr>
              <w:pStyle w:val="25"/>
              <w:ind w:left="126" w:right="206" w:firstLine="423"/>
              <w:rPr>
                <w:highlight w:val="none"/>
              </w:rPr>
            </w:pPr>
            <w:r>
              <w:rPr>
                <w:spacing w:val="-21"/>
                <w:highlight w:val="none"/>
              </w:rPr>
              <w:t>评委根据描述的内容综合比较评审：</w:t>
            </w:r>
            <w:r>
              <w:rPr>
                <w:rFonts w:hint="eastAsia"/>
                <w:spacing w:val="-24"/>
                <w:highlight w:val="none"/>
                <w:lang w:eastAsia="zh-CN"/>
              </w:rPr>
              <w:t>优得3.0＜F ≤4.0 分，良得2.0≤F≤3.0 分，差得 0≤F&lt;2.0 分</w:t>
            </w:r>
            <w:r>
              <w:rPr>
                <w:spacing w:val="-22"/>
                <w:highlight w:val="none"/>
              </w:rPr>
              <w:t>。</w:t>
            </w:r>
          </w:p>
          <w:p w14:paraId="14C736CA">
            <w:pPr>
              <w:pStyle w:val="25"/>
              <w:spacing w:before="1" w:line="223" w:lineRule="auto"/>
              <w:ind w:left="118" w:right="105"/>
              <w:rPr>
                <w:highlight w:val="none"/>
              </w:rPr>
            </w:pPr>
            <w:r>
              <w:rPr>
                <w:spacing w:val="-25"/>
                <w:highlight w:val="none"/>
              </w:rPr>
              <w:t>未体现以上内容或上述内容描述不合理、不科学</w:t>
            </w:r>
            <w:r>
              <w:rPr>
                <w:spacing w:val="-26"/>
                <w:highlight w:val="none"/>
              </w:rPr>
              <w:t>的得</w:t>
            </w:r>
            <w:r>
              <w:rPr>
                <w:spacing w:val="-57"/>
                <w:highlight w:val="none"/>
              </w:rPr>
              <w:t xml:space="preserve"> </w:t>
            </w:r>
            <w:r>
              <w:rPr>
                <w:spacing w:val="-26"/>
                <w:highlight w:val="none"/>
              </w:rPr>
              <w:t>0</w:t>
            </w:r>
            <w:r>
              <w:rPr>
                <w:spacing w:val="-21"/>
                <w:highlight w:val="none"/>
              </w:rPr>
              <w:t>分。</w:t>
            </w:r>
          </w:p>
        </w:tc>
        <w:tc>
          <w:tcPr>
            <w:tcW w:w="693" w:type="dxa"/>
            <w:vAlign w:val="top"/>
          </w:tcPr>
          <w:p w14:paraId="2D81C7BE">
            <w:pPr>
              <w:spacing w:line="243" w:lineRule="auto"/>
              <w:rPr>
                <w:rFonts w:ascii="Arial"/>
                <w:sz w:val="21"/>
                <w:highlight w:val="none"/>
              </w:rPr>
            </w:pPr>
          </w:p>
          <w:p w14:paraId="73AF927F">
            <w:pPr>
              <w:spacing w:line="243" w:lineRule="auto"/>
              <w:rPr>
                <w:rFonts w:ascii="Arial"/>
                <w:sz w:val="21"/>
                <w:highlight w:val="none"/>
              </w:rPr>
            </w:pPr>
          </w:p>
          <w:p w14:paraId="0179AB36">
            <w:pPr>
              <w:spacing w:line="243" w:lineRule="auto"/>
              <w:rPr>
                <w:rFonts w:ascii="Arial"/>
                <w:sz w:val="21"/>
                <w:highlight w:val="none"/>
              </w:rPr>
            </w:pPr>
          </w:p>
          <w:p w14:paraId="3C96BBFC">
            <w:pPr>
              <w:pStyle w:val="25"/>
              <w:spacing w:before="78" w:line="238" w:lineRule="auto"/>
              <w:ind w:left="294"/>
              <w:rPr>
                <w:rFonts w:hint="eastAsia" w:eastAsia="仿宋"/>
                <w:highlight w:val="none"/>
                <w:lang w:eastAsia="zh-CN"/>
              </w:rPr>
            </w:pPr>
            <w:r>
              <w:rPr>
                <w:rFonts w:hint="eastAsia"/>
                <w:highlight w:val="none"/>
                <w:lang w:val="en-US" w:eastAsia="zh-CN"/>
              </w:rPr>
              <w:t>4</w:t>
            </w:r>
          </w:p>
        </w:tc>
      </w:tr>
      <w:tr w14:paraId="12C4A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717" w:type="dxa"/>
            <w:vMerge w:val="continue"/>
            <w:tcBorders>
              <w:top w:val="nil"/>
              <w:bottom w:val="nil"/>
              <w:right w:val="single" w:color="auto" w:sz="4" w:space="0"/>
            </w:tcBorders>
            <w:vAlign w:val="top"/>
          </w:tcPr>
          <w:p w14:paraId="7FA88EFB">
            <w:pPr>
              <w:rPr>
                <w:rFonts w:ascii="Arial"/>
                <w:sz w:val="21"/>
                <w:highlight w:val="yellow"/>
              </w:rPr>
            </w:pPr>
          </w:p>
        </w:tc>
        <w:tc>
          <w:tcPr>
            <w:tcW w:w="935" w:type="dxa"/>
            <w:vMerge w:val="continue"/>
            <w:tcBorders>
              <w:top w:val="nil"/>
              <w:left w:val="single" w:color="auto" w:sz="4" w:space="0"/>
              <w:bottom w:val="nil"/>
            </w:tcBorders>
            <w:vAlign w:val="top"/>
          </w:tcPr>
          <w:p w14:paraId="296DF0D5">
            <w:pPr>
              <w:rPr>
                <w:rFonts w:ascii="Arial"/>
                <w:sz w:val="21"/>
                <w:highlight w:val="none"/>
              </w:rPr>
            </w:pPr>
          </w:p>
        </w:tc>
        <w:tc>
          <w:tcPr>
            <w:tcW w:w="1548" w:type="dxa"/>
            <w:tcBorders>
              <w:right w:val="single" w:color="auto" w:sz="4" w:space="0"/>
            </w:tcBorders>
            <w:vAlign w:val="top"/>
          </w:tcPr>
          <w:p w14:paraId="68AB19BA">
            <w:pPr>
              <w:spacing w:line="310" w:lineRule="auto"/>
              <w:rPr>
                <w:rFonts w:ascii="Arial"/>
                <w:sz w:val="21"/>
                <w:highlight w:val="none"/>
              </w:rPr>
            </w:pPr>
          </w:p>
          <w:p w14:paraId="3FDF0497">
            <w:pPr>
              <w:spacing w:line="310" w:lineRule="auto"/>
              <w:rPr>
                <w:rFonts w:ascii="Arial"/>
                <w:sz w:val="21"/>
                <w:highlight w:val="none"/>
              </w:rPr>
            </w:pPr>
          </w:p>
          <w:p w14:paraId="3FAA5572">
            <w:pPr>
              <w:pStyle w:val="25"/>
              <w:spacing w:before="78" w:line="223" w:lineRule="auto"/>
              <w:ind w:left="673" w:right="118" w:hanging="557"/>
              <w:rPr>
                <w:rFonts w:hint="default" w:eastAsia="仿宋"/>
                <w:highlight w:val="none"/>
                <w:lang w:val="en-US" w:eastAsia="zh-CN"/>
              </w:rPr>
            </w:pPr>
            <w:r>
              <w:rPr>
                <w:spacing w:val="-36"/>
                <w:highlight w:val="none"/>
              </w:rPr>
              <w:t>3、</w:t>
            </w:r>
            <w:r>
              <w:rPr>
                <w:rFonts w:hint="eastAsia"/>
                <w:spacing w:val="-36"/>
                <w:highlight w:val="none"/>
                <w:lang w:val="en-US" w:eastAsia="zh-CN"/>
              </w:rPr>
              <w:t>设计图纸</w:t>
            </w:r>
          </w:p>
        </w:tc>
        <w:tc>
          <w:tcPr>
            <w:tcW w:w="5331" w:type="dxa"/>
            <w:tcBorders>
              <w:left w:val="single" w:color="auto" w:sz="4" w:space="0"/>
            </w:tcBorders>
            <w:vAlign w:val="top"/>
          </w:tcPr>
          <w:p w14:paraId="0D664127">
            <w:pPr>
              <w:pStyle w:val="25"/>
              <w:spacing w:before="35"/>
              <w:ind w:right="101" w:firstLine="368" w:firstLineChars="200"/>
              <w:rPr>
                <w:highlight w:val="none"/>
              </w:rPr>
            </w:pPr>
            <w:r>
              <w:rPr>
                <w:rFonts w:hint="eastAsia"/>
                <w:spacing w:val="-28"/>
                <w:highlight w:val="none"/>
                <w:lang w:val="en-US" w:eastAsia="zh-CN"/>
              </w:rPr>
              <w:t>各专业图纸完整，设计深度需达到施工图设计深度</w:t>
            </w:r>
            <w:r>
              <w:rPr>
                <w:spacing w:val="-26"/>
                <w:highlight w:val="none"/>
              </w:rPr>
              <w:t>。</w:t>
            </w:r>
          </w:p>
          <w:p w14:paraId="7E3C7352">
            <w:pPr>
              <w:pStyle w:val="25"/>
              <w:spacing w:line="239" w:lineRule="auto"/>
              <w:ind w:left="126" w:right="206" w:firstLine="423"/>
              <w:rPr>
                <w:highlight w:val="none"/>
              </w:rPr>
            </w:pPr>
            <w:r>
              <w:rPr>
                <w:spacing w:val="-24"/>
                <w:highlight w:val="none"/>
              </w:rPr>
              <w:t>评委根据描述的内容综合比较评审：</w:t>
            </w:r>
            <w:r>
              <w:rPr>
                <w:rFonts w:hint="eastAsia"/>
                <w:spacing w:val="-24"/>
                <w:highlight w:val="none"/>
                <w:lang w:eastAsia="zh-CN"/>
              </w:rPr>
              <w:t>优得3.0＜F ≤4.0 分，良得2.0≤F≤3.0 分，差得 0≤F&lt;2.0 分</w:t>
            </w:r>
            <w:r>
              <w:rPr>
                <w:spacing w:val="-22"/>
                <w:highlight w:val="none"/>
              </w:rPr>
              <w:t>。</w:t>
            </w:r>
          </w:p>
          <w:p w14:paraId="1A16E4C4">
            <w:pPr>
              <w:pStyle w:val="25"/>
              <w:spacing w:before="1" w:line="223" w:lineRule="auto"/>
              <w:ind w:left="118" w:right="105"/>
              <w:rPr>
                <w:highlight w:val="none"/>
              </w:rPr>
            </w:pPr>
            <w:r>
              <w:rPr>
                <w:spacing w:val="-25"/>
                <w:highlight w:val="none"/>
              </w:rPr>
              <w:t>未体现以上内容或上述内容描述不合理、不科学</w:t>
            </w:r>
            <w:r>
              <w:rPr>
                <w:spacing w:val="-26"/>
                <w:highlight w:val="none"/>
              </w:rPr>
              <w:t>的得</w:t>
            </w:r>
            <w:r>
              <w:rPr>
                <w:spacing w:val="-57"/>
                <w:highlight w:val="none"/>
              </w:rPr>
              <w:t xml:space="preserve"> </w:t>
            </w:r>
            <w:r>
              <w:rPr>
                <w:spacing w:val="-26"/>
                <w:highlight w:val="none"/>
              </w:rPr>
              <w:t>0</w:t>
            </w:r>
            <w:r>
              <w:rPr>
                <w:spacing w:val="-21"/>
                <w:highlight w:val="none"/>
              </w:rPr>
              <w:t>分。</w:t>
            </w:r>
          </w:p>
        </w:tc>
        <w:tc>
          <w:tcPr>
            <w:tcW w:w="693" w:type="dxa"/>
            <w:vAlign w:val="top"/>
          </w:tcPr>
          <w:p w14:paraId="4E2187B2">
            <w:pPr>
              <w:spacing w:line="244" w:lineRule="auto"/>
              <w:rPr>
                <w:rFonts w:ascii="Arial"/>
                <w:sz w:val="21"/>
                <w:highlight w:val="none"/>
              </w:rPr>
            </w:pPr>
          </w:p>
          <w:p w14:paraId="0AEEF4B4">
            <w:pPr>
              <w:spacing w:line="244" w:lineRule="auto"/>
              <w:rPr>
                <w:rFonts w:ascii="Arial"/>
                <w:sz w:val="21"/>
                <w:highlight w:val="none"/>
              </w:rPr>
            </w:pPr>
          </w:p>
          <w:p w14:paraId="77A4DFA8">
            <w:pPr>
              <w:spacing w:line="245" w:lineRule="auto"/>
              <w:rPr>
                <w:rFonts w:ascii="Arial"/>
                <w:sz w:val="21"/>
                <w:highlight w:val="none"/>
              </w:rPr>
            </w:pPr>
          </w:p>
          <w:p w14:paraId="6206962E">
            <w:pPr>
              <w:pStyle w:val="25"/>
              <w:spacing w:before="78" w:line="238" w:lineRule="auto"/>
              <w:ind w:left="294"/>
              <w:rPr>
                <w:rFonts w:hint="eastAsia" w:eastAsia="仿宋"/>
                <w:highlight w:val="none"/>
                <w:lang w:eastAsia="zh-CN"/>
              </w:rPr>
            </w:pPr>
            <w:r>
              <w:rPr>
                <w:rFonts w:hint="eastAsia"/>
                <w:highlight w:val="none"/>
                <w:lang w:val="en-US" w:eastAsia="zh-CN"/>
              </w:rPr>
              <w:t>4</w:t>
            </w:r>
          </w:p>
        </w:tc>
      </w:tr>
      <w:tr w14:paraId="4C02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17" w:type="dxa"/>
            <w:vMerge w:val="continue"/>
            <w:tcBorders>
              <w:top w:val="nil"/>
              <w:bottom w:val="nil"/>
              <w:right w:val="single" w:color="auto" w:sz="4" w:space="0"/>
            </w:tcBorders>
            <w:vAlign w:val="top"/>
          </w:tcPr>
          <w:p w14:paraId="57E8CCA2">
            <w:pPr>
              <w:rPr>
                <w:rFonts w:ascii="Arial"/>
                <w:sz w:val="21"/>
                <w:highlight w:val="yellow"/>
              </w:rPr>
            </w:pPr>
          </w:p>
        </w:tc>
        <w:tc>
          <w:tcPr>
            <w:tcW w:w="935" w:type="dxa"/>
            <w:vMerge w:val="continue"/>
            <w:tcBorders>
              <w:top w:val="nil"/>
              <w:left w:val="single" w:color="auto" w:sz="4" w:space="0"/>
              <w:bottom w:val="nil"/>
            </w:tcBorders>
            <w:vAlign w:val="top"/>
          </w:tcPr>
          <w:p w14:paraId="7C9129BA">
            <w:pPr>
              <w:rPr>
                <w:rFonts w:ascii="Arial"/>
                <w:sz w:val="21"/>
                <w:highlight w:val="none"/>
              </w:rPr>
            </w:pPr>
          </w:p>
        </w:tc>
        <w:tc>
          <w:tcPr>
            <w:tcW w:w="1548" w:type="dxa"/>
            <w:tcBorders>
              <w:right w:val="single" w:color="auto" w:sz="4" w:space="0"/>
            </w:tcBorders>
            <w:vAlign w:val="top"/>
          </w:tcPr>
          <w:p w14:paraId="6744D713">
            <w:pPr>
              <w:spacing w:line="243" w:lineRule="auto"/>
              <w:rPr>
                <w:rFonts w:ascii="Arial"/>
                <w:sz w:val="21"/>
                <w:highlight w:val="none"/>
              </w:rPr>
            </w:pPr>
          </w:p>
          <w:p w14:paraId="2DB818EB">
            <w:pPr>
              <w:spacing w:line="244" w:lineRule="auto"/>
              <w:rPr>
                <w:rFonts w:ascii="Arial"/>
                <w:sz w:val="21"/>
                <w:highlight w:val="none"/>
              </w:rPr>
            </w:pPr>
          </w:p>
          <w:p w14:paraId="29370752">
            <w:pPr>
              <w:spacing w:line="244" w:lineRule="auto"/>
              <w:rPr>
                <w:rFonts w:ascii="Arial"/>
                <w:sz w:val="21"/>
                <w:highlight w:val="none"/>
              </w:rPr>
            </w:pPr>
          </w:p>
          <w:p w14:paraId="7A3E48E5">
            <w:pPr>
              <w:pStyle w:val="25"/>
              <w:spacing w:before="78" w:line="242" w:lineRule="auto"/>
              <w:ind w:left="458" w:right="120" w:hanging="347"/>
              <w:rPr>
                <w:rFonts w:hint="default" w:eastAsia="仿宋"/>
                <w:highlight w:val="none"/>
                <w:lang w:val="en-US" w:eastAsia="zh-CN"/>
              </w:rPr>
            </w:pPr>
            <w:r>
              <w:rPr>
                <w:spacing w:val="-36"/>
                <w:highlight w:val="none"/>
              </w:rPr>
              <w:t>4、</w:t>
            </w:r>
            <w:r>
              <w:rPr>
                <w:rFonts w:hint="eastAsia"/>
                <w:spacing w:val="-36"/>
                <w:highlight w:val="none"/>
                <w:lang w:val="en-US" w:eastAsia="zh-CN"/>
              </w:rPr>
              <w:t>设计的质量保证措施</w:t>
            </w:r>
          </w:p>
        </w:tc>
        <w:tc>
          <w:tcPr>
            <w:tcW w:w="5331" w:type="dxa"/>
            <w:tcBorders>
              <w:left w:val="single" w:color="auto" w:sz="4" w:space="0"/>
            </w:tcBorders>
            <w:vAlign w:val="top"/>
          </w:tcPr>
          <w:p w14:paraId="06A82727">
            <w:pPr>
              <w:pStyle w:val="25"/>
              <w:spacing w:before="38" w:line="239" w:lineRule="auto"/>
              <w:ind w:left="118" w:right="66" w:firstLine="432"/>
              <w:jc w:val="both"/>
              <w:rPr>
                <w:highlight w:val="none"/>
              </w:rPr>
            </w:pPr>
            <w:r>
              <w:rPr>
                <w:spacing w:val="-26"/>
                <w:highlight w:val="none"/>
              </w:rPr>
              <w:t>对项目设计的质量保证体系完整、措施科学合理、</w:t>
            </w:r>
            <w:r>
              <w:rPr>
                <w:spacing w:val="-28"/>
                <w:highlight w:val="none"/>
              </w:rPr>
              <w:t>后续服务的安排及保证措施完善、能有效保证设计质量</w:t>
            </w:r>
            <w:r>
              <w:rPr>
                <w:spacing w:val="-21"/>
                <w:highlight w:val="none"/>
              </w:rPr>
              <w:t>等。</w:t>
            </w:r>
          </w:p>
          <w:p w14:paraId="739603FE">
            <w:pPr>
              <w:pStyle w:val="25"/>
              <w:spacing w:line="239" w:lineRule="auto"/>
              <w:ind w:left="126" w:right="206" w:firstLine="423"/>
              <w:rPr>
                <w:highlight w:val="none"/>
              </w:rPr>
            </w:pPr>
            <w:r>
              <w:rPr>
                <w:spacing w:val="-24"/>
                <w:highlight w:val="none"/>
              </w:rPr>
              <w:t>评委根据描述的内容综合比较评审：</w:t>
            </w:r>
            <w:r>
              <w:rPr>
                <w:rFonts w:hint="eastAsia"/>
                <w:spacing w:val="-24"/>
                <w:highlight w:val="none"/>
                <w:lang w:eastAsia="zh-CN"/>
              </w:rPr>
              <w:t>优得3.0＜F ≤4.0 分，良得2.0≤F≤3.0 分，差得 0≤F&lt;2.0 分</w:t>
            </w:r>
            <w:r>
              <w:rPr>
                <w:spacing w:val="-22"/>
                <w:highlight w:val="none"/>
              </w:rPr>
              <w:t>。</w:t>
            </w:r>
          </w:p>
          <w:p w14:paraId="383D178A">
            <w:pPr>
              <w:pStyle w:val="25"/>
              <w:spacing w:line="223" w:lineRule="auto"/>
              <w:ind w:left="118" w:right="105"/>
              <w:rPr>
                <w:highlight w:val="none"/>
              </w:rPr>
            </w:pPr>
            <w:r>
              <w:rPr>
                <w:spacing w:val="-25"/>
                <w:highlight w:val="none"/>
              </w:rPr>
              <w:t>未体现以上内容或上述内容描述不合理、不科学</w:t>
            </w:r>
            <w:r>
              <w:rPr>
                <w:spacing w:val="-26"/>
                <w:highlight w:val="none"/>
              </w:rPr>
              <w:t>的得</w:t>
            </w:r>
            <w:r>
              <w:rPr>
                <w:spacing w:val="-57"/>
                <w:highlight w:val="none"/>
              </w:rPr>
              <w:t xml:space="preserve"> </w:t>
            </w:r>
            <w:r>
              <w:rPr>
                <w:spacing w:val="-26"/>
                <w:highlight w:val="none"/>
              </w:rPr>
              <w:t>0</w:t>
            </w:r>
            <w:r>
              <w:rPr>
                <w:spacing w:val="-21"/>
                <w:highlight w:val="none"/>
              </w:rPr>
              <w:t>分。</w:t>
            </w:r>
          </w:p>
        </w:tc>
        <w:tc>
          <w:tcPr>
            <w:tcW w:w="693" w:type="dxa"/>
            <w:vAlign w:val="top"/>
          </w:tcPr>
          <w:p w14:paraId="179E23D9">
            <w:pPr>
              <w:spacing w:line="295" w:lineRule="auto"/>
              <w:rPr>
                <w:rFonts w:ascii="Arial"/>
                <w:sz w:val="21"/>
                <w:highlight w:val="none"/>
              </w:rPr>
            </w:pPr>
          </w:p>
          <w:p w14:paraId="06ADE507">
            <w:pPr>
              <w:spacing w:line="296" w:lineRule="auto"/>
              <w:rPr>
                <w:rFonts w:ascii="Arial"/>
                <w:sz w:val="21"/>
                <w:highlight w:val="none"/>
              </w:rPr>
            </w:pPr>
          </w:p>
          <w:p w14:paraId="6278CC81">
            <w:pPr>
              <w:spacing w:line="296" w:lineRule="auto"/>
              <w:rPr>
                <w:rFonts w:ascii="Arial"/>
                <w:sz w:val="21"/>
                <w:highlight w:val="none"/>
              </w:rPr>
            </w:pPr>
          </w:p>
          <w:p w14:paraId="09B2882D">
            <w:pPr>
              <w:pStyle w:val="25"/>
              <w:spacing w:before="78" w:line="238" w:lineRule="auto"/>
              <w:ind w:left="330"/>
              <w:rPr>
                <w:rFonts w:hint="eastAsia" w:eastAsia="仿宋"/>
                <w:highlight w:val="none"/>
                <w:lang w:eastAsia="zh-CN"/>
              </w:rPr>
            </w:pPr>
            <w:r>
              <w:rPr>
                <w:rFonts w:hint="eastAsia"/>
                <w:highlight w:val="none"/>
                <w:lang w:val="en-US" w:eastAsia="zh-CN"/>
              </w:rPr>
              <w:t>4</w:t>
            </w:r>
          </w:p>
        </w:tc>
      </w:tr>
      <w:tr w14:paraId="4374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6" w:hRule="atLeast"/>
        </w:trPr>
        <w:tc>
          <w:tcPr>
            <w:tcW w:w="717" w:type="dxa"/>
            <w:vMerge w:val="continue"/>
            <w:tcBorders>
              <w:top w:val="nil"/>
              <w:bottom w:val="nil"/>
              <w:right w:val="single" w:color="auto" w:sz="4" w:space="0"/>
            </w:tcBorders>
            <w:vAlign w:val="top"/>
          </w:tcPr>
          <w:p w14:paraId="638F67A6">
            <w:pPr>
              <w:rPr>
                <w:rFonts w:ascii="Arial"/>
                <w:sz w:val="21"/>
                <w:highlight w:val="yellow"/>
              </w:rPr>
            </w:pPr>
          </w:p>
        </w:tc>
        <w:tc>
          <w:tcPr>
            <w:tcW w:w="935" w:type="dxa"/>
            <w:vMerge w:val="continue"/>
            <w:tcBorders>
              <w:top w:val="nil"/>
              <w:left w:val="single" w:color="auto" w:sz="4" w:space="0"/>
              <w:bottom w:val="single" w:color="auto" w:sz="4" w:space="0"/>
            </w:tcBorders>
            <w:vAlign w:val="top"/>
          </w:tcPr>
          <w:p w14:paraId="02531499">
            <w:pPr>
              <w:rPr>
                <w:rFonts w:ascii="Arial"/>
                <w:sz w:val="21"/>
                <w:highlight w:val="none"/>
              </w:rPr>
            </w:pPr>
          </w:p>
        </w:tc>
        <w:tc>
          <w:tcPr>
            <w:tcW w:w="1548" w:type="dxa"/>
            <w:tcBorders>
              <w:bottom w:val="single" w:color="auto" w:sz="4" w:space="0"/>
              <w:right w:val="single" w:color="auto" w:sz="4" w:space="0"/>
            </w:tcBorders>
            <w:vAlign w:val="top"/>
          </w:tcPr>
          <w:p w14:paraId="031EE310">
            <w:pPr>
              <w:spacing w:line="309" w:lineRule="auto"/>
              <w:rPr>
                <w:rFonts w:ascii="Arial"/>
                <w:sz w:val="21"/>
                <w:highlight w:val="none"/>
              </w:rPr>
            </w:pPr>
          </w:p>
          <w:p w14:paraId="4BFAE060">
            <w:pPr>
              <w:spacing w:line="310" w:lineRule="auto"/>
              <w:rPr>
                <w:rFonts w:ascii="Arial"/>
                <w:sz w:val="21"/>
                <w:highlight w:val="none"/>
              </w:rPr>
            </w:pPr>
          </w:p>
          <w:p w14:paraId="435ACE6E">
            <w:pPr>
              <w:pStyle w:val="25"/>
              <w:spacing w:before="78" w:line="223" w:lineRule="auto"/>
              <w:ind w:left="676" w:right="104" w:hanging="560"/>
              <w:rPr>
                <w:rFonts w:hint="default" w:eastAsia="仿宋"/>
                <w:highlight w:val="none"/>
                <w:lang w:val="en-US" w:eastAsia="zh-CN"/>
              </w:rPr>
            </w:pPr>
            <w:r>
              <w:rPr>
                <w:spacing w:val="-34"/>
                <w:highlight w:val="none"/>
              </w:rPr>
              <w:t>5、</w:t>
            </w:r>
            <w:r>
              <w:rPr>
                <w:rFonts w:hint="eastAsia"/>
                <w:spacing w:val="-34"/>
                <w:highlight w:val="none"/>
                <w:lang w:val="en-US" w:eastAsia="zh-CN"/>
              </w:rPr>
              <w:t>设计投资概算</w:t>
            </w:r>
          </w:p>
        </w:tc>
        <w:tc>
          <w:tcPr>
            <w:tcW w:w="5331" w:type="dxa"/>
            <w:tcBorders>
              <w:left w:val="single" w:color="auto" w:sz="4" w:space="0"/>
            </w:tcBorders>
            <w:vAlign w:val="top"/>
          </w:tcPr>
          <w:p w14:paraId="39A2E557">
            <w:pPr>
              <w:pStyle w:val="25"/>
              <w:spacing w:before="2" w:line="224" w:lineRule="auto"/>
              <w:ind w:left="126" w:right="206" w:firstLine="423"/>
              <w:rPr>
                <w:spacing w:val="-24"/>
                <w:highlight w:val="none"/>
              </w:rPr>
            </w:pPr>
          </w:p>
          <w:p w14:paraId="66823683">
            <w:pPr>
              <w:pStyle w:val="25"/>
              <w:spacing w:before="2" w:line="224" w:lineRule="auto"/>
              <w:ind w:left="126" w:right="206" w:firstLine="423"/>
              <w:rPr>
                <w:highlight w:val="none"/>
              </w:rPr>
            </w:pPr>
            <w:r>
              <w:rPr>
                <w:spacing w:val="-24"/>
                <w:highlight w:val="none"/>
              </w:rPr>
              <w:t>方案设计经济合理，投资</w:t>
            </w:r>
            <w:r>
              <w:rPr>
                <w:rFonts w:hint="eastAsia"/>
                <w:spacing w:val="-24"/>
                <w:highlight w:val="none"/>
                <w:lang w:val="en-US" w:eastAsia="zh-CN"/>
              </w:rPr>
              <w:t>概</w:t>
            </w:r>
            <w:r>
              <w:rPr>
                <w:spacing w:val="-24"/>
                <w:highlight w:val="none"/>
              </w:rPr>
              <w:t>算</w:t>
            </w:r>
            <w:r>
              <w:rPr>
                <w:spacing w:val="-28"/>
                <w:highlight w:val="none"/>
              </w:rPr>
              <w:t>编制切合实际，满足限额及设计要求评委根据描述的内容综合比较评审：</w:t>
            </w:r>
            <w:r>
              <w:rPr>
                <w:rFonts w:hint="eastAsia"/>
                <w:spacing w:val="-28"/>
                <w:highlight w:val="none"/>
                <w:lang w:eastAsia="zh-CN"/>
              </w:rPr>
              <w:t>优得3.0＜F ≤4.0 分，良得2.0≤F≤3.0 分，差得 0≤F&lt;2.0 分</w:t>
            </w:r>
            <w:r>
              <w:rPr>
                <w:spacing w:val="-28"/>
                <w:highlight w:val="none"/>
              </w:rPr>
              <w:t>。未体现以上内容或上</w:t>
            </w:r>
            <w:r>
              <w:rPr>
                <w:spacing w:val="-23"/>
                <w:highlight w:val="none"/>
              </w:rPr>
              <w:t>述内容描述不合理、不科学的得0</w:t>
            </w:r>
            <w:r>
              <w:rPr>
                <w:spacing w:val="-21"/>
                <w:highlight w:val="none"/>
              </w:rPr>
              <w:t>分。</w:t>
            </w:r>
          </w:p>
        </w:tc>
        <w:tc>
          <w:tcPr>
            <w:tcW w:w="693" w:type="dxa"/>
            <w:vAlign w:val="top"/>
          </w:tcPr>
          <w:p w14:paraId="1CA806BD">
            <w:pPr>
              <w:spacing w:line="244" w:lineRule="auto"/>
              <w:rPr>
                <w:rFonts w:ascii="Arial"/>
                <w:sz w:val="21"/>
                <w:highlight w:val="none"/>
              </w:rPr>
            </w:pPr>
          </w:p>
          <w:p w14:paraId="5BA03969">
            <w:pPr>
              <w:spacing w:line="244" w:lineRule="auto"/>
              <w:rPr>
                <w:rFonts w:ascii="Arial"/>
                <w:sz w:val="21"/>
                <w:highlight w:val="none"/>
              </w:rPr>
            </w:pPr>
          </w:p>
          <w:p w14:paraId="26386473">
            <w:pPr>
              <w:spacing w:line="245" w:lineRule="auto"/>
              <w:rPr>
                <w:rFonts w:ascii="Arial"/>
                <w:sz w:val="21"/>
                <w:highlight w:val="none"/>
              </w:rPr>
            </w:pPr>
          </w:p>
          <w:p w14:paraId="3D40012A">
            <w:pPr>
              <w:pStyle w:val="25"/>
              <w:spacing w:before="78" w:line="238" w:lineRule="auto"/>
              <w:ind w:left="294"/>
              <w:rPr>
                <w:rFonts w:hint="eastAsia" w:eastAsia="仿宋"/>
                <w:highlight w:val="none"/>
                <w:lang w:eastAsia="zh-CN"/>
              </w:rPr>
            </w:pPr>
            <w:r>
              <w:rPr>
                <w:rFonts w:hint="eastAsia"/>
                <w:highlight w:val="none"/>
                <w:lang w:val="en-US" w:eastAsia="zh-CN"/>
              </w:rPr>
              <w:t>4</w:t>
            </w:r>
          </w:p>
        </w:tc>
      </w:tr>
      <w:tr w14:paraId="30781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2" w:hRule="atLeast"/>
        </w:trPr>
        <w:tc>
          <w:tcPr>
            <w:tcW w:w="717" w:type="dxa"/>
            <w:vMerge w:val="continue"/>
            <w:tcBorders>
              <w:top w:val="nil"/>
              <w:bottom w:val="nil"/>
            </w:tcBorders>
            <w:vAlign w:val="top"/>
          </w:tcPr>
          <w:p w14:paraId="3B4A14AA">
            <w:pPr>
              <w:rPr>
                <w:rFonts w:ascii="Arial"/>
                <w:sz w:val="21"/>
                <w:highlight w:val="none"/>
              </w:rPr>
            </w:pPr>
          </w:p>
        </w:tc>
        <w:tc>
          <w:tcPr>
            <w:tcW w:w="935" w:type="dxa"/>
            <w:vMerge w:val="restart"/>
            <w:tcBorders>
              <w:top w:val="single" w:color="auto" w:sz="4" w:space="0"/>
              <w:bottom w:val="nil"/>
            </w:tcBorders>
            <w:vAlign w:val="top"/>
          </w:tcPr>
          <w:p w14:paraId="3D031F0A">
            <w:pPr>
              <w:spacing w:line="242" w:lineRule="auto"/>
              <w:rPr>
                <w:rFonts w:ascii="Arial"/>
                <w:sz w:val="21"/>
                <w:highlight w:val="none"/>
              </w:rPr>
            </w:pPr>
          </w:p>
          <w:p w14:paraId="09D5E8AF">
            <w:pPr>
              <w:spacing w:line="242" w:lineRule="auto"/>
              <w:rPr>
                <w:rFonts w:ascii="Arial"/>
                <w:sz w:val="21"/>
                <w:highlight w:val="none"/>
              </w:rPr>
            </w:pPr>
          </w:p>
          <w:p w14:paraId="1696A9EE">
            <w:pPr>
              <w:spacing w:line="242" w:lineRule="auto"/>
              <w:rPr>
                <w:rFonts w:ascii="Arial"/>
                <w:sz w:val="21"/>
                <w:highlight w:val="none"/>
              </w:rPr>
            </w:pPr>
          </w:p>
          <w:p w14:paraId="57BBC035">
            <w:pPr>
              <w:spacing w:line="242" w:lineRule="auto"/>
              <w:rPr>
                <w:rFonts w:ascii="Arial"/>
                <w:sz w:val="21"/>
                <w:highlight w:val="none"/>
              </w:rPr>
            </w:pPr>
          </w:p>
          <w:p w14:paraId="775558A7">
            <w:pPr>
              <w:spacing w:line="242" w:lineRule="auto"/>
              <w:rPr>
                <w:rFonts w:ascii="Arial"/>
                <w:sz w:val="21"/>
                <w:highlight w:val="none"/>
              </w:rPr>
            </w:pPr>
          </w:p>
          <w:p w14:paraId="77CECA92">
            <w:pPr>
              <w:spacing w:line="242" w:lineRule="auto"/>
              <w:rPr>
                <w:rFonts w:ascii="Arial"/>
                <w:sz w:val="21"/>
                <w:highlight w:val="none"/>
              </w:rPr>
            </w:pPr>
          </w:p>
          <w:p w14:paraId="7FCD8656">
            <w:pPr>
              <w:spacing w:line="242" w:lineRule="auto"/>
              <w:rPr>
                <w:rFonts w:ascii="Arial"/>
                <w:sz w:val="21"/>
                <w:highlight w:val="none"/>
              </w:rPr>
            </w:pPr>
          </w:p>
          <w:p w14:paraId="09548138">
            <w:pPr>
              <w:spacing w:line="242" w:lineRule="auto"/>
              <w:rPr>
                <w:rFonts w:ascii="Arial"/>
                <w:sz w:val="21"/>
                <w:highlight w:val="none"/>
              </w:rPr>
            </w:pPr>
          </w:p>
          <w:p w14:paraId="5445F5D7">
            <w:pPr>
              <w:spacing w:line="242" w:lineRule="auto"/>
              <w:rPr>
                <w:rFonts w:ascii="Arial"/>
                <w:sz w:val="21"/>
                <w:highlight w:val="none"/>
              </w:rPr>
            </w:pPr>
          </w:p>
          <w:p w14:paraId="21C52CD7">
            <w:pPr>
              <w:spacing w:line="242" w:lineRule="auto"/>
              <w:rPr>
                <w:rFonts w:ascii="Arial"/>
                <w:sz w:val="21"/>
                <w:highlight w:val="none"/>
              </w:rPr>
            </w:pPr>
          </w:p>
          <w:p w14:paraId="4CCD6D3C">
            <w:pPr>
              <w:spacing w:line="242" w:lineRule="auto"/>
              <w:rPr>
                <w:rFonts w:ascii="Arial"/>
                <w:sz w:val="21"/>
                <w:highlight w:val="none"/>
              </w:rPr>
            </w:pPr>
          </w:p>
          <w:p w14:paraId="2A6063ED">
            <w:pPr>
              <w:spacing w:line="242" w:lineRule="auto"/>
              <w:rPr>
                <w:rFonts w:ascii="Arial"/>
                <w:sz w:val="21"/>
                <w:highlight w:val="none"/>
              </w:rPr>
            </w:pPr>
          </w:p>
          <w:p w14:paraId="062BAD7C">
            <w:pPr>
              <w:spacing w:line="242" w:lineRule="auto"/>
              <w:rPr>
                <w:rFonts w:ascii="Arial"/>
                <w:sz w:val="21"/>
                <w:highlight w:val="none"/>
              </w:rPr>
            </w:pPr>
          </w:p>
          <w:p w14:paraId="240449B3">
            <w:pPr>
              <w:spacing w:line="242" w:lineRule="auto"/>
              <w:rPr>
                <w:rFonts w:ascii="Arial"/>
                <w:sz w:val="21"/>
                <w:highlight w:val="none"/>
              </w:rPr>
            </w:pPr>
          </w:p>
          <w:p w14:paraId="4E250A79">
            <w:pPr>
              <w:spacing w:line="242" w:lineRule="auto"/>
              <w:rPr>
                <w:rFonts w:ascii="Arial"/>
                <w:sz w:val="21"/>
                <w:highlight w:val="none"/>
              </w:rPr>
            </w:pPr>
          </w:p>
          <w:p w14:paraId="45EBC642">
            <w:pPr>
              <w:spacing w:line="242" w:lineRule="auto"/>
              <w:rPr>
                <w:rFonts w:ascii="Arial"/>
                <w:sz w:val="21"/>
                <w:highlight w:val="none"/>
              </w:rPr>
            </w:pPr>
          </w:p>
          <w:p w14:paraId="7D2163E9">
            <w:pPr>
              <w:spacing w:line="242" w:lineRule="auto"/>
              <w:rPr>
                <w:rFonts w:ascii="Arial"/>
                <w:sz w:val="21"/>
                <w:highlight w:val="none"/>
              </w:rPr>
            </w:pPr>
          </w:p>
          <w:p w14:paraId="359CF57B">
            <w:pPr>
              <w:spacing w:line="243" w:lineRule="auto"/>
              <w:rPr>
                <w:rFonts w:ascii="Arial"/>
                <w:sz w:val="21"/>
                <w:highlight w:val="none"/>
              </w:rPr>
            </w:pPr>
          </w:p>
          <w:p w14:paraId="7A0F0F8E">
            <w:pPr>
              <w:spacing w:line="243" w:lineRule="auto"/>
              <w:rPr>
                <w:rFonts w:ascii="Arial"/>
                <w:sz w:val="21"/>
                <w:highlight w:val="none"/>
              </w:rPr>
            </w:pPr>
          </w:p>
          <w:p w14:paraId="33C335DF">
            <w:pPr>
              <w:spacing w:line="243" w:lineRule="auto"/>
              <w:rPr>
                <w:rFonts w:ascii="Arial"/>
                <w:sz w:val="21"/>
                <w:highlight w:val="none"/>
              </w:rPr>
            </w:pPr>
          </w:p>
          <w:p w14:paraId="11B9F40B">
            <w:pPr>
              <w:spacing w:line="243" w:lineRule="auto"/>
              <w:rPr>
                <w:rFonts w:ascii="Arial"/>
                <w:sz w:val="21"/>
                <w:highlight w:val="none"/>
              </w:rPr>
            </w:pPr>
          </w:p>
          <w:p w14:paraId="7499EAB1">
            <w:pPr>
              <w:pStyle w:val="25"/>
              <w:spacing w:before="78"/>
              <w:ind w:left="157" w:right="116" w:hanging="4"/>
              <w:jc w:val="both"/>
              <w:rPr>
                <w:highlight w:val="none"/>
              </w:rPr>
            </w:pPr>
            <w:r>
              <w:rPr>
                <w:spacing w:val="-29"/>
                <w:highlight w:val="none"/>
              </w:rPr>
              <w:t>施工组</w:t>
            </w:r>
            <w:r>
              <w:rPr>
                <w:spacing w:val="-30"/>
                <w:highlight w:val="none"/>
              </w:rPr>
              <w:t>织设计</w:t>
            </w:r>
            <w:r>
              <w:rPr>
                <w:spacing w:val="-27"/>
                <w:highlight w:val="none"/>
              </w:rPr>
              <w:t>(10</w:t>
            </w:r>
            <w:r>
              <w:rPr>
                <w:spacing w:val="-50"/>
                <w:highlight w:val="none"/>
              </w:rPr>
              <w:t xml:space="preserve"> </w:t>
            </w:r>
            <w:r>
              <w:rPr>
                <w:spacing w:val="-27"/>
                <w:highlight w:val="none"/>
              </w:rPr>
              <w:t>分)</w:t>
            </w:r>
          </w:p>
        </w:tc>
        <w:tc>
          <w:tcPr>
            <w:tcW w:w="1548" w:type="dxa"/>
            <w:tcBorders>
              <w:top w:val="single" w:color="auto" w:sz="4" w:space="0"/>
            </w:tcBorders>
            <w:vAlign w:val="top"/>
          </w:tcPr>
          <w:p w14:paraId="69B6240C">
            <w:pPr>
              <w:spacing w:line="259" w:lineRule="auto"/>
              <w:rPr>
                <w:rFonts w:ascii="Arial"/>
                <w:sz w:val="21"/>
                <w:highlight w:val="none"/>
              </w:rPr>
            </w:pPr>
          </w:p>
          <w:p w14:paraId="6C51825E">
            <w:pPr>
              <w:spacing w:line="259" w:lineRule="auto"/>
              <w:rPr>
                <w:rFonts w:ascii="Arial"/>
                <w:sz w:val="21"/>
                <w:highlight w:val="none"/>
              </w:rPr>
            </w:pPr>
          </w:p>
          <w:p w14:paraId="2202BDC9">
            <w:pPr>
              <w:spacing w:line="260" w:lineRule="auto"/>
              <w:rPr>
                <w:rFonts w:ascii="Arial"/>
                <w:sz w:val="21"/>
                <w:highlight w:val="none"/>
              </w:rPr>
            </w:pPr>
          </w:p>
          <w:p w14:paraId="12FDF2CB">
            <w:pPr>
              <w:spacing w:line="260" w:lineRule="auto"/>
              <w:rPr>
                <w:rFonts w:ascii="Arial"/>
                <w:sz w:val="21"/>
                <w:highlight w:val="none"/>
              </w:rPr>
            </w:pPr>
          </w:p>
          <w:p w14:paraId="799FE0DE">
            <w:pPr>
              <w:pStyle w:val="25"/>
              <w:spacing w:before="78" w:line="217" w:lineRule="auto"/>
              <w:ind w:left="255"/>
              <w:rPr>
                <w:highlight w:val="none"/>
              </w:rPr>
            </w:pPr>
            <w:r>
              <w:rPr>
                <w:spacing w:val="-20"/>
                <w:highlight w:val="none"/>
              </w:rPr>
              <w:t>1.施组框架</w:t>
            </w:r>
          </w:p>
        </w:tc>
        <w:tc>
          <w:tcPr>
            <w:tcW w:w="5331" w:type="dxa"/>
            <w:vAlign w:val="top"/>
          </w:tcPr>
          <w:p w14:paraId="499BA303">
            <w:pPr>
              <w:pStyle w:val="25"/>
              <w:spacing w:before="35" w:line="239" w:lineRule="auto"/>
              <w:ind w:left="117" w:right="71" w:firstLine="430"/>
              <w:jc w:val="both"/>
              <w:rPr>
                <w:highlight w:val="none"/>
              </w:rPr>
            </w:pPr>
            <w:r>
              <w:rPr>
                <w:spacing w:val="-28"/>
                <w:highlight w:val="none"/>
              </w:rPr>
              <w:t>投标人结合设计方案等文件以及标前现场踏勘，对本项目施工阶段的施工部署、各阶段施工平面布置、主</w:t>
            </w:r>
            <w:r>
              <w:rPr>
                <w:spacing w:val="-26"/>
                <w:highlight w:val="none"/>
              </w:rPr>
              <w:t>要施工方案、工程质量的管理、安全文明生产的管理、</w:t>
            </w:r>
            <w:r>
              <w:rPr>
                <w:spacing w:val="-28"/>
                <w:highlight w:val="none"/>
              </w:rPr>
              <w:t>工程进度计划、施工主要物资投入计划、工程进度控制</w:t>
            </w:r>
            <w:r>
              <w:rPr>
                <w:spacing w:val="-25"/>
                <w:highlight w:val="none"/>
              </w:rPr>
              <w:t>等进行分析。</w:t>
            </w:r>
          </w:p>
          <w:p w14:paraId="618536A7">
            <w:pPr>
              <w:pStyle w:val="25"/>
              <w:spacing w:line="229" w:lineRule="auto"/>
              <w:ind w:left="117" w:right="103" w:firstLine="432"/>
              <w:jc w:val="both"/>
              <w:rPr>
                <w:highlight w:val="none"/>
              </w:rPr>
            </w:pPr>
            <w:r>
              <w:rPr>
                <w:spacing w:val="-23"/>
                <w:highlight w:val="none"/>
              </w:rPr>
              <w:t>评标委员会综合比较评分：优得</w:t>
            </w:r>
            <w:r>
              <w:rPr>
                <w:spacing w:val="-56"/>
                <w:highlight w:val="none"/>
              </w:rPr>
              <w:t xml:space="preserve"> </w:t>
            </w:r>
            <w:r>
              <w:rPr>
                <w:spacing w:val="-23"/>
                <w:highlight w:val="none"/>
              </w:rPr>
              <w:t>0.7＜F≤1分，良</w:t>
            </w:r>
            <w:r>
              <w:rPr>
                <w:spacing w:val="-24"/>
                <w:highlight w:val="none"/>
              </w:rPr>
              <w:t>得</w:t>
            </w:r>
            <w:r>
              <w:rPr>
                <w:spacing w:val="-43"/>
                <w:highlight w:val="none"/>
              </w:rPr>
              <w:t xml:space="preserve"> </w:t>
            </w:r>
            <w:r>
              <w:rPr>
                <w:spacing w:val="-24"/>
                <w:highlight w:val="none"/>
              </w:rPr>
              <w:t>0.4≤F≤0.7</w:t>
            </w:r>
            <w:r>
              <w:rPr>
                <w:spacing w:val="-50"/>
                <w:highlight w:val="none"/>
              </w:rPr>
              <w:t xml:space="preserve"> </w:t>
            </w:r>
            <w:r>
              <w:rPr>
                <w:spacing w:val="-24"/>
                <w:highlight w:val="none"/>
              </w:rPr>
              <w:t>分，差得</w:t>
            </w:r>
            <w:r>
              <w:rPr>
                <w:spacing w:val="-58"/>
                <w:highlight w:val="none"/>
              </w:rPr>
              <w:t xml:space="preserve"> </w:t>
            </w:r>
            <w:r>
              <w:rPr>
                <w:spacing w:val="-24"/>
                <w:highlight w:val="none"/>
              </w:rPr>
              <w:t>0≤F＜0.4</w:t>
            </w:r>
            <w:r>
              <w:rPr>
                <w:spacing w:val="-50"/>
                <w:highlight w:val="none"/>
              </w:rPr>
              <w:t xml:space="preserve"> </w:t>
            </w:r>
            <w:r>
              <w:rPr>
                <w:spacing w:val="-24"/>
                <w:highlight w:val="none"/>
              </w:rPr>
              <w:t>分。未体现以上内</w:t>
            </w:r>
            <w:r>
              <w:rPr>
                <w:spacing w:val="-26"/>
                <w:highlight w:val="none"/>
              </w:rPr>
              <w:t>容或上述内容描述不合理、不科学的得</w:t>
            </w:r>
            <w:r>
              <w:rPr>
                <w:spacing w:val="-29"/>
                <w:highlight w:val="none"/>
              </w:rPr>
              <w:t xml:space="preserve"> </w:t>
            </w:r>
            <w:r>
              <w:rPr>
                <w:spacing w:val="-26"/>
                <w:highlight w:val="none"/>
              </w:rPr>
              <w:t>0</w:t>
            </w:r>
            <w:r>
              <w:rPr>
                <w:spacing w:val="-50"/>
                <w:highlight w:val="none"/>
              </w:rPr>
              <w:t xml:space="preserve"> </w:t>
            </w:r>
            <w:r>
              <w:rPr>
                <w:spacing w:val="-26"/>
                <w:highlight w:val="none"/>
              </w:rPr>
              <w:t>分。</w:t>
            </w:r>
          </w:p>
        </w:tc>
        <w:tc>
          <w:tcPr>
            <w:tcW w:w="693" w:type="dxa"/>
            <w:vAlign w:val="top"/>
          </w:tcPr>
          <w:p w14:paraId="691AF52A">
            <w:pPr>
              <w:spacing w:line="259" w:lineRule="auto"/>
              <w:rPr>
                <w:rFonts w:ascii="Arial"/>
                <w:sz w:val="21"/>
                <w:highlight w:val="none"/>
              </w:rPr>
            </w:pPr>
          </w:p>
          <w:p w14:paraId="611CD550">
            <w:pPr>
              <w:spacing w:line="259" w:lineRule="auto"/>
              <w:rPr>
                <w:rFonts w:ascii="Arial"/>
                <w:sz w:val="21"/>
                <w:highlight w:val="none"/>
              </w:rPr>
            </w:pPr>
          </w:p>
          <w:p w14:paraId="075E413B">
            <w:pPr>
              <w:spacing w:line="260" w:lineRule="auto"/>
              <w:rPr>
                <w:rFonts w:ascii="Arial"/>
                <w:sz w:val="21"/>
                <w:highlight w:val="none"/>
              </w:rPr>
            </w:pPr>
          </w:p>
          <w:p w14:paraId="6B73CBF1">
            <w:pPr>
              <w:spacing w:line="260" w:lineRule="auto"/>
              <w:rPr>
                <w:rFonts w:ascii="Arial"/>
                <w:sz w:val="21"/>
                <w:highlight w:val="none"/>
              </w:rPr>
            </w:pPr>
          </w:p>
          <w:p w14:paraId="03204261">
            <w:pPr>
              <w:pStyle w:val="25"/>
              <w:spacing w:before="78" w:line="238" w:lineRule="auto"/>
              <w:ind w:left="311"/>
              <w:rPr>
                <w:highlight w:val="none"/>
              </w:rPr>
            </w:pPr>
            <w:r>
              <w:rPr>
                <w:highlight w:val="none"/>
              </w:rPr>
              <w:t>1</w:t>
            </w:r>
          </w:p>
        </w:tc>
      </w:tr>
      <w:tr w14:paraId="5E74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17" w:type="dxa"/>
            <w:vMerge w:val="continue"/>
            <w:tcBorders>
              <w:top w:val="nil"/>
              <w:bottom w:val="nil"/>
            </w:tcBorders>
            <w:vAlign w:val="top"/>
          </w:tcPr>
          <w:p w14:paraId="1700381E">
            <w:pPr>
              <w:rPr>
                <w:rFonts w:ascii="Arial"/>
                <w:sz w:val="21"/>
                <w:highlight w:val="none"/>
              </w:rPr>
            </w:pPr>
          </w:p>
        </w:tc>
        <w:tc>
          <w:tcPr>
            <w:tcW w:w="935" w:type="dxa"/>
            <w:vMerge w:val="continue"/>
            <w:tcBorders>
              <w:top w:val="nil"/>
              <w:bottom w:val="nil"/>
            </w:tcBorders>
            <w:vAlign w:val="top"/>
          </w:tcPr>
          <w:p w14:paraId="14C5745A">
            <w:pPr>
              <w:rPr>
                <w:rFonts w:ascii="Arial"/>
                <w:sz w:val="21"/>
                <w:highlight w:val="none"/>
              </w:rPr>
            </w:pPr>
          </w:p>
        </w:tc>
        <w:tc>
          <w:tcPr>
            <w:tcW w:w="1548" w:type="dxa"/>
            <w:vAlign w:val="top"/>
          </w:tcPr>
          <w:p w14:paraId="460ED673">
            <w:pPr>
              <w:spacing w:line="288" w:lineRule="auto"/>
              <w:rPr>
                <w:rFonts w:ascii="Arial"/>
                <w:sz w:val="21"/>
                <w:highlight w:val="none"/>
              </w:rPr>
            </w:pPr>
          </w:p>
          <w:p w14:paraId="6F736EA9">
            <w:pPr>
              <w:spacing w:line="288" w:lineRule="auto"/>
              <w:rPr>
                <w:rFonts w:ascii="Arial"/>
                <w:sz w:val="21"/>
                <w:highlight w:val="none"/>
              </w:rPr>
            </w:pPr>
          </w:p>
          <w:p w14:paraId="5A5BF9CA">
            <w:pPr>
              <w:pStyle w:val="25"/>
              <w:spacing w:before="78"/>
              <w:ind w:left="137" w:right="123" w:hanging="4"/>
              <w:rPr>
                <w:highlight w:val="none"/>
              </w:rPr>
            </w:pPr>
            <w:r>
              <w:rPr>
                <w:spacing w:val="-23"/>
                <w:highlight w:val="none"/>
              </w:rPr>
              <w:t>2.主要施工方</w:t>
            </w:r>
            <w:r>
              <w:rPr>
                <w:spacing w:val="-27"/>
                <w:highlight w:val="none"/>
              </w:rPr>
              <w:t>案与技术措施</w:t>
            </w:r>
          </w:p>
        </w:tc>
        <w:tc>
          <w:tcPr>
            <w:tcW w:w="5331" w:type="dxa"/>
            <w:vAlign w:val="top"/>
          </w:tcPr>
          <w:p w14:paraId="49CEF778">
            <w:pPr>
              <w:pStyle w:val="25"/>
              <w:spacing w:before="33"/>
              <w:ind w:left="119" w:right="101" w:firstLine="430"/>
              <w:jc w:val="both"/>
              <w:rPr>
                <w:highlight w:val="none"/>
              </w:rPr>
            </w:pPr>
            <w:r>
              <w:rPr>
                <w:spacing w:val="-28"/>
                <w:highlight w:val="none"/>
              </w:rPr>
              <w:t>各主要分部施工方法符合项目实际，需有详尽的施</w:t>
            </w:r>
            <w:r>
              <w:rPr>
                <w:spacing w:val="-31"/>
                <w:highlight w:val="none"/>
              </w:rPr>
              <w:t>工技术方案，工艺先进、方法科学合理、可行，</w:t>
            </w:r>
            <w:r>
              <w:rPr>
                <w:spacing w:val="-38"/>
                <w:highlight w:val="none"/>
              </w:rPr>
              <w:t xml:space="preserve"> </w:t>
            </w:r>
            <w:r>
              <w:rPr>
                <w:spacing w:val="-31"/>
                <w:highlight w:val="none"/>
              </w:rPr>
              <w:t>能指导</w:t>
            </w:r>
            <w:r>
              <w:rPr>
                <w:spacing w:val="-25"/>
                <w:highlight w:val="none"/>
              </w:rPr>
              <w:t>具体施工并确保安全。</w:t>
            </w:r>
          </w:p>
          <w:p w14:paraId="2B069347">
            <w:pPr>
              <w:pStyle w:val="25"/>
              <w:spacing w:before="1" w:line="229" w:lineRule="auto"/>
              <w:ind w:left="117" w:right="103" w:firstLine="432"/>
              <w:jc w:val="both"/>
              <w:rPr>
                <w:highlight w:val="none"/>
              </w:rPr>
            </w:pPr>
            <w:r>
              <w:rPr>
                <w:spacing w:val="-23"/>
                <w:highlight w:val="none"/>
              </w:rPr>
              <w:t>评标委员会综合比较评分：优得</w:t>
            </w:r>
            <w:r>
              <w:rPr>
                <w:spacing w:val="-56"/>
                <w:highlight w:val="none"/>
              </w:rPr>
              <w:t xml:space="preserve"> </w:t>
            </w:r>
            <w:r>
              <w:rPr>
                <w:spacing w:val="-23"/>
                <w:highlight w:val="none"/>
              </w:rPr>
              <w:t>0.7＜F≤1分，良</w:t>
            </w:r>
            <w:r>
              <w:rPr>
                <w:spacing w:val="-24"/>
                <w:highlight w:val="none"/>
              </w:rPr>
              <w:t>得</w:t>
            </w:r>
            <w:r>
              <w:rPr>
                <w:spacing w:val="-43"/>
                <w:highlight w:val="none"/>
              </w:rPr>
              <w:t xml:space="preserve"> </w:t>
            </w:r>
            <w:r>
              <w:rPr>
                <w:spacing w:val="-24"/>
                <w:highlight w:val="none"/>
              </w:rPr>
              <w:t>0.4≤F≤0.7</w:t>
            </w:r>
            <w:r>
              <w:rPr>
                <w:spacing w:val="-50"/>
                <w:highlight w:val="none"/>
              </w:rPr>
              <w:t xml:space="preserve"> </w:t>
            </w:r>
            <w:r>
              <w:rPr>
                <w:spacing w:val="-24"/>
                <w:highlight w:val="none"/>
              </w:rPr>
              <w:t>分，差得</w:t>
            </w:r>
            <w:r>
              <w:rPr>
                <w:spacing w:val="-58"/>
                <w:highlight w:val="none"/>
              </w:rPr>
              <w:t xml:space="preserve"> </w:t>
            </w:r>
            <w:r>
              <w:rPr>
                <w:spacing w:val="-24"/>
                <w:highlight w:val="none"/>
              </w:rPr>
              <w:t>0≤F＜0.4</w:t>
            </w:r>
            <w:r>
              <w:rPr>
                <w:spacing w:val="-50"/>
                <w:highlight w:val="none"/>
              </w:rPr>
              <w:t xml:space="preserve"> </w:t>
            </w:r>
            <w:r>
              <w:rPr>
                <w:spacing w:val="-24"/>
                <w:highlight w:val="none"/>
              </w:rPr>
              <w:t>分。未体现以上内</w:t>
            </w:r>
            <w:r>
              <w:rPr>
                <w:spacing w:val="-26"/>
                <w:highlight w:val="none"/>
              </w:rPr>
              <w:t>容或上述内容描述不合理、不科学的得</w:t>
            </w:r>
            <w:r>
              <w:rPr>
                <w:spacing w:val="-29"/>
                <w:highlight w:val="none"/>
              </w:rPr>
              <w:t xml:space="preserve"> </w:t>
            </w:r>
            <w:r>
              <w:rPr>
                <w:spacing w:val="-26"/>
                <w:highlight w:val="none"/>
              </w:rPr>
              <w:t>0</w:t>
            </w:r>
            <w:r>
              <w:rPr>
                <w:spacing w:val="-50"/>
                <w:highlight w:val="none"/>
              </w:rPr>
              <w:t xml:space="preserve"> </w:t>
            </w:r>
            <w:r>
              <w:rPr>
                <w:spacing w:val="-26"/>
                <w:highlight w:val="none"/>
              </w:rPr>
              <w:t>分。</w:t>
            </w:r>
          </w:p>
        </w:tc>
        <w:tc>
          <w:tcPr>
            <w:tcW w:w="693" w:type="dxa"/>
            <w:vAlign w:val="top"/>
          </w:tcPr>
          <w:p w14:paraId="2A2DCDB6">
            <w:pPr>
              <w:spacing w:line="244" w:lineRule="auto"/>
              <w:rPr>
                <w:rFonts w:ascii="Arial"/>
                <w:sz w:val="21"/>
                <w:highlight w:val="none"/>
              </w:rPr>
            </w:pPr>
          </w:p>
          <w:p w14:paraId="321E33DD">
            <w:pPr>
              <w:spacing w:line="244" w:lineRule="auto"/>
              <w:rPr>
                <w:rFonts w:ascii="Arial"/>
                <w:sz w:val="21"/>
                <w:highlight w:val="none"/>
              </w:rPr>
            </w:pPr>
          </w:p>
          <w:p w14:paraId="38FB0373">
            <w:pPr>
              <w:spacing w:line="245" w:lineRule="auto"/>
              <w:rPr>
                <w:rFonts w:ascii="Arial"/>
                <w:sz w:val="21"/>
                <w:highlight w:val="none"/>
              </w:rPr>
            </w:pPr>
          </w:p>
          <w:p w14:paraId="15D60442">
            <w:pPr>
              <w:pStyle w:val="25"/>
              <w:spacing w:before="78" w:line="238" w:lineRule="auto"/>
              <w:ind w:left="311"/>
              <w:rPr>
                <w:highlight w:val="none"/>
              </w:rPr>
            </w:pPr>
            <w:r>
              <w:rPr>
                <w:highlight w:val="none"/>
              </w:rPr>
              <w:t>1</w:t>
            </w:r>
          </w:p>
        </w:tc>
      </w:tr>
      <w:tr w14:paraId="4D4C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17" w:type="dxa"/>
            <w:vMerge w:val="continue"/>
            <w:tcBorders>
              <w:top w:val="nil"/>
              <w:bottom w:val="nil"/>
            </w:tcBorders>
            <w:vAlign w:val="top"/>
          </w:tcPr>
          <w:p w14:paraId="57F122E3">
            <w:pPr>
              <w:rPr>
                <w:rFonts w:ascii="Arial"/>
                <w:sz w:val="21"/>
                <w:highlight w:val="none"/>
              </w:rPr>
            </w:pPr>
          </w:p>
        </w:tc>
        <w:tc>
          <w:tcPr>
            <w:tcW w:w="935" w:type="dxa"/>
            <w:vMerge w:val="continue"/>
            <w:tcBorders>
              <w:top w:val="nil"/>
              <w:bottom w:val="nil"/>
            </w:tcBorders>
            <w:vAlign w:val="top"/>
          </w:tcPr>
          <w:p w14:paraId="4AC48A75">
            <w:pPr>
              <w:rPr>
                <w:rFonts w:ascii="Arial"/>
                <w:sz w:val="21"/>
                <w:highlight w:val="none"/>
              </w:rPr>
            </w:pPr>
          </w:p>
        </w:tc>
        <w:tc>
          <w:tcPr>
            <w:tcW w:w="1548" w:type="dxa"/>
            <w:vAlign w:val="top"/>
          </w:tcPr>
          <w:p w14:paraId="45BF0639">
            <w:pPr>
              <w:spacing w:line="265" w:lineRule="auto"/>
              <w:rPr>
                <w:rFonts w:ascii="Arial"/>
                <w:sz w:val="21"/>
                <w:highlight w:val="none"/>
              </w:rPr>
            </w:pPr>
          </w:p>
          <w:p w14:paraId="293069DA">
            <w:pPr>
              <w:pStyle w:val="25"/>
              <w:spacing w:before="78" w:line="217" w:lineRule="auto"/>
              <w:ind w:left="135"/>
              <w:rPr>
                <w:highlight w:val="none"/>
              </w:rPr>
            </w:pPr>
            <w:r>
              <w:rPr>
                <w:spacing w:val="-19"/>
                <w:highlight w:val="none"/>
              </w:rPr>
              <w:t>3.确保工程质</w:t>
            </w:r>
          </w:p>
          <w:p w14:paraId="23C945DF">
            <w:pPr>
              <w:pStyle w:val="25"/>
              <w:spacing w:before="30" w:line="218" w:lineRule="auto"/>
              <w:ind w:left="141"/>
              <w:rPr>
                <w:highlight w:val="none"/>
              </w:rPr>
            </w:pPr>
            <w:r>
              <w:rPr>
                <w:spacing w:val="-23"/>
                <w:highlight w:val="none"/>
              </w:rPr>
              <w:t>量的管理体系</w:t>
            </w:r>
          </w:p>
          <w:p w14:paraId="7B86FF9C">
            <w:pPr>
              <w:pStyle w:val="25"/>
              <w:spacing w:before="28" w:line="219" w:lineRule="auto"/>
              <w:ind w:left="468"/>
              <w:rPr>
                <w:highlight w:val="none"/>
              </w:rPr>
            </w:pPr>
            <w:r>
              <w:rPr>
                <w:spacing w:val="-22"/>
                <w:highlight w:val="none"/>
              </w:rPr>
              <w:t>与措施</w:t>
            </w:r>
          </w:p>
        </w:tc>
        <w:tc>
          <w:tcPr>
            <w:tcW w:w="5331" w:type="dxa"/>
            <w:vAlign w:val="top"/>
          </w:tcPr>
          <w:p w14:paraId="0E1A5E7B">
            <w:pPr>
              <w:pStyle w:val="25"/>
              <w:spacing w:before="37" w:line="239" w:lineRule="auto"/>
              <w:ind w:left="116" w:right="101" w:firstLine="431"/>
              <w:jc w:val="both"/>
              <w:rPr>
                <w:highlight w:val="none"/>
              </w:rPr>
            </w:pPr>
            <w:r>
              <w:rPr>
                <w:spacing w:val="-28"/>
                <w:highlight w:val="none"/>
              </w:rPr>
              <w:t>施工项目应有专门的质量技术管理班子和制度，且人员配备合理，制度健全。主要工序应有质量技术保证</w:t>
            </w:r>
            <w:r>
              <w:rPr>
                <w:spacing w:val="-24"/>
                <w:highlight w:val="none"/>
              </w:rPr>
              <w:t>措施和手段，自控体系完整，能有效保证技术质量。</w:t>
            </w:r>
          </w:p>
          <w:p w14:paraId="7DAE83A2">
            <w:pPr>
              <w:pStyle w:val="25"/>
              <w:spacing w:before="2" w:line="228" w:lineRule="auto"/>
              <w:ind w:left="117" w:right="103" w:firstLine="432"/>
              <w:jc w:val="both"/>
              <w:rPr>
                <w:rFonts w:hint="eastAsia" w:eastAsia="仿宋"/>
                <w:highlight w:val="none"/>
                <w:lang w:eastAsia="zh-CN"/>
              </w:rPr>
            </w:pPr>
            <w:r>
              <w:rPr>
                <w:spacing w:val="-23"/>
                <w:highlight w:val="none"/>
              </w:rPr>
              <w:t>评标委员会综合比较评分：优得</w:t>
            </w:r>
            <w:r>
              <w:rPr>
                <w:spacing w:val="-56"/>
                <w:highlight w:val="none"/>
              </w:rPr>
              <w:t xml:space="preserve"> </w:t>
            </w:r>
            <w:r>
              <w:rPr>
                <w:spacing w:val="-23"/>
                <w:highlight w:val="none"/>
              </w:rPr>
              <w:t>0.7＜F≤1分，良</w:t>
            </w:r>
            <w:r>
              <w:rPr>
                <w:spacing w:val="-24"/>
                <w:highlight w:val="none"/>
              </w:rPr>
              <w:t>得</w:t>
            </w:r>
            <w:r>
              <w:rPr>
                <w:spacing w:val="-43"/>
                <w:highlight w:val="none"/>
              </w:rPr>
              <w:t xml:space="preserve"> </w:t>
            </w:r>
            <w:r>
              <w:rPr>
                <w:spacing w:val="-24"/>
                <w:highlight w:val="none"/>
              </w:rPr>
              <w:t>0.4≤F≤0.7</w:t>
            </w:r>
            <w:r>
              <w:rPr>
                <w:spacing w:val="-50"/>
                <w:highlight w:val="none"/>
              </w:rPr>
              <w:t xml:space="preserve"> </w:t>
            </w:r>
            <w:r>
              <w:rPr>
                <w:spacing w:val="-24"/>
                <w:highlight w:val="none"/>
              </w:rPr>
              <w:t>分，差得</w:t>
            </w:r>
            <w:r>
              <w:rPr>
                <w:spacing w:val="-58"/>
                <w:highlight w:val="none"/>
              </w:rPr>
              <w:t xml:space="preserve"> </w:t>
            </w:r>
            <w:r>
              <w:rPr>
                <w:spacing w:val="-24"/>
                <w:highlight w:val="none"/>
              </w:rPr>
              <w:t>0≤F＜0.4</w:t>
            </w:r>
            <w:r>
              <w:rPr>
                <w:spacing w:val="-50"/>
                <w:highlight w:val="none"/>
              </w:rPr>
              <w:t xml:space="preserve"> </w:t>
            </w:r>
            <w:r>
              <w:rPr>
                <w:spacing w:val="-24"/>
                <w:highlight w:val="none"/>
              </w:rPr>
              <w:t>分。未体现以上内</w:t>
            </w:r>
            <w:r>
              <w:rPr>
                <w:spacing w:val="-25"/>
                <w:highlight w:val="none"/>
              </w:rPr>
              <w:t>容或上述内容描述不合理、不科学的得</w:t>
            </w:r>
            <w:r>
              <w:rPr>
                <w:spacing w:val="-33"/>
                <w:highlight w:val="none"/>
              </w:rPr>
              <w:t xml:space="preserve"> </w:t>
            </w:r>
            <w:r>
              <w:rPr>
                <w:spacing w:val="-25"/>
                <w:highlight w:val="none"/>
              </w:rPr>
              <w:t>0</w:t>
            </w:r>
            <w:r>
              <w:rPr>
                <w:spacing w:val="-51"/>
                <w:highlight w:val="none"/>
              </w:rPr>
              <w:t xml:space="preserve"> </w:t>
            </w:r>
            <w:r>
              <w:rPr>
                <w:spacing w:val="-25"/>
                <w:highlight w:val="none"/>
              </w:rPr>
              <w:t>分</w:t>
            </w:r>
            <w:r>
              <w:rPr>
                <w:rFonts w:hint="eastAsia"/>
                <w:spacing w:val="-25"/>
                <w:highlight w:val="none"/>
                <w:lang w:eastAsia="zh-CN"/>
              </w:rPr>
              <w:t>。</w:t>
            </w:r>
          </w:p>
        </w:tc>
        <w:tc>
          <w:tcPr>
            <w:tcW w:w="693" w:type="dxa"/>
            <w:vAlign w:val="top"/>
          </w:tcPr>
          <w:p w14:paraId="61C85B9B">
            <w:pPr>
              <w:spacing w:line="243" w:lineRule="auto"/>
              <w:rPr>
                <w:rFonts w:ascii="Arial"/>
                <w:sz w:val="21"/>
                <w:highlight w:val="none"/>
              </w:rPr>
            </w:pPr>
          </w:p>
          <w:p w14:paraId="291C91B3">
            <w:pPr>
              <w:spacing w:line="244" w:lineRule="auto"/>
              <w:rPr>
                <w:rFonts w:ascii="Arial"/>
                <w:sz w:val="21"/>
                <w:highlight w:val="none"/>
              </w:rPr>
            </w:pPr>
          </w:p>
          <w:p w14:paraId="507464C9">
            <w:pPr>
              <w:spacing w:line="244" w:lineRule="auto"/>
              <w:rPr>
                <w:rFonts w:ascii="Arial"/>
                <w:sz w:val="21"/>
                <w:highlight w:val="none"/>
              </w:rPr>
            </w:pPr>
          </w:p>
          <w:p w14:paraId="0E0A095D">
            <w:pPr>
              <w:pStyle w:val="25"/>
              <w:spacing w:before="78" w:line="238" w:lineRule="auto"/>
              <w:ind w:left="311"/>
              <w:rPr>
                <w:highlight w:val="none"/>
              </w:rPr>
            </w:pPr>
            <w:r>
              <w:rPr>
                <w:highlight w:val="none"/>
              </w:rPr>
              <w:t>1</w:t>
            </w:r>
          </w:p>
        </w:tc>
      </w:tr>
      <w:tr w14:paraId="1922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17" w:type="dxa"/>
            <w:vMerge w:val="continue"/>
            <w:tcBorders>
              <w:top w:val="nil"/>
              <w:bottom w:val="nil"/>
            </w:tcBorders>
            <w:vAlign w:val="top"/>
          </w:tcPr>
          <w:p w14:paraId="73C8A8F3">
            <w:pPr>
              <w:rPr>
                <w:rFonts w:ascii="Arial"/>
                <w:sz w:val="21"/>
                <w:highlight w:val="none"/>
              </w:rPr>
            </w:pPr>
          </w:p>
        </w:tc>
        <w:tc>
          <w:tcPr>
            <w:tcW w:w="935" w:type="dxa"/>
            <w:vMerge w:val="continue"/>
            <w:tcBorders>
              <w:top w:val="nil"/>
              <w:bottom w:val="nil"/>
            </w:tcBorders>
            <w:vAlign w:val="top"/>
          </w:tcPr>
          <w:p w14:paraId="0905F357">
            <w:pPr>
              <w:rPr>
                <w:rFonts w:ascii="Arial"/>
                <w:sz w:val="21"/>
                <w:highlight w:val="none"/>
              </w:rPr>
            </w:pPr>
          </w:p>
        </w:tc>
        <w:tc>
          <w:tcPr>
            <w:tcW w:w="1548" w:type="dxa"/>
            <w:vAlign w:val="top"/>
          </w:tcPr>
          <w:p w14:paraId="60083846">
            <w:pPr>
              <w:spacing w:line="421" w:lineRule="auto"/>
              <w:rPr>
                <w:rFonts w:ascii="Arial"/>
                <w:sz w:val="21"/>
                <w:highlight w:val="none"/>
              </w:rPr>
            </w:pPr>
          </w:p>
          <w:p w14:paraId="6CC235E1">
            <w:pPr>
              <w:pStyle w:val="25"/>
              <w:spacing w:before="78" w:line="241" w:lineRule="auto"/>
              <w:ind w:left="119" w:right="142" w:hanging="8"/>
              <w:jc w:val="both"/>
              <w:rPr>
                <w:highlight w:val="none"/>
              </w:rPr>
            </w:pPr>
            <w:r>
              <w:rPr>
                <w:spacing w:val="-22"/>
                <w:highlight w:val="none"/>
              </w:rPr>
              <w:t>4.确保安全文</w:t>
            </w:r>
            <w:r>
              <w:rPr>
                <w:spacing w:val="-27"/>
                <w:highlight w:val="none"/>
              </w:rPr>
              <w:t>明生产的管理</w:t>
            </w:r>
            <w:r>
              <w:rPr>
                <w:spacing w:val="-22"/>
                <w:highlight w:val="none"/>
              </w:rPr>
              <w:t>体系与措施</w:t>
            </w:r>
          </w:p>
        </w:tc>
        <w:tc>
          <w:tcPr>
            <w:tcW w:w="5331" w:type="dxa"/>
            <w:vAlign w:val="top"/>
          </w:tcPr>
          <w:p w14:paraId="4203CC45">
            <w:pPr>
              <w:pStyle w:val="25"/>
              <w:spacing w:before="38" w:line="239" w:lineRule="auto"/>
              <w:ind w:left="116" w:right="101" w:firstLine="431"/>
              <w:jc w:val="both"/>
              <w:rPr>
                <w:highlight w:val="none"/>
              </w:rPr>
            </w:pPr>
            <w:r>
              <w:rPr>
                <w:spacing w:val="-28"/>
                <w:highlight w:val="none"/>
              </w:rPr>
              <w:t>投标人根据现场实际情况，提供项目生活区、办公区、生产区平面布置方案、提供详尽的扬尘污染防治及</w:t>
            </w:r>
            <w:r>
              <w:rPr>
                <w:spacing w:val="-24"/>
                <w:highlight w:val="none"/>
              </w:rPr>
              <w:t>现场防火措施，布置方案及相应措施贴合项目实际。</w:t>
            </w:r>
          </w:p>
          <w:p w14:paraId="72A1D30C">
            <w:pPr>
              <w:pStyle w:val="25"/>
              <w:spacing w:before="1" w:line="228" w:lineRule="auto"/>
              <w:ind w:left="117" w:right="103" w:firstLine="432"/>
              <w:jc w:val="both"/>
              <w:rPr>
                <w:highlight w:val="none"/>
              </w:rPr>
            </w:pPr>
            <w:r>
              <w:rPr>
                <w:spacing w:val="-27"/>
                <w:highlight w:val="none"/>
              </w:rPr>
              <w:t>评标委员会综合比较评分：优得</w:t>
            </w:r>
            <w:r>
              <w:rPr>
                <w:spacing w:val="-30"/>
                <w:highlight w:val="none"/>
              </w:rPr>
              <w:t xml:space="preserve"> </w:t>
            </w:r>
            <w:r>
              <w:rPr>
                <w:spacing w:val="-27"/>
                <w:highlight w:val="none"/>
              </w:rPr>
              <w:t>1.5＜F≤2</w:t>
            </w:r>
            <w:r>
              <w:rPr>
                <w:spacing w:val="-50"/>
                <w:highlight w:val="none"/>
              </w:rPr>
              <w:t xml:space="preserve"> </w:t>
            </w:r>
            <w:r>
              <w:rPr>
                <w:spacing w:val="-27"/>
                <w:highlight w:val="none"/>
              </w:rPr>
              <w:t>分，良</w:t>
            </w:r>
            <w:r>
              <w:rPr>
                <w:spacing w:val="-24"/>
                <w:highlight w:val="none"/>
              </w:rPr>
              <w:t>得</w:t>
            </w:r>
            <w:r>
              <w:rPr>
                <w:spacing w:val="-28"/>
                <w:highlight w:val="none"/>
              </w:rPr>
              <w:t xml:space="preserve"> </w:t>
            </w:r>
            <w:r>
              <w:rPr>
                <w:spacing w:val="-24"/>
                <w:highlight w:val="none"/>
              </w:rPr>
              <w:t>1≤F≤1.5</w:t>
            </w:r>
            <w:r>
              <w:rPr>
                <w:spacing w:val="-51"/>
                <w:highlight w:val="none"/>
              </w:rPr>
              <w:t xml:space="preserve"> </w:t>
            </w:r>
            <w:r>
              <w:rPr>
                <w:spacing w:val="-24"/>
                <w:highlight w:val="none"/>
              </w:rPr>
              <w:t>分，差得0≤F＜1</w:t>
            </w:r>
            <w:r>
              <w:rPr>
                <w:spacing w:val="-50"/>
                <w:highlight w:val="none"/>
              </w:rPr>
              <w:t xml:space="preserve"> </w:t>
            </w:r>
            <w:r>
              <w:rPr>
                <w:spacing w:val="-24"/>
                <w:highlight w:val="none"/>
              </w:rPr>
              <w:t>分。未体现以上内容或</w:t>
            </w:r>
            <w:r>
              <w:rPr>
                <w:spacing w:val="-25"/>
                <w:highlight w:val="none"/>
              </w:rPr>
              <w:t>上述内容描述不合理、不科学的得</w:t>
            </w:r>
            <w:r>
              <w:rPr>
                <w:spacing w:val="-51"/>
                <w:highlight w:val="none"/>
              </w:rPr>
              <w:t xml:space="preserve"> </w:t>
            </w:r>
            <w:r>
              <w:rPr>
                <w:spacing w:val="-25"/>
                <w:highlight w:val="none"/>
              </w:rPr>
              <w:t>0</w:t>
            </w:r>
            <w:r>
              <w:rPr>
                <w:spacing w:val="-50"/>
                <w:highlight w:val="none"/>
              </w:rPr>
              <w:t xml:space="preserve"> </w:t>
            </w:r>
            <w:r>
              <w:rPr>
                <w:spacing w:val="-25"/>
                <w:highlight w:val="none"/>
              </w:rPr>
              <w:t>分。</w:t>
            </w:r>
          </w:p>
        </w:tc>
        <w:tc>
          <w:tcPr>
            <w:tcW w:w="693" w:type="dxa"/>
            <w:vAlign w:val="top"/>
          </w:tcPr>
          <w:p w14:paraId="27958582">
            <w:pPr>
              <w:spacing w:line="244" w:lineRule="auto"/>
              <w:rPr>
                <w:rFonts w:ascii="Arial"/>
                <w:sz w:val="21"/>
                <w:highlight w:val="none"/>
              </w:rPr>
            </w:pPr>
          </w:p>
          <w:p w14:paraId="469B7C94">
            <w:pPr>
              <w:spacing w:line="244" w:lineRule="auto"/>
              <w:rPr>
                <w:rFonts w:ascii="Arial"/>
                <w:sz w:val="21"/>
                <w:highlight w:val="none"/>
              </w:rPr>
            </w:pPr>
          </w:p>
          <w:p w14:paraId="2C7EA91B">
            <w:pPr>
              <w:spacing w:line="244" w:lineRule="auto"/>
              <w:rPr>
                <w:rFonts w:ascii="Arial"/>
                <w:sz w:val="21"/>
                <w:highlight w:val="none"/>
              </w:rPr>
            </w:pPr>
          </w:p>
          <w:p w14:paraId="0048020F">
            <w:pPr>
              <w:pStyle w:val="25"/>
              <w:spacing w:before="78" w:line="238" w:lineRule="auto"/>
              <w:ind w:left="298"/>
              <w:rPr>
                <w:highlight w:val="none"/>
              </w:rPr>
            </w:pPr>
            <w:r>
              <w:rPr>
                <w:highlight w:val="none"/>
              </w:rPr>
              <w:t>2</w:t>
            </w:r>
          </w:p>
        </w:tc>
      </w:tr>
      <w:tr w14:paraId="5548B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17" w:type="dxa"/>
            <w:vMerge w:val="continue"/>
            <w:tcBorders>
              <w:top w:val="nil"/>
              <w:bottom w:val="nil"/>
            </w:tcBorders>
            <w:vAlign w:val="top"/>
          </w:tcPr>
          <w:p w14:paraId="582BDD5F">
            <w:pPr>
              <w:rPr>
                <w:rFonts w:ascii="Arial"/>
                <w:sz w:val="21"/>
                <w:highlight w:val="none"/>
              </w:rPr>
            </w:pPr>
          </w:p>
        </w:tc>
        <w:tc>
          <w:tcPr>
            <w:tcW w:w="935" w:type="dxa"/>
            <w:vMerge w:val="continue"/>
            <w:tcBorders>
              <w:top w:val="nil"/>
              <w:bottom w:val="nil"/>
            </w:tcBorders>
            <w:vAlign w:val="top"/>
          </w:tcPr>
          <w:p w14:paraId="198AE82A">
            <w:pPr>
              <w:rPr>
                <w:rFonts w:ascii="Arial"/>
                <w:sz w:val="21"/>
                <w:highlight w:val="none"/>
              </w:rPr>
            </w:pPr>
          </w:p>
        </w:tc>
        <w:tc>
          <w:tcPr>
            <w:tcW w:w="1548" w:type="dxa"/>
            <w:vAlign w:val="top"/>
          </w:tcPr>
          <w:p w14:paraId="71811DAE">
            <w:pPr>
              <w:spacing w:line="289" w:lineRule="auto"/>
              <w:rPr>
                <w:rFonts w:ascii="Arial"/>
                <w:sz w:val="21"/>
                <w:highlight w:val="none"/>
              </w:rPr>
            </w:pPr>
          </w:p>
          <w:p w14:paraId="58657189">
            <w:pPr>
              <w:spacing w:line="290" w:lineRule="auto"/>
              <w:rPr>
                <w:rFonts w:ascii="Arial"/>
                <w:sz w:val="21"/>
                <w:highlight w:val="none"/>
              </w:rPr>
            </w:pPr>
          </w:p>
          <w:p w14:paraId="51CEBFF7">
            <w:pPr>
              <w:pStyle w:val="25"/>
              <w:spacing w:before="78"/>
              <w:ind w:left="120" w:right="142" w:hanging="4"/>
              <w:jc w:val="both"/>
              <w:rPr>
                <w:highlight w:val="none"/>
              </w:rPr>
            </w:pPr>
            <w:r>
              <w:rPr>
                <w:spacing w:val="-23"/>
                <w:highlight w:val="none"/>
              </w:rPr>
              <w:t>5.工程进度计</w:t>
            </w:r>
            <w:r>
              <w:rPr>
                <w:spacing w:val="-27"/>
                <w:highlight w:val="none"/>
              </w:rPr>
              <w:t>划与措施及施</w:t>
            </w:r>
            <w:r>
              <w:rPr>
                <w:spacing w:val="-22"/>
                <w:highlight w:val="none"/>
              </w:rPr>
              <w:t>工网络图</w:t>
            </w:r>
          </w:p>
        </w:tc>
        <w:tc>
          <w:tcPr>
            <w:tcW w:w="5331" w:type="dxa"/>
            <w:vAlign w:val="top"/>
          </w:tcPr>
          <w:p w14:paraId="07E3B193">
            <w:pPr>
              <w:pStyle w:val="25"/>
              <w:spacing w:before="35"/>
              <w:ind w:left="114" w:right="12" w:firstLine="436"/>
              <w:jc w:val="both"/>
              <w:rPr>
                <w:highlight w:val="none"/>
              </w:rPr>
            </w:pPr>
            <w:r>
              <w:rPr>
                <w:spacing w:val="-24"/>
                <w:highlight w:val="none"/>
              </w:rPr>
              <w:t>在施工工艺、施工方法、材料选用、劳动力安排、</w:t>
            </w:r>
            <w:r>
              <w:rPr>
                <w:spacing w:val="-27"/>
                <w:highlight w:val="none"/>
              </w:rPr>
              <w:t>技术等方面有保证工期的具体措施且措施得</w:t>
            </w:r>
            <w:r>
              <w:rPr>
                <w:spacing w:val="-28"/>
                <w:highlight w:val="none"/>
              </w:rPr>
              <w:t>当，具有施工总进度表或施工网络图且各项计划图表编制完善，安</w:t>
            </w:r>
            <w:r>
              <w:rPr>
                <w:spacing w:val="-32"/>
                <w:highlight w:val="none"/>
              </w:rPr>
              <w:t>排科学合理，工期有所优化，符合本项目施工实际</w:t>
            </w:r>
            <w:r>
              <w:rPr>
                <w:spacing w:val="-33"/>
                <w:highlight w:val="none"/>
              </w:rPr>
              <w:t>要求。</w:t>
            </w:r>
          </w:p>
          <w:p w14:paraId="6DFD7676">
            <w:pPr>
              <w:pStyle w:val="25"/>
              <w:spacing w:line="228" w:lineRule="auto"/>
              <w:ind w:left="117" w:right="103" w:firstLine="432"/>
              <w:jc w:val="both"/>
              <w:rPr>
                <w:highlight w:val="none"/>
              </w:rPr>
            </w:pPr>
            <w:r>
              <w:rPr>
                <w:spacing w:val="-23"/>
                <w:highlight w:val="none"/>
              </w:rPr>
              <w:t>评标委员会综合比较评分：优得</w:t>
            </w:r>
            <w:r>
              <w:rPr>
                <w:spacing w:val="-56"/>
                <w:highlight w:val="none"/>
              </w:rPr>
              <w:t xml:space="preserve"> </w:t>
            </w:r>
            <w:r>
              <w:rPr>
                <w:spacing w:val="-23"/>
                <w:highlight w:val="none"/>
              </w:rPr>
              <w:t>0.7＜F≤1分，良</w:t>
            </w:r>
            <w:r>
              <w:rPr>
                <w:spacing w:val="-24"/>
                <w:highlight w:val="none"/>
              </w:rPr>
              <w:t>得</w:t>
            </w:r>
            <w:r>
              <w:rPr>
                <w:spacing w:val="-43"/>
                <w:highlight w:val="none"/>
              </w:rPr>
              <w:t xml:space="preserve"> </w:t>
            </w:r>
            <w:r>
              <w:rPr>
                <w:spacing w:val="-24"/>
                <w:highlight w:val="none"/>
              </w:rPr>
              <w:t>0.4≤F≤0.7</w:t>
            </w:r>
            <w:r>
              <w:rPr>
                <w:spacing w:val="-50"/>
                <w:highlight w:val="none"/>
              </w:rPr>
              <w:t xml:space="preserve"> </w:t>
            </w:r>
            <w:r>
              <w:rPr>
                <w:spacing w:val="-24"/>
                <w:highlight w:val="none"/>
              </w:rPr>
              <w:t>分，差得</w:t>
            </w:r>
            <w:r>
              <w:rPr>
                <w:spacing w:val="-58"/>
                <w:highlight w:val="none"/>
              </w:rPr>
              <w:t xml:space="preserve"> </w:t>
            </w:r>
            <w:r>
              <w:rPr>
                <w:spacing w:val="-24"/>
                <w:highlight w:val="none"/>
              </w:rPr>
              <w:t>0≤F＜0.4</w:t>
            </w:r>
            <w:r>
              <w:rPr>
                <w:spacing w:val="-50"/>
                <w:highlight w:val="none"/>
              </w:rPr>
              <w:t xml:space="preserve"> </w:t>
            </w:r>
            <w:r>
              <w:rPr>
                <w:spacing w:val="-24"/>
                <w:highlight w:val="none"/>
              </w:rPr>
              <w:t>分。未体现以上内</w:t>
            </w:r>
            <w:r>
              <w:rPr>
                <w:spacing w:val="-25"/>
                <w:highlight w:val="none"/>
              </w:rPr>
              <w:t>容或上述内容描述不合理、不科学的得</w:t>
            </w:r>
            <w:r>
              <w:rPr>
                <w:spacing w:val="-33"/>
                <w:highlight w:val="none"/>
              </w:rPr>
              <w:t xml:space="preserve"> </w:t>
            </w:r>
            <w:r>
              <w:rPr>
                <w:spacing w:val="-25"/>
                <w:highlight w:val="none"/>
              </w:rPr>
              <w:t>0</w:t>
            </w:r>
            <w:r>
              <w:rPr>
                <w:spacing w:val="-51"/>
                <w:highlight w:val="none"/>
              </w:rPr>
              <w:t xml:space="preserve"> </w:t>
            </w:r>
            <w:r>
              <w:rPr>
                <w:spacing w:val="-25"/>
                <w:highlight w:val="none"/>
              </w:rPr>
              <w:t>分</w:t>
            </w:r>
          </w:p>
        </w:tc>
        <w:tc>
          <w:tcPr>
            <w:tcW w:w="693" w:type="dxa"/>
            <w:vAlign w:val="top"/>
          </w:tcPr>
          <w:p w14:paraId="0C9ECE87">
            <w:pPr>
              <w:spacing w:line="296" w:lineRule="auto"/>
              <w:rPr>
                <w:rFonts w:ascii="Arial"/>
                <w:sz w:val="21"/>
                <w:highlight w:val="none"/>
              </w:rPr>
            </w:pPr>
          </w:p>
          <w:p w14:paraId="14F1404F">
            <w:pPr>
              <w:spacing w:line="296" w:lineRule="auto"/>
              <w:rPr>
                <w:rFonts w:ascii="Arial"/>
                <w:sz w:val="21"/>
                <w:highlight w:val="none"/>
              </w:rPr>
            </w:pPr>
          </w:p>
          <w:p w14:paraId="211B110E">
            <w:pPr>
              <w:spacing w:line="296" w:lineRule="auto"/>
              <w:rPr>
                <w:rFonts w:ascii="Arial"/>
                <w:sz w:val="21"/>
                <w:highlight w:val="none"/>
              </w:rPr>
            </w:pPr>
          </w:p>
          <w:p w14:paraId="4333EA9A">
            <w:pPr>
              <w:pStyle w:val="25"/>
              <w:spacing w:before="78" w:line="238" w:lineRule="auto"/>
              <w:ind w:left="311"/>
              <w:rPr>
                <w:highlight w:val="none"/>
              </w:rPr>
            </w:pPr>
            <w:r>
              <w:rPr>
                <w:highlight w:val="none"/>
              </w:rPr>
              <w:t>1</w:t>
            </w:r>
          </w:p>
        </w:tc>
      </w:tr>
      <w:tr w14:paraId="3A88A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17" w:type="dxa"/>
            <w:vMerge w:val="continue"/>
            <w:tcBorders>
              <w:top w:val="nil"/>
              <w:bottom w:val="nil"/>
            </w:tcBorders>
            <w:vAlign w:val="top"/>
          </w:tcPr>
          <w:p w14:paraId="480B59D4">
            <w:pPr>
              <w:rPr>
                <w:rFonts w:ascii="Arial"/>
                <w:sz w:val="21"/>
                <w:highlight w:val="none"/>
              </w:rPr>
            </w:pPr>
          </w:p>
        </w:tc>
        <w:tc>
          <w:tcPr>
            <w:tcW w:w="935" w:type="dxa"/>
            <w:vMerge w:val="continue"/>
            <w:tcBorders>
              <w:top w:val="nil"/>
              <w:bottom w:val="nil"/>
            </w:tcBorders>
            <w:vAlign w:val="top"/>
          </w:tcPr>
          <w:p w14:paraId="78FEADEC">
            <w:pPr>
              <w:rPr>
                <w:rFonts w:ascii="Arial"/>
                <w:sz w:val="21"/>
                <w:highlight w:val="none"/>
              </w:rPr>
            </w:pPr>
          </w:p>
        </w:tc>
        <w:tc>
          <w:tcPr>
            <w:tcW w:w="1548" w:type="dxa"/>
            <w:vAlign w:val="top"/>
          </w:tcPr>
          <w:p w14:paraId="2D8E0634">
            <w:pPr>
              <w:spacing w:line="291" w:lineRule="auto"/>
              <w:rPr>
                <w:rFonts w:ascii="Arial"/>
                <w:sz w:val="21"/>
                <w:highlight w:val="none"/>
              </w:rPr>
            </w:pPr>
          </w:p>
          <w:p w14:paraId="6D52899B">
            <w:pPr>
              <w:spacing w:line="291" w:lineRule="auto"/>
              <w:rPr>
                <w:rFonts w:ascii="Arial"/>
                <w:sz w:val="21"/>
                <w:highlight w:val="none"/>
              </w:rPr>
            </w:pPr>
          </w:p>
          <w:p w14:paraId="4E54CC07">
            <w:pPr>
              <w:pStyle w:val="25"/>
              <w:spacing w:before="78" w:line="239" w:lineRule="auto"/>
              <w:ind w:left="459" w:right="123" w:hanging="326"/>
              <w:rPr>
                <w:highlight w:val="none"/>
              </w:rPr>
            </w:pPr>
            <w:r>
              <w:rPr>
                <w:spacing w:val="-22"/>
                <w:highlight w:val="none"/>
              </w:rPr>
              <w:t>6.主要物资供</w:t>
            </w:r>
            <w:r>
              <w:rPr>
                <w:spacing w:val="-20"/>
                <w:highlight w:val="none"/>
              </w:rPr>
              <w:t>应计划</w:t>
            </w:r>
          </w:p>
        </w:tc>
        <w:tc>
          <w:tcPr>
            <w:tcW w:w="5331" w:type="dxa"/>
            <w:vAlign w:val="top"/>
          </w:tcPr>
          <w:p w14:paraId="6FEE4163">
            <w:pPr>
              <w:pStyle w:val="25"/>
              <w:spacing w:before="40" w:line="239" w:lineRule="auto"/>
              <w:ind w:left="117" w:right="81" w:firstLine="435"/>
              <w:jc w:val="both"/>
              <w:rPr>
                <w:highlight w:val="none"/>
              </w:rPr>
            </w:pPr>
            <w:r>
              <w:rPr>
                <w:spacing w:val="-28"/>
                <w:highlight w:val="none"/>
              </w:rPr>
              <w:t>结合本工程特点，投入的施工材料有详细计划且计</w:t>
            </w:r>
            <w:r>
              <w:rPr>
                <w:spacing w:val="-27"/>
                <w:highlight w:val="none"/>
              </w:rPr>
              <w:t>划周密，数量、选型配置、进场数量、时间安排合理，</w:t>
            </w:r>
            <w:r>
              <w:rPr>
                <w:spacing w:val="-25"/>
                <w:highlight w:val="none"/>
              </w:rPr>
              <w:t>满足施工需要。</w:t>
            </w:r>
          </w:p>
          <w:p w14:paraId="0426C68B">
            <w:pPr>
              <w:pStyle w:val="25"/>
              <w:spacing w:before="3" w:line="229" w:lineRule="auto"/>
              <w:ind w:left="117" w:right="103" w:firstLine="432"/>
              <w:jc w:val="both"/>
              <w:rPr>
                <w:highlight w:val="none"/>
              </w:rPr>
            </w:pPr>
            <w:r>
              <w:rPr>
                <w:spacing w:val="-23"/>
                <w:highlight w:val="none"/>
              </w:rPr>
              <w:t>评标委员会综合比较评分：优得</w:t>
            </w:r>
            <w:r>
              <w:rPr>
                <w:spacing w:val="-56"/>
                <w:highlight w:val="none"/>
              </w:rPr>
              <w:t xml:space="preserve"> </w:t>
            </w:r>
            <w:r>
              <w:rPr>
                <w:spacing w:val="-23"/>
                <w:highlight w:val="none"/>
              </w:rPr>
              <w:t>0.7＜F≤1分，良</w:t>
            </w:r>
            <w:r>
              <w:rPr>
                <w:spacing w:val="-24"/>
                <w:highlight w:val="none"/>
              </w:rPr>
              <w:t>得</w:t>
            </w:r>
            <w:r>
              <w:rPr>
                <w:spacing w:val="-43"/>
                <w:highlight w:val="none"/>
              </w:rPr>
              <w:t xml:space="preserve"> </w:t>
            </w:r>
            <w:r>
              <w:rPr>
                <w:spacing w:val="-24"/>
                <w:highlight w:val="none"/>
              </w:rPr>
              <w:t>0.4≤F≤0.7</w:t>
            </w:r>
            <w:r>
              <w:rPr>
                <w:spacing w:val="-50"/>
                <w:highlight w:val="none"/>
              </w:rPr>
              <w:t xml:space="preserve"> </w:t>
            </w:r>
            <w:r>
              <w:rPr>
                <w:spacing w:val="-24"/>
                <w:highlight w:val="none"/>
              </w:rPr>
              <w:t>分，差得</w:t>
            </w:r>
            <w:r>
              <w:rPr>
                <w:spacing w:val="-58"/>
                <w:highlight w:val="none"/>
              </w:rPr>
              <w:t xml:space="preserve"> </w:t>
            </w:r>
            <w:r>
              <w:rPr>
                <w:spacing w:val="-24"/>
                <w:highlight w:val="none"/>
              </w:rPr>
              <w:t>0≤F＜0.4</w:t>
            </w:r>
            <w:r>
              <w:rPr>
                <w:spacing w:val="-50"/>
                <w:highlight w:val="none"/>
              </w:rPr>
              <w:t xml:space="preserve"> </w:t>
            </w:r>
            <w:r>
              <w:rPr>
                <w:spacing w:val="-24"/>
                <w:highlight w:val="none"/>
              </w:rPr>
              <w:t>分。未体现以上内</w:t>
            </w:r>
            <w:r>
              <w:rPr>
                <w:spacing w:val="-25"/>
                <w:highlight w:val="none"/>
              </w:rPr>
              <w:t>容或上述内容描述不合理、不科学的得</w:t>
            </w:r>
            <w:r>
              <w:rPr>
                <w:spacing w:val="-33"/>
                <w:highlight w:val="none"/>
              </w:rPr>
              <w:t xml:space="preserve"> </w:t>
            </w:r>
            <w:r>
              <w:rPr>
                <w:spacing w:val="-25"/>
                <w:highlight w:val="none"/>
              </w:rPr>
              <w:t>0</w:t>
            </w:r>
            <w:r>
              <w:rPr>
                <w:spacing w:val="-51"/>
                <w:highlight w:val="none"/>
              </w:rPr>
              <w:t xml:space="preserve"> </w:t>
            </w:r>
            <w:r>
              <w:rPr>
                <w:spacing w:val="-25"/>
                <w:highlight w:val="none"/>
              </w:rPr>
              <w:t>分</w:t>
            </w:r>
          </w:p>
        </w:tc>
        <w:tc>
          <w:tcPr>
            <w:tcW w:w="693" w:type="dxa"/>
            <w:vAlign w:val="top"/>
          </w:tcPr>
          <w:p w14:paraId="692D6455">
            <w:pPr>
              <w:spacing w:line="244" w:lineRule="auto"/>
              <w:rPr>
                <w:rFonts w:ascii="Arial"/>
                <w:sz w:val="21"/>
                <w:highlight w:val="none"/>
              </w:rPr>
            </w:pPr>
          </w:p>
          <w:p w14:paraId="2D3B64BE">
            <w:pPr>
              <w:spacing w:line="245" w:lineRule="auto"/>
              <w:rPr>
                <w:rFonts w:ascii="Arial"/>
                <w:sz w:val="21"/>
                <w:highlight w:val="none"/>
              </w:rPr>
            </w:pPr>
          </w:p>
          <w:p w14:paraId="3F588210">
            <w:pPr>
              <w:spacing w:line="245" w:lineRule="auto"/>
              <w:rPr>
                <w:rFonts w:ascii="Arial"/>
                <w:sz w:val="21"/>
                <w:highlight w:val="none"/>
              </w:rPr>
            </w:pPr>
          </w:p>
          <w:p w14:paraId="2AD528CD">
            <w:pPr>
              <w:pStyle w:val="25"/>
              <w:spacing w:before="78" w:line="238" w:lineRule="auto"/>
              <w:ind w:left="311"/>
              <w:rPr>
                <w:highlight w:val="none"/>
              </w:rPr>
            </w:pPr>
            <w:r>
              <w:rPr>
                <w:highlight w:val="none"/>
              </w:rPr>
              <w:t>1</w:t>
            </w:r>
          </w:p>
        </w:tc>
      </w:tr>
      <w:tr w14:paraId="6393E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17" w:type="dxa"/>
            <w:tcBorders>
              <w:top w:val="nil"/>
              <w:bottom w:val="nil"/>
            </w:tcBorders>
            <w:vAlign w:val="top"/>
          </w:tcPr>
          <w:p w14:paraId="6578DA7A">
            <w:pPr>
              <w:rPr>
                <w:rFonts w:ascii="Arial"/>
                <w:sz w:val="21"/>
                <w:highlight w:val="none"/>
              </w:rPr>
            </w:pPr>
          </w:p>
        </w:tc>
        <w:tc>
          <w:tcPr>
            <w:tcW w:w="935" w:type="dxa"/>
            <w:tcBorders>
              <w:top w:val="nil"/>
              <w:bottom w:val="nil"/>
            </w:tcBorders>
            <w:vAlign w:val="top"/>
          </w:tcPr>
          <w:p w14:paraId="28DF20B5">
            <w:pPr>
              <w:rPr>
                <w:rFonts w:ascii="Arial"/>
                <w:sz w:val="21"/>
                <w:highlight w:val="none"/>
              </w:rPr>
            </w:pPr>
          </w:p>
        </w:tc>
        <w:tc>
          <w:tcPr>
            <w:tcW w:w="1548" w:type="dxa"/>
            <w:vAlign w:val="top"/>
          </w:tcPr>
          <w:p w14:paraId="0B82B4CE">
            <w:pPr>
              <w:spacing w:line="271" w:lineRule="auto"/>
              <w:rPr>
                <w:rFonts w:ascii="Arial"/>
                <w:sz w:val="21"/>
                <w:highlight w:val="none"/>
              </w:rPr>
            </w:pPr>
          </w:p>
          <w:p w14:paraId="547EFBEF">
            <w:pPr>
              <w:pStyle w:val="25"/>
              <w:spacing w:before="78" w:line="218" w:lineRule="auto"/>
              <w:ind w:left="136"/>
              <w:rPr>
                <w:highlight w:val="none"/>
              </w:rPr>
            </w:pPr>
            <w:r>
              <w:rPr>
                <w:spacing w:val="-19"/>
                <w:highlight w:val="none"/>
              </w:rPr>
              <w:t>7.工程重难点</w:t>
            </w:r>
          </w:p>
          <w:p w14:paraId="6DDDE7E0">
            <w:pPr>
              <w:pStyle w:val="25"/>
              <w:spacing w:before="28" w:line="217" w:lineRule="auto"/>
              <w:ind w:left="140"/>
              <w:rPr>
                <w:highlight w:val="none"/>
              </w:rPr>
            </w:pPr>
            <w:r>
              <w:rPr>
                <w:spacing w:val="-23"/>
                <w:highlight w:val="none"/>
              </w:rPr>
              <w:t>及对应保证措</w:t>
            </w:r>
          </w:p>
          <w:p w14:paraId="4074CBF4">
            <w:pPr>
              <w:pStyle w:val="25"/>
              <w:spacing w:before="28" w:line="220" w:lineRule="auto"/>
              <w:ind w:left="675" w:leftChars="0"/>
              <w:rPr>
                <w:spacing w:val="-22"/>
                <w:highlight w:val="none"/>
              </w:rPr>
            </w:pPr>
            <w:r>
              <w:rPr>
                <w:highlight w:val="none"/>
              </w:rPr>
              <w:t>施</w:t>
            </w:r>
          </w:p>
        </w:tc>
        <w:tc>
          <w:tcPr>
            <w:tcW w:w="5331" w:type="dxa"/>
            <w:vAlign w:val="top"/>
          </w:tcPr>
          <w:p w14:paraId="234D5A65">
            <w:pPr>
              <w:pStyle w:val="25"/>
              <w:spacing w:before="38"/>
              <w:ind w:left="116" w:right="104" w:firstLine="436"/>
              <w:rPr>
                <w:highlight w:val="none"/>
              </w:rPr>
            </w:pPr>
            <w:r>
              <w:rPr>
                <w:spacing w:val="-18"/>
                <w:highlight w:val="none"/>
              </w:rPr>
              <w:t>结合本工程重难点，依据投标人提出的重难点分</w:t>
            </w:r>
            <w:r>
              <w:rPr>
                <w:spacing w:val="-25"/>
                <w:highlight w:val="none"/>
              </w:rPr>
              <w:t>析、对应保证措施进行评审。</w:t>
            </w:r>
          </w:p>
          <w:p w14:paraId="4E7CFE13">
            <w:pPr>
              <w:pStyle w:val="25"/>
              <w:spacing w:before="1" w:line="229" w:lineRule="auto"/>
              <w:ind w:left="117" w:leftChars="0" w:right="103" w:rightChars="0" w:firstLine="432" w:firstLineChars="0"/>
              <w:jc w:val="both"/>
              <w:rPr>
                <w:spacing w:val="-23"/>
                <w:highlight w:val="none"/>
              </w:rPr>
            </w:pPr>
            <w:r>
              <w:rPr>
                <w:spacing w:val="-23"/>
                <w:highlight w:val="none"/>
              </w:rPr>
              <w:t>评标委员会综合比较评分：优得</w:t>
            </w:r>
            <w:r>
              <w:rPr>
                <w:spacing w:val="-56"/>
                <w:highlight w:val="none"/>
              </w:rPr>
              <w:t xml:space="preserve"> </w:t>
            </w:r>
            <w:r>
              <w:rPr>
                <w:spacing w:val="-23"/>
                <w:highlight w:val="none"/>
              </w:rPr>
              <w:t>0.7＜F≤1分，良</w:t>
            </w:r>
            <w:r>
              <w:rPr>
                <w:spacing w:val="-24"/>
                <w:highlight w:val="none"/>
              </w:rPr>
              <w:t>得</w:t>
            </w:r>
            <w:r>
              <w:rPr>
                <w:spacing w:val="-43"/>
                <w:highlight w:val="none"/>
              </w:rPr>
              <w:t xml:space="preserve"> </w:t>
            </w:r>
            <w:r>
              <w:rPr>
                <w:spacing w:val="-24"/>
                <w:highlight w:val="none"/>
              </w:rPr>
              <w:t>0.4≤F≤0.7</w:t>
            </w:r>
            <w:r>
              <w:rPr>
                <w:spacing w:val="-50"/>
                <w:highlight w:val="none"/>
              </w:rPr>
              <w:t xml:space="preserve"> </w:t>
            </w:r>
            <w:r>
              <w:rPr>
                <w:spacing w:val="-24"/>
                <w:highlight w:val="none"/>
              </w:rPr>
              <w:t>分，差得</w:t>
            </w:r>
            <w:r>
              <w:rPr>
                <w:spacing w:val="-58"/>
                <w:highlight w:val="none"/>
              </w:rPr>
              <w:t xml:space="preserve"> </w:t>
            </w:r>
            <w:r>
              <w:rPr>
                <w:spacing w:val="-24"/>
                <w:highlight w:val="none"/>
              </w:rPr>
              <w:t>0≤F＜0.4</w:t>
            </w:r>
            <w:r>
              <w:rPr>
                <w:spacing w:val="-50"/>
                <w:highlight w:val="none"/>
              </w:rPr>
              <w:t xml:space="preserve"> </w:t>
            </w:r>
            <w:r>
              <w:rPr>
                <w:spacing w:val="-24"/>
                <w:highlight w:val="none"/>
              </w:rPr>
              <w:t>分。未体现以上内</w:t>
            </w:r>
            <w:r>
              <w:rPr>
                <w:spacing w:val="-25"/>
                <w:highlight w:val="none"/>
              </w:rPr>
              <w:t>容或上述内容描述不合理、不科学的得</w:t>
            </w:r>
            <w:r>
              <w:rPr>
                <w:spacing w:val="-33"/>
                <w:highlight w:val="none"/>
              </w:rPr>
              <w:t xml:space="preserve"> </w:t>
            </w:r>
            <w:r>
              <w:rPr>
                <w:spacing w:val="-25"/>
                <w:highlight w:val="none"/>
              </w:rPr>
              <w:t>0</w:t>
            </w:r>
            <w:r>
              <w:rPr>
                <w:spacing w:val="-51"/>
                <w:highlight w:val="none"/>
              </w:rPr>
              <w:t xml:space="preserve"> </w:t>
            </w:r>
            <w:r>
              <w:rPr>
                <w:spacing w:val="-25"/>
                <w:highlight w:val="none"/>
              </w:rPr>
              <w:t>分</w:t>
            </w:r>
          </w:p>
        </w:tc>
        <w:tc>
          <w:tcPr>
            <w:tcW w:w="693" w:type="dxa"/>
            <w:vAlign w:val="top"/>
          </w:tcPr>
          <w:p w14:paraId="5C78E6A4">
            <w:pPr>
              <w:spacing w:line="290" w:lineRule="auto"/>
              <w:rPr>
                <w:rFonts w:ascii="Arial"/>
                <w:sz w:val="21"/>
                <w:highlight w:val="none"/>
              </w:rPr>
            </w:pPr>
          </w:p>
          <w:p w14:paraId="6BC50E5B">
            <w:pPr>
              <w:spacing w:line="291" w:lineRule="auto"/>
              <w:rPr>
                <w:rFonts w:ascii="Arial"/>
                <w:sz w:val="21"/>
                <w:highlight w:val="none"/>
              </w:rPr>
            </w:pPr>
          </w:p>
          <w:p w14:paraId="756ECBEE">
            <w:pPr>
              <w:pStyle w:val="25"/>
              <w:spacing w:before="78" w:line="238" w:lineRule="auto"/>
              <w:ind w:left="311" w:leftChars="0"/>
              <w:rPr>
                <w:highlight w:val="none"/>
              </w:rPr>
            </w:pPr>
            <w:r>
              <w:rPr>
                <w:highlight w:val="none"/>
              </w:rPr>
              <w:t>1</w:t>
            </w:r>
          </w:p>
        </w:tc>
      </w:tr>
      <w:tr w14:paraId="3644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17" w:type="dxa"/>
            <w:tcBorders>
              <w:top w:val="nil"/>
            </w:tcBorders>
            <w:vAlign w:val="top"/>
          </w:tcPr>
          <w:p w14:paraId="149543B9">
            <w:pPr>
              <w:rPr>
                <w:rFonts w:ascii="Arial"/>
                <w:sz w:val="21"/>
                <w:highlight w:val="none"/>
              </w:rPr>
            </w:pPr>
          </w:p>
        </w:tc>
        <w:tc>
          <w:tcPr>
            <w:tcW w:w="935" w:type="dxa"/>
            <w:tcBorders>
              <w:top w:val="nil"/>
            </w:tcBorders>
            <w:vAlign w:val="top"/>
          </w:tcPr>
          <w:p w14:paraId="5F37A871">
            <w:pPr>
              <w:rPr>
                <w:rFonts w:ascii="Arial"/>
                <w:sz w:val="21"/>
                <w:highlight w:val="none"/>
              </w:rPr>
            </w:pPr>
          </w:p>
        </w:tc>
        <w:tc>
          <w:tcPr>
            <w:tcW w:w="1548" w:type="dxa"/>
            <w:vAlign w:val="top"/>
          </w:tcPr>
          <w:p w14:paraId="2A21AB73">
            <w:pPr>
              <w:spacing w:line="287" w:lineRule="auto"/>
              <w:rPr>
                <w:rFonts w:ascii="Arial"/>
                <w:sz w:val="21"/>
                <w:highlight w:val="none"/>
              </w:rPr>
            </w:pPr>
          </w:p>
          <w:p w14:paraId="04048652">
            <w:pPr>
              <w:spacing w:line="287" w:lineRule="auto"/>
              <w:rPr>
                <w:rFonts w:ascii="Arial"/>
                <w:sz w:val="21"/>
                <w:highlight w:val="none"/>
              </w:rPr>
            </w:pPr>
          </w:p>
          <w:p w14:paraId="138AE33F">
            <w:pPr>
              <w:pStyle w:val="25"/>
              <w:spacing w:before="79" w:line="241" w:lineRule="auto"/>
              <w:ind w:left="185" w:leftChars="0" w:right="151" w:rightChars="0" w:hanging="27" w:firstLineChars="0"/>
              <w:rPr>
                <w:highlight w:val="none"/>
              </w:rPr>
            </w:pPr>
            <w:r>
              <w:rPr>
                <w:spacing w:val="-21"/>
                <w:highlight w:val="none"/>
              </w:rPr>
              <w:t>8.EPC</w:t>
            </w:r>
            <w:r>
              <w:rPr>
                <w:spacing w:val="-41"/>
                <w:highlight w:val="none"/>
              </w:rPr>
              <w:t xml:space="preserve"> </w:t>
            </w:r>
            <w:r>
              <w:rPr>
                <w:spacing w:val="-21"/>
                <w:highlight w:val="none"/>
              </w:rPr>
              <w:t>管理重</w:t>
            </w:r>
            <w:r>
              <w:rPr>
                <w:spacing w:val="-3"/>
                <w:highlight w:val="none"/>
              </w:rPr>
              <w:t>难点及措施</w:t>
            </w:r>
          </w:p>
        </w:tc>
        <w:tc>
          <w:tcPr>
            <w:tcW w:w="5331" w:type="dxa"/>
            <w:vAlign w:val="top"/>
          </w:tcPr>
          <w:p w14:paraId="6CF7E817">
            <w:pPr>
              <w:pStyle w:val="25"/>
              <w:spacing w:before="31"/>
              <w:ind w:left="116" w:right="101" w:firstLine="431"/>
              <w:jc w:val="both"/>
              <w:rPr>
                <w:highlight w:val="none"/>
              </w:rPr>
            </w:pPr>
            <w:r>
              <w:rPr>
                <w:spacing w:val="-28"/>
                <w:highlight w:val="none"/>
              </w:rPr>
              <w:t>投标人结合设计方案等文件以及标前现场踏勘，对</w:t>
            </w:r>
            <w:r>
              <w:rPr>
                <w:spacing w:val="-21"/>
                <w:highlight w:val="none"/>
              </w:rPr>
              <w:t>本项目 EPC 模式实施过程中的重点和难点进行分析和</w:t>
            </w:r>
            <w:r>
              <w:rPr>
                <w:spacing w:val="-28"/>
                <w:highlight w:val="none"/>
              </w:rPr>
              <w:t>建议，包括资金保障措施、风险管控、投资控制、创优</w:t>
            </w:r>
            <w:r>
              <w:rPr>
                <w:spacing w:val="-24"/>
                <w:highlight w:val="none"/>
              </w:rPr>
              <w:t>措施等。</w:t>
            </w:r>
          </w:p>
          <w:p w14:paraId="7FB97B3B">
            <w:pPr>
              <w:pStyle w:val="25"/>
              <w:spacing w:line="229" w:lineRule="auto"/>
              <w:ind w:left="117" w:leftChars="0" w:right="103" w:rightChars="0" w:firstLine="432" w:firstLineChars="0"/>
              <w:jc w:val="both"/>
              <w:rPr>
                <w:spacing w:val="-23"/>
                <w:highlight w:val="none"/>
              </w:rPr>
            </w:pPr>
            <w:r>
              <w:rPr>
                <w:spacing w:val="-27"/>
                <w:highlight w:val="none"/>
              </w:rPr>
              <w:t>评标委员会综合比较评分：优得</w:t>
            </w:r>
            <w:r>
              <w:rPr>
                <w:spacing w:val="-30"/>
                <w:highlight w:val="none"/>
              </w:rPr>
              <w:t xml:space="preserve"> </w:t>
            </w:r>
            <w:r>
              <w:rPr>
                <w:spacing w:val="-27"/>
                <w:highlight w:val="none"/>
              </w:rPr>
              <w:t>1.5＜F≤2</w:t>
            </w:r>
            <w:r>
              <w:rPr>
                <w:spacing w:val="-50"/>
                <w:highlight w:val="none"/>
              </w:rPr>
              <w:t xml:space="preserve"> </w:t>
            </w:r>
            <w:r>
              <w:rPr>
                <w:spacing w:val="-27"/>
                <w:highlight w:val="none"/>
              </w:rPr>
              <w:t>分，良</w:t>
            </w:r>
            <w:r>
              <w:rPr>
                <w:spacing w:val="-24"/>
                <w:highlight w:val="none"/>
              </w:rPr>
              <w:t>得</w:t>
            </w:r>
            <w:r>
              <w:rPr>
                <w:spacing w:val="-28"/>
                <w:highlight w:val="none"/>
              </w:rPr>
              <w:t xml:space="preserve"> </w:t>
            </w:r>
            <w:r>
              <w:rPr>
                <w:spacing w:val="-24"/>
                <w:highlight w:val="none"/>
              </w:rPr>
              <w:t>1≤F≤1.5</w:t>
            </w:r>
            <w:r>
              <w:rPr>
                <w:spacing w:val="-51"/>
                <w:highlight w:val="none"/>
              </w:rPr>
              <w:t xml:space="preserve"> </w:t>
            </w:r>
            <w:r>
              <w:rPr>
                <w:spacing w:val="-24"/>
                <w:highlight w:val="none"/>
              </w:rPr>
              <w:t>分，差得0≤F＜1</w:t>
            </w:r>
            <w:r>
              <w:rPr>
                <w:spacing w:val="-50"/>
                <w:highlight w:val="none"/>
              </w:rPr>
              <w:t xml:space="preserve"> </w:t>
            </w:r>
            <w:r>
              <w:rPr>
                <w:spacing w:val="-24"/>
                <w:highlight w:val="none"/>
              </w:rPr>
              <w:t>分。未体现以上内容或</w:t>
            </w:r>
            <w:r>
              <w:rPr>
                <w:spacing w:val="-25"/>
                <w:highlight w:val="none"/>
              </w:rPr>
              <w:t>上述内容描述不合理、不科学的得</w:t>
            </w:r>
            <w:r>
              <w:rPr>
                <w:spacing w:val="-51"/>
                <w:highlight w:val="none"/>
              </w:rPr>
              <w:t xml:space="preserve"> </w:t>
            </w:r>
            <w:r>
              <w:rPr>
                <w:spacing w:val="-25"/>
                <w:highlight w:val="none"/>
              </w:rPr>
              <w:t>0</w:t>
            </w:r>
            <w:r>
              <w:rPr>
                <w:spacing w:val="-50"/>
                <w:highlight w:val="none"/>
              </w:rPr>
              <w:t xml:space="preserve"> </w:t>
            </w:r>
            <w:r>
              <w:rPr>
                <w:spacing w:val="-25"/>
                <w:highlight w:val="none"/>
              </w:rPr>
              <w:t>分。</w:t>
            </w:r>
          </w:p>
        </w:tc>
        <w:tc>
          <w:tcPr>
            <w:tcW w:w="693" w:type="dxa"/>
            <w:vAlign w:val="top"/>
          </w:tcPr>
          <w:p w14:paraId="027F01E4">
            <w:pPr>
              <w:spacing w:line="294" w:lineRule="auto"/>
              <w:rPr>
                <w:rFonts w:ascii="Arial"/>
                <w:sz w:val="21"/>
                <w:highlight w:val="none"/>
              </w:rPr>
            </w:pPr>
          </w:p>
          <w:p w14:paraId="0D9DCC7A">
            <w:pPr>
              <w:spacing w:line="295" w:lineRule="auto"/>
              <w:rPr>
                <w:rFonts w:ascii="Arial"/>
                <w:sz w:val="21"/>
                <w:highlight w:val="none"/>
              </w:rPr>
            </w:pPr>
          </w:p>
          <w:p w14:paraId="538AD84A">
            <w:pPr>
              <w:spacing w:line="295" w:lineRule="auto"/>
              <w:rPr>
                <w:rFonts w:ascii="Arial"/>
                <w:sz w:val="21"/>
                <w:highlight w:val="none"/>
              </w:rPr>
            </w:pPr>
          </w:p>
          <w:p w14:paraId="11031A4F">
            <w:pPr>
              <w:pStyle w:val="25"/>
              <w:spacing w:before="78" w:line="238" w:lineRule="auto"/>
              <w:ind w:left="298" w:leftChars="0"/>
              <w:rPr>
                <w:highlight w:val="none"/>
              </w:rPr>
            </w:pPr>
            <w:r>
              <w:rPr>
                <w:highlight w:val="none"/>
              </w:rPr>
              <w:t>2</w:t>
            </w:r>
          </w:p>
        </w:tc>
      </w:tr>
    </w:tbl>
    <w:tbl>
      <w:tblPr>
        <w:tblStyle w:val="24"/>
        <w:tblpPr w:leftFromText="180" w:rightFromText="180" w:vertAnchor="text" w:horzAnchor="page" w:tblpX="1213" w:tblpY="12"/>
        <w:tblOverlap w:val="never"/>
        <w:tblW w:w="92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935"/>
        <w:gridCol w:w="1548"/>
        <w:gridCol w:w="5331"/>
        <w:gridCol w:w="693"/>
      </w:tblGrid>
      <w:tr w14:paraId="4F6A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17" w:type="dxa"/>
            <w:tcBorders>
              <w:top w:val="nil"/>
              <w:bottom w:val="nil"/>
            </w:tcBorders>
            <w:vAlign w:val="top"/>
          </w:tcPr>
          <w:p w14:paraId="45978535">
            <w:pPr>
              <w:rPr>
                <w:rFonts w:ascii="Arial"/>
                <w:sz w:val="21"/>
                <w:highlight w:val="none"/>
              </w:rPr>
            </w:pPr>
          </w:p>
        </w:tc>
        <w:tc>
          <w:tcPr>
            <w:tcW w:w="935" w:type="dxa"/>
            <w:vMerge w:val="restart"/>
            <w:tcBorders>
              <w:top w:val="single" w:color="auto" w:sz="4" w:space="0"/>
              <w:bottom w:val="nil"/>
            </w:tcBorders>
            <w:vAlign w:val="top"/>
          </w:tcPr>
          <w:p w14:paraId="2851F19F">
            <w:pPr>
              <w:spacing w:line="252" w:lineRule="auto"/>
              <w:rPr>
                <w:rFonts w:ascii="Arial"/>
                <w:sz w:val="21"/>
              </w:rPr>
            </w:pPr>
          </w:p>
          <w:p w14:paraId="1A948680">
            <w:pPr>
              <w:spacing w:line="252" w:lineRule="auto"/>
              <w:rPr>
                <w:rFonts w:ascii="Arial"/>
                <w:sz w:val="21"/>
              </w:rPr>
            </w:pPr>
          </w:p>
          <w:p w14:paraId="57036722">
            <w:pPr>
              <w:spacing w:line="252" w:lineRule="auto"/>
              <w:rPr>
                <w:rFonts w:ascii="Arial"/>
                <w:sz w:val="21"/>
              </w:rPr>
            </w:pPr>
          </w:p>
          <w:p w14:paraId="2582895C">
            <w:pPr>
              <w:spacing w:line="252" w:lineRule="auto"/>
              <w:rPr>
                <w:rFonts w:ascii="Arial"/>
                <w:sz w:val="21"/>
              </w:rPr>
            </w:pPr>
          </w:p>
          <w:p w14:paraId="09D2A923">
            <w:pPr>
              <w:spacing w:line="252" w:lineRule="auto"/>
              <w:rPr>
                <w:rFonts w:ascii="Arial"/>
                <w:sz w:val="21"/>
              </w:rPr>
            </w:pPr>
          </w:p>
          <w:p w14:paraId="4B23DBF5">
            <w:pPr>
              <w:spacing w:line="252" w:lineRule="auto"/>
              <w:rPr>
                <w:rFonts w:ascii="Arial"/>
                <w:sz w:val="21"/>
              </w:rPr>
            </w:pPr>
          </w:p>
          <w:p w14:paraId="49CABF71">
            <w:pPr>
              <w:spacing w:line="252" w:lineRule="auto"/>
              <w:rPr>
                <w:rFonts w:ascii="Arial"/>
                <w:sz w:val="21"/>
              </w:rPr>
            </w:pPr>
          </w:p>
          <w:p w14:paraId="0DF124E8">
            <w:pPr>
              <w:spacing w:line="252" w:lineRule="auto"/>
              <w:rPr>
                <w:rFonts w:ascii="Arial"/>
                <w:sz w:val="21"/>
              </w:rPr>
            </w:pPr>
          </w:p>
          <w:p w14:paraId="477088F8">
            <w:pPr>
              <w:spacing w:line="252" w:lineRule="auto"/>
              <w:rPr>
                <w:rFonts w:ascii="Arial"/>
                <w:sz w:val="21"/>
              </w:rPr>
            </w:pPr>
          </w:p>
          <w:p w14:paraId="0AB99643">
            <w:pPr>
              <w:spacing w:line="252" w:lineRule="auto"/>
              <w:rPr>
                <w:rFonts w:ascii="Arial"/>
                <w:sz w:val="21"/>
              </w:rPr>
            </w:pPr>
          </w:p>
          <w:p w14:paraId="71B41178">
            <w:pPr>
              <w:spacing w:line="253" w:lineRule="auto"/>
              <w:rPr>
                <w:rFonts w:ascii="Arial"/>
                <w:sz w:val="21"/>
              </w:rPr>
            </w:pPr>
          </w:p>
          <w:p w14:paraId="77FF0EA1">
            <w:pPr>
              <w:spacing w:line="253" w:lineRule="auto"/>
              <w:rPr>
                <w:rFonts w:ascii="Arial"/>
                <w:sz w:val="21"/>
              </w:rPr>
            </w:pPr>
          </w:p>
          <w:p w14:paraId="0D7F1926">
            <w:pPr>
              <w:spacing w:line="253" w:lineRule="auto"/>
              <w:rPr>
                <w:rFonts w:ascii="Arial"/>
                <w:sz w:val="21"/>
              </w:rPr>
            </w:pPr>
          </w:p>
          <w:p w14:paraId="0541217A">
            <w:pPr>
              <w:spacing w:line="253" w:lineRule="auto"/>
              <w:rPr>
                <w:rFonts w:ascii="Arial"/>
                <w:sz w:val="21"/>
              </w:rPr>
            </w:pPr>
          </w:p>
          <w:p w14:paraId="1D66D420">
            <w:pPr>
              <w:pStyle w:val="25"/>
              <w:spacing w:before="78"/>
              <w:ind w:left="157" w:leftChars="0" w:right="149" w:rightChars="0"/>
              <w:jc w:val="both"/>
              <w:rPr>
                <w:rFonts w:ascii="Arial"/>
                <w:sz w:val="21"/>
                <w:highlight w:val="none"/>
              </w:rPr>
            </w:pPr>
            <w:r>
              <w:rPr>
                <w:spacing w:val="-30"/>
              </w:rPr>
              <w:t>运营方</w:t>
            </w:r>
            <w:r>
              <w:rPr>
                <w:spacing w:val="1"/>
              </w:rPr>
              <w:t xml:space="preserve"> </w:t>
            </w:r>
            <w:r>
              <w:rPr>
                <w:spacing w:val="-22"/>
              </w:rPr>
              <w:t>案（20</w:t>
            </w:r>
            <w:r>
              <w:t xml:space="preserve"> </w:t>
            </w:r>
            <w:r>
              <w:rPr>
                <w:spacing w:val="21"/>
              </w:rPr>
              <w:t>分）</w:t>
            </w:r>
          </w:p>
        </w:tc>
        <w:tc>
          <w:tcPr>
            <w:tcW w:w="1548" w:type="dxa"/>
            <w:tcBorders>
              <w:top w:val="single" w:color="auto" w:sz="4" w:space="0"/>
            </w:tcBorders>
            <w:vAlign w:val="top"/>
          </w:tcPr>
          <w:p w14:paraId="10C855FC">
            <w:pPr>
              <w:spacing w:line="243" w:lineRule="auto"/>
              <w:rPr>
                <w:rFonts w:ascii="Arial"/>
                <w:sz w:val="21"/>
              </w:rPr>
            </w:pPr>
          </w:p>
          <w:p w14:paraId="3801F4E3">
            <w:pPr>
              <w:spacing w:line="243" w:lineRule="auto"/>
              <w:rPr>
                <w:rFonts w:ascii="Arial"/>
                <w:sz w:val="21"/>
              </w:rPr>
            </w:pPr>
          </w:p>
          <w:p w14:paraId="6EED5CB0">
            <w:pPr>
              <w:spacing w:line="243" w:lineRule="auto"/>
              <w:rPr>
                <w:rFonts w:ascii="Arial"/>
                <w:sz w:val="21"/>
              </w:rPr>
            </w:pPr>
          </w:p>
          <w:p w14:paraId="4D9210AC">
            <w:pPr>
              <w:pStyle w:val="25"/>
              <w:spacing w:before="78" w:line="218" w:lineRule="auto"/>
              <w:ind w:left="127"/>
            </w:pPr>
            <w:r>
              <w:rPr>
                <w:spacing w:val="-34"/>
              </w:rPr>
              <w:t>1、运营整体规</w:t>
            </w:r>
          </w:p>
          <w:p w14:paraId="3BD0F223">
            <w:pPr>
              <w:pStyle w:val="25"/>
              <w:spacing w:before="27" w:line="220" w:lineRule="auto"/>
              <w:ind w:left="688" w:leftChars="0"/>
              <w:rPr>
                <w:spacing w:val="-21"/>
                <w:highlight w:val="none"/>
              </w:rPr>
            </w:pPr>
            <w:r>
              <w:t>划</w:t>
            </w:r>
          </w:p>
        </w:tc>
        <w:tc>
          <w:tcPr>
            <w:tcW w:w="5331" w:type="dxa"/>
            <w:vAlign w:val="top"/>
          </w:tcPr>
          <w:p w14:paraId="0F66AC7A">
            <w:pPr>
              <w:pStyle w:val="25"/>
              <w:spacing w:before="32"/>
              <w:ind w:left="118" w:right="18" w:firstLine="434"/>
              <w:jc w:val="both"/>
            </w:pPr>
            <w:r>
              <w:rPr>
                <w:spacing w:val="-25"/>
              </w:rPr>
              <w:t>结合项目定位及市场需求，对运营进行全</w:t>
            </w:r>
            <w:r>
              <w:rPr>
                <w:spacing w:val="-38"/>
              </w:rPr>
              <w:t>面规划，涵盖目标客群精准定位</w:t>
            </w:r>
            <w:r>
              <w:rPr>
                <w:spacing w:val="-39"/>
              </w:rPr>
              <w:t>、</w:t>
            </w:r>
            <w:r>
              <w:rPr>
                <w:spacing w:val="-34"/>
              </w:rPr>
              <w:t>运营模式科学选择（如委托管理、自营等）、合理业态组</w:t>
            </w:r>
            <w:r>
              <w:rPr>
                <w:spacing w:val="-24"/>
              </w:rPr>
              <w:t>合等内容。</w:t>
            </w:r>
          </w:p>
          <w:p w14:paraId="223F984F">
            <w:pPr>
              <w:pStyle w:val="25"/>
              <w:spacing w:before="3" w:line="228" w:lineRule="auto"/>
              <w:ind w:left="143" w:leftChars="0" w:right="103" w:rightChars="0" w:firstLine="406" w:firstLineChars="0"/>
              <w:jc w:val="both"/>
              <w:rPr>
                <w:spacing w:val="-27"/>
                <w:highlight w:val="none"/>
              </w:rPr>
            </w:pPr>
            <w:r>
              <w:rPr>
                <w:spacing w:val="-23"/>
              </w:rPr>
              <w:t>评标委员会综合比较评分：优得</w:t>
            </w:r>
            <w:r>
              <w:rPr>
                <w:spacing w:val="-44"/>
              </w:rPr>
              <w:t xml:space="preserve"> </w:t>
            </w:r>
            <w:r>
              <w:rPr>
                <w:spacing w:val="-23"/>
              </w:rPr>
              <w:t>4.5＜F≤6.0</w:t>
            </w:r>
            <w:r>
              <w:rPr>
                <w:spacing w:val="-48"/>
              </w:rPr>
              <w:t xml:space="preserve"> </w:t>
            </w:r>
            <w:r>
              <w:rPr>
                <w:spacing w:val="-24"/>
              </w:rPr>
              <w:t>分，</w:t>
            </w:r>
            <w:r>
              <w:t xml:space="preserve"> </w:t>
            </w:r>
            <w:r>
              <w:rPr>
                <w:spacing w:val="-23"/>
              </w:rPr>
              <w:t>良得</w:t>
            </w:r>
            <w:r>
              <w:rPr>
                <w:spacing w:val="-44"/>
              </w:rPr>
              <w:t xml:space="preserve"> </w:t>
            </w:r>
            <w:r>
              <w:rPr>
                <w:spacing w:val="-23"/>
              </w:rPr>
              <w:t>3.0≤F≤4.5</w:t>
            </w:r>
            <w:r>
              <w:rPr>
                <w:spacing w:val="-48"/>
              </w:rPr>
              <w:t xml:space="preserve"> </w:t>
            </w:r>
            <w:r>
              <w:rPr>
                <w:spacing w:val="-23"/>
              </w:rPr>
              <w:t>分，差得</w:t>
            </w:r>
            <w:r>
              <w:rPr>
                <w:spacing w:val="-56"/>
              </w:rPr>
              <w:t xml:space="preserve"> </w:t>
            </w:r>
            <w:r>
              <w:rPr>
                <w:spacing w:val="-23"/>
              </w:rPr>
              <w:t>0≤F＜3.0</w:t>
            </w:r>
            <w:r>
              <w:rPr>
                <w:spacing w:val="-47"/>
              </w:rPr>
              <w:t xml:space="preserve"> </w:t>
            </w:r>
            <w:r>
              <w:rPr>
                <w:spacing w:val="-23"/>
              </w:rPr>
              <w:t>分。未体现以上</w:t>
            </w:r>
            <w:r>
              <w:t xml:space="preserve"> </w:t>
            </w:r>
            <w:r>
              <w:rPr>
                <w:spacing w:val="-27"/>
              </w:rPr>
              <w:t>内容或描述不合理、不科学的得</w:t>
            </w:r>
            <w:r>
              <w:rPr>
                <w:spacing w:val="-43"/>
              </w:rPr>
              <w:t xml:space="preserve"> </w:t>
            </w:r>
            <w:r>
              <w:rPr>
                <w:spacing w:val="-27"/>
              </w:rPr>
              <w:t>0</w:t>
            </w:r>
            <w:r>
              <w:rPr>
                <w:spacing w:val="-51"/>
              </w:rPr>
              <w:t xml:space="preserve"> </w:t>
            </w:r>
            <w:r>
              <w:rPr>
                <w:spacing w:val="-27"/>
              </w:rPr>
              <w:t>分。</w:t>
            </w:r>
          </w:p>
        </w:tc>
        <w:tc>
          <w:tcPr>
            <w:tcW w:w="693" w:type="dxa"/>
            <w:vAlign w:val="top"/>
          </w:tcPr>
          <w:p w14:paraId="61B6F623">
            <w:pPr>
              <w:spacing w:line="294" w:lineRule="auto"/>
              <w:rPr>
                <w:rFonts w:ascii="Arial"/>
                <w:sz w:val="21"/>
              </w:rPr>
            </w:pPr>
          </w:p>
          <w:p w14:paraId="05667D28">
            <w:pPr>
              <w:spacing w:line="295" w:lineRule="auto"/>
              <w:rPr>
                <w:rFonts w:ascii="Arial"/>
                <w:sz w:val="21"/>
              </w:rPr>
            </w:pPr>
          </w:p>
          <w:p w14:paraId="10BCC2CA">
            <w:pPr>
              <w:spacing w:line="295" w:lineRule="auto"/>
              <w:rPr>
                <w:rFonts w:ascii="Arial"/>
                <w:sz w:val="21"/>
              </w:rPr>
            </w:pPr>
          </w:p>
          <w:p w14:paraId="4C0B0490">
            <w:pPr>
              <w:pStyle w:val="25"/>
              <w:spacing w:before="78" w:line="237" w:lineRule="auto"/>
              <w:ind w:left="302" w:leftChars="0"/>
              <w:rPr>
                <w:highlight w:val="none"/>
              </w:rPr>
            </w:pPr>
            <w:r>
              <w:t>6</w:t>
            </w:r>
          </w:p>
        </w:tc>
      </w:tr>
      <w:tr w14:paraId="637F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17" w:type="dxa"/>
            <w:tcBorders>
              <w:top w:val="nil"/>
              <w:bottom w:val="nil"/>
            </w:tcBorders>
            <w:vAlign w:val="top"/>
          </w:tcPr>
          <w:p w14:paraId="43DDA01F">
            <w:pPr>
              <w:rPr>
                <w:rFonts w:ascii="Arial"/>
                <w:sz w:val="21"/>
                <w:highlight w:val="none"/>
              </w:rPr>
            </w:pPr>
          </w:p>
        </w:tc>
        <w:tc>
          <w:tcPr>
            <w:tcW w:w="935" w:type="dxa"/>
            <w:vMerge w:val="continue"/>
            <w:tcBorders>
              <w:top w:val="nil"/>
              <w:bottom w:val="nil"/>
            </w:tcBorders>
            <w:vAlign w:val="top"/>
          </w:tcPr>
          <w:p w14:paraId="3928A764">
            <w:pPr>
              <w:rPr>
                <w:rFonts w:ascii="Arial"/>
                <w:sz w:val="21"/>
                <w:highlight w:val="none"/>
              </w:rPr>
            </w:pPr>
          </w:p>
        </w:tc>
        <w:tc>
          <w:tcPr>
            <w:tcW w:w="1548" w:type="dxa"/>
            <w:vAlign w:val="top"/>
          </w:tcPr>
          <w:p w14:paraId="759A978F">
            <w:pPr>
              <w:spacing w:line="243" w:lineRule="auto"/>
              <w:rPr>
                <w:rFonts w:ascii="Arial"/>
                <w:sz w:val="21"/>
              </w:rPr>
            </w:pPr>
          </w:p>
          <w:p w14:paraId="7C15985D">
            <w:pPr>
              <w:spacing w:line="244" w:lineRule="auto"/>
              <w:rPr>
                <w:rFonts w:ascii="Arial"/>
                <w:sz w:val="21"/>
              </w:rPr>
            </w:pPr>
          </w:p>
          <w:p w14:paraId="747BEDBD">
            <w:pPr>
              <w:spacing w:line="244" w:lineRule="auto"/>
              <w:rPr>
                <w:rFonts w:ascii="Arial"/>
                <w:sz w:val="21"/>
              </w:rPr>
            </w:pPr>
          </w:p>
          <w:p w14:paraId="3444E536">
            <w:pPr>
              <w:pStyle w:val="25"/>
              <w:spacing w:before="78" w:line="218" w:lineRule="auto"/>
              <w:ind w:left="114"/>
            </w:pPr>
            <w:r>
              <w:rPr>
                <w:spacing w:val="-34"/>
              </w:rPr>
              <w:t>2、品牌建设与</w:t>
            </w:r>
          </w:p>
          <w:p w14:paraId="60CE3502">
            <w:pPr>
              <w:pStyle w:val="25"/>
              <w:spacing w:before="28" w:line="218" w:lineRule="auto"/>
              <w:ind w:left="579" w:leftChars="0"/>
              <w:rPr>
                <w:spacing w:val="-21"/>
                <w:highlight w:val="none"/>
              </w:rPr>
            </w:pPr>
            <w:r>
              <w:rPr>
                <w:spacing w:val="-16"/>
              </w:rPr>
              <w:t>推广</w:t>
            </w:r>
          </w:p>
        </w:tc>
        <w:tc>
          <w:tcPr>
            <w:tcW w:w="5331" w:type="dxa"/>
            <w:vAlign w:val="top"/>
          </w:tcPr>
          <w:p w14:paraId="5152DC40">
            <w:pPr>
              <w:pStyle w:val="25"/>
              <w:spacing w:before="33"/>
              <w:ind w:left="119" w:right="17" w:firstLine="430"/>
              <w:jc w:val="both"/>
            </w:pPr>
            <w:r>
              <w:rPr>
                <w:spacing w:val="-26"/>
              </w:rPr>
              <w:t>制定系统的品牌建设方案，明确品牌定位、形</w:t>
            </w:r>
            <w:r>
              <w:rPr>
                <w:spacing w:val="-25"/>
              </w:rPr>
              <w:t>象塑造策略；同时规划多渠道、有针对性的品牌推广计</w:t>
            </w:r>
            <w:r>
              <w:rPr>
                <w:spacing w:val="-35"/>
              </w:rPr>
              <w:t>划，包括线上（新媒体、OTA</w:t>
            </w:r>
            <w:r>
              <w:rPr>
                <w:spacing w:val="-48"/>
              </w:rPr>
              <w:t xml:space="preserve"> </w:t>
            </w:r>
            <w:r>
              <w:rPr>
                <w:spacing w:val="-35"/>
              </w:rPr>
              <w:t>平台等）、线下（异业合作、</w:t>
            </w:r>
            <w:r>
              <w:rPr>
                <w:spacing w:val="-24"/>
              </w:rPr>
              <w:t>活动营销等）推广方式。</w:t>
            </w:r>
          </w:p>
          <w:p w14:paraId="32EF2378">
            <w:pPr>
              <w:pStyle w:val="25"/>
              <w:spacing w:before="2" w:line="228" w:lineRule="auto"/>
              <w:ind w:left="143" w:leftChars="0" w:right="103" w:rightChars="0" w:firstLine="406" w:firstLineChars="0"/>
              <w:jc w:val="both"/>
              <w:rPr>
                <w:spacing w:val="-27"/>
                <w:highlight w:val="none"/>
              </w:rPr>
            </w:pPr>
            <w:r>
              <w:rPr>
                <w:spacing w:val="-23"/>
              </w:rPr>
              <w:t>评标委员会综合比较评分：优得</w:t>
            </w:r>
            <w:r>
              <w:rPr>
                <w:spacing w:val="-44"/>
              </w:rPr>
              <w:t xml:space="preserve"> </w:t>
            </w:r>
            <w:r>
              <w:rPr>
                <w:spacing w:val="-23"/>
              </w:rPr>
              <w:t>4.5＜F≤6.0</w:t>
            </w:r>
            <w:r>
              <w:rPr>
                <w:spacing w:val="-48"/>
              </w:rPr>
              <w:t xml:space="preserve"> </w:t>
            </w:r>
            <w:r>
              <w:rPr>
                <w:spacing w:val="-24"/>
              </w:rPr>
              <w:t>分，</w:t>
            </w:r>
            <w:r>
              <w:t xml:space="preserve"> </w:t>
            </w:r>
            <w:r>
              <w:rPr>
                <w:spacing w:val="-23"/>
              </w:rPr>
              <w:t>良得</w:t>
            </w:r>
            <w:r>
              <w:rPr>
                <w:spacing w:val="-44"/>
              </w:rPr>
              <w:t xml:space="preserve"> </w:t>
            </w:r>
            <w:r>
              <w:rPr>
                <w:spacing w:val="-23"/>
              </w:rPr>
              <w:t>3.0≤F≤4.5</w:t>
            </w:r>
            <w:r>
              <w:rPr>
                <w:spacing w:val="-48"/>
              </w:rPr>
              <w:t xml:space="preserve"> </w:t>
            </w:r>
            <w:r>
              <w:rPr>
                <w:spacing w:val="-23"/>
              </w:rPr>
              <w:t>分，差得</w:t>
            </w:r>
            <w:r>
              <w:rPr>
                <w:spacing w:val="-56"/>
              </w:rPr>
              <w:t xml:space="preserve"> </w:t>
            </w:r>
            <w:r>
              <w:rPr>
                <w:spacing w:val="-23"/>
              </w:rPr>
              <w:t>0≤F＜3.0</w:t>
            </w:r>
            <w:r>
              <w:rPr>
                <w:spacing w:val="-47"/>
              </w:rPr>
              <w:t xml:space="preserve"> </w:t>
            </w:r>
            <w:r>
              <w:rPr>
                <w:spacing w:val="-23"/>
              </w:rPr>
              <w:t>分。未体现以上</w:t>
            </w:r>
            <w:r>
              <w:rPr>
                <w:spacing w:val="-27"/>
              </w:rPr>
              <w:t>内容或描述不合理、不科学的得</w:t>
            </w:r>
            <w:r>
              <w:rPr>
                <w:spacing w:val="-43"/>
              </w:rPr>
              <w:t xml:space="preserve"> </w:t>
            </w:r>
            <w:r>
              <w:rPr>
                <w:spacing w:val="-27"/>
              </w:rPr>
              <w:t>0</w:t>
            </w:r>
            <w:r>
              <w:rPr>
                <w:spacing w:val="-51"/>
              </w:rPr>
              <w:t xml:space="preserve"> </w:t>
            </w:r>
            <w:r>
              <w:rPr>
                <w:spacing w:val="-27"/>
              </w:rPr>
              <w:t>分。</w:t>
            </w:r>
          </w:p>
        </w:tc>
        <w:tc>
          <w:tcPr>
            <w:tcW w:w="693" w:type="dxa"/>
            <w:vAlign w:val="top"/>
          </w:tcPr>
          <w:p w14:paraId="353BFA01">
            <w:pPr>
              <w:spacing w:line="295" w:lineRule="auto"/>
              <w:rPr>
                <w:rFonts w:ascii="Arial"/>
                <w:sz w:val="21"/>
              </w:rPr>
            </w:pPr>
          </w:p>
          <w:p w14:paraId="4B082E16">
            <w:pPr>
              <w:spacing w:line="295" w:lineRule="auto"/>
              <w:rPr>
                <w:rFonts w:ascii="Arial"/>
                <w:sz w:val="21"/>
              </w:rPr>
            </w:pPr>
          </w:p>
          <w:p w14:paraId="25B46117">
            <w:pPr>
              <w:spacing w:line="295" w:lineRule="auto"/>
              <w:rPr>
                <w:rFonts w:ascii="Arial"/>
                <w:sz w:val="21"/>
              </w:rPr>
            </w:pPr>
          </w:p>
          <w:p w14:paraId="4C298950">
            <w:pPr>
              <w:pStyle w:val="25"/>
              <w:spacing w:before="78" w:line="237" w:lineRule="auto"/>
              <w:ind w:left="302" w:leftChars="0"/>
              <w:rPr>
                <w:highlight w:val="none"/>
              </w:rPr>
            </w:pPr>
            <w:r>
              <w:t>6</w:t>
            </w:r>
          </w:p>
        </w:tc>
      </w:tr>
      <w:tr w14:paraId="56C7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17" w:type="dxa"/>
            <w:tcBorders>
              <w:top w:val="nil"/>
              <w:bottom w:val="nil"/>
            </w:tcBorders>
            <w:vAlign w:val="top"/>
          </w:tcPr>
          <w:p w14:paraId="4107FD16">
            <w:pPr>
              <w:rPr>
                <w:rFonts w:ascii="Arial"/>
                <w:sz w:val="21"/>
                <w:highlight w:val="none"/>
              </w:rPr>
            </w:pPr>
          </w:p>
        </w:tc>
        <w:tc>
          <w:tcPr>
            <w:tcW w:w="935" w:type="dxa"/>
            <w:vMerge w:val="continue"/>
            <w:tcBorders>
              <w:top w:val="nil"/>
              <w:bottom w:val="nil"/>
            </w:tcBorders>
            <w:vAlign w:val="top"/>
          </w:tcPr>
          <w:p w14:paraId="3438BE24">
            <w:pPr>
              <w:rPr>
                <w:rFonts w:ascii="Arial"/>
                <w:sz w:val="21"/>
                <w:highlight w:val="none"/>
              </w:rPr>
            </w:pPr>
          </w:p>
        </w:tc>
        <w:tc>
          <w:tcPr>
            <w:tcW w:w="1548" w:type="dxa"/>
            <w:vAlign w:val="top"/>
          </w:tcPr>
          <w:p w14:paraId="09FC2B60">
            <w:pPr>
              <w:spacing w:line="288" w:lineRule="auto"/>
              <w:rPr>
                <w:rFonts w:ascii="Arial"/>
                <w:sz w:val="21"/>
              </w:rPr>
            </w:pPr>
          </w:p>
          <w:p w14:paraId="25441280">
            <w:pPr>
              <w:spacing w:line="288" w:lineRule="auto"/>
              <w:rPr>
                <w:rFonts w:ascii="Arial"/>
                <w:sz w:val="21"/>
              </w:rPr>
            </w:pPr>
          </w:p>
          <w:p w14:paraId="4C658586">
            <w:pPr>
              <w:pStyle w:val="25"/>
              <w:spacing w:before="78" w:line="218" w:lineRule="auto"/>
              <w:ind w:left="116"/>
            </w:pPr>
            <w:r>
              <w:rPr>
                <w:spacing w:val="-34"/>
              </w:rPr>
              <w:t>3、客户服务与</w:t>
            </w:r>
          </w:p>
          <w:p w14:paraId="3DC7823C">
            <w:pPr>
              <w:pStyle w:val="25"/>
              <w:spacing w:before="28" w:line="220" w:lineRule="auto"/>
              <w:ind w:left="589" w:leftChars="0"/>
              <w:rPr>
                <w:spacing w:val="-21"/>
                <w:highlight w:val="none"/>
              </w:rPr>
            </w:pPr>
            <w:r>
              <w:rPr>
                <w:spacing w:val="-19"/>
              </w:rPr>
              <w:t>管理</w:t>
            </w:r>
          </w:p>
        </w:tc>
        <w:tc>
          <w:tcPr>
            <w:tcW w:w="5331" w:type="dxa"/>
            <w:vAlign w:val="top"/>
          </w:tcPr>
          <w:p w14:paraId="0134DC80">
            <w:pPr>
              <w:pStyle w:val="25"/>
              <w:spacing w:before="38" w:line="239" w:lineRule="auto"/>
              <w:ind w:left="118" w:right="12" w:firstLine="429"/>
              <w:jc w:val="both"/>
            </w:pPr>
            <w:r>
              <w:rPr>
                <w:spacing w:val="-26"/>
              </w:rPr>
              <w:t>构建完善的客户服务体系，明确服务标准、服务流</w:t>
            </w:r>
            <w:r>
              <w:rPr>
                <w:spacing w:val="5"/>
              </w:rPr>
              <w:t xml:space="preserve">  </w:t>
            </w:r>
            <w:r>
              <w:rPr>
                <w:spacing w:val="-30"/>
              </w:rPr>
              <w:t>程；制定客户关系管理策略，包括客户信息收集、</w:t>
            </w:r>
            <w:r>
              <w:rPr>
                <w:spacing w:val="-31"/>
              </w:rPr>
              <w:t>分析、</w:t>
            </w:r>
            <w:r>
              <w:rPr>
                <w:spacing w:val="-30"/>
              </w:rPr>
              <w:t>维护以及会员体系搭建等，以提升客户满意度与忠诚度。</w:t>
            </w:r>
          </w:p>
          <w:p w14:paraId="15A3188C">
            <w:pPr>
              <w:pStyle w:val="25"/>
              <w:spacing w:line="228" w:lineRule="auto"/>
              <w:ind w:left="143" w:leftChars="0" w:right="103" w:rightChars="0" w:firstLine="406" w:firstLineChars="0"/>
              <w:jc w:val="both"/>
              <w:rPr>
                <w:spacing w:val="-27"/>
                <w:highlight w:val="none"/>
              </w:rPr>
            </w:pPr>
            <w:r>
              <w:rPr>
                <w:spacing w:val="-23"/>
              </w:rPr>
              <w:t>评标委员会综合比较评分：优得</w:t>
            </w:r>
            <w:r>
              <w:rPr>
                <w:spacing w:val="-44"/>
              </w:rPr>
              <w:t xml:space="preserve"> </w:t>
            </w:r>
            <w:r>
              <w:rPr>
                <w:spacing w:val="-23"/>
              </w:rPr>
              <w:t>4.5＜F≤5.0</w:t>
            </w:r>
            <w:r>
              <w:rPr>
                <w:spacing w:val="-48"/>
              </w:rPr>
              <w:t xml:space="preserve"> </w:t>
            </w:r>
            <w:r>
              <w:rPr>
                <w:spacing w:val="-24"/>
              </w:rPr>
              <w:t>分，</w:t>
            </w:r>
            <w:r>
              <w:t xml:space="preserve"> </w:t>
            </w:r>
            <w:r>
              <w:rPr>
                <w:spacing w:val="-23"/>
              </w:rPr>
              <w:t>良得</w:t>
            </w:r>
            <w:r>
              <w:rPr>
                <w:spacing w:val="-44"/>
              </w:rPr>
              <w:t xml:space="preserve"> </w:t>
            </w:r>
            <w:r>
              <w:rPr>
                <w:spacing w:val="-23"/>
              </w:rPr>
              <w:t>3.0≤F≤4.5</w:t>
            </w:r>
            <w:r>
              <w:rPr>
                <w:spacing w:val="-48"/>
              </w:rPr>
              <w:t xml:space="preserve"> </w:t>
            </w:r>
            <w:r>
              <w:rPr>
                <w:spacing w:val="-23"/>
              </w:rPr>
              <w:t>分，差得</w:t>
            </w:r>
            <w:r>
              <w:rPr>
                <w:spacing w:val="-56"/>
              </w:rPr>
              <w:t xml:space="preserve"> </w:t>
            </w:r>
            <w:r>
              <w:rPr>
                <w:spacing w:val="-23"/>
              </w:rPr>
              <w:t>0≤F＜3.0</w:t>
            </w:r>
            <w:r>
              <w:rPr>
                <w:spacing w:val="-47"/>
              </w:rPr>
              <w:t xml:space="preserve"> </w:t>
            </w:r>
            <w:r>
              <w:rPr>
                <w:spacing w:val="-23"/>
              </w:rPr>
              <w:t>分。未体现以上</w:t>
            </w:r>
            <w:r>
              <w:t xml:space="preserve"> </w:t>
            </w:r>
            <w:r>
              <w:rPr>
                <w:spacing w:val="-27"/>
              </w:rPr>
              <w:t>内容或描述不合理、不科学的得</w:t>
            </w:r>
            <w:r>
              <w:rPr>
                <w:spacing w:val="-43"/>
              </w:rPr>
              <w:t xml:space="preserve"> </w:t>
            </w:r>
            <w:r>
              <w:rPr>
                <w:spacing w:val="-27"/>
              </w:rPr>
              <w:t>0</w:t>
            </w:r>
            <w:r>
              <w:rPr>
                <w:spacing w:val="-51"/>
              </w:rPr>
              <w:t xml:space="preserve"> </w:t>
            </w:r>
            <w:r>
              <w:rPr>
                <w:spacing w:val="-27"/>
              </w:rPr>
              <w:t>分。</w:t>
            </w:r>
          </w:p>
        </w:tc>
        <w:tc>
          <w:tcPr>
            <w:tcW w:w="693" w:type="dxa"/>
            <w:vAlign w:val="top"/>
          </w:tcPr>
          <w:p w14:paraId="2C7F5541">
            <w:pPr>
              <w:spacing w:line="244" w:lineRule="auto"/>
              <w:rPr>
                <w:rFonts w:ascii="Arial"/>
                <w:sz w:val="21"/>
              </w:rPr>
            </w:pPr>
          </w:p>
          <w:p w14:paraId="21416CD2">
            <w:pPr>
              <w:spacing w:line="244" w:lineRule="auto"/>
              <w:rPr>
                <w:rFonts w:ascii="Arial"/>
                <w:sz w:val="21"/>
              </w:rPr>
            </w:pPr>
          </w:p>
          <w:p w14:paraId="6B415A73">
            <w:pPr>
              <w:spacing w:line="244" w:lineRule="auto"/>
              <w:rPr>
                <w:rFonts w:ascii="Arial"/>
                <w:sz w:val="21"/>
              </w:rPr>
            </w:pPr>
          </w:p>
          <w:p w14:paraId="05585C19">
            <w:pPr>
              <w:pStyle w:val="25"/>
              <w:spacing w:before="78" w:line="237" w:lineRule="auto"/>
              <w:ind w:left="304" w:leftChars="0"/>
              <w:rPr>
                <w:highlight w:val="none"/>
              </w:rPr>
            </w:pPr>
            <w:r>
              <w:t>5</w:t>
            </w:r>
          </w:p>
        </w:tc>
      </w:tr>
      <w:tr w14:paraId="6F09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17" w:type="dxa"/>
            <w:tcBorders>
              <w:top w:val="nil"/>
              <w:bottom w:val="nil"/>
            </w:tcBorders>
            <w:vAlign w:val="top"/>
          </w:tcPr>
          <w:p w14:paraId="497F2B76">
            <w:pPr>
              <w:rPr>
                <w:rFonts w:ascii="Arial"/>
                <w:sz w:val="21"/>
                <w:highlight w:val="none"/>
              </w:rPr>
            </w:pPr>
          </w:p>
        </w:tc>
        <w:tc>
          <w:tcPr>
            <w:tcW w:w="935" w:type="dxa"/>
            <w:vMerge w:val="continue"/>
            <w:tcBorders>
              <w:top w:val="nil"/>
            </w:tcBorders>
            <w:vAlign w:val="top"/>
          </w:tcPr>
          <w:p w14:paraId="73665104">
            <w:pPr>
              <w:rPr>
                <w:rFonts w:ascii="Arial"/>
                <w:sz w:val="21"/>
                <w:highlight w:val="none"/>
              </w:rPr>
            </w:pPr>
          </w:p>
        </w:tc>
        <w:tc>
          <w:tcPr>
            <w:tcW w:w="1548" w:type="dxa"/>
            <w:vAlign w:val="top"/>
          </w:tcPr>
          <w:p w14:paraId="78CD18D9">
            <w:pPr>
              <w:spacing w:line="289" w:lineRule="auto"/>
              <w:rPr>
                <w:rFonts w:ascii="Arial"/>
                <w:sz w:val="21"/>
              </w:rPr>
            </w:pPr>
          </w:p>
          <w:p w14:paraId="27A21C95">
            <w:pPr>
              <w:spacing w:line="290" w:lineRule="auto"/>
              <w:rPr>
                <w:rFonts w:ascii="Arial"/>
                <w:sz w:val="21"/>
              </w:rPr>
            </w:pPr>
          </w:p>
          <w:p w14:paraId="35297CF8">
            <w:pPr>
              <w:pStyle w:val="25"/>
              <w:spacing w:before="78" w:line="217" w:lineRule="auto"/>
              <w:ind w:left="111"/>
            </w:pPr>
            <w:r>
              <w:rPr>
                <w:spacing w:val="-32"/>
              </w:rPr>
              <w:t>4、运营保障措</w:t>
            </w:r>
          </w:p>
          <w:p w14:paraId="26A4F59A">
            <w:pPr>
              <w:pStyle w:val="25"/>
              <w:spacing w:before="28" w:line="220" w:lineRule="auto"/>
              <w:ind w:left="684" w:leftChars="0"/>
              <w:rPr>
                <w:spacing w:val="-21"/>
                <w:highlight w:val="none"/>
              </w:rPr>
            </w:pPr>
            <w:r>
              <w:t>施</w:t>
            </w:r>
          </w:p>
        </w:tc>
        <w:tc>
          <w:tcPr>
            <w:tcW w:w="5331" w:type="dxa"/>
            <w:vAlign w:val="top"/>
          </w:tcPr>
          <w:p w14:paraId="45625844">
            <w:pPr>
              <w:pStyle w:val="25"/>
              <w:spacing w:before="39" w:line="239" w:lineRule="auto"/>
              <w:ind w:left="116" w:right="18" w:firstLine="432"/>
              <w:jc w:val="both"/>
            </w:pPr>
            <w:r>
              <w:rPr>
                <w:spacing w:val="-25"/>
              </w:rPr>
              <w:t>从人员、物资、设备等方面制定运营保障措施，包</w:t>
            </w:r>
            <w:r>
              <w:rPr>
                <w:spacing w:val="5"/>
              </w:rPr>
              <w:t xml:space="preserve"> </w:t>
            </w:r>
            <w:r>
              <w:rPr>
                <w:spacing w:val="-30"/>
              </w:rPr>
              <w:t>括专业运营团队组建与培训计划、物资采购与储备方案、</w:t>
            </w:r>
            <w:r>
              <w:rPr>
                <w:spacing w:val="-24"/>
              </w:rPr>
              <w:t>设备维护与管理机制等，确保运营稳定有序。</w:t>
            </w:r>
          </w:p>
          <w:p w14:paraId="1D2D25F6">
            <w:pPr>
              <w:pStyle w:val="25"/>
              <w:spacing w:before="3" w:line="229" w:lineRule="auto"/>
              <w:ind w:left="143" w:leftChars="0" w:right="103" w:rightChars="0" w:firstLine="406" w:firstLineChars="0"/>
              <w:jc w:val="both"/>
              <w:rPr>
                <w:spacing w:val="-27"/>
                <w:highlight w:val="none"/>
              </w:rPr>
            </w:pPr>
            <w:r>
              <w:rPr>
                <w:spacing w:val="-23"/>
              </w:rPr>
              <w:t>评标委员会综合比较评分：优得</w:t>
            </w:r>
            <w:r>
              <w:rPr>
                <w:spacing w:val="-41"/>
              </w:rPr>
              <w:t xml:space="preserve"> </w:t>
            </w:r>
            <w:r>
              <w:rPr>
                <w:spacing w:val="-23"/>
              </w:rPr>
              <w:t>2.0＜F≤</w:t>
            </w:r>
            <w:r>
              <w:rPr>
                <w:spacing w:val="-24"/>
              </w:rPr>
              <w:t>3.0</w:t>
            </w:r>
            <w:r>
              <w:rPr>
                <w:spacing w:val="-48"/>
              </w:rPr>
              <w:t xml:space="preserve"> </w:t>
            </w:r>
            <w:r>
              <w:rPr>
                <w:spacing w:val="-24"/>
              </w:rPr>
              <w:t>分，</w:t>
            </w:r>
            <w:r>
              <w:t xml:space="preserve"> </w:t>
            </w:r>
            <w:r>
              <w:rPr>
                <w:spacing w:val="-23"/>
              </w:rPr>
              <w:t>良得</w:t>
            </w:r>
            <w:r>
              <w:rPr>
                <w:spacing w:val="-41"/>
              </w:rPr>
              <w:t xml:space="preserve"> </w:t>
            </w:r>
            <w:r>
              <w:rPr>
                <w:spacing w:val="-23"/>
              </w:rPr>
              <w:t>1.0≤F≤2.0</w:t>
            </w:r>
            <w:r>
              <w:rPr>
                <w:spacing w:val="-48"/>
              </w:rPr>
              <w:t xml:space="preserve"> </w:t>
            </w:r>
            <w:r>
              <w:rPr>
                <w:spacing w:val="-23"/>
              </w:rPr>
              <w:t>分，差得</w:t>
            </w:r>
            <w:r>
              <w:rPr>
                <w:spacing w:val="-56"/>
              </w:rPr>
              <w:t xml:space="preserve"> </w:t>
            </w:r>
            <w:r>
              <w:rPr>
                <w:spacing w:val="-23"/>
              </w:rPr>
              <w:t>0≤F＜1.0</w:t>
            </w:r>
            <w:r>
              <w:rPr>
                <w:spacing w:val="-47"/>
              </w:rPr>
              <w:t xml:space="preserve"> </w:t>
            </w:r>
            <w:r>
              <w:rPr>
                <w:spacing w:val="-23"/>
              </w:rPr>
              <w:t>分。未体</w:t>
            </w:r>
            <w:r>
              <w:rPr>
                <w:spacing w:val="-24"/>
              </w:rPr>
              <w:t>现以上</w:t>
            </w:r>
            <w:r>
              <w:t xml:space="preserve"> </w:t>
            </w:r>
            <w:r>
              <w:rPr>
                <w:spacing w:val="-27"/>
              </w:rPr>
              <w:t>内容或描述不合理、不科学的得</w:t>
            </w:r>
            <w:r>
              <w:rPr>
                <w:spacing w:val="-43"/>
              </w:rPr>
              <w:t xml:space="preserve"> </w:t>
            </w:r>
            <w:r>
              <w:rPr>
                <w:spacing w:val="-27"/>
              </w:rPr>
              <w:t>0</w:t>
            </w:r>
            <w:r>
              <w:rPr>
                <w:spacing w:val="-51"/>
              </w:rPr>
              <w:t xml:space="preserve"> </w:t>
            </w:r>
            <w:r>
              <w:rPr>
                <w:spacing w:val="-27"/>
              </w:rPr>
              <w:t>分。</w:t>
            </w:r>
          </w:p>
        </w:tc>
        <w:tc>
          <w:tcPr>
            <w:tcW w:w="693" w:type="dxa"/>
            <w:vAlign w:val="top"/>
          </w:tcPr>
          <w:p w14:paraId="25228A58">
            <w:pPr>
              <w:spacing w:line="245" w:lineRule="auto"/>
              <w:rPr>
                <w:rFonts w:ascii="Arial"/>
                <w:sz w:val="21"/>
              </w:rPr>
            </w:pPr>
          </w:p>
          <w:p w14:paraId="6BBF8876">
            <w:pPr>
              <w:spacing w:line="245" w:lineRule="auto"/>
              <w:rPr>
                <w:rFonts w:ascii="Arial"/>
                <w:sz w:val="21"/>
              </w:rPr>
            </w:pPr>
          </w:p>
          <w:p w14:paraId="39CF4CD5">
            <w:pPr>
              <w:spacing w:line="245" w:lineRule="auto"/>
              <w:rPr>
                <w:rFonts w:ascii="Arial"/>
                <w:sz w:val="21"/>
              </w:rPr>
            </w:pPr>
          </w:p>
          <w:p w14:paraId="4813BDA9">
            <w:pPr>
              <w:pStyle w:val="25"/>
              <w:spacing w:before="78" w:line="237" w:lineRule="auto"/>
              <w:ind w:left="304" w:leftChars="0"/>
              <w:rPr>
                <w:highlight w:val="none"/>
              </w:rPr>
            </w:pPr>
            <w:r>
              <w:t>3</w:t>
            </w:r>
          </w:p>
        </w:tc>
      </w:tr>
    </w:tbl>
    <w:p w14:paraId="7CD96205">
      <w:pPr>
        <w:pStyle w:val="3"/>
        <w:rPr>
          <w:highlight w:val="none"/>
        </w:rPr>
      </w:pPr>
    </w:p>
    <w:p w14:paraId="05A4C204">
      <w:pPr>
        <w:spacing w:before="81" w:line="220" w:lineRule="auto"/>
        <w:ind w:left="125"/>
        <w:rPr>
          <w:rFonts w:ascii="宋体" w:hAnsi="宋体" w:eastAsia="宋体" w:cs="宋体"/>
          <w:sz w:val="24"/>
          <w:szCs w:val="24"/>
          <w:highlight w:val="none"/>
        </w:rPr>
      </w:pPr>
      <w:r>
        <w:rPr>
          <w:rFonts w:ascii="宋体" w:hAnsi="宋体" w:eastAsia="宋体" w:cs="宋体"/>
          <w:spacing w:val="-7"/>
          <w:sz w:val="24"/>
          <w:szCs w:val="24"/>
          <w:highlight w:val="none"/>
        </w:rPr>
        <w:t>技术标一评审说明：</w:t>
      </w:r>
    </w:p>
    <w:p w14:paraId="1ABD94E2">
      <w:pPr>
        <w:spacing w:before="73" w:line="258" w:lineRule="auto"/>
        <w:ind w:right="81" w:firstLine="488" w:firstLineChars="200"/>
        <w:rPr>
          <w:rFonts w:ascii="宋体" w:hAnsi="宋体" w:eastAsia="宋体" w:cs="宋体"/>
          <w:sz w:val="24"/>
          <w:szCs w:val="24"/>
          <w:highlight w:val="none"/>
        </w:rPr>
      </w:pPr>
      <w:r>
        <w:rPr>
          <w:rFonts w:ascii="宋体" w:hAnsi="宋体" w:eastAsia="宋体" w:cs="宋体"/>
          <w:spacing w:val="2"/>
          <w:sz w:val="24"/>
          <w:szCs w:val="24"/>
          <w:highlight w:val="none"/>
        </w:rPr>
        <w:t>1、技术标一的评审，由评委各自对每一个投标人技术标一独立评分，严禁</w:t>
      </w:r>
      <w:r>
        <w:rPr>
          <w:rFonts w:ascii="宋体" w:hAnsi="宋体" w:eastAsia="宋体" w:cs="宋体"/>
          <w:spacing w:val="1"/>
          <w:sz w:val="24"/>
          <w:szCs w:val="24"/>
          <w:highlight w:val="none"/>
        </w:rPr>
        <w:t>采取分</w:t>
      </w:r>
      <w:r>
        <w:rPr>
          <w:rFonts w:ascii="宋体" w:hAnsi="宋体" w:eastAsia="宋体" w:cs="宋体"/>
          <w:spacing w:val="-1"/>
          <w:sz w:val="24"/>
          <w:szCs w:val="24"/>
          <w:highlight w:val="none"/>
        </w:rPr>
        <w:t>人主评后由其他评委抄袭分数或一人主评其他附和签名的方式评分。出现违反前述规定评标的，一律由现场监督人员对评委记不良行为记录一次。</w:t>
      </w:r>
    </w:p>
    <w:p w14:paraId="6165C157">
      <w:pPr>
        <w:spacing w:before="93" w:line="267" w:lineRule="auto"/>
        <w:ind w:right="48" w:firstLine="488" w:firstLineChars="200"/>
        <w:rPr>
          <w:rFonts w:ascii="宋体" w:hAnsi="宋体" w:eastAsia="宋体" w:cs="宋体"/>
          <w:spacing w:val="-5"/>
          <w:sz w:val="24"/>
          <w:szCs w:val="24"/>
          <w:highlight w:val="none"/>
        </w:rPr>
      </w:pPr>
      <w:r>
        <w:rPr>
          <w:rFonts w:ascii="宋体" w:hAnsi="宋体" w:eastAsia="宋体" w:cs="宋体"/>
          <w:spacing w:val="2"/>
          <w:sz w:val="24"/>
          <w:szCs w:val="24"/>
          <w:highlight w:val="none"/>
        </w:rPr>
        <w:t>2、某投标人的得分规则为从各评委对该投标人的技术标一所作的评分中去掉一个</w:t>
      </w:r>
      <w:r>
        <w:rPr>
          <w:rFonts w:ascii="宋体" w:hAnsi="宋体" w:eastAsia="宋体" w:cs="宋体"/>
          <w:spacing w:val="-5"/>
          <w:sz w:val="24"/>
          <w:szCs w:val="24"/>
          <w:highlight w:val="none"/>
        </w:rPr>
        <w:t>最高分和一个最低分，然后进行算术平均所得的平均值，即为该投标人技术标一的得分</w:t>
      </w:r>
    </w:p>
    <w:p w14:paraId="296A0783">
      <w:pPr>
        <w:spacing w:before="93" w:line="267" w:lineRule="auto"/>
        <w:ind w:right="48"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3、某评委对某一投标人的技术标一综合评审得分低于 25</w:t>
      </w:r>
      <w:r>
        <w:rPr>
          <w:rFonts w:ascii="宋体" w:hAnsi="宋体" w:eastAsia="宋体" w:cs="宋体"/>
          <w:spacing w:val="-22"/>
          <w:sz w:val="24"/>
          <w:szCs w:val="24"/>
          <w:highlight w:val="none"/>
        </w:rPr>
        <w:t xml:space="preserve"> </w:t>
      </w:r>
      <w:r>
        <w:rPr>
          <w:rFonts w:ascii="宋体" w:hAnsi="宋体" w:eastAsia="宋体" w:cs="宋体"/>
          <w:spacing w:val="-2"/>
          <w:sz w:val="24"/>
          <w:szCs w:val="24"/>
          <w:highlight w:val="none"/>
        </w:rPr>
        <w:t>分的或者高于</w:t>
      </w:r>
      <w:r>
        <w:rPr>
          <w:rFonts w:ascii="宋体" w:hAnsi="宋体" w:eastAsia="宋体" w:cs="宋体"/>
          <w:spacing w:val="-24"/>
          <w:sz w:val="24"/>
          <w:szCs w:val="24"/>
          <w:highlight w:val="none"/>
        </w:rPr>
        <w:t xml:space="preserve"> </w:t>
      </w:r>
      <w:r>
        <w:rPr>
          <w:rFonts w:ascii="宋体" w:hAnsi="宋体" w:eastAsia="宋体" w:cs="宋体"/>
          <w:spacing w:val="-2"/>
          <w:sz w:val="24"/>
          <w:szCs w:val="24"/>
          <w:highlight w:val="none"/>
        </w:rPr>
        <w:t>45</w:t>
      </w:r>
      <w:r>
        <w:rPr>
          <w:rFonts w:ascii="宋体" w:hAnsi="宋体" w:eastAsia="宋体" w:cs="宋体"/>
          <w:spacing w:val="-22"/>
          <w:sz w:val="24"/>
          <w:szCs w:val="24"/>
          <w:highlight w:val="none"/>
        </w:rPr>
        <w:t xml:space="preserve"> </w:t>
      </w:r>
      <w:r>
        <w:rPr>
          <w:rFonts w:ascii="宋体" w:hAnsi="宋体" w:eastAsia="宋体" w:cs="宋体"/>
          <w:spacing w:val="-3"/>
          <w:sz w:val="24"/>
          <w:szCs w:val="24"/>
          <w:highlight w:val="none"/>
        </w:rPr>
        <w:t>分的，</w:t>
      </w:r>
      <w:r>
        <w:rPr>
          <w:rFonts w:ascii="宋体" w:hAnsi="宋体" w:eastAsia="宋体" w:cs="宋体"/>
          <w:spacing w:val="-1"/>
          <w:sz w:val="24"/>
          <w:szCs w:val="24"/>
          <w:highlight w:val="none"/>
        </w:rPr>
        <w:t>该评委应在评分时用文字列出得分低或得分高的具体理由；没有列出文字理由的，由评</w:t>
      </w:r>
      <w:r>
        <w:rPr>
          <w:rFonts w:ascii="宋体" w:hAnsi="宋体" w:eastAsia="宋体" w:cs="宋体"/>
          <w:spacing w:val="-5"/>
          <w:sz w:val="24"/>
          <w:szCs w:val="24"/>
          <w:highlight w:val="none"/>
        </w:rPr>
        <w:t>标委员会主任督促该评委列出文字理由。经督促</w:t>
      </w:r>
      <w:r>
        <w:rPr>
          <w:rFonts w:ascii="宋体" w:hAnsi="宋体" w:eastAsia="宋体" w:cs="宋体"/>
          <w:spacing w:val="-6"/>
          <w:sz w:val="24"/>
          <w:szCs w:val="24"/>
          <w:highlight w:val="none"/>
        </w:rPr>
        <w:t>仍未作列出文字理由的，则该评委对该</w:t>
      </w:r>
      <w:r>
        <w:rPr>
          <w:rFonts w:ascii="宋体" w:hAnsi="宋体" w:eastAsia="宋体" w:cs="宋体"/>
          <w:spacing w:val="-1"/>
          <w:sz w:val="24"/>
          <w:szCs w:val="24"/>
          <w:highlight w:val="none"/>
        </w:rPr>
        <w:t>投标人技术标一的评分无效，由评标委员会对该投标人的评分按照有效评分人的评分运用前述算术平均规则重新计算该投标人技术标一的得分，同时由现场监督人员将该评委</w:t>
      </w:r>
      <w:r>
        <w:rPr>
          <w:rFonts w:ascii="宋体" w:hAnsi="宋体" w:eastAsia="宋体" w:cs="宋体"/>
          <w:spacing w:val="-4"/>
          <w:sz w:val="24"/>
          <w:szCs w:val="24"/>
          <w:highlight w:val="none"/>
        </w:rPr>
        <w:t>的行为记入评委考核档案。</w:t>
      </w:r>
    </w:p>
    <w:p w14:paraId="68D8D143">
      <w:pPr>
        <w:spacing w:before="75" w:line="259" w:lineRule="auto"/>
        <w:ind w:left="523" w:right="49" w:firstLine="478"/>
        <w:rPr>
          <w:rFonts w:ascii="宋体" w:hAnsi="宋体" w:eastAsia="宋体" w:cs="宋体"/>
          <w:sz w:val="24"/>
          <w:szCs w:val="24"/>
          <w:highlight w:val="none"/>
        </w:rPr>
      </w:pPr>
      <w:r>
        <w:rPr>
          <w:rFonts w:ascii="宋体" w:hAnsi="宋体" w:eastAsia="宋体" w:cs="宋体"/>
          <w:spacing w:val="-2"/>
          <w:sz w:val="24"/>
          <w:szCs w:val="24"/>
          <w:highlight w:val="none"/>
        </w:rPr>
        <w:t>4、投标人提交的技术标一，属于明显文不对题（如将房建类做成</w:t>
      </w:r>
      <w:r>
        <w:rPr>
          <w:rFonts w:ascii="宋体" w:hAnsi="宋体" w:eastAsia="宋体" w:cs="宋体"/>
          <w:spacing w:val="-3"/>
          <w:sz w:val="24"/>
          <w:szCs w:val="24"/>
          <w:highlight w:val="none"/>
        </w:rPr>
        <w:t>市政类</w:t>
      </w:r>
      <w:r>
        <w:rPr>
          <w:rFonts w:ascii="宋体" w:hAnsi="宋体" w:eastAsia="宋体" w:cs="宋体"/>
          <w:spacing w:val="-61"/>
          <w:sz w:val="24"/>
          <w:szCs w:val="24"/>
          <w:highlight w:val="none"/>
        </w:rPr>
        <w:t xml:space="preserve"> </w:t>
      </w:r>
      <w:r>
        <w:rPr>
          <w:rFonts w:ascii="宋体" w:hAnsi="宋体" w:eastAsia="宋体" w:cs="宋体"/>
          <w:spacing w:val="-3"/>
          <w:sz w:val="24"/>
          <w:szCs w:val="24"/>
          <w:highlight w:val="none"/>
        </w:rPr>
        <w:t>;房建类无</w:t>
      </w:r>
      <w:r>
        <w:rPr>
          <w:rFonts w:ascii="宋体" w:hAnsi="宋体" w:eastAsia="宋体" w:cs="宋体"/>
          <w:spacing w:val="-5"/>
          <w:sz w:val="24"/>
          <w:szCs w:val="24"/>
          <w:highlight w:val="none"/>
        </w:rPr>
        <w:t>桩基、幕墙工程但出现桩基、幕墙工艺；各</w:t>
      </w:r>
      <w:r>
        <w:rPr>
          <w:rFonts w:ascii="宋体" w:hAnsi="宋体" w:eastAsia="宋体" w:cs="宋体"/>
          <w:spacing w:val="-6"/>
          <w:sz w:val="24"/>
          <w:szCs w:val="24"/>
          <w:highlight w:val="none"/>
        </w:rPr>
        <w:t>项计划明显前后矛盾的等）的，一律作废标</w:t>
      </w:r>
      <w:r>
        <w:rPr>
          <w:rFonts w:ascii="宋体" w:hAnsi="宋体" w:eastAsia="宋体" w:cs="宋体"/>
          <w:spacing w:val="-10"/>
          <w:sz w:val="24"/>
          <w:szCs w:val="24"/>
          <w:highlight w:val="none"/>
        </w:rPr>
        <w:t>处理。</w:t>
      </w:r>
    </w:p>
    <w:p w14:paraId="3CBF79CE">
      <w:pPr>
        <w:pStyle w:val="3"/>
        <w:spacing w:line="294" w:lineRule="auto"/>
        <w:rPr>
          <w:highlight w:val="none"/>
        </w:rPr>
      </w:pPr>
    </w:p>
    <w:p w14:paraId="5FDE16C8">
      <w:pPr>
        <w:spacing w:before="91" w:line="220" w:lineRule="auto"/>
        <w:ind w:left="526"/>
        <w:rPr>
          <w:rFonts w:ascii="宋体" w:hAnsi="宋体" w:eastAsia="宋体" w:cs="宋体"/>
          <w:sz w:val="28"/>
          <w:szCs w:val="28"/>
          <w:highlight w:val="none"/>
        </w:rPr>
      </w:pPr>
      <w:r>
        <w:rPr>
          <w:rFonts w:ascii="宋体" w:hAnsi="宋体" w:eastAsia="宋体" w:cs="宋体"/>
          <w:b/>
          <w:bCs/>
          <w:spacing w:val="-6"/>
          <w:sz w:val="28"/>
          <w:szCs w:val="28"/>
          <w:highlight w:val="none"/>
        </w:rPr>
        <w:t>技术标二评分（</w:t>
      </w:r>
      <w:r>
        <w:rPr>
          <w:rFonts w:hint="eastAsia" w:ascii="宋体" w:hAnsi="宋体" w:eastAsia="宋体" w:cs="宋体"/>
          <w:b/>
          <w:bCs/>
          <w:spacing w:val="-6"/>
          <w:sz w:val="28"/>
          <w:szCs w:val="28"/>
          <w:highlight w:val="none"/>
          <w:lang w:val="en-US" w:eastAsia="zh-CN"/>
        </w:rPr>
        <w:t>9</w:t>
      </w:r>
      <w:r>
        <w:rPr>
          <w:rFonts w:ascii="宋体" w:hAnsi="宋体" w:eastAsia="宋体" w:cs="宋体"/>
          <w:b/>
          <w:bCs/>
          <w:spacing w:val="-6"/>
          <w:sz w:val="28"/>
          <w:szCs w:val="28"/>
          <w:highlight w:val="none"/>
        </w:rPr>
        <w:t>分</w:t>
      </w:r>
      <w:r>
        <w:rPr>
          <w:rFonts w:ascii="宋体" w:hAnsi="宋体" w:eastAsia="宋体" w:cs="宋体"/>
          <w:b/>
          <w:bCs/>
          <w:spacing w:val="-15"/>
          <w:sz w:val="28"/>
          <w:szCs w:val="28"/>
          <w:highlight w:val="none"/>
        </w:rPr>
        <w:t>）：</w:t>
      </w:r>
    </w:p>
    <w:p w14:paraId="77CB821C">
      <w:pPr>
        <w:spacing w:before="2"/>
        <w:rPr>
          <w:highlight w:val="none"/>
        </w:rPr>
      </w:pPr>
    </w:p>
    <w:tbl>
      <w:tblPr>
        <w:tblStyle w:val="24"/>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329"/>
        <w:gridCol w:w="6687"/>
        <w:gridCol w:w="712"/>
      </w:tblGrid>
      <w:tr w14:paraId="4FEBE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38" w:type="dxa"/>
            <w:vAlign w:val="top"/>
          </w:tcPr>
          <w:p w14:paraId="3DC8710B">
            <w:pPr>
              <w:spacing w:before="271" w:line="221" w:lineRule="auto"/>
              <w:ind w:left="233"/>
              <w:rPr>
                <w:rFonts w:ascii="宋体" w:hAnsi="宋体" w:eastAsia="宋体" w:cs="宋体"/>
                <w:sz w:val="24"/>
                <w:szCs w:val="24"/>
                <w:highlight w:val="none"/>
              </w:rPr>
            </w:pPr>
            <w:r>
              <w:rPr>
                <w:rFonts w:ascii="宋体" w:hAnsi="宋体" w:eastAsia="宋体" w:cs="宋体"/>
                <w:spacing w:val="-3"/>
                <w:sz w:val="24"/>
                <w:szCs w:val="24"/>
                <w:highlight w:val="none"/>
              </w:rPr>
              <w:t>款号</w:t>
            </w:r>
          </w:p>
        </w:tc>
        <w:tc>
          <w:tcPr>
            <w:tcW w:w="1329" w:type="dxa"/>
            <w:vAlign w:val="top"/>
          </w:tcPr>
          <w:p w14:paraId="143ACCA9">
            <w:pPr>
              <w:spacing w:before="270" w:line="220" w:lineRule="auto"/>
              <w:ind w:left="188"/>
              <w:rPr>
                <w:rFonts w:ascii="宋体" w:hAnsi="宋体" w:eastAsia="宋体" w:cs="宋体"/>
                <w:sz w:val="24"/>
                <w:szCs w:val="24"/>
                <w:highlight w:val="none"/>
              </w:rPr>
            </w:pPr>
            <w:r>
              <w:rPr>
                <w:rFonts w:ascii="宋体" w:hAnsi="宋体" w:eastAsia="宋体" w:cs="宋体"/>
                <w:spacing w:val="-2"/>
                <w:sz w:val="24"/>
                <w:szCs w:val="24"/>
                <w:highlight w:val="none"/>
              </w:rPr>
              <w:t>评分因素</w:t>
            </w:r>
          </w:p>
        </w:tc>
        <w:tc>
          <w:tcPr>
            <w:tcW w:w="6687" w:type="dxa"/>
            <w:vAlign w:val="top"/>
          </w:tcPr>
          <w:p w14:paraId="2A83DB0C">
            <w:pPr>
              <w:spacing w:before="271" w:line="220" w:lineRule="auto"/>
              <w:ind w:left="2868"/>
              <w:rPr>
                <w:rFonts w:ascii="宋体" w:hAnsi="宋体" w:eastAsia="宋体" w:cs="宋体"/>
                <w:sz w:val="24"/>
                <w:szCs w:val="24"/>
                <w:highlight w:val="none"/>
              </w:rPr>
            </w:pPr>
            <w:r>
              <w:rPr>
                <w:rFonts w:ascii="宋体" w:hAnsi="宋体" w:eastAsia="宋体" w:cs="宋体"/>
                <w:spacing w:val="-2"/>
                <w:sz w:val="24"/>
                <w:szCs w:val="24"/>
                <w:highlight w:val="none"/>
              </w:rPr>
              <w:t>评分标准</w:t>
            </w:r>
          </w:p>
        </w:tc>
        <w:tc>
          <w:tcPr>
            <w:tcW w:w="712" w:type="dxa"/>
            <w:vAlign w:val="top"/>
          </w:tcPr>
          <w:p w14:paraId="6551F46E">
            <w:pPr>
              <w:spacing w:before="270" w:line="220" w:lineRule="auto"/>
              <w:ind w:left="121"/>
              <w:rPr>
                <w:rFonts w:ascii="宋体" w:hAnsi="宋体" w:eastAsia="宋体" w:cs="宋体"/>
                <w:sz w:val="24"/>
                <w:szCs w:val="24"/>
                <w:highlight w:val="none"/>
              </w:rPr>
            </w:pPr>
            <w:r>
              <w:rPr>
                <w:rFonts w:ascii="宋体" w:hAnsi="宋体" w:eastAsia="宋体" w:cs="宋体"/>
                <w:spacing w:val="-3"/>
                <w:sz w:val="24"/>
                <w:szCs w:val="24"/>
                <w:highlight w:val="none"/>
              </w:rPr>
              <w:t>满分</w:t>
            </w:r>
          </w:p>
        </w:tc>
      </w:tr>
      <w:tr w14:paraId="4C0A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6" w:hRule="atLeast"/>
        </w:trPr>
        <w:tc>
          <w:tcPr>
            <w:tcW w:w="938" w:type="dxa"/>
            <w:vMerge w:val="restart"/>
            <w:tcBorders>
              <w:bottom w:val="nil"/>
            </w:tcBorders>
            <w:vAlign w:val="top"/>
          </w:tcPr>
          <w:p w14:paraId="27BCAC48">
            <w:pPr>
              <w:spacing w:line="243" w:lineRule="auto"/>
              <w:rPr>
                <w:rFonts w:ascii="Arial"/>
                <w:sz w:val="21"/>
                <w:highlight w:val="none"/>
              </w:rPr>
            </w:pPr>
          </w:p>
          <w:p w14:paraId="3C3AC6B6">
            <w:pPr>
              <w:spacing w:line="243" w:lineRule="auto"/>
              <w:rPr>
                <w:rFonts w:ascii="Arial"/>
                <w:sz w:val="21"/>
                <w:highlight w:val="none"/>
              </w:rPr>
            </w:pPr>
          </w:p>
          <w:p w14:paraId="550A19A3">
            <w:pPr>
              <w:spacing w:line="243" w:lineRule="auto"/>
              <w:rPr>
                <w:rFonts w:ascii="Arial"/>
                <w:sz w:val="21"/>
                <w:highlight w:val="none"/>
              </w:rPr>
            </w:pPr>
          </w:p>
          <w:p w14:paraId="166C7FDB">
            <w:pPr>
              <w:spacing w:line="243" w:lineRule="auto"/>
              <w:rPr>
                <w:rFonts w:ascii="Arial"/>
                <w:sz w:val="21"/>
                <w:highlight w:val="none"/>
              </w:rPr>
            </w:pPr>
          </w:p>
          <w:p w14:paraId="2FAD8779">
            <w:pPr>
              <w:spacing w:line="243" w:lineRule="auto"/>
              <w:rPr>
                <w:rFonts w:ascii="Arial"/>
                <w:sz w:val="21"/>
                <w:highlight w:val="none"/>
              </w:rPr>
            </w:pPr>
          </w:p>
          <w:p w14:paraId="02173155">
            <w:pPr>
              <w:spacing w:line="243" w:lineRule="auto"/>
              <w:rPr>
                <w:rFonts w:ascii="Arial"/>
                <w:sz w:val="21"/>
                <w:highlight w:val="none"/>
              </w:rPr>
            </w:pPr>
          </w:p>
          <w:p w14:paraId="5BE9EF5E">
            <w:pPr>
              <w:spacing w:line="243" w:lineRule="auto"/>
              <w:rPr>
                <w:rFonts w:ascii="Arial"/>
                <w:sz w:val="21"/>
                <w:highlight w:val="none"/>
              </w:rPr>
            </w:pPr>
          </w:p>
          <w:p w14:paraId="428A589B">
            <w:pPr>
              <w:spacing w:line="243" w:lineRule="auto"/>
              <w:rPr>
                <w:rFonts w:ascii="Arial"/>
                <w:sz w:val="21"/>
                <w:highlight w:val="none"/>
              </w:rPr>
            </w:pPr>
          </w:p>
          <w:p w14:paraId="28E7943D">
            <w:pPr>
              <w:spacing w:line="243" w:lineRule="auto"/>
              <w:rPr>
                <w:rFonts w:ascii="Arial"/>
                <w:sz w:val="21"/>
                <w:highlight w:val="none"/>
              </w:rPr>
            </w:pPr>
          </w:p>
          <w:p w14:paraId="0B189B50">
            <w:pPr>
              <w:spacing w:line="243" w:lineRule="auto"/>
              <w:rPr>
                <w:rFonts w:ascii="Arial"/>
                <w:sz w:val="21"/>
                <w:highlight w:val="none"/>
              </w:rPr>
            </w:pPr>
          </w:p>
          <w:p w14:paraId="54F1A44D">
            <w:pPr>
              <w:spacing w:line="243" w:lineRule="auto"/>
              <w:rPr>
                <w:rFonts w:ascii="Arial"/>
                <w:sz w:val="21"/>
                <w:highlight w:val="none"/>
              </w:rPr>
            </w:pPr>
          </w:p>
          <w:p w14:paraId="7EF3CED5">
            <w:pPr>
              <w:spacing w:line="243" w:lineRule="auto"/>
              <w:rPr>
                <w:rFonts w:ascii="Arial"/>
                <w:sz w:val="21"/>
                <w:highlight w:val="none"/>
              </w:rPr>
            </w:pPr>
          </w:p>
          <w:p w14:paraId="662D1B76">
            <w:pPr>
              <w:spacing w:line="243" w:lineRule="auto"/>
              <w:rPr>
                <w:rFonts w:ascii="Arial"/>
                <w:sz w:val="21"/>
                <w:highlight w:val="none"/>
              </w:rPr>
            </w:pPr>
          </w:p>
          <w:p w14:paraId="5F72BEF4">
            <w:pPr>
              <w:spacing w:line="243" w:lineRule="auto"/>
              <w:rPr>
                <w:rFonts w:ascii="Arial"/>
                <w:sz w:val="21"/>
                <w:highlight w:val="none"/>
              </w:rPr>
            </w:pPr>
          </w:p>
          <w:p w14:paraId="6E5980F0">
            <w:pPr>
              <w:spacing w:line="243" w:lineRule="auto"/>
              <w:rPr>
                <w:rFonts w:ascii="Arial"/>
                <w:sz w:val="21"/>
                <w:highlight w:val="none"/>
              </w:rPr>
            </w:pPr>
          </w:p>
          <w:p w14:paraId="6AB82A1D">
            <w:pPr>
              <w:spacing w:line="244" w:lineRule="auto"/>
              <w:rPr>
                <w:rFonts w:ascii="Arial"/>
                <w:sz w:val="21"/>
                <w:highlight w:val="none"/>
              </w:rPr>
            </w:pPr>
          </w:p>
          <w:p w14:paraId="44CB5856">
            <w:pPr>
              <w:spacing w:line="244" w:lineRule="auto"/>
              <w:rPr>
                <w:rFonts w:ascii="Arial"/>
                <w:sz w:val="21"/>
                <w:highlight w:val="none"/>
              </w:rPr>
            </w:pPr>
          </w:p>
          <w:p w14:paraId="4628BA59">
            <w:pPr>
              <w:pStyle w:val="25"/>
              <w:spacing w:before="78" w:line="242" w:lineRule="auto"/>
              <w:ind w:right="2" w:firstLine="12"/>
              <w:rPr>
                <w:highlight w:val="none"/>
              </w:rPr>
            </w:pPr>
            <w:r>
              <w:rPr>
                <w:spacing w:val="-11"/>
                <w:highlight w:val="none"/>
              </w:rPr>
              <w:t>技术标二</w:t>
            </w:r>
            <w:r>
              <w:rPr>
                <w:spacing w:val="-24"/>
                <w:highlight w:val="none"/>
              </w:rPr>
              <w:t>（</w:t>
            </w:r>
            <w:r>
              <w:rPr>
                <w:rFonts w:hint="eastAsia"/>
                <w:spacing w:val="-24"/>
                <w:highlight w:val="none"/>
                <w:lang w:val="en-US" w:eastAsia="zh-CN"/>
              </w:rPr>
              <w:t>9</w:t>
            </w:r>
            <w:r>
              <w:rPr>
                <w:spacing w:val="-24"/>
                <w:highlight w:val="none"/>
              </w:rPr>
              <w:t>分）</w:t>
            </w:r>
          </w:p>
        </w:tc>
        <w:tc>
          <w:tcPr>
            <w:tcW w:w="1329" w:type="dxa"/>
            <w:vAlign w:val="top"/>
          </w:tcPr>
          <w:p w14:paraId="1A3084B3">
            <w:pPr>
              <w:spacing w:line="258" w:lineRule="auto"/>
              <w:rPr>
                <w:rFonts w:ascii="Arial"/>
                <w:sz w:val="21"/>
                <w:highlight w:val="none"/>
              </w:rPr>
            </w:pPr>
          </w:p>
          <w:p w14:paraId="6B021DA5">
            <w:pPr>
              <w:spacing w:line="258" w:lineRule="auto"/>
              <w:rPr>
                <w:rFonts w:ascii="Arial"/>
                <w:sz w:val="21"/>
                <w:highlight w:val="none"/>
              </w:rPr>
            </w:pPr>
          </w:p>
          <w:p w14:paraId="392D34BC">
            <w:pPr>
              <w:spacing w:line="258" w:lineRule="auto"/>
              <w:rPr>
                <w:rFonts w:ascii="Arial"/>
                <w:sz w:val="21"/>
                <w:highlight w:val="none"/>
              </w:rPr>
            </w:pPr>
          </w:p>
          <w:p w14:paraId="58A4B7CD">
            <w:pPr>
              <w:spacing w:line="258" w:lineRule="auto"/>
              <w:rPr>
                <w:rFonts w:ascii="Arial"/>
                <w:sz w:val="21"/>
                <w:highlight w:val="none"/>
              </w:rPr>
            </w:pPr>
          </w:p>
          <w:p w14:paraId="54BBF032">
            <w:pPr>
              <w:spacing w:line="259" w:lineRule="auto"/>
              <w:rPr>
                <w:rFonts w:ascii="Arial"/>
                <w:sz w:val="21"/>
                <w:highlight w:val="none"/>
              </w:rPr>
            </w:pPr>
          </w:p>
          <w:p w14:paraId="10816176">
            <w:pPr>
              <w:spacing w:line="259" w:lineRule="auto"/>
              <w:rPr>
                <w:rFonts w:ascii="Arial"/>
                <w:sz w:val="21"/>
                <w:highlight w:val="none"/>
              </w:rPr>
            </w:pPr>
          </w:p>
          <w:p w14:paraId="7FBB0DD0">
            <w:pPr>
              <w:spacing w:line="259" w:lineRule="auto"/>
              <w:rPr>
                <w:rFonts w:ascii="Arial"/>
                <w:sz w:val="21"/>
                <w:highlight w:val="none"/>
              </w:rPr>
            </w:pPr>
          </w:p>
          <w:p w14:paraId="632A5A8D">
            <w:pPr>
              <w:pStyle w:val="25"/>
              <w:spacing w:before="78" w:line="242" w:lineRule="auto"/>
              <w:ind w:left="458" w:right="123" w:hanging="324"/>
              <w:rPr>
                <w:highlight w:val="none"/>
              </w:rPr>
            </w:pPr>
            <w:r>
              <w:rPr>
                <w:spacing w:val="-27"/>
                <w:highlight w:val="none"/>
              </w:rPr>
              <w:t>设计负责人</w:t>
            </w:r>
            <w:r>
              <w:rPr>
                <w:spacing w:val="-16"/>
                <w:highlight w:val="none"/>
              </w:rPr>
              <w:t>业绩</w:t>
            </w:r>
          </w:p>
        </w:tc>
        <w:tc>
          <w:tcPr>
            <w:tcW w:w="6687" w:type="dxa"/>
            <w:vAlign w:val="top"/>
          </w:tcPr>
          <w:p w14:paraId="0A2F1737">
            <w:pPr>
              <w:pStyle w:val="25"/>
              <w:spacing w:before="33" w:line="239" w:lineRule="auto"/>
              <w:ind w:left="16" w:firstLine="428"/>
              <w:jc w:val="both"/>
              <w:rPr>
                <w:highlight w:val="none"/>
              </w:rPr>
            </w:pPr>
            <w:r>
              <w:rPr>
                <w:spacing w:val="-26"/>
                <w:highlight w:val="none"/>
              </w:rPr>
              <w:t>投标设计负责人近</w:t>
            </w:r>
            <w:r>
              <w:rPr>
                <w:spacing w:val="-25"/>
                <w:highlight w:val="none"/>
              </w:rPr>
              <w:t>五年内完成过 1 个单项合同</w:t>
            </w:r>
            <w:r>
              <w:rPr>
                <w:rFonts w:hint="eastAsia"/>
                <w:spacing w:val="-25"/>
                <w:highlight w:val="none"/>
                <w:lang w:val="en-US" w:eastAsia="zh-CN"/>
              </w:rPr>
              <w:t>投资</w:t>
            </w:r>
            <w:r>
              <w:rPr>
                <w:rFonts w:hint="eastAsia"/>
                <w:spacing w:val="-25"/>
                <w:highlight w:val="none"/>
                <w:lang w:eastAsia="zh-CN"/>
              </w:rPr>
              <w:t>额</w:t>
            </w:r>
            <w:r>
              <w:rPr>
                <w:rFonts w:hint="eastAsia"/>
                <w:spacing w:val="-25"/>
                <w:highlight w:val="none"/>
                <w:lang w:val="en-US" w:eastAsia="zh-CN"/>
              </w:rPr>
              <w:t>1400</w:t>
            </w:r>
            <w:r>
              <w:rPr>
                <w:spacing w:val="-25"/>
                <w:highlight w:val="none"/>
              </w:rPr>
              <w:t xml:space="preserve"> </w:t>
            </w:r>
            <w:r>
              <w:rPr>
                <w:spacing w:val="-17"/>
                <w:highlight w:val="none"/>
              </w:rPr>
              <w:t>万</w:t>
            </w:r>
            <w:r>
              <w:rPr>
                <w:spacing w:val="-18"/>
                <w:highlight w:val="none"/>
              </w:rPr>
              <w:t>元</w:t>
            </w:r>
            <w:r>
              <w:rPr>
                <w:rFonts w:hint="eastAsia"/>
                <w:spacing w:val="-18"/>
                <w:highlight w:val="none"/>
                <w:lang w:val="en-US" w:eastAsia="zh-CN"/>
              </w:rPr>
              <w:t>或建筑面积3000平方米</w:t>
            </w:r>
            <w:r>
              <w:rPr>
                <w:spacing w:val="-18"/>
                <w:highlight w:val="none"/>
              </w:rPr>
              <w:t>及以上建筑工程或建筑工程设计施工一体化或建筑工程设计采购施</w:t>
            </w:r>
            <w:r>
              <w:rPr>
                <w:spacing w:val="-23"/>
                <w:highlight w:val="none"/>
              </w:rPr>
              <w:t>工一体化（EPC）的设计业绩得</w:t>
            </w:r>
            <w:r>
              <w:rPr>
                <w:spacing w:val="-55"/>
                <w:highlight w:val="none"/>
              </w:rPr>
              <w:t xml:space="preserve"> </w:t>
            </w:r>
            <w:r>
              <w:rPr>
                <w:rFonts w:hint="eastAsia"/>
                <w:spacing w:val="-23"/>
                <w:highlight w:val="none"/>
                <w:lang w:val="en-US" w:eastAsia="zh-CN"/>
              </w:rPr>
              <w:t>1.5</w:t>
            </w:r>
            <w:r>
              <w:rPr>
                <w:spacing w:val="-23"/>
                <w:highlight w:val="none"/>
              </w:rPr>
              <w:t>分。</w:t>
            </w:r>
          </w:p>
          <w:p w14:paraId="449D4750">
            <w:pPr>
              <w:pStyle w:val="25"/>
              <w:spacing w:line="218" w:lineRule="auto"/>
              <w:ind w:left="19"/>
              <w:rPr>
                <w:highlight w:val="none"/>
              </w:rPr>
            </w:pPr>
            <w:r>
              <w:rPr>
                <w:spacing w:val="-22"/>
                <w:highlight w:val="none"/>
              </w:rPr>
              <w:t>注</w:t>
            </w:r>
            <w:r>
              <w:rPr>
                <w:spacing w:val="-42"/>
                <w:highlight w:val="none"/>
              </w:rPr>
              <w:t>：（</w:t>
            </w:r>
            <w:r>
              <w:rPr>
                <w:spacing w:val="-22"/>
                <w:highlight w:val="none"/>
              </w:rPr>
              <w:t>1）本项最高得</w:t>
            </w:r>
            <w:r>
              <w:rPr>
                <w:spacing w:val="-43"/>
                <w:highlight w:val="none"/>
              </w:rPr>
              <w:t xml:space="preserve"> </w:t>
            </w:r>
            <w:r>
              <w:rPr>
                <w:rFonts w:hint="eastAsia"/>
                <w:spacing w:val="-22"/>
                <w:highlight w:val="none"/>
                <w:lang w:val="en-US" w:eastAsia="zh-CN"/>
              </w:rPr>
              <w:t>3</w:t>
            </w:r>
            <w:r>
              <w:rPr>
                <w:spacing w:val="-22"/>
                <w:highlight w:val="none"/>
              </w:rPr>
              <w:t>分。</w:t>
            </w:r>
          </w:p>
          <w:p w14:paraId="60590E57">
            <w:pPr>
              <w:pStyle w:val="25"/>
              <w:spacing w:before="24" w:line="237" w:lineRule="auto"/>
              <w:ind w:firstLine="453"/>
              <w:rPr>
                <w:highlight w:val="none"/>
              </w:rPr>
            </w:pPr>
            <w:r>
              <w:rPr>
                <w:spacing w:val="-21"/>
                <w:highlight w:val="none"/>
              </w:rPr>
              <w:t>（2）业绩服务范围须包括施工图设计，投标文</w:t>
            </w:r>
            <w:r>
              <w:rPr>
                <w:spacing w:val="-22"/>
                <w:highlight w:val="none"/>
              </w:rPr>
              <w:t>件中须同时提供合</w:t>
            </w:r>
            <w:r>
              <w:rPr>
                <w:spacing w:val="-25"/>
                <w:highlight w:val="none"/>
              </w:rPr>
              <w:t>同关键页、施工图图审合格证明材料的原件扫描件。证明材料中须体现“时间、项目类型、工程费用金额、设计负责人姓名”等关键评审因素</w:t>
            </w:r>
            <w:r>
              <w:rPr>
                <w:spacing w:val="-26"/>
                <w:highlight w:val="none"/>
              </w:rPr>
              <w:t>以施工图图审合格证</w:t>
            </w:r>
            <w:r>
              <w:rPr>
                <w:spacing w:val="-25"/>
                <w:highlight w:val="none"/>
              </w:rPr>
              <w:t>明材料为准；若施工图图审合格证明材料无法反</w:t>
            </w:r>
            <w:r>
              <w:rPr>
                <w:spacing w:val="-16"/>
                <w:highlight w:val="none"/>
              </w:rPr>
              <w:t>映</w:t>
            </w:r>
            <w:r>
              <w:rPr>
                <w:spacing w:val="-26"/>
                <w:highlight w:val="none"/>
              </w:rPr>
              <w:t>项目类型、工程费用</w:t>
            </w:r>
            <w:r>
              <w:rPr>
                <w:spacing w:val="-25"/>
                <w:highlight w:val="none"/>
              </w:rPr>
              <w:t>金额等评审因素的，以合同关键页所反映的关键</w:t>
            </w:r>
            <w:r>
              <w:rPr>
                <w:spacing w:val="-16"/>
                <w:highlight w:val="none"/>
              </w:rPr>
              <w:t>评</w:t>
            </w:r>
            <w:r>
              <w:rPr>
                <w:spacing w:val="-25"/>
                <w:highlight w:val="none"/>
              </w:rPr>
              <w:t>审因素为准；若合同关键页、施工图图审合格证明材料均无法体现项目</w:t>
            </w:r>
            <w:r>
              <w:rPr>
                <w:spacing w:val="-26"/>
                <w:highlight w:val="none"/>
              </w:rPr>
              <w:t>类型、具体金额等评</w:t>
            </w:r>
            <w:r>
              <w:rPr>
                <w:spacing w:val="-25"/>
                <w:highlight w:val="none"/>
              </w:rPr>
              <w:t>审因素的，可提供业主（合同甲方）证明材料原</w:t>
            </w:r>
            <w:r>
              <w:rPr>
                <w:spacing w:val="-16"/>
                <w:highlight w:val="none"/>
              </w:rPr>
              <w:t>件</w:t>
            </w:r>
            <w:r>
              <w:rPr>
                <w:spacing w:val="-22"/>
                <w:highlight w:val="none"/>
              </w:rPr>
              <w:t>扫描件进行证明。</w:t>
            </w:r>
          </w:p>
          <w:p w14:paraId="35C834A3">
            <w:pPr>
              <w:pStyle w:val="25"/>
              <w:spacing w:before="28" w:line="215" w:lineRule="auto"/>
              <w:ind w:left="433"/>
              <w:rPr>
                <w:highlight w:val="none"/>
              </w:rPr>
            </w:pPr>
            <w:r>
              <w:rPr>
                <w:spacing w:val="-24"/>
                <w:highlight w:val="none"/>
              </w:rPr>
              <w:t>（3）设计负责人业绩必须是在设计负责人岗位上的业绩。</w:t>
            </w:r>
          </w:p>
          <w:p w14:paraId="1D2F0438">
            <w:pPr>
              <w:pStyle w:val="25"/>
              <w:spacing w:before="31" w:line="206" w:lineRule="auto"/>
              <w:ind w:left="433"/>
              <w:rPr>
                <w:highlight w:val="none"/>
              </w:rPr>
            </w:pPr>
            <w:r>
              <w:rPr>
                <w:spacing w:val="-23"/>
                <w:highlight w:val="none"/>
              </w:rPr>
              <w:t>（4）未提供证明材料不得分。</w:t>
            </w:r>
          </w:p>
        </w:tc>
        <w:tc>
          <w:tcPr>
            <w:tcW w:w="712" w:type="dxa"/>
            <w:vAlign w:val="top"/>
          </w:tcPr>
          <w:p w14:paraId="2DA27E71">
            <w:pPr>
              <w:spacing w:line="245" w:lineRule="auto"/>
              <w:rPr>
                <w:rFonts w:ascii="Arial"/>
                <w:sz w:val="21"/>
                <w:highlight w:val="none"/>
              </w:rPr>
            </w:pPr>
          </w:p>
          <w:p w14:paraId="2DA0AFF6">
            <w:pPr>
              <w:spacing w:line="245" w:lineRule="auto"/>
              <w:rPr>
                <w:rFonts w:ascii="Arial"/>
                <w:sz w:val="21"/>
                <w:highlight w:val="none"/>
              </w:rPr>
            </w:pPr>
          </w:p>
          <w:p w14:paraId="65D1E395">
            <w:pPr>
              <w:spacing w:line="245" w:lineRule="auto"/>
              <w:rPr>
                <w:rFonts w:ascii="Arial"/>
                <w:sz w:val="21"/>
                <w:highlight w:val="none"/>
              </w:rPr>
            </w:pPr>
          </w:p>
          <w:p w14:paraId="7507E762">
            <w:pPr>
              <w:spacing w:line="246" w:lineRule="auto"/>
              <w:rPr>
                <w:rFonts w:ascii="Arial"/>
                <w:sz w:val="21"/>
                <w:highlight w:val="none"/>
              </w:rPr>
            </w:pPr>
          </w:p>
          <w:p w14:paraId="7216B391">
            <w:pPr>
              <w:spacing w:line="246" w:lineRule="auto"/>
              <w:rPr>
                <w:rFonts w:ascii="Arial"/>
                <w:sz w:val="21"/>
                <w:highlight w:val="none"/>
              </w:rPr>
            </w:pPr>
          </w:p>
          <w:p w14:paraId="6310D229">
            <w:pPr>
              <w:spacing w:line="246" w:lineRule="auto"/>
              <w:rPr>
                <w:rFonts w:ascii="Arial"/>
                <w:sz w:val="21"/>
                <w:highlight w:val="none"/>
              </w:rPr>
            </w:pPr>
          </w:p>
          <w:p w14:paraId="23A2672B">
            <w:pPr>
              <w:spacing w:line="246" w:lineRule="auto"/>
              <w:rPr>
                <w:rFonts w:ascii="Arial"/>
                <w:sz w:val="21"/>
                <w:highlight w:val="none"/>
              </w:rPr>
            </w:pPr>
          </w:p>
          <w:p w14:paraId="77D7F8EF">
            <w:pPr>
              <w:spacing w:line="246" w:lineRule="auto"/>
              <w:rPr>
                <w:rFonts w:ascii="Arial"/>
                <w:sz w:val="21"/>
                <w:highlight w:val="none"/>
              </w:rPr>
            </w:pPr>
          </w:p>
          <w:p w14:paraId="0BC3B5DF">
            <w:pPr>
              <w:pStyle w:val="25"/>
              <w:spacing w:before="78" w:line="238" w:lineRule="auto"/>
              <w:ind w:left="309"/>
              <w:rPr>
                <w:rFonts w:hint="eastAsia" w:eastAsia="仿宋"/>
                <w:highlight w:val="none"/>
                <w:lang w:eastAsia="zh-CN"/>
              </w:rPr>
            </w:pPr>
            <w:r>
              <w:rPr>
                <w:rFonts w:hint="eastAsia"/>
                <w:highlight w:val="none"/>
                <w:lang w:val="en-US" w:eastAsia="zh-CN"/>
              </w:rPr>
              <w:t>3</w:t>
            </w:r>
          </w:p>
        </w:tc>
      </w:tr>
      <w:tr w14:paraId="3755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6" w:hRule="atLeast"/>
        </w:trPr>
        <w:tc>
          <w:tcPr>
            <w:tcW w:w="938" w:type="dxa"/>
            <w:vMerge w:val="continue"/>
            <w:tcBorders>
              <w:top w:val="nil"/>
              <w:bottom w:val="nil"/>
            </w:tcBorders>
            <w:vAlign w:val="top"/>
          </w:tcPr>
          <w:p w14:paraId="355F2AE3">
            <w:pPr>
              <w:rPr>
                <w:rFonts w:ascii="Arial"/>
                <w:sz w:val="21"/>
                <w:highlight w:val="none"/>
              </w:rPr>
            </w:pPr>
          </w:p>
        </w:tc>
        <w:tc>
          <w:tcPr>
            <w:tcW w:w="1329" w:type="dxa"/>
            <w:vAlign w:val="top"/>
          </w:tcPr>
          <w:p w14:paraId="113BC712">
            <w:pPr>
              <w:spacing w:line="246" w:lineRule="auto"/>
              <w:rPr>
                <w:rFonts w:ascii="Arial"/>
                <w:sz w:val="21"/>
                <w:highlight w:val="none"/>
              </w:rPr>
            </w:pPr>
          </w:p>
          <w:p w14:paraId="22E3B0E1">
            <w:pPr>
              <w:spacing w:line="246" w:lineRule="auto"/>
              <w:rPr>
                <w:rFonts w:ascii="Arial"/>
                <w:sz w:val="21"/>
                <w:highlight w:val="none"/>
              </w:rPr>
            </w:pPr>
          </w:p>
          <w:p w14:paraId="41602789">
            <w:pPr>
              <w:spacing w:line="246" w:lineRule="auto"/>
              <w:rPr>
                <w:rFonts w:ascii="Arial"/>
                <w:sz w:val="21"/>
                <w:highlight w:val="none"/>
              </w:rPr>
            </w:pPr>
          </w:p>
          <w:p w14:paraId="5BEFC142">
            <w:pPr>
              <w:spacing w:line="246" w:lineRule="auto"/>
              <w:rPr>
                <w:rFonts w:ascii="Arial"/>
                <w:sz w:val="21"/>
                <w:highlight w:val="none"/>
              </w:rPr>
            </w:pPr>
          </w:p>
          <w:p w14:paraId="7E125AAC">
            <w:pPr>
              <w:spacing w:line="246" w:lineRule="auto"/>
              <w:rPr>
                <w:rFonts w:ascii="Arial"/>
                <w:sz w:val="21"/>
                <w:highlight w:val="none"/>
              </w:rPr>
            </w:pPr>
          </w:p>
          <w:p w14:paraId="631153FB">
            <w:pPr>
              <w:spacing w:line="246" w:lineRule="auto"/>
              <w:rPr>
                <w:rFonts w:ascii="Arial"/>
                <w:sz w:val="21"/>
                <w:highlight w:val="none"/>
              </w:rPr>
            </w:pPr>
          </w:p>
          <w:p w14:paraId="5CAADD74">
            <w:pPr>
              <w:spacing w:line="246" w:lineRule="auto"/>
              <w:rPr>
                <w:rFonts w:ascii="Arial"/>
                <w:sz w:val="21"/>
                <w:highlight w:val="none"/>
              </w:rPr>
            </w:pPr>
          </w:p>
          <w:p w14:paraId="21F25569">
            <w:pPr>
              <w:spacing w:line="246" w:lineRule="auto"/>
              <w:rPr>
                <w:rFonts w:ascii="Arial"/>
                <w:sz w:val="21"/>
                <w:highlight w:val="none"/>
              </w:rPr>
            </w:pPr>
          </w:p>
          <w:p w14:paraId="59A76116">
            <w:pPr>
              <w:pStyle w:val="25"/>
              <w:spacing w:before="78" w:line="218" w:lineRule="auto"/>
              <w:jc w:val="right"/>
              <w:rPr>
                <w:highlight w:val="none"/>
              </w:rPr>
            </w:pPr>
            <w:r>
              <w:rPr>
                <w:spacing w:val="-28"/>
                <w:highlight w:val="none"/>
              </w:rPr>
              <w:t>设计企</w:t>
            </w:r>
            <w:r>
              <w:rPr>
                <w:spacing w:val="-27"/>
                <w:highlight w:val="none"/>
              </w:rPr>
              <w:t>业业</w:t>
            </w:r>
            <w:r>
              <w:rPr>
                <w:spacing w:val="-24"/>
                <w:highlight w:val="none"/>
              </w:rPr>
              <w:t>绩</w:t>
            </w:r>
          </w:p>
        </w:tc>
        <w:tc>
          <w:tcPr>
            <w:tcW w:w="6687" w:type="dxa"/>
            <w:vAlign w:val="top"/>
          </w:tcPr>
          <w:p w14:paraId="340B9FC4">
            <w:pPr>
              <w:pStyle w:val="25"/>
              <w:spacing w:before="35" w:line="239" w:lineRule="auto"/>
              <w:ind w:left="17" w:hanging="5"/>
              <w:jc w:val="both"/>
              <w:rPr>
                <w:highlight w:val="none"/>
              </w:rPr>
            </w:pPr>
            <w:r>
              <w:rPr>
                <w:spacing w:val="-28"/>
                <w:highlight w:val="none"/>
              </w:rPr>
              <w:t>投标人近五年内完成过 1</w:t>
            </w:r>
            <w:r>
              <w:rPr>
                <w:spacing w:val="-17"/>
                <w:highlight w:val="none"/>
              </w:rPr>
              <w:t xml:space="preserve"> </w:t>
            </w:r>
            <w:r>
              <w:rPr>
                <w:spacing w:val="-28"/>
                <w:highlight w:val="none"/>
              </w:rPr>
              <w:t>个单项合同</w:t>
            </w:r>
            <w:r>
              <w:rPr>
                <w:rFonts w:hint="eastAsia"/>
                <w:spacing w:val="-28"/>
                <w:highlight w:val="none"/>
                <w:lang w:val="en-US" w:eastAsia="zh-CN"/>
              </w:rPr>
              <w:t>投资</w:t>
            </w:r>
            <w:r>
              <w:rPr>
                <w:rFonts w:hint="eastAsia"/>
                <w:spacing w:val="-28"/>
                <w:highlight w:val="none"/>
                <w:lang w:eastAsia="zh-CN"/>
              </w:rPr>
              <w:t>额</w:t>
            </w:r>
            <w:r>
              <w:rPr>
                <w:rFonts w:hint="eastAsia"/>
                <w:spacing w:val="-27"/>
                <w:highlight w:val="none"/>
                <w:lang w:val="en-US" w:eastAsia="zh-CN"/>
              </w:rPr>
              <w:t>1400</w:t>
            </w:r>
            <w:r>
              <w:rPr>
                <w:spacing w:val="-28"/>
                <w:highlight w:val="none"/>
              </w:rPr>
              <w:t>万元</w:t>
            </w:r>
            <w:r>
              <w:rPr>
                <w:rFonts w:hint="eastAsia"/>
                <w:spacing w:val="-18"/>
                <w:highlight w:val="none"/>
                <w:lang w:val="en-US" w:eastAsia="zh-CN"/>
              </w:rPr>
              <w:t>或建筑面积3000平方米</w:t>
            </w:r>
            <w:r>
              <w:rPr>
                <w:spacing w:val="-28"/>
                <w:highlight w:val="none"/>
              </w:rPr>
              <w:t>及以上建筑</w:t>
            </w:r>
            <w:r>
              <w:rPr>
                <w:spacing w:val="-27"/>
                <w:highlight w:val="none"/>
              </w:rPr>
              <w:t>工程或建筑工程设计施工一体化或建筑工程设计采购施工一</w:t>
            </w:r>
            <w:r>
              <w:rPr>
                <w:spacing w:val="-28"/>
                <w:highlight w:val="none"/>
              </w:rPr>
              <w:t>体化（EPC）的设计业绩得</w:t>
            </w:r>
            <w:r>
              <w:rPr>
                <w:spacing w:val="-58"/>
                <w:highlight w:val="none"/>
              </w:rPr>
              <w:t xml:space="preserve"> </w:t>
            </w:r>
            <w:r>
              <w:rPr>
                <w:spacing w:val="-28"/>
                <w:highlight w:val="none"/>
              </w:rPr>
              <w:t>2</w:t>
            </w:r>
            <w:r>
              <w:rPr>
                <w:spacing w:val="-52"/>
                <w:highlight w:val="none"/>
              </w:rPr>
              <w:t xml:space="preserve"> </w:t>
            </w:r>
            <w:r>
              <w:rPr>
                <w:spacing w:val="-28"/>
                <w:highlight w:val="none"/>
              </w:rPr>
              <w:t>分。</w:t>
            </w:r>
          </w:p>
          <w:p w14:paraId="5401338B">
            <w:pPr>
              <w:pStyle w:val="25"/>
              <w:spacing w:line="218" w:lineRule="auto"/>
              <w:ind w:left="19"/>
              <w:rPr>
                <w:highlight w:val="none"/>
              </w:rPr>
            </w:pPr>
            <w:r>
              <w:rPr>
                <w:spacing w:val="-22"/>
                <w:highlight w:val="none"/>
              </w:rPr>
              <w:t>注</w:t>
            </w:r>
            <w:r>
              <w:rPr>
                <w:spacing w:val="-42"/>
                <w:highlight w:val="none"/>
              </w:rPr>
              <w:t>：（</w:t>
            </w:r>
            <w:r>
              <w:rPr>
                <w:spacing w:val="-22"/>
                <w:highlight w:val="none"/>
              </w:rPr>
              <w:t>1）本项最高得</w:t>
            </w:r>
            <w:r>
              <w:rPr>
                <w:spacing w:val="-43"/>
                <w:highlight w:val="none"/>
              </w:rPr>
              <w:t xml:space="preserve"> </w:t>
            </w:r>
            <w:r>
              <w:rPr>
                <w:spacing w:val="-22"/>
                <w:highlight w:val="none"/>
              </w:rPr>
              <w:t>2</w:t>
            </w:r>
            <w:r>
              <w:rPr>
                <w:spacing w:val="-53"/>
                <w:highlight w:val="none"/>
              </w:rPr>
              <w:t xml:space="preserve"> </w:t>
            </w:r>
            <w:r>
              <w:rPr>
                <w:spacing w:val="-22"/>
                <w:highlight w:val="none"/>
              </w:rPr>
              <w:t>分。</w:t>
            </w:r>
          </w:p>
          <w:p w14:paraId="4F1B44D0">
            <w:pPr>
              <w:pStyle w:val="25"/>
              <w:spacing w:before="29" w:line="236" w:lineRule="auto"/>
              <w:ind w:left="12" w:hanging="11"/>
              <w:rPr>
                <w:highlight w:val="none"/>
              </w:rPr>
            </w:pPr>
            <w:r>
              <w:rPr>
                <w:spacing w:val="-21"/>
                <w:highlight w:val="none"/>
              </w:rPr>
              <w:t>（2）业绩服务范围须包括施工图设计，投标文件中须同时提供合同关</w:t>
            </w:r>
            <w:r>
              <w:rPr>
                <w:spacing w:val="-26"/>
                <w:highlight w:val="none"/>
              </w:rPr>
              <w:t>键页、施工图</w:t>
            </w:r>
            <w:r>
              <w:rPr>
                <w:spacing w:val="-25"/>
                <w:highlight w:val="none"/>
              </w:rPr>
              <w:t>图审合格证明材料的原件扫描件。时间、项目类型、工</w:t>
            </w:r>
            <w:r>
              <w:rPr>
                <w:spacing w:val="-19"/>
                <w:highlight w:val="none"/>
              </w:rPr>
              <w:t>程</w:t>
            </w:r>
            <w:r>
              <w:rPr>
                <w:spacing w:val="-25"/>
                <w:highlight w:val="none"/>
              </w:rPr>
              <w:t>费用金额等关键评审因素以施工图图审合格证明材料为准；若施工图图</w:t>
            </w:r>
            <w:r>
              <w:rPr>
                <w:spacing w:val="-26"/>
                <w:highlight w:val="none"/>
              </w:rPr>
              <w:t>审合格证明材料无法反映</w:t>
            </w:r>
            <w:r>
              <w:rPr>
                <w:spacing w:val="-25"/>
                <w:highlight w:val="none"/>
              </w:rPr>
              <w:t>项目类型、工程费用金额等评审因素的，以</w:t>
            </w:r>
            <w:r>
              <w:rPr>
                <w:spacing w:val="-14"/>
                <w:highlight w:val="none"/>
              </w:rPr>
              <w:t>合</w:t>
            </w:r>
            <w:r>
              <w:rPr>
                <w:spacing w:val="-26"/>
                <w:highlight w:val="none"/>
              </w:rPr>
              <w:t>同关键页所反映的关</w:t>
            </w:r>
            <w:r>
              <w:rPr>
                <w:spacing w:val="-25"/>
                <w:highlight w:val="none"/>
              </w:rPr>
              <w:t>键评审因素为准；若合同关键页、施工图图审合</w:t>
            </w:r>
            <w:r>
              <w:rPr>
                <w:spacing w:val="-16"/>
                <w:highlight w:val="none"/>
              </w:rPr>
              <w:t>格</w:t>
            </w:r>
            <w:r>
              <w:rPr>
                <w:spacing w:val="-33"/>
                <w:highlight w:val="none"/>
              </w:rPr>
              <w:t>证明材料均无</w:t>
            </w:r>
            <w:r>
              <w:rPr>
                <w:spacing w:val="-32"/>
                <w:highlight w:val="none"/>
              </w:rPr>
              <w:t>法体现项目类型、具体金额等评审因素的，可提供业主（</w:t>
            </w:r>
            <w:r>
              <w:rPr>
                <w:spacing w:val="-26"/>
                <w:highlight w:val="none"/>
              </w:rPr>
              <w:t>合</w:t>
            </w:r>
            <w:r>
              <w:rPr>
                <w:spacing w:val="-25"/>
                <w:highlight w:val="none"/>
              </w:rPr>
              <w:t>同甲方）证明材料原件扫描件进行证明。</w:t>
            </w:r>
          </w:p>
          <w:p w14:paraId="7ED120E6">
            <w:pPr>
              <w:pStyle w:val="25"/>
              <w:spacing w:before="28" w:line="217" w:lineRule="auto"/>
              <w:ind w:left="44"/>
              <w:rPr>
                <w:highlight w:val="none"/>
              </w:rPr>
            </w:pPr>
            <w:r>
              <w:rPr>
                <w:spacing w:val="-24"/>
                <w:highlight w:val="none"/>
              </w:rPr>
              <w:t>(3)联合体投标的，本条由联合体中承担</w:t>
            </w:r>
            <w:r>
              <w:rPr>
                <w:spacing w:val="-25"/>
                <w:highlight w:val="none"/>
              </w:rPr>
              <w:t>设计任务的单位提供。</w:t>
            </w:r>
          </w:p>
          <w:p w14:paraId="0F20B4EB">
            <w:pPr>
              <w:pStyle w:val="25"/>
              <w:spacing w:before="30" w:line="218" w:lineRule="auto"/>
              <w:ind w:left="44"/>
              <w:rPr>
                <w:highlight w:val="none"/>
              </w:rPr>
            </w:pPr>
            <w:r>
              <w:rPr>
                <w:spacing w:val="-24"/>
                <w:highlight w:val="none"/>
              </w:rPr>
              <w:t>(4)设计负责人业绩和设计企业业绩</w:t>
            </w:r>
            <w:r>
              <w:rPr>
                <w:rFonts w:hint="eastAsia"/>
                <w:spacing w:val="-24"/>
                <w:highlight w:val="none"/>
                <w:lang w:val="en-US" w:eastAsia="zh-CN"/>
              </w:rPr>
              <w:t>不</w:t>
            </w:r>
            <w:r>
              <w:rPr>
                <w:spacing w:val="-24"/>
                <w:highlight w:val="none"/>
              </w:rPr>
              <w:t>可为同一业绩。</w:t>
            </w:r>
          </w:p>
          <w:p w14:paraId="693B945B">
            <w:pPr>
              <w:pStyle w:val="25"/>
              <w:spacing w:before="28" w:line="204" w:lineRule="auto"/>
              <w:ind w:left="44"/>
              <w:rPr>
                <w:highlight w:val="none"/>
              </w:rPr>
            </w:pPr>
            <w:r>
              <w:rPr>
                <w:spacing w:val="-24"/>
                <w:highlight w:val="none"/>
              </w:rPr>
              <w:t>(5)未提供证明材料不得分。</w:t>
            </w:r>
          </w:p>
        </w:tc>
        <w:tc>
          <w:tcPr>
            <w:tcW w:w="712" w:type="dxa"/>
            <w:vAlign w:val="top"/>
          </w:tcPr>
          <w:p w14:paraId="210DED12">
            <w:pPr>
              <w:spacing w:line="246" w:lineRule="auto"/>
              <w:rPr>
                <w:rFonts w:ascii="Arial"/>
                <w:sz w:val="21"/>
                <w:highlight w:val="none"/>
              </w:rPr>
            </w:pPr>
          </w:p>
          <w:p w14:paraId="3F29AD3C">
            <w:pPr>
              <w:spacing w:line="246" w:lineRule="auto"/>
              <w:rPr>
                <w:rFonts w:ascii="Arial"/>
                <w:sz w:val="21"/>
                <w:highlight w:val="none"/>
              </w:rPr>
            </w:pPr>
          </w:p>
          <w:p w14:paraId="637223E4">
            <w:pPr>
              <w:spacing w:line="246" w:lineRule="auto"/>
              <w:rPr>
                <w:rFonts w:ascii="Arial"/>
                <w:sz w:val="21"/>
                <w:highlight w:val="none"/>
              </w:rPr>
            </w:pPr>
          </w:p>
          <w:p w14:paraId="50314565">
            <w:pPr>
              <w:spacing w:line="246" w:lineRule="auto"/>
              <w:rPr>
                <w:rFonts w:ascii="Arial"/>
                <w:sz w:val="21"/>
                <w:highlight w:val="none"/>
              </w:rPr>
            </w:pPr>
          </w:p>
          <w:p w14:paraId="5622F296">
            <w:pPr>
              <w:spacing w:line="246" w:lineRule="auto"/>
              <w:rPr>
                <w:rFonts w:ascii="Arial"/>
                <w:sz w:val="21"/>
                <w:highlight w:val="none"/>
              </w:rPr>
            </w:pPr>
          </w:p>
          <w:p w14:paraId="632F75A4">
            <w:pPr>
              <w:spacing w:line="246" w:lineRule="auto"/>
              <w:rPr>
                <w:rFonts w:ascii="Arial"/>
                <w:sz w:val="21"/>
                <w:highlight w:val="none"/>
              </w:rPr>
            </w:pPr>
          </w:p>
          <w:p w14:paraId="5E5658E5">
            <w:pPr>
              <w:spacing w:line="246" w:lineRule="auto"/>
              <w:rPr>
                <w:rFonts w:ascii="Arial"/>
                <w:sz w:val="21"/>
                <w:highlight w:val="none"/>
              </w:rPr>
            </w:pPr>
          </w:p>
          <w:p w14:paraId="3BA7AD3F">
            <w:pPr>
              <w:spacing w:line="246" w:lineRule="auto"/>
              <w:rPr>
                <w:rFonts w:ascii="Arial"/>
                <w:sz w:val="21"/>
                <w:highlight w:val="none"/>
              </w:rPr>
            </w:pPr>
          </w:p>
          <w:p w14:paraId="1153101F">
            <w:pPr>
              <w:pStyle w:val="25"/>
              <w:spacing w:before="78" w:line="238" w:lineRule="auto"/>
              <w:ind w:left="309"/>
              <w:rPr>
                <w:rFonts w:hint="eastAsia" w:eastAsia="仿宋"/>
                <w:highlight w:val="none"/>
                <w:lang w:eastAsia="zh-CN"/>
              </w:rPr>
            </w:pPr>
            <w:r>
              <w:rPr>
                <w:rFonts w:hint="eastAsia"/>
                <w:highlight w:val="none"/>
                <w:lang w:val="en-US" w:eastAsia="zh-CN"/>
              </w:rPr>
              <w:t>2</w:t>
            </w:r>
          </w:p>
        </w:tc>
      </w:tr>
      <w:tr w14:paraId="1271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938" w:type="dxa"/>
            <w:tcBorders>
              <w:top w:val="nil"/>
              <w:bottom w:val="nil"/>
            </w:tcBorders>
            <w:vAlign w:val="top"/>
          </w:tcPr>
          <w:p w14:paraId="57C88B85">
            <w:pPr>
              <w:rPr>
                <w:rFonts w:ascii="Arial"/>
                <w:sz w:val="21"/>
                <w:highlight w:val="none"/>
              </w:rPr>
            </w:pPr>
          </w:p>
        </w:tc>
        <w:tc>
          <w:tcPr>
            <w:tcW w:w="1329" w:type="dxa"/>
            <w:vAlign w:val="top"/>
          </w:tcPr>
          <w:p w14:paraId="699149D2">
            <w:pPr>
              <w:spacing w:line="255" w:lineRule="auto"/>
              <w:rPr>
                <w:rFonts w:ascii="Arial"/>
                <w:sz w:val="21"/>
                <w:highlight w:val="none"/>
              </w:rPr>
            </w:pPr>
          </w:p>
          <w:p w14:paraId="3BF4DC73">
            <w:pPr>
              <w:spacing w:line="255" w:lineRule="auto"/>
              <w:rPr>
                <w:rFonts w:ascii="Arial"/>
                <w:sz w:val="21"/>
                <w:highlight w:val="none"/>
              </w:rPr>
            </w:pPr>
          </w:p>
          <w:p w14:paraId="37BE6D61">
            <w:pPr>
              <w:spacing w:line="256" w:lineRule="auto"/>
              <w:rPr>
                <w:rFonts w:ascii="Arial"/>
                <w:sz w:val="21"/>
                <w:highlight w:val="none"/>
              </w:rPr>
            </w:pPr>
          </w:p>
          <w:p w14:paraId="354DC650">
            <w:pPr>
              <w:pStyle w:val="25"/>
              <w:spacing w:before="78" w:line="220" w:lineRule="auto"/>
              <w:ind w:left="243"/>
              <w:rPr>
                <w:highlight w:val="none"/>
              </w:rPr>
            </w:pPr>
            <w:r>
              <w:rPr>
                <w:spacing w:val="-21"/>
                <w:highlight w:val="none"/>
              </w:rPr>
              <w:t>项目经理</w:t>
            </w:r>
          </w:p>
          <w:p w14:paraId="4077D2AB">
            <w:pPr>
              <w:pStyle w:val="25"/>
              <w:spacing w:before="24" w:line="218" w:lineRule="auto"/>
              <w:ind w:left="274"/>
              <w:rPr>
                <w:highlight w:val="none"/>
              </w:rPr>
            </w:pPr>
            <w:r>
              <w:rPr>
                <w:spacing w:val="-26"/>
                <w:highlight w:val="none"/>
              </w:rPr>
              <w:t>(建造师)</w:t>
            </w:r>
          </w:p>
          <w:p w14:paraId="1397B9C0">
            <w:pPr>
              <w:pStyle w:val="25"/>
              <w:spacing w:before="28" w:line="219" w:lineRule="auto"/>
              <w:ind w:left="458" w:leftChars="0"/>
              <w:rPr>
                <w:spacing w:val="-28"/>
                <w:highlight w:val="yellow"/>
              </w:rPr>
            </w:pPr>
            <w:r>
              <w:rPr>
                <w:spacing w:val="-16"/>
                <w:highlight w:val="none"/>
              </w:rPr>
              <w:t>业绩</w:t>
            </w:r>
          </w:p>
        </w:tc>
        <w:tc>
          <w:tcPr>
            <w:tcW w:w="6687" w:type="dxa"/>
            <w:vAlign w:val="top"/>
          </w:tcPr>
          <w:p w14:paraId="05614DE0">
            <w:pPr>
              <w:pStyle w:val="25"/>
              <w:spacing w:before="71" w:line="239" w:lineRule="auto"/>
              <w:ind w:left="12"/>
              <w:jc w:val="both"/>
              <w:rPr>
                <w:rFonts w:hint="default" w:eastAsia="仿宋"/>
                <w:highlight w:val="none"/>
                <w:lang w:val="en-US" w:eastAsia="zh-CN"/>
              </w:rPr>
            </w:pPr>
            <w:r>
              <w:rPr>
                <w:spacing w:val="-22"/>
                <w:highlight w:val="none"/>
              </w:rPr>
              <w:t>投标项目经理(建</w:t>
            </w:r>
            <w:r>
              <w:rPr>
                <w:spacing w:val="-21"/>
                <w:highlight w:val="none"/>
              </w:rPr>
              <w:t>造师)近五年内完成</w:t>
            </w:r>
            <w:r>
              <w:rPr>
                <w:rFonts w:hint="eastAsia"/>
                <w:spacing w:val="-21"/>
                <w:highlight w:val="none"/>
                <w:lang w:val="en-US" w:eastAsia="zh-CN"/>
              </w:rPr>
              <w:t>过</w:t>
            </w:r>
            <w:r>
              <w:rPr>
                <w:spacing w:val="-21"/>
                <w:highlight w:val="none"/>
              </w:rPr>
              <w:t xml:space="preserve"> 1</w:t>
            </w:r>
            <w:r>
              <w:rPr>
                <w:spacing w:val="-22"/>
                <w:highlight w:val="none"/>
              </w:rPr>
              <w:t xml:space="preserve"> 个单项合同</w:t>
            </w:r>
            <w:r>
              <w:rPr>
                <w:rFonts w:hint="eastAsia"/>
                <w:spacing w:val="-22"/>
                <w:highlight w:val="none"/>
                <w:lang w:eastAsia="zh-CN"/>
              </w:rPr>
              <w:t>额</w:t>
            </w:r>
            <w:r>
              <w:rPr>
                <w:rFonts w:hint="eastAsia"/>
                <w:spacing w:val="-22"/>
                <w:highlight w:val="none"/>
                <w:lang w:val="en-US" w:eastAsia="zh-CN"/>
              </w:rPr>
              <w:t>1400</w:t>
            </w:r>
            <w:r>
              <w:rPr>
                <w:spacing w:val="-18"/>
                <w:highlight w:val="none"/>
              </w:rPr>
              <w:t>万元</w:t>
            </w:r>
            <w:r>
              <w:rPr>
                <w:rFonts w:hint="eastAsia"/>
                <w:spacing w:val="-18"/>
                <w:highlight w:val="none"/>
                <w:lang w:val="en-US" w:eastAsia="zh-CN"/>
              </w:rPr>
              <w:t>或建筑面积3000平方米</w:t>
            </w:r>
            <w:r>
              <w:rPr>
                <w:spacing w:val="-18"/>
                <w:highlight w:val="none"/>
              </w:rPr>
              <w:t>及以上建筑工程或建筑工程设计施工一体化或建筑工程设计采购</w:t>
            </w:r>
            <w:r>
              <w:rPr>
                <w:spacing w:val="-23"/>
                <w:highlight w:val="none"/>
              </w:rPr>
              <w:t>施工一体化（EPC）的施工业绩得</w:t>
            </w:r>
            <w:r>
              <w:rPr>
                <w:spacing w:val="-52"/>
                <w:highlight w:val="none"/>
              </w:rPr>
              <w:t xml:space="preserve"> </w:t>
            </w:r>
            <w:r>
              <w:rPr>
                <w:rFonts w:hint="eastAsia"/>
                <w:spacing w:val="-23"/>
                <w:highlight w:val="none"/>
                <w:lang w:val="en-US" w:eastAsia="zh-CN"/>
              </w:rPr>
              <w:t>2分。</w:t>
            </w:r>
          </w:p>
          <w:p w14:paraId="29DA409A">
            <w:pPr>
              <w:pStyle w:val="25"/>
              <w:spacing w:before="2" w:line="239" w:lineRule="auto"/>
              <w:ind w:left="13" w:firstLine="5"/>
              <w:rPr>
                <w:highlight w:val="none"/>
              </w:rPr>
            </w:pPr>
            <w:r>
              <w:rPr>
                <w:spacing w:val="-23"/>
                <w:highlight w:val="none"/>
              </w:rPr>
              <w:t>注：(1)本项最高得 2 分。投标文件中须提供资料要求见技术标二评审</w:t>
            </w:r>
            <w:r>
              <w:rPr>
                <w:spacing w:val="-26"/>
                <w:highlight w:val="none"/>
              </w:rPr>
              <w:t>说明第</w:t>
            </w:r>
            <w:r>
              <w:rPr>
                <w:spacing w:val="-53"/>
                <w:highlight w:val="none"/>
              </w:rPr>
              <w:t xml:space="preserve"> </w:t>
            </w:r>
            <w:r>
              <w:rPr>
                <w:spacing w:val="-26"/>
                <w:highlight w:val="none"/>
              </w:rPr>
              <w:t>2</w:t>
            </w:r>
            <w:r>
              <w:rPr>
                <w:spacing w:val="-50"/>
                <w:highlight w:val="none"/>
              </w:rPr>
              <w:t xml:space="preserve"> </w:t>
            </w:r>
            <w:r>
              <w:rPr>
                <w:spacing w:val="-26"/>
                <w:highlight w:val="none"/>
              </w:rPr>
              <w:t>条。</w:t>
            </w:r>
          </w:p>
          <w:p w14:paraId="26315162">
            <w:pPr>
              <w:pStyle w:val="25"/>
              <w:spacing w:line="215" w:lineRule="auto"/>
              <w:ind w:left="44"/>
              <w:rPr>
                <w:highlight w:val="none"/>
              </w:rPr>
            </w:pPr>
            <w:r>
              <w:rPr>
                <w:spacing w:val="-23"/>
                <w:highlight w:val="none"/>
              </w:rPr>
              <w:t>(2)项目经理(建造师)业绩必须是在项目经理(建造师)岗位上的业绩。</w:t>
            </w:r>
          </w:p>
          <w:p w14:paraId="2E246D16">
            <w:pPr>
              <w:pStyle w:val="25"/>
              <w:spacing w:before="29" w:line="216" w:lineRule="auto"/>
              <w:ind w:left="44" w:leftChars="0"/>
              <w:rPr>
                <w:spacing w:val="-24"/>
                <w:highlight w:val="yellow"/>
              </w:rPr>
            </w:pPr>
            <w:r>
              <w:rPr>
                <w:spacing w:val="-24"/>
                <w:highlight w:val="none"/>
              </w:rPr>
              <w:t>(3)未提供证明材料不得分。</w:t>
            </w:r>
          </w:p>
        </w:tc>
        <w:tc>
          <w:tcPr>
            <w:tcW w:w="712" w:type="dxa"/>
            <w:vAlign w:val="top"/>
          </w:tcPr>
          <w:p w14:paraId="02104EC5">
            <w:pPr>
              <w:spacing w:line="306" w:lineRule="auto"/>
              <w:rPr>
                <w:rFonts w:ascii="Arial"/>
                <w:sz w:val="21"/>
                <w:highlight w:val="none"/>
              </w:rPr>
            </w:pPr>
          </w:p>
          <w:p w14:paraId="3F59D6BC">
            <w:pPr>
              <w:spacing w:line="307" w:lineRule="auto"/>
              <w:rPr>
                <w:rFonts w:ascii="Arial"/>
                <w:sz w:val="21"/>
                <w:highlight w:val="none"/>
              </w:rPr>
            </w:pPr>
          </w:p>
          <w:p w14:paraId="37BEBD59">
            <w:pPr>
              <w:spacing w:line="307" w:lineRule="auto"/>
              <w:rPr>
                <w:rFonts w:ascii="Arial"/>
                <w:sz w:val="21"/>
                <w:highlight w:val="none"/>
              </w:rPr>
            </w:pPr>
          </w:p>
          <w:p w14:paraId="63CB57D6">
            <w:pPr>
              <w:pStyle w:val="25"/>
              <w:spacing w:before="78" w:line="238" w:lineRule="auto"/>
              <w:ind w:left="309" w:leftChars="0"/>
              <w:rPr>
                <w:rFonts w:hint="eastAsia"/>
                <w:highlight w:val="yellow"/>
                <w:lang w:val="en-US" w:eastAsia="zh-CN"/>
              </w:rPr>
            </w:pPr>
            <w:r>
              <w:rPr>
                <w:highlight w:val="none"/>
              </w:rPr>
              <w:t>2</w:t>
            </w:r>
          </w:p>
        </w:tc>
      </w:tr>
      <w:tr w14:paraId="7B479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938" w:type="dxa"/>
            <w:tcBorders>
              <w:top w:val="nil"/>
              <w:bottom w:val="nil"/>
            </w:tcBorders>
            <w:vAlign w:val="top"/>
          </w:tcPr>
          <w:p w14:paraId="1FAAF175">
            <w:pPr>
              <w:rPr>
                <w:rFonts w:ascii="Arial"/>
                <w:sz w:val="21"/>
                <w:highlight w:val="none"/>
              </w:rPr>
            </w:pPr>
          </w:p>
        </w:tc>
        <w:tc>
          <w:tcPr>
            <w:tcW w:w="1329" w:type="dxa"/>
            <w:vAlign w:val="top"/>
          </w:tcPr>
          <w:p w14:paraId="38DF8C9D">
            <w:pPr>
              <w:spacing w:line="270" w:lineRule="auto"/>
              <w:rPr>
                <w:rFonts w:ascii="Arial"/>
                <w:sz w:val="21"/>
                <w:highlight w:val="none"/>
              </w:rPr>
            </w:pPr>
          </w:p>
          <w:p w14:paraId="51E762A5">
            <w:pPr>
              <w:spacing w:line="270" w:lineRule="auto"/>
              <w:rPr>
                <w:rFonts w:ascii="Arial"/>
                <w:sz w:val="21"/>
                <w:highlight w:val="none"/>
              </w:rPr>
            </w:pPr>
          </w:p>
          <w:p w14:paraId="4AA90FB3">
            <w:pPr>
              <w:spacing w:line="270" w:lineRule="auto"/>
              <w:rPr>
                <w:rFonts w:ascii="Arial"/>
                <w:sz w:val="21"/>
                <w:highlight w:val="none"/>
              </w:rPr>
            </w:pPr>
          </w:p>
          <w:p w14:paraId="0331949E">
            <w:pPr>
              <w:spacing w:line="270" w:lineRule="auto"/>
              <w:rPr>
                <w:rFonts w:ascii="Arial"/>
                <w:sz w:val="21"/>
                <w:highlight w:val="none"/>
              </w:rPr>
            </w:pPr>
          </w:p>
          <w:p w14:paraId="6DA1682F">
            <w:pPr>
              <w:pStyle w:val="25"/>
              <w:spacing w:before="78" w:line="219" w:lineRule="auto"/>
              <w:jc w:val="right"/>
              <w:rPr>
                <w:spacing w:val="-16"/>
                <w:highlight w:val="none"/>
              </w:rPr>
            </w:pPr>
            <w:r>
              <w:rPr>
                <w:spacing w:val="-28"/>
                <w:highlight w:val="none"/>
              </w:rPr>
              <w:t>施工企</w:t>
            </w:r>
            <w:r>
              <w:rPr>
                <w:spacing w:val="-27"/>
                <w:highlight w:val="none"/>
              </w:rPr>
              <w:t>业业</w:t>
            </w:r>
            <w:r>
              <w:rPr>
                <w:spacing w:val="-24"/>
                <w:highlight w:val="none"/>
              </w:rPr>
              <w:t>绩</w:t>
            </w:r>
          </w:p>
        </w:tc>
        <w:tc>
          <w:tcPr>
            <w:tcW w:w="6687" w:type="dxa"/>
            <w:vAlign w:val="top"/>
          </w:tcPr>
          <w:p w14:paraId="40BBDAC1">
            <w:pPr>
              <w:pStyle w:val="25"/>
              <w:spacing w:before="77" w:line="239" w:lineRule="auto"/>
              <w:ind w:left="1" w:firstLine="11"/>
              <w:jc w:val="both"/>
              <w:rPr>
                <w:highlight w:val="none"/>
              </w:rPr>
            </w:pPr>
            <w:r>
              <w:rPr>
                <w:spacing w:val="-26"/>
                <w:highlight w:val="none"/>
              </w:rPr>
              <w:t>投标人近</w:t>
            </w:r>
            <w:r>
              <w:rPr>
                <w:spacing w:val="-25"/>
                <w:highlight w:val="none"/>
              </w:rPr>
              <w:t>五年内</w:t>
            </w:r>
            <w:r>
              <w:rPr>
                <w:rFonts w:hint="eastAsia"/>
                <w:spacing w:val="-25"/>
                <w:highlight w:val="none"/>
                <w:lang w:val="en-US" w:eastAsia="zh-CN"/>
              </w:rPr>
              <w:t>每</w:t>
            </w:r>
            <w:r>
              <w:rPr>
                <w:spacing w:val="-25"/>
                <w:highlight w:val="none"/>
              </w:rPr>
              <w:t>完成过 1 个单项合同</w:t>
            </w:r>
            <w:r>
              <w:rPr>
                <w:rFonts w:hint="eastAsia"/>
                <w:spacing w:val="-25"/>
                <w:highlight w:val="none"/>
                <w:lang w:eastAsia="zh-CN"/>
              </w:rPr>
              <w:t>额</w:t>
            </w:r>
            <w:r>
              <w:rPr>
                <w:spacing w:val="-19"/>
                <w:highlight w:val="none"/>
              </w:rPr>
              <w:t xml:space="preserve"> </w:t>
            </w:r>
            <w:r>
              <w:rPr>
                <w:rFonts w:hint="eastAsia"/>
                <w:spacing w:val="-25"/>
                <w:highlight w:val="none"/>
                <w:lang w:val="en-US" w:eastAsia="zh-CN"/>
              </w:rPr>
              <w:t>14</w:t>
            </w:r>
            <w:r>
              <w:rPr>
                <w:spacing w:val="-25"/>
                <w:highlight w:val="none"/>
              </w:rPr>
              <w:t>00</w:t>
            </w:r>
            <w:r>
              <w:rPr>
                <w:spacing w:val="-23"/>
                <w:highlight w:val="none"/>
              </w:rPr>
              <w:t xml:space="preserve"> </w:t>
            </w:r>
            <w:r>
              <w:rPr>
                <w:spacing w:val="-25"/>
                <w:highlight w:val="none"/>
              </w:rPr>
              <w:t>万元</w:t>
            </w:r>
            <w:r>
              <w:rPr>
                <w:rFonts w:hint="eastAsia"/>
                <w:spacing w:val="-25"/>
                <w:highlight w:val="none"/>
                <w:lang w:val="en-US" w:eastAsia="zh-CN"/>
              </w:rPr>
              <w:t>或建筑面积3000平方米</w:t>
            </w:r>
            <w:r>
              <w:rPr>
                <w:spacing w:val="-25"/>
                <w:highlight w:val="none"/>
              </w:rPr>
              <w:t>及以上建</w:t>
            </w:r>
            <w:r>
              <w:rPr>
                <w:spacing w:val="-21"/>
                <w:highlight w:val="none"/>
              </w:rPr>
              <w:t>筑</w:t>
            </w:r>
            <w:r>
              <w:rPr>
                <w:spacing w:val="-2"/>
                <w:highlight w:val="none"/>
              </w:rPr>
              <w:t>工程或建筑工程设计施工一体化或建筑工程设计采购施工一体化</w:t>
            </w:r>
            <w:r>
              <w:rPr>
                <w:spacing w:val="-22"/>
                <w:highlight w:val="none"/>
              </w:rPr>
              <w:t>（EPC</w:t>
            </w:r>
            <w:r>
              <w:rPr>
                <w:spacing w:val="-23"/>
                <w:highlight w:val="none"/>
              </w:rPr>
              <w:t>））</w:t>
            </w:r>
            <w:r>
              <w:rPr>
                <w:spacing w:val="-22"/>
                <w:highlight w:val="none"/>
              </w:rPr>
              <w:t>施工业绩得</w:t>
            </w:r>
            <w:r>
              <w:rPr>
                <w:rFonts w:hint="eastAsia"/>
                <w:spacing w:val="-43"/>
                <w:highlight w:val="none"/>
                <w:lang w:val="en-US" w:eastAsia="zh-CN"/>
              </w:rPr>
              <w:t>1</w:t>
            </w:r>
            <w:r>
              <w:rPr>
                <w:spacing w:val="-52"/>
                <w:highlight w:val="none"/>
              </w:rPr>
              <w:t xml:space="preserve"> </w:t>
            </w:r>
            <w:r>
              <w:rPr>
                <w:spacing w:val="-22"/>
                <w:highlight w:val="none"/>
              </w:rPr>
              <w:t>分</w:t>
            </w:r>
            <w:r>
              <w:rPr>
                <w:rFonts w:hint="eastAsia"/>
                <w:spacing w:val="-22"/>
                <w:highlight w:val="none"/>
                <w:lang w:eastAsia="zh-CN"/>
              </w:rPr>
              <w:t>，</w:t>
            </w:r>
            <w:r>
              <w:rPr>
                <w:rFonts w:hint="eastAsia"/>
                <w:spacing w:val="-22"/>
                <w:highlight w:val="none"/>
                <w:lang w:val="en-US" w:eastAsia="zh-CN"/>
              </w:rPr>
              <w:t>满分2分</w:t>
            </w:r>
            <w:r>
              <w:rPr>
                <w:spacing w:val="-22"/>
                <w:highlight w:val="none"/>
              </w:rPr>
              <w:t>。</w:t>
            </w:r>
          </w:p>
          <w:p w14:paraId="1B38C477">
            <w:pPr>
              <w:pStyle w:val="25"/>
              <w:spacing w:line="239" w:lineRule="auto"/>
              <w:ind w:left="13" w:firstLine="5"/>
              <w:rPr>
                <w:highlight w:val="none"/>
              </w:rPr>
            </w:pPr>
            <w:r>
              <w:rPr>
                <w:spacing w:val="-23"/>
                <w:highlight w:val="none"/>
              </w:rPr>
              <w:t>注：(1)本项最高得 2 分。投标文件中须提供资料要求见技术标二评审</w:t>
            </w:r>
            <w:r>
              <w:rPr>
                <w:spacing w:val="-26"/>
                <w:highlight w:val="none"/>
              </w:rPr>
              <w:t>说明第</w:t>
            </w:r>
            <w:r>
              <w:rPr>
                <w:spacing w:val="-53"/>
                <w:highlight w:val="none"/>
              </w:rPr>
              <w:t xml:space="preserve"> </w:t>
            </w:r>
            <w:r>
              <w:rPr>
                <w:spacing w:val="-26"/>
                <w:highlight w:val="none"/>
              </w:rPr>
              <w:t>2</w:t>
            </w:r>
            <w:r>
              <w:rPr>
                <w:spacing w:val="-50"/>
                <w:highlight w:val="none"/>
              </w:rPr>
              <w:t xml:space="preserve"> </w:t>
            </w:r>
            <w:r>
              <w:rPr>
                <w:spacing w:val="-26"/>
                <w:highlight w:val="none"/>
              </w:rPr>
              <w:t>条。</w:t>
            </w:r>
          </w:p>
          <w:p w14:paraId="7FBD1A91">
            <w:pPr>
              <w:pStyle w:val="25"/>
              <w:spacing w:line="216" w:lineRule="auto"/>
              <w:ind w:left="44"/>
              <w:rPr>
                <w:highlight w:val="none"/>
              </w:rPr>
            </w:pPr>
            <w:r>
              <w:rPr>
                <w:spacing w:val="-24"/>
                <w:highlight w:val="none"/>
              </w:rPr>
              <w:t>(2)联合体投标的，本条由联合体中承担</w:t>
            </w:r>
            <w:r>
              <w:rPr>
                <w:spacing w:val="-25"/>
                <w:highlight w:val="none"/>
              </w:rPr>
              <w:t>施工任务的单位提供。</w:t>
            </w:r>
          </w:p>
          <w:p w14:paraId="10CA80AB">
            <w:pPr>
              <w:pStyle w:val="25"/>
              <w:spacing w:before="30" w:line="218" w:lineRule="auto"/>
              <w:ind w:left="44"/>
              <w:rPr>
                <w:highlight w:val="none"/>
              </w:rPr>
            </w:pPr>
            <w:r>
              <w:rPr>
                <w:spacing w:val="-24"/>
                <w:highlight w:val="none"/>
              </w:rPr>
              <w:t>(3)项目经理(建造师)业绩和施工企业业绩可为同一业绩。</w:t>
            </w:r>
          </w:p>
          <w:p w14:paraId="11B25D52">
            <w:pPr>
              <w:pStyle w:val="25"/>
              <w:spacing w:before="29" w:line="216" w:lineRule="auto"/>
              <w:ind w:left="44" w:leftChars="0"/>
              <w:rPr>
                <w:spacing w:val="-24"/>
                <w:highlight w:val="none"/>
              </w:rPr>
            </w:pPr>
            <w:r>
              <w:rPr>
                <w:spacing w:val="-24"/>
                <w:highlight w:val="none"/>
              </w:rPr>
              <w:t>(4)未提供证明材料不得分。</w:t>
            </w:r>
          </w:p>
        </w:tc>
        <w:tc>
          <w:tcPr>
            <w:tcW w:w="712" w:type="dxa"/>
            <w:vAlign w:val="top"/>
          </w:tcPr>
          <w:p w14:paraId="714CE42B">
            <w:pPr>
              <w:spacing w:line="270" w:lineRule="auto"/>
              <w:rPr>
                <w:rFonts w:ascii="Arial"/>
                <w:sz w:val="21"/>
                <w:highlight w:val="none"/>
              </w:rPr>
            </w:pPr>
          </w:p>
          <w:p w14:paraId="2FAB7B06">
            <w:pPr>
              <w:spacing w:line="270" w:lineRule="auto"/>
              <w:rPr>
                <w:rFonts w:ascii="Arial"/>
                <w:sz w:val="21"/>
                <w:highlight w:val="none"/>
              </w:rPr>
            </w:pPr>
          </w:p>
          <w:p w14:paraId="6039156D">
            <w:pPr>
              <w:spacing w:line="270" w:lineRule="auto"/>
              <w:rPr>
                <w:rFonts w:ascii="Arial"/>
                <w:sz w:val="21"/>
                <w:highlight w:val="none"/>
              </w:rPr>
            </w:pPr>
          </w:p>
          <w:p w14:paraId="3CF0534F">
            <w:pPr>
              <w:spacing w:line="271" w:lineRule="auto"/>
              <w:rPr>
                <w:rFonts w:ascii="Arial"/>
                <w:sz w:val="21"/>
                <w:highlight w:val="none"/>
              </w:rPr>
            </w:pPr>
          </w:p>
          <w:p w14:paraId="2DE19B9A">
            <w:pPr>
              <w:pStyle w:val="25"/>
              <w:spacing w:before="78" w:line="238" w:lineRule="auto"/>
              <w:ind w:left="309" w:leftChars="0"/>
              <w:rPr>
                <w:highlight w:val="none"/>
              </w:rPr>
            </w:pPr>
            <w:r>
              <w:rPr>
                <w:rFonts w:hint="eastAsia"/>
                <w:highlight w:val="none"/>
                <w:lang w:val="en-US" w:eastAsia="zh-CN"/>
              </w:rPr>
              <w:t>2</w:t>
            </w:r>
          </w:p>
        </w:tc>
      </w:tr>
      <w:tr w14:paraId="1786A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938" w:type="dxa"/>
            <w:tcBorders>
              <w:top w:val="nil"/>
            </w:tcBorders>
            <w:vAlign w:val="top"/>
          </w:tcPr>
          <w:p w14:paraId="248DD876">
            <w:pPr>
              <w:rPr>
                <w:rFonts w:ascii="Arial"/>
                <w:sz w:val="21"/>
                <w:highlight w:val="none"/>
              </w:rPr>
            </w:pPr>
          </w:p>
        </w:tc>
        <w:tc>
          <w:tcPr>
            <w:tcW w:w="1329" w:type="dxa"/>
            <w:vAlign w:val="top"/>
          </w:tcPr>
          <w:p w14:paraId="490C9D71">
            <w:pPr>
              <w:pStyle w:val="25"/>
              <w:spacing w:before="28" w:line="216" w:lineRule="auto"/>
              <w:ind w:left="1"/>
              <w:rPr>
                <w:rFonts w:hint="eastAsia"/>
                <w:spacing w:val="-22"/>
                <w:highlight w:val="none"/>
              </w:rPr>
            </w:pPr>
            <w:r>
              <w:rPr>
                <w:rFonts w:hint="eastAsia"/>
                <w:spacing w:val="-22"/>
                <w:highlight w:val="none"/>
              </w:rPr>
              <w:t> </w:t>
            </w:r>
          </w:p>
          <w:p w14:paraId="2F9948BC">
            <w:pPr>
              <w:pStyle w:val="25"/>
              <w:spacing w:before="28" w:line="216" w:lineRule="auto"/>
              <w:ind w:left="1"/>
              <w:rPr>
                <w:rFonts w:hint="eastAsia"/>
                <w:spacing w:val="-22"/>
                <w:highlight w:val="none"/>
              </w:rPr>
            </w:pPr>
            <w:r>
              <w:rPr>
                <w:rFonts w:hint="eastAsia"/>
                <w:spacing w:val="-22"/>
                <w:highlight w:val="none"/>
              </w:rPr>
              <w:t> </w:t>
            </w:r>
          </w:p>
          <w:p w14:paraId="77CC8934">
            <w:pPr>
              <w:pStyle w:val="25"/>
              <w:spacing w:before="28" w:line="216" w:lineRule="auto"/>
              <w:ind w:left="1"/>
              <w:rPr>
                <w:rFonts w:hint="eastAsia"/>
                <w:spacing w:val="-22"/>
                <w:highlight w:val="none"/>
              </w:rPr>
            </w:pPr>
            <w:r>
              <w:rPr>
                <w:rFonts w:hint="eastAsia"/>
                <w:spacing w:val="-22"/>
                <w:highlight w:val="none"/>
              </w:rPr>
              <w:t> </w:t>
            </w:r>
          </w:p>
          <w:p w14:paraId="6F0E3EF9">
            <w:pPr>
              <w:pStyle w:val="25"/>
              <w:spacing w:before="28" w:line="216" w:lineRule="auto"/>
              <w:ind w:left="1"/>
              <w:rPr>
                <w:rFonts w:hint="eastAsia"/>
                <w:spacing w:val="-22"/>
                <w:highlight w:val="none"/>
                <w:lang w:val="en-US" w:eastAsia="zh-CN"/>
              </w:rPr>
            </w:pPr>
            <w:r>
              <w:rPr>
                <w:rFonts w:hint="eastAsia"/>
                <w:spacing w:val="-22"/>
                <w:highlight w:val="none"/>
              </w:rPr>
              <w:t>标后履约</w:t>
            </w:r>
          </w:p>
        </w:tc>
        <w:tc>
          <w:tcPr>
            <w:tcW w:w="6687" w:type="dxa"/>
            <w:vAlign w:val="top"/>
          </w:tcPr>
          <w:p w14:paraId="3420D658">
            <w:pPr>
              <w:pStyle w:val="25"/>
              <w:spacing w:before="28" w:line="216" w:lineRule="auto"/>
              <w:ind w:left="1"/>
              <w:rPr>
                <w:rFonts w:hint="eastAsia"/>
                <w:spacing w:val="-22"/>
                <w:highlight w:val="none"/>
              </w:rPr>
            </w:pPr>
            <w:r>
              <w:rPr>
                <w:rFonts w:hint="eastAsia"/>
                <w:spacing w:val="-22"/>
                <w:highlight w:val="none"/>
              </w:rPr>
              <w:t>评标办法中采用总评分后实施倒扣分制，施工企业标后履约信息评价等级为“优秀”，评标后总分扣 0 分；等级为“良好”，评标后总分扣 0.5 分；等级为“一般”，评标后总分扣 1 分；等级为“差”，评标后总分扣 2 分；暂未被列入“霍邱县工程项目施工企业标后履约评价表”的，在本项评标后总分扣 0 分。评标委员会依据招标文件和网上披露时间为准（以202</w:t>
            </w:r>
            <w:r>
              <w:rPr>
                <w:rFonts w:hint="eastAsia"/>
                <w:spacing w:val="-22"/>
                <w:highlight w:val="none"/>
                <w:lang w:val="en-US" w:eastAsia="zh-CN"/>
              </w:rPr>
              <w:t>3</w:t>
            </w:r>
            <w:r>
              <w:rPr>
                <w:rFonts w:hint="eastAsia"/>
                <w:spacing w:val="-22"/>
                <w:highlight w:val="none"/>
              </w:rPr>
              <w:t>年</w:t>
            </w:r>
            <w:r>
              <w:rPr>
                <w:rFonts w:hint="eastAsia"/>
                <w:spacing w:val="-22"/>
                <w:highlight w:val="none"/>
                <w:lang w:val="en-US" w:eastAsia="zh-CN"/>
              </w:rPr>
              <w:t>12</w:t>
            </w:r>
            <w:r>
              <w:rPr>
                <w:rFonts w:hint="eastAsia"/>
                <w:spacing w:val="-22"/>
                <w:highlight w:val="none"/>
              </w:rPr>
              <w:t>月份以来发布的标后履约信息评价为准）的评价，以查询结果进行评审。</w:t>
            </w:r>
          </w:p>
          <w:p w14:paraId="5E610717">
            <w:pPr>
              <w:pStyle w:val="25"/>
              <w:spacing w:before="28" w:line="216" w:lineRule="auto"/>
              <w:ind w:left="1"/>
              <w:rPr>
                <w:rFonts w:hint="eastAsia"/>
                <w:spacing w:val="-22"/>
                <w:highlight w:val="none"/>
              </w:rPr>
            </w:pPr>
            <w:r>
              <w:rPr>
                <w:rFonts w:hint="eastAsia"/>
                <w:spacing w:val="-22"/>
                <w:highlight w:val="none"/>
              </w:rPr>
              <w:t>查询网站《六安市公共资源交易平台电子服务系统》主页面—平台公告内“霍邱县工程项目施工企业标后履约评价表”，评标委员会依据上述要求对投标人标后履约评价结果复核后截图打印、签字确认。</w:t>
            </w:r>
          </w:p>
          <w:p w14:paraId="6A3BDF6C">
            <w:pPr>
              <w:pStyle w:val="25"/>
              <w:spacing w:before="28" w:line="216" w:lineRule="auto"/>
              <w:ind w:left="1"/>
              <w:rPr>
                <w:rFonts w:hint="eastAsia"/>
                <w:spacing w:val="-22"/>
                <w:highlight w:val="none"/>
              </w:rPr>
            </w:pPr>
            <w:r>
              <w:rPr>
                <w:rFonts w:hint="eastAsia"/>
                <w:spacing w:val="-22"/>
                <w:highlight w:val="none"/>
              </w:rPr>
              <w:t>注：1.同一公司不同项目的等级以等级最低标准扣分，同一项目以最新公布的结果为准；</w:t>
            </w:r>
          </w:p>
          <w:p w14:paraId="1A30C623">
            <w:pPr>
              <w:pStyle w:val="25"/>
              <w:spacing w:before="28" w:line="216" w:lineRule="auto"/>
              <w:ind w:left="1"/>
              <w:rPr>
                <w:rFonts w:hint="eastAsia"/>
                <w:spacing w:val="-22"/>
                <w:highlight w:val="none"/>
              </w:rPr>
            </w:pPr>
            <w:r>
              <w:rPr>
                <w:rFonts w:hint="eastAsia"/>
                <w:spacing w:val="-22"/>
                <w:highlight w:val="none"/>
              </w:rPr>
              <w:t>2 .联合体投标的以联合体中评价等级最低的一方按照以上标准扣分。</w:t>
            </w:r>
          </w:p>
        </w:tc>
        <w:tc>
          <w:tcPr>
            <w:tcW w:w="712" w:type="dxa"/>
            <w:vAlign w:val="center"/>
          </w:tcPr>
          <w:p w14:paraId="5A93484D">
            <w:pPr>
              <w:pStyle w:val="25"/>
              <w:spacing w:before="28" w:line="216" w:lineRule="auto"/>
              <w:ind w:left="1"/>
              <w:rPr>
                <w:rFonts w:hint="eastAsia"/>
                <w:spacing w:val="-22"/>
                <w:highlight w:val="none"/>
                <w:lang w:val="en-US" w:eastAsia="zh-CN"/>
              </w:rPr>
            </w:pPr>
            <w:r>
              <w:rPr>
                <w:rFonts w:hint="eastAsia"/>
                <w:spacing w:val="-22"/>
                <w:highlight w:val="none"/>
                <w:lang w:val="en-US" w:eastAsia="zh-CN"/>
              </w:rPr>
              <w:t>扣分</w:t>
            </w:r>
          </w:p>
        </w:tc>
      </w:tr>
    </w:tbl>
    <w:p w14:paraId="0A223660">
      <w:pPr>
        <w:pStyle w:val="3"/>
        <w:rPr>
          <w:highlight w:val="none"/>
        </w:rPr>
      </w:pPr>
    </w:p>
    <w:p w14:paraId="534C19B5">
      <w:pPr>
        <w:pStyle w:val="3"/>
        <w:spacing w:line="361" w:lineRule="auto"/>
        <w:rPr>
          <w:highlight w:val="none"/>
        </w:rPr>
      </w:pPr>
    </w:p>
    <w:p w14:paraId="1221FDAA">
      <w:pPr>
        <w:spacing w:before="78" w:line="220" w:lineRule="auto"/>
        <w:rPr>
          <w:rFonts w:ascii="宋体" w:hAnsi="宋体" w:eastAsia="宋体" w:cs="宋体"/>
          <w:sz w:val="24"/>
          <w:szCs w:val="24"/>
          <w:highlight w:val="none"/>
        </w:rPr>
      </w:pPr>
      <w:r>
        <w:rPr>
          <w:rFonts w:ascii="宋体" w:hAnsi="宋体" w:eastAsia="宋体" w:cs="宋体"/>
          <w:spacing w:val="-7"/>
          <w:sz w:val="24"/>
          <w:szCs w:val="24"/>
          <w:highlight w:val="none"/>
        </w:rPr>
        <w:t>技术标二评审说明：</w:t>
      </w:r>
    </w:p>
    <w:p w14:paraId="685BBAE0">
      <w:pPr>
        <w:numPr>
          <w:ilvl w:val="0"/>
          <w:numId w:val="0"/>
        </w:numPr>
        <w:spacing w:before="77" w:line="267" w:lineRule="auto"/>
        <w:rPr>
          <w:rFonts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ascii="宋体" w:hAnsi="宋体" w:eastAsia="宋体" w:cs="宋体"/>
          <w:spacing w:val="2"/>
          <w:sz w:val="24"/>
          <w:szCs w:val="24"/>
          <w:highlight w:val="none"/>
        </w:rPr>
        <w:t>技术标二的评审，由评委对照投标人编入到投标文件中的信息原件扫描</w:t>
      </w:r>
      <w:r>
        <w:rPr>
          <w:rFonts w:ascii="宋体" w:hAnsi="宋体" w:eastAsia="宋体" w:cs="宋体"/>
          <w:spacing w:val="1"/>
          <w:sz w:val="24"/>
          <w:szCs w:val="24"/>
          <w:highlight w:val="none"/>
        </w:rPr>
        <w:t>件（其</w:t>
      </w:r>
      <w:r>
        <w:rPr>
          <w:rFonts w:ascii="宋体" w:hAnsi="宋体" w:eastAsia="宋体" w:cs="宋体"/>
          <w:spacing w:val="-1"/>
          <w:sz w:val="24"/>
          <w:szCs w:val="24"/>
          <w:highlight w:val="none"/>
        </w:rPr>
        <w:t>中：一级建造师电子注册证书的评审应按《住房和城乡建设部办公厅关于全面实行一级</w:t>
      </w:r>
      <w:r>
        <w:rPr>
          <w:rFonts w:ascii="宋体" w:hAnsi="宋体" w:eastAsia="宋体" w:cs="宋体"/>
          <w:spacing w:val="-2"/>
          <w:sz w:val="24"/>
          <w:szCs w:val="24"/>
          <w:highlight w:val="none"/>
        </w:rPr>
        <w:t>建造师电子注册证书的通知》</w:t>
      </w:r>
      <w:r>
        <w:rPr>
          <w:rFonts w:ascii="宋体" w:hAnsi="宋体" w:eastAsia="宋体" w:cs="宋体"/>
          <w:spacing w:val="-68"/>
          <w:sz w:val="24"/>
          <w:szCs w:val="24"/>
          <w:highlight w:val="none"/>
        </w:rPr>
        <w:t xml:space="preserve"> </w:t>
      </w:r>
      <w:r>
        <w:rPr>
          <w:rFonts w:ascii="宋体" w:hAnsi="宋体" w:eastAsia="宋体" w:cs="宋体"/>
          <w:spacing w:val="-2"/>
          <w:sz w:val="24"/>
          <w:szCs w:val="24"/>
          <w:highlight w:val="none"/>
        </w:rPr>
        <w:t>(建办市〔2021〕40</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号)执行，具</w:t>
      </w:r>
      <w:r>
        <w:rPr>
          <w:rFonts w:ascii="宋体" w:hAnsi="宋体" w:eastAsia="宋体" w:cs="宋体"/>
          <w:spacing w:val="-3"/>
          <w:sz w:val="24"/>
          <w:szCs w:val="24"/>
          <w:highlight w:val="none"/>
        </w:rPr>
        <w:t>体见技术标二评审说明）</w:t>
      </w:r>
      <w:r>
        <w:rPr>
          <w:rFonts w:ascii="宋体" w:hAnsi="宋体" w:eastAsia="宋体" w:cs="宋体"/>
          <w:spacing w:val="-1"/>
          <w:sz w:val="24"/>
          <w:szCs w:val="24"/>
          <w:highlight w:val="none"/>
        </w:rPr>
        <w:t>按照程序核对后，对照得分标准确定相应的分值。严禁采取分人主评后由其他评委抄袭</w:t>
      </w:r>
      <w:r>
        <w:rPr>
          <w:rFonts w:ascii="宋体" w:hAnsi="宋体" w:eastAsia="宋体" w:cs="宋体"/>
          <w:spacing w:val="-5"/>
          <w:sz w:val="24"/>
          <w:szCs w:val="24"/>
          <w:highlight w:val="none"/>
        </w:rPr>
        <w:t>分数或一人主评其他附和签名的方式评分。出现</w:t>
      </w:r>
      <w:r>
        <w:rPr>
          <w:rFonts w:ascii="宋体" w:hAnsi="宋体" w:eastAsia="宋体" w:cs="宋体"/>
          <w:spacing w:val="-6"/>
          <w:sz w:val="24"/>
          <w:szCs w:val="24"/>
          <w:highlight w:val="none"/>
        </w:rPr>
        <w:t>违反前述规定评标的，一律由现场监督</w:t>
      </w:r>
      <w:r>
        <w:rPr>
          <w:rFonts w:ascii="宋体" w:hAnsi="宋体" w:eastAsia="宋体" w:cs="宋体"/>
          <w:spacing w:val="-2"/>
          <w:sz w:val="24"/>
          <w:szCs w:val="24"/>
          <w:highlight w:val="none"/>
        </w:rPr>
        <w:t>人员对评委记不良行为记录一次。</w:t>
      </w:r>
    </w:p>
    <w:p w14:paraId="19F03C32">
      <w:pPr>
        <w:numPr>
          <w:ilvl w:val="0"/>
          <w:numId w:val="0"/>
        </w:numPr>
        <w:spacing w:before="77" w:line="267" w:lineRule="auto"/>
        <w:rPr>
          <w:rFonts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2、业绩要求：</w:t>
      </w:r>
    </w:p>
    <w:p w14:paraId="4CE1272F">
      <w:pPr>
        <w:keepNext w:val="0"/>
        <w:keepLines w:val="0"/>
        <w:widowControl/>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2.1上述评分表要求的设计业绩，业绩服务范围须包括施工图设计，投标文件中须同时提供合同关键页、施工图图审合格证明材料的原件扫描件。证明材料中须体现“时间、项目类型、工程费用金额、设计负责人姓名”等关键评审因素以施工图图审合格证明材料为准；若施工图图审合格证明材料无法反映项目类型、工程费用金额等评审因素的，以合同关键页所反映的关键评审因素为准；若合同关键页、施工图图审合格证明材料均无法体现项目类型、具体金额等评审因素的，可提供业主（合同甲方）证明材料原件扫描件进行证明。</w:t>
      </w:r>
    </w:p>
    <w:p w14:paraId="14CC08FC">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2.2 上述评分表要求的项目经理业绩，投标文件中应提供下列勾选的任一类别的 </w:t>
      </w:r>
    </w:p>
    <w:p w14:paraId="2E62C5CE">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业绩证明材料： </w:t>
      </w:r>
    </w:p>
    <w:p w14:paraId="45EC71FB">
      <w:pPr>
        <w:keepNext w:val="0"/>
        <w:keepLines w:val="0"/>
        <w:widowControl/>
        <w:suppressLineNumbers w:val="0"/>
        <w:jc w:val="left"/>
        <w:rPr>
          <w:highlight w:val="none"/>
        </w:rPr>
      </w:pPr>
      <w:r>
        <w:rPr>
          <w:rFonts w:ascii="Wingdings 2" w:hAnsi="Wingdings 2" w:eastAsia="Wingdings 2" w:cs="Wingdings 2"/>
          <w:b/>
          <w:bCs/>
          <w:snapToGrid w:val="0"/>
          <w:color w:val="000000"/>
          <w:kern w:val="0"/>
          <w:sz w:val="24"/>
          <w:szCs w:val="24"/>
          <w:highlight w:val="none"/>
          <w:lang w:val="en-US" w:eastAsia="zh-CN" w:bidi="ar"/>
        </w:rPr>
        <w:sym w:font="Wingdings 2" w:char="00A3"/>
      </w:r>
      <w:r>
        <w:rPr>
          <w:rFonts w:hint="eastAsia" w:ascii="宋体" w:hAnsi="宋体" w:eastAsia="宋体" w:cs="宋体"/>
          <w:b/>
          <w:bCs/>
          <w:snapToGrid w:val="0"/>
          <w:color w:val="000000"/>
          <w:kern w:val="0"/>
          <w:sz w:val="24"/>
          <w:szCs w:val="24"/>
          <w:highlight w:val="none"/>
          <w:lang w:val="en-US" w:eastAsia="zh-CN" w:bidi="ar"/>
        </w:rPr>
        <w:t xml:space="preserve">第一类 </w:t>
      </w:r>
    </w:p>
    <w:p w14:paraId="65277AB8">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投标文件中须同时提供以下①、②、③资料原件扫描件，否则，该项目业绩评标</w:t>
      </w:r>
      <w:r>
        <w:rPr>
          <w:rFonts w:ascii="仿宋" w:hAnsi="仿宋" w:eastAsia="仿宋" w:cs="仿宋"/>
          <w:snapToGrid w:val="0"/>
          <w:color w:val="000000"/>
          <w:kern w:val="0"/>
          <w:sz w:val="18"/>
          <w:szCs w:val="18"/>
          <w:highlight w:val="none"/>
          <w:lang w:val="en-US" w:eastAsia="zh-CN" w:bidi="ar"/>
        </w:rPr>
        <w:t xml:space="preserve">49 </w:t>
      </w:r>
    </w:p>
    <w:p w14:paraId="76454F5C">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委员会不予认可。 </w:t>
      </w:r>
    </w:p>
    <w:p w14:paraId="181B5D2D">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①合同协议书； </w:t>
      </w:r>
    </w:p>
    <w:p w14:paraId="0FB6F8FE">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②竣工验收证明材料：竣工验收报告或竣工验收备案表或行政主管部门颁发的竣 </w:t>
      </w:r>
    </w:p>
    <w:p w14:paraId="07BB1E67">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工验收证明材料或至少有建设单位、设计单位、监理单位、施工单位四方参与竣工验 </w:t>
      </w:r>
    </w:p>
    <w:p w14:paraId="6CC10A13">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收并盖章的竣工验收证明材料。时间以竣工时间为准（竣工时间以竣工验收建设单位 </w:t>
      </w:r>
    </w:p>
    <w:p w14:paraId="2A773AF4">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签章落款时间为准）。 </w:t>
      </w:r>
    </w:p>
    <w:p w14:paraId="223BE67E">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③住房和城乡建设主管部门网站公布的施工许可证办理查询截图，或住房和城乡 </w:t>
      </w:r>
    </w:p>
    <w:p w14:paraId="1FA124E8">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建设主管部门盖章的施工许可证（彩色扫描版），无法提供以上材料的，应当提供住 </w:t>
      </w:r>
    </w:p>
    <w:p w14:paraId="42356C8F">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房和城乡建设主管部门的证明材料。 </w:t>
      </w:r>
    </w:p>
    <w:p w14:paraId="66F20CCC">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如投标人提供的上述业绩证明材料未能完整或充分反映评审因素（如合同总金 </w:t>
      </w:r>
    </w:p>
    <w:p w14:paraId="0F93B7C3">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额、业绩规模、合同内容、项目经理（建造师）姓名等关键评审要素）的，应另附合 </w:t>
      </w:r>
    </w:p>
    <w:p w14:paraId="42B4C352">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同发包方出具的证明材料（须加盖合同发包方单位公章）予以明确说明，否则评标委 </w:t>
      </w:r>
    </w:p>
    <w:p w14:paraId="0299AC6C">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员会不予认可。联合体投标的，项目经理（建造师）业绩由联合体中承担建筑施工任 </w:t>
      </w:r>
    </w:p>
    <w:p w14:paraId="102A831F">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务的单位提供。 </w:t>
      </w:r>
    </w:p>
    <w:p w14:paraId="1888C6D6">
      <w:pPr>
        <w:keepNext w:val="0"/>
        <w:keepLines w:val="0"/>
        <w:widowControl/>
        <w:suppressLineNumbers w:val="0"/>
        <w:jc w:val="left"/>
        <w:rPr>
          <w:highlight w:val="none"/>
        </w:rPr>
      </w:pPr>
      <w:r>
        <w:rPr>
          <w:rFonts w:hint="default" w:ascii="Wingdings 2" w:hAnsi="Wingdings 2" w:eastAsia="Wingdings 2" w:cs="Wingdings 2"/>
          <w:b/>
          <w:bCs/>
          <w:snapToGrid w:val="0"/>
          <w:color w:val="000000"/>
          <w:kern w:val="0"/>
          <w:sz w:val="24"/>
          <w:szCs w:val="24"/>
          <w:highlight w:val="none"/>
          <w:lang w:val="en-US" w:eastAsia="zh-CN" w:bidi="ar"/>
        </w:rPr>
        <w:sym w:font="Wingdings 2" w:char="0052"/>
      </w:r>
      <w:r>
        <w:rPr>
          <w:rFonts w:hint="default" w:ascii="Wingdings 2" w:hAnsi="Wingdings 2" w:eastAsia="Wingdings 2" w:cs="Wingdings 2"/>
          <w:b/>
          <w:bCs/>
          <w:snapToGrid w:val="0"/>
          <w:color w:val="000000"/>
          <w:kern w:val="0"/>
          <w:sz w:val="24"/>
          <w:szCs w:val="24"/>
          <w:highlight w:val="none"/>
          <w:lang w:val="en-US" w:eastAsia="zh-CN" w:bidi="ar"/>
        </w:rPr>
        <w:t xml:space="preserve"> </w:t>
      </w:r>
      <w:r>
        <w:rPr>
          <w:rFonts w:hint="eastAsia" w:ascii="宋体" w:hAnsi="宋体" w:eastAsia="宋体" w:cs="宋体"/>
          <w:b/>
          <w:bCs/>
          <w:snapToGrid w:val="0"/>
          <w:color w:val="000000"/>
          <w:kern w:val="0"/>
          <w:sz w:val="24"/>
          <w:szCs w:val="24"/>
          <w:highlight w:val="none"/>
          <w:lang w:val="en-US" w:eastAsia="zh-CN" w:bidi="ar"/>
        </w:rPr>
        <w:t xml:space="preserve">第二类 </w:t>
      </w:r>
    </w:p>
    <w:p w14:paraId="4B5454CC">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投标文件中须同时提供以下①和②资料原件扫描件，否则，该项目业绩评标委员 </w:t>
      </w:r>
    </w:p>
    <w:p w14:paraId="2F98A644">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会不予认可。 </w:t>
      </w:r>
    </w:p>
    <w:p w14:paraId="04A2F7E5">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①合同协议书； </w:t>
      </w:r>
    </w:p>
    <w:p w14:paraId="48E7255F">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②竣工验收证明材料：竣工验收报告或竣工验收备案表或行政主管部门颁发的竣 </w:t>
      </w:r>
    </w:p>
    <w:p w14:paraId="5E621404">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工验收证明材料或至少有建设单位、设计单位、监理单位、施工单位四方参与竣工验 </w:t>
      </w:r>
    </w:p>
    <w:p w14:paraId="0B5F2C8D">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 xml:space="preserve">收并盖章的竣工验收证明材料。竣工时间以竣工验收建设单位签章落款时间为准。 </w:t>
      </w:r>
    </w:p>
    <w:p w14:paraId="3BF5E390">
      <w:pPr>
        <w:keepNext w:val="0"/>
        <w:keepLines w:val="0"/>
        <w:widowControl/>
        <w:suppressLineNumbers w:val="0"/>
        <w:jc w:val="left"/>
        <w:rPr>
          <w:highlight w:val="none"/>
        </w:rPr>
      </w:pPr>
      <w:r>
        <w:rPr>
          <w:rFonts w:hint="eastAsia" w:ascii="宋体" w:hAnsi="宋体" w:eastAsia="宋体" w:cs="宋体"/>
          <w:snapToGrid w:val="0"/>
          <w:color w:val="000000"/>
          <w:kern w:val="0"/>
          <w:sz w:val="24"/>
          <w:szCs w:val="24"/>
          <w:highlight w:val="none"/>
          <w:lang w:val="en-US" w:eastAsia="zh-CN" w:bidi="ar"/>
        </w:rPr>
        <w:t>如投标人提供的上述业绩证明材料未能完整或充分反映评审因素【如合同总金额、业绩规模、合同内容、项目经理（建造师）姓名等关键评审要素】的，应另附合同发包方出具的证明材料（须加盖合同发包方单位公章）予以明确说明，否则评标委员会不予认可。</w:t>
      </w:r>
    </w:p>
    <w:p w14:paraId="55F6D028">
      <w:pPr>
        <w:spacing w:before="2" w:line="278" w:lineRule="auto"/>
        <w:ind w:right="57"/>
        <w:rPr>
          <w:rFonts w:ascii="宋体" w:hAnsi="宋体" w:eastAsia="宋体" w:cs="宋体"/>
          <w:sz w:val="24"/>
          <w:szCs w:val="24"/>
          <w:highlight w:val="none"/>
        </w:rPr>
      </w:pPr>
      <w:r>
        <w:rPr>
          <w:rFonts w:ascii="宋体" w:hAnsi="宋体" w:eastAsia="宋体" w:cs="宋体"/>
          <w:spacing w:val="2"/>
          <w:sz w:val="24"/>
          <w:szCs w:val="24"/>
          <w:highlight w:val="none"/>
        </w:rPr>
        <w:t>3、投标人自行在安徽省公共资源交易市场主体库中录入企业基本信息、企业和项</w:t>
      </w:r>
      <w:r>
        <w:rPr>
          <w:rFonts w:ascii="宋体" w:hAnsi="宋体" w:eastAsia="宋体" w:cs="宋体"/>
          <w:spacing w:val="-7"/>
          <w:sz w:val="24"/>
          <w:szCs w:val="24"/>
          <w:highlight w:val="none"/>
        </w:rPr>
        <w:t>目经理业绩、企业和项目经理获奖情况等相关资料，并将相关证明、奖项、文件、合同</w:t>
      </w:r>
      <w:r>
        <w:rPr>
          <w:rFonts w:ascii="宋体" w:hAnsi="宋体" w:eastAsia="宋体" w:cs="宋体"/>
          <w:spacing w:val="-10"/>
          <w:sz w:val="24"/>
          <w:szCs w:val="24"/>
          <w:highlight w:val="none"/>
        </w:rPr>
        <w:t>等原件资料的扫描件在投标文件中体现。联合体投标的，企业业绩、</w:t>
      </w:r>
      <w:r>
        <w:rPr>
          <w:rFonts w:ascii="宋体" w:hAnsi="宋体" w:eastAsia="宋体" w:cs="宋体"/>
          <w:spacing w:val="-11"/>
          <w:sz w:val="24"/>
          <w:szCs w:val="24"/>
          <w:highlight w:val="none"/>
        </w:rPr>
        <w:t>奖项可以共享，但</w:t>
      </w:r>
      <w:r>
        <w:rPr>
          <w:rFonts w:ascii="宋体" w:hAnsi="宋体" w:eastAsia="宋体" w:cs="宋体"/>
          <w:spacing w:val="-3"/>
          <w:sz w:val="24"/>
          <w:szCs w:val="24"/>
          <w:highlight w:val="none"/>
        </w:rPr>
        <w:t>项目经理、技术负责人业绩不予共享。</w:t>
      </w:r>
    </w:p>
    <w:p w14:paraId="12EF348C">
      <w:pPr>
        <w:spacing w:before="3" w:line="276" w:lineRule="auto"/>
        <w:ind w:right="85" w:firstLine="482"/>
        <w:jc w:val="both"/>
        <w:rPr>
          <w:rFonts w:ascii="宋体" w:hAnsi="宋体" w:eastAsia="宋体" w:cs="宋体"/>
          <w:sz w:val="24"/>
          <w:szCs w:val="24"/>
          <w:highlight w:val="none"/>
        </w:rPr>
      </w:pPr>
      <w:r>
        <w:rPr>
          <w:rFonts w:ascii="宋体" w:hAnsi="宋体" w:eastAsia="宋体" w:cs="宋体"/>
          <w:spacing w:val="-1"/>
          <w:sz w:val="24"/>
          <w:szCs w:val="24"/>
          <w:highlight w:val="none"/>
        </w:rPr>
        <w:t>编入投标文件的各种证书、证照、证明、文件、业绩、奖项、荣誉等相关资料的扫描件的原件，其真实性、准确性、完整性等均由投标人负责，编入投标文件的原件扫描</w:t>
      </w:r>
      <w:r>
        <w:rPr>
          <w:rFonts w:ascii="宋体" w:hAnsi="宋体" w:eastAsia="宋体" w:cs="宋体"/>
          <w:spacing w:val="-2"/>
          <w:sz w:val="24"/>
          <w:szCs w:val="24"/>
          <w:highlight w:val="none"/>
        </w:rPr>
        <w:t>件必须与原件一致，否则按投标无效或废标处理。</w:t>
      </w:r>
    </w:p>
    <w:p w14:paraId="65AACF86">
      <w:pPr>
        <w:spacing w:before="3" w:line="257" w:lineRule="auto"/>
        <w:ind w:right="109" w:firstLine="478"/>
        <w:rPr>
          <w:rFonts w:ascii="宋体" w:hAnsi="宋体" w:eastAsia="宋体" w:cs="宋体"/>
          <w:sz w:val="24"/>
          <w:szCs w:val="24"/>
          <w:highlight w:val="none"/>
        </w:rPr>
      </w:pPr>
      <w:r>
        <w:rPr>
          <w:rFonts w:ascii="宋体" w:hAnsi="宋体" w:eastAsia="宋体" w:cs="宋体"/>
          <w:spacing w:val="2"/>
          <w:sz w:val="24"/>
          <w:szCs w:val="24"/>
          <w:highlight w:val="none"/>
        </w:rPr>
        <w:t>4、投标人获奖奖项，属于省级及以上奖项的，颁发单位应为各级行政主管部门及</w:t>
      </w:r>
      <w:r>
        <w:rPr>
          <w:rFonts w:ascii="宋体" w:hAnsi="宋体" w:eastAsia="宋体" w:cs="宋体"/>
          <w:spacing w:val="-1"/>
          <w:sz w:val="24"/>
          <w:szCs w:val="24"/>
          <w:highlight w:val="none"/>
        </w:rPr>
        <w:t>其授权的机构或各级行业协会（其中行业协会应为经民政部门批</w:t>
      </w:r>
      <w:r>
        <w:rPr>
          <w:rFonts w:ascii="宋体" w:hAnsi="宋体" w:eastAsia="宋体" w:cs="宋体"/>
          <w:spacing w:val="-2"/>
          <w:sz w:val="24"/>
          <w:szCs w:val="24"/>
          <w:highlight w:val="none"/>
        </w:rPr>
        <w:t>准注册的行业协会），</w:t>
      </w:r>
      <w:r>
        <w:rPr>
          <w:rFonts w:ascii="宋体" w:hAnsi="宋体" w:eastAsia="宋体" w:cs="宋体"/>
          <w:spacing w:val="-1"/>
          <w:sz w:val="24"/>
          <w:szCs w:val="24"/>
          <w:highlight w:val="none"/>
        </w:rPr>
        <w:t>地市级奖项应为地市级行政主管部门颁发的，否则一律不予认</w:t>
      </w:r>
      <w:r>
        <w:rPr>
          <w:rFonts w:ascii="宋体" w:hAnsi="宋体" w:eastAsia="宋体" w:cs="宋体"/>
          <w:spacing w:val="-2"/>
          <w:sz w:val="24"/>
          <w:szCs w:val="24"/>
          <w:highlight w:val="none"/>
        </w:rPr>
        <w:t>可，按无效处理。</w:t>
      </w:r>
    </w:p>
    <w:p w14:paraId="4DCA1B8F">
      <w:pPr>
        <w:spacing w:before="73" w:line="258" w:lineRule="auto"/>
        <w:ind w:left="1" w:right="86" w:firstLine="483"/>
        <w:rPr>
          <w:rFonts w:ascii="宋体" w:hAnsi="宋体" w:eastAsia="宋体" w:cs="宋体"/>
          <w:sz w:val="24"/>
          <w:szCs w:val="24"/>
          <w:highlight w:val="none"/>
        </w:rPr>
      </w:pPr>
      <w:r>
        <w:rPr>
          <w:rFonts w:ascii="宋体" w:hAnsi="宋体" w:eastAsia="宋体" w:cs="宋体"/>
          <w:spacing w:val="3"/>
          <w:sz w:val="24"/>
          <w:szCs w:val="24"/>
          <w:highlight w:val="none"/>
        </w:rPr>
        <w:t>5、评标委员会发现投标人提供的某项资料不</w:t>
      </w:r>
      <w:r>
        <w:rPr>
          <w:rFonts w:ascii="宋体" w:hAnsi="宋体" w:eastAsia="宋体" w:cs="宋体"/>
          <w:spacing w:val="2"/>
          <w:sz w:val="24"/>
          <w:szCs w:val="24"/>
          <w:highlight w:val="none"/>
        </w:rPr>
        <w:t>符合得分条件或不符合某项评分得分</w:t>
      </w:r>
      <w:r>
        <w:rPr>
          <w:rFonts w:ascii="宋体" w:hAnsi="宋体" w:eastAsia="宋体" w:cs="宋体"/>
          <w:spacing w:val="-1"/>
          <w:sz w:val="24"/>
          <w:szCs w:val="24"/>
          <w:highlight w:val="none"/>
        </w:rPr>
        <w:t>标准（包括资料不齐不能印证是其承建的项目）等的，则应向投标人发出书面询标函，</w:t>
      </w:r>
      <w:r>
        <w:rPr>
          <w:rFonts w:ascii="宋体" w:hAnsi="宋体" w:eastAsia="宋体" w:cs="宋体"/>
          <w:spacing w:val="-2"/>
          <w:sz w:val="24"/>
          <w:szCs w:val="24"/>
          <w:highlight w:val="none"/>
        </w:rPr>
        <w:t>由投标人签字确认，但不得再接受投标人的补充资料。</w:t>
      </w:r>
    </w:p>
    <w:p w14:paraId="73547D90">
      <w:pPr>
        <w:spacing w:before="75" w:line="248" w:lineRule="auto"/>
        <w:ind w:left="3" w:right="111" w:firstLine="478"/>
        <w:rPr>
          <w:rFonts w:ascii="宋体" w:hAnsi="宋体" w:eastAsia="宋体" w:cs="宋体"/>
          <w:sz w:val="24"/>
          <w:szCs w:val="24"/>
          <w:highlight w:val="none"/>
        </w:rPr>
      </w:pPr>
      <w:r>
        <w:rPr>
          <w:rFonts w:ascii="宋体" w:hAnsi="宋体" w:eastAsia="宋体" w:cs="宋体"/>
          <w:spacing w:val="2"/>
          <w:sz w:val="24"/>
          <w:szCs w:val="24"/>
          <w:highlight w:val="none"/>
        </w:rPr>
        <w:t>6、近几年是指自投标截止之日向前推算，奖项认定日期以投标人提供的获</w:t>
      </w:r>
      <w:r>
        <w:rPr>
          <w:rFonts w:ascii="宋体" w:hAnsi="宋体" w:eastAsia="宋体" w:cs="宋体"/>
          <w:spacing w:val="1"/>
          <w:sz w:val="24"/>
          <w:szCs w:val="24"/>
          <w:highlight w:val="none"/>
        </w:rPr>
        <w:t>奖证书</w:t>
      </w:r>
      <w:r>
        <w:rPr>
          <w:rFonts w:ascii="宋体" w:hAnsi="宋体" w:eastAsia="宋体" w:cs="宋体"/>
          <w:spacing w:val="-2"/>
          <w:sz w:val="24"/>
          <w:szCs w:val="24"/>
          <w:highlight w:val="none"/>
        </w:rPr>
        <w:t>或获奖文件的落款时间为准。本项目同一范畴是建筑工程。</w:t>
      </w:r>
    </w:p>
    <w:p w14:paraId="74F42729">
      <w:pPr>
        <w:spacing w:before="72" w:line="272" w:lineRule="auto"/>
        <w:ind w:left="1" w:right="84" w:firstLine="484"/>
        <w:rPr>
          <w:rFonts w:ascii="宋体" w:hAnsi="宋体" w:eastAsia="宋体" w:cs="宋体"/>
          <w:sz w:val="24"/>
          <w:szCs w:val="24"/>
          <w:highlight w:val="none"/>
        </w:rPr>
      </w:pPr>
      <w:r>
        <w:rPr>
          <w:rFonts w:ascii="宋体" w:hAnsi="宋体" w:eastAsia="宋体" w:cs="宋体"/>
          <w:spacing w:val="2"/>
          <w:sz w:val="24"/>
          <w:szCs w:val="24"/>
          <w:highlight w:val="none"/>
        </w:rPr>
        <w:t>7、投标人必须保证其投标文件中所有资料的真实性、准确性和完整性。评标过程</w:t>
      </w:r>
      <w:r>
        <w:rPr>
          <w:rFonts w:ascii="宋体" w:hAnsi="宋体" w:eastAsia="宋体" w:cs="宋体"/>
          <w:spacing w:val="-1"/>
          <w:sz w:val="24"/>
          <w:szCs w:val="24"/>
          <w:highlight w:val="none"/>
        </w:rPr>
        <w:t>中，评标委员会发现投标人有弄虚作假（包括奖项、荣誉、信誉、业绩、资质证书、社</w:t>
      </w:r>
      <w:r>
        <w:rPr>
          <w:rFonts w:ascii="宋体" w:hAnsi="宋体" w:eastAsia="宋体" w:cs="宋体"/>
          <w:spacing w:val="-4"/>
          <w:sz w:val="24"/>
          <w:szCs w:val="24"/>
          <w:highlight w:val="none"/>
        </w:rPr>
        <w:t>保缴费证明、完税证明、授信文件等弄虚作假） 行为嫌疑的，应在评标报告中注明弄虚</w:t>
      </w:r>
      <w:r>
        <w:rPr>
          <w:rFonts w:ascii="宋体" w:hAnsi="宋体" w:eastAsia="宋体" w:cs="宋体"/>
          <w:spacing w:val="-1"/>
          <w:sz w:val="24"/>
          <w:szCs w:val="24"/>
          <w:highlight w:val="none"/>
        </w:rPr>
        <w:t>作假嫌疑的情形并作出移送监督机关处理的意见。评标委员会发现有弄虚作假嫌疑的，由招标人及其代理机构提请并协助公共资源交易监督管理部门进行调查处理。情况属实</w:t>
      </w:r>
      <w:r>
        <w:rPr>
          <w:rFonts w:ascii="宋体" w:hAnsi="宋体" w:eastAsia="宋体" w:cs="宋体"/>
          <w:spacing w:val="-7"/>
          <w:sz w:val="24"/>
          <w:szCs w:val="24"/>
          <w:highlight w:val="none"/>
        </w:rPr>
        <w:t>的，记不良行为记录，给予</w:t>
      </w:r>
      <w:r>
        <w:rPr>
          <w:rFonts w:ascii="宋体" w:hAnsi="宋体" w:eastAsia="宋体" w:cs="宋体"/>
          <w:spacing w:val="-32"/>
          <w:sz w:val="24"/>
          <w:szCs w:val="24"/>
          <w:highlight w:val="none"/>
        </w:rPr>
        <w:t xml:space="preserve"> </w:t>
      </w:r>
      <w:r>
        <w:rPr>
          <w:rFonts w:ascii="宋体" w:hAnsi="宋体" w:eastAsia="宋体" w:cs="宋体"/>
          <w:spacing w:val="-7"/>
          <w:sz w:val="24"/>
          <w:szCs w:val="24"/>
          <w:highlight w:val="none"/>
        </w:rPr>
        <w:t>1</w:t>
      </w:r>
      <w:r>
        <w:rPr>
          <w:rFonts w:ascii="宋体" w:hAnsi="宋体" w:eastAsia="宋体" w:cs="宋体"/>
          <w:spacing w:val="-50"/>
          <w:sz w:val="24"/>
          <w:szCs w:val="24"/>
          <w:highlight w:val="none"/>
        </w:rPr>
        <w:t xml:space="preserve"> </w:t>
      </w:r>
      <w:r>
        <w:rPr>
          <w:rFonts w:ascii="宋体" w:hAnsi="宋体" w:eastAsia="宋体" w:cs="宋体"/>
          <w:spacing w:val="-7"/>
          <w:sz w:val="24"/>
          <w:szCs w:val="24"/>
          <w:highlight w:val="none"/>
        </w:rPr>
        <w:t>年至</w:t>
      </w:r>
      <w:r>
        <w:rPr>
          <w:rFonts w:ascii="宋体" w:hAnsi="宋体" w:eastAsia="宋体" w:cs="宋体"/>
          <w:spacing w:val="-46"/>
          <w:sz w:val="24"/>
          <w:szCs w:val="24"/>
          <w:highlight w:val="none"/>
        </w:rPr>
        <w:t xml:space="preserve"> </w:t>
      </w:r>
      <w:r>
        <w:rPr>
          <w:rFonts w:ascii="宋体" w:hAnsi="宋体" w:eastAsia="宋体" w:cs="宋体"/>
          <w:spacing w:val="-7"/>
          <w:sz w:val="24"/>
          <w:szCs w:val="24"/>
          <w:highlight w:val="none"/>
        </w:rPr>
        <w:t>3</w:t>
      </w:r>
      <w:r>
        <w:rPr>
          <w:rFonts w:ascii="宋体" w:hAnsi="宋体" w:eastAsia="宋体" w:cs="宋体"/>
          <w:spacing w:val="-49"/>
          <w:sz w:val="24"/>
          <w:szCs w:val="24"/>
          <w:highlight w:val="none"/>
        </w:rPr>
        <w:t xml:space="preserve"> </w:t>
      </w:r>
      <w:r>
        <w:rPr>
          <w:rFonts w:ascii="宋体" w:hAnsi="宋体" w:eastAsia="宋体" w:cs="宋体"/>
          <w:spacing w:val="-7"/>
          <w:sz w:val="24"/>
          <w:szCs w:val="24"/>
          <w:highlight w:val="none"/>
        </w:rPr>
        <w:t>年的投</w:t>
      </w:r>
      <w:r>
        <w:rPr>
          <w:rFonts w:ascii="宋体" w:hAnsi="宋体" w:eastAsia="宋体" w:cs="宋体"/>
          <w:spacing w:val="-8"/>
          <w:sz w:val="24"/>
          <w:szCs w:val="24"/>
          <w:highlight w:val="none"/>
        </w:rPr>
        <w:t>标资格限制。公示期间或公示结束后，</w:t>
      </w:r>
      <w:r>
        <w:rPr>
          <w:rFonts w:ascii="宋体" w:hAnsi="宋体" w:eastAsia="宋体" w:cs="宋体"/>
          <w:spacing w:val="79"/>
          <w:sz w:val="24"/>
          <w:szCs w:val="24"/>
          <w:highlight w:val="none"/>
        </w:rPr>
        <w:t xml:space="preserve"> </w:t>
      </w:r>
      <w:r>
        <w:rPr>
          <w:rFonts w:ascii="宋体" w:hAnsi="宋体" w:eastAsia="宋体" w:cs="宋体"/>
          <w:spacing w:val="-8"/>
          <w:sz w:val="24"/>
          <w:szCs w:val="24"/>
          <w:highlight w:val="none"/>
        </w:rPr>
        <w:t>因被</w:t>
      </w:r>
      <w:r>
        <w:rPr>
          <w:rFonts w:ascii="宋体" w:hAnsi="宋体" w:eastAsia="宋体" w:cs="宋体"/>
          <w:spacing w:val="-1"/>
          <w:sz w:val="24"/>
          <w:szCs w:val="24"/>
          <w:highlight w:val="none"/>
        </w:rPr>
        <w:t>投诉或由招标人、监督机关发现有弄虚作假行为的，则其中标无效，记不良行为记录，</w:t>
      </w:r>
      <w:r>
        <w:rPr>
          <w:rFonts w:ascii="宋体" w:hAnsi="宋体" w:eastAsia="宋体" w:cs="宋体"/>
          <w:spacing w:val="-2"/>
          <w:sz w:val="24"/>
          <w:szCs w:val="24"/>
          <w:highlight w:val="none"/>
        </w:rPr>
        <w:t>给予</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年至</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年的投标资格限制，并由其承担造成的损失；</w:t>
      </w:r>
      <w:r>
        <w:rPr>
          <w:rFonts w:ascii="宋体" w:hAnsi="宋体" w:eastAsia="宋体" w:cs="宋体"/>
          <w:spacing w:val="-3"/>
          <w:sz w:val="24"/>
          <w:szCs w:val="24"/>
          <w:highlight w:val="none"/>
        </w:rPr>
        <w:t>构成犯罪的移交司法机关处</w:t>
      </w:r>
      <w:r>
        <w:rPr>
          <w:rFonts w:ascii="宋体" w:hAnsi="宋体" w:eastAsia="宋体" w:cs="宋体"/>
          <w:spacing w:val="-12"/>
          <w:sz w:val="24"/>
          <w:szCs w:val="24"/>
          <w:highlight w:val="none"/>
        </w:rPr>
        <w:t>理。</w:t>
      </w:r>
    </w:p>
    <w:p w14:paraId="7352127F">
      <w:pPr>
        <w:spacing w:before="59" w:line="258" w:lineRule="auto"/>
        <w:ind w:right="87" w:firstLine="481"/>
        <w:rPr>
          <w:rFonts w:ascii="宋体" w:hAnsi="宋体" w:eastAsia="宋体" w:cs="宋体"/>
          <w:sz w:val="24"/>
          <w:szCs w:val="24"/>
          <w:highlight w:val="none"/>
        </w:rPr>
      </w:pPr>
      <w:r>
        <w:rPr>
          <w:rFonts w:ascii="宋体" w:hAnsi="宋体" w:eastAsia="宋体" w:cs="宋体"/>
          <w:spacing w:val="2"/>
          <w:sz w:val="24"/>
          <w:szCs w:val="24"/>
          <w:highlight w:val="none"/>
        </w:rPr>
        <w:t>8、评委违反评分标准、评分要件、评分程序评分的，一经发现，由评标委员会主</w:t>
      </w:r>
      <w:r>
        <w:rPr>
          <w:rFonts w:ascii="宋体" w:hAnsi="宋体" w:eastAsia="宋体" w:cs="宋体"/>
          <w:spacing w:val="-1"/>
          <w:sz w:val="24"/>
          <w:szCs w:val="24"/>
          <w:highlight w:val="none"/>
        </w:rPr>
        <w:t>任督促该评委纠正；不纠正的，除其评分应予纠正外，由现场监督人员记入评委考核档</w:t>
      </w:r>
      <w:r>
        <w:rPr>
          <w:rFonts w:ascii="宋体" w:hAnsi="宋体" w:eastAsia="宋体" w:cs="宋体"/>
          <w:spacing w:val="-2"/>
          <w:sz w:val="24"/>
          <w:szCs w:val="24"/>
          <w:highlight w:val="none"/>
        </w:rPr>
        <w:t>案，同时报管理部门依照评标专家管理规定进行处理。</w:t>
      </w:r>
    </w:p>
    <w:p w14:paraId="08E6BA5E">
      <w:pPr>
        <w:spacing w:before="74" w:line="258" w:lineRule="auto"/>
        <w:ind w:right="85" w:firstLine="481"/>
        <w:rPr>
          <w:rFonts w:ascii="宋体" w:hAnsi="宋体" w:eastAsia="宋体" w:cs="宋体"/>
          <w:sz w:val="24"/>
          <w:szCs w:val="24"/>
          <w:highlight w:val="none"/>
        </w:rPr>
      </w:pPr>
      <w:r>
        <w:rPr>
          <w:rFonts w:ascii="宋体" w:hAnsi="宋体" w:eastAsia="宋体" w:cs="宋体"/>
          <w:spacing w:val="2"/>
          <w:sz w:val="24"/>
          <w:szCs w:val="24"/>
          <w:highlight w:val="none"/>
        </w:rPr>
        <w:t>9、询标函格式附后。询标函用于评标过程中评标委员会向投标人发出并需由投标</w:t>
      </w:r>
      <w:r>
        <w:rPr>
          <w:rFonts w:ascii="宋体" w:hAnsi="宋体" w:eastAsia="宋体" w:cs="宋体"/>
          <w:spacing w:val="-1"/>
          <w:sz w:val="24"/>
          <w:szCs w:val="24"/>
          <w:highlight w:val="none"/>
        </w:rPr>
        <w:t>人作出澄清或确认的相关事实、内容的记录。具体项目询标函由该项目招标人或其代理</w:t>
      </w:r>
      <w:r>
        <w:rPr>
          <w:rFonts w:ascii="宋体" w:hAnsi="宋体" w:eastAsia="宋体" w:cs="宋体"/>
          <w:spacing w:val="-6"/>
          <w:sz w:val="24"/>
          <w:szCs w:val="24"/>
          <w:highlight w:val="none"/>
        </w:rPr>
        <w:t>机构制作备用。</w:t>
      </w:r>
    </w:p>
    <w:p w14:paraId="3849544D">
      <w:pPr>
        <w:spacing w:before="73" w:line="270" w:lineRule="auto"/>
        <w:ind w:firstLine="498"/>
        <w:rPr>
          <w:rFonts w:ascii="宋体" w:hAnsi="宋体" w:eastAsia="宋体" w:cs="宋体"/>
          <w:sz w:val="24"/>
          <w:szCs w:val="24"/>
          <w:highlight w:val="none"/>
        </w:rPr>
      </w:pPr>
      <w:r>
        <w:rPr>
          <w:rFonts w:ascii="宋体" w:hAnsi="宋体" w:eastAsia="宋体" w:cs="宋体"/>
          <w:spacing w:val="-1"/>
          <w:sz w:val="24"/>
          <w:szCs w:val="24"/>
          <w:highlight w:val="none"/>
        </w:rPr>
        <w:t>10、与黄山杯等级相同的奖项是指各省、直辖市、自治区所评的建设</w:t>
      </w:r>
      <w:r>
        <w:rPr>
          <w:rFonts w:ascii="宋体" w:hAnsi="宋体" w:eastAsia="宋体" w:cs="宋体"/>
          <w:spacing w:val="-2"/>
          <w:sz w:val="24"/>
          <w:szCs w:val="24"/>
          <w:highlight w:val="none"/>
        </w:rPr>
        <w:t>工程省级最高</w:t>
      </w:r>
      <w:r>
        <w:rPr>
          <w:rFonts w:ascii="宋体" w:hAnsi="宋体" w:eastAsia="宋体" w:cs="宋体"/>
          <w:spacing w:val="-1"/>
          <w:sz w:val="24"/>
          <w:szCs w:val="24"/>
          <w:highlight w:val="none"/>
        </w:rPr>
        <w:t>荣誉奖项，如北京市长城杯、上海市白玉兰杯、天津市海河杯、重庆市巴渝杯、浙江省</w:t>
      </w:r>
      <w:r>
        <w:rPr>
          <w:rFonts w:ascii="宋体" w:hAnsi="宋体" w:eastAsia="宋体" w:cs="宋体"/>
          <w:spacing w:val="-5"/>
          <w:sz w:val="24"/>
          <w:szCs w:val="24"/>
          <w:highlight w:val="none"/>
        </w:rPr>
        <w:t>钱江杯、江苏省扬子杯、山东省泰山杯、广东省金匠奖、山西省汾水杯、陕西省长安杯、</w:t>
      </w:r>
      <w:r>
        <w:rPr>
          <w:rFonts w:ascii="宋体" w:hAnsi="宋体" w:eastAsia="宋体" w:cs="宋体"/>
          <w:spacing w:val="-1"/>
          <w:sz w:val="24"/>
          <w:szCs w:val="24"/>
          <w:highlight w:val="none"/>
        </w:rPr>
        <w:t>湖北省楚天杯、湖南省芙蓉杯、福建省闽江杯、河南省中州杯、江西省杜鹃花杯、四川省天府杯、海南省绿岛杯、贵州省黄果树杯、辽宁省世纪杯、吉林省长白山杯、黑龙江</w:t>
      </w:r>
      <w:r>
        <w:rPr>
          <w:rFonts w:ascii="宋体" w:hAnsi="宋体" w:eastAsia="宋体" w:cs="宋体"/>
          <w:sz w:val="24"/>
          <w:szCs w:val="24"/>
          <w:highlight w:val="none"/>
        </w:rPr>
        <w:t>省龙江杯、青海省江河源杯、西藏雪莲杯、内蒙古草原杯、新疆天山杯、宁夏西夏杯、</w:t>
      </w:r>
      <w:r>
        <w:rPr>
          <w:rFonts w:ascii="宋体" w:hAnsi="宋体" w:eastAsia="宋体" w:cs="宋体"/>
          <w:spacing w:val="-1"/>
          <w:sz w:val="24"/>
          <w:szCs w:val="24"/>
          <w:highlight w:val="none"/>
        </w:rPr>
        <w:t>云南省优质工程一等奖、广西优质工程奖（或真武阁杯）奖等。如奖项名称变化以官方</w:t>
      </w:r>
      <w:r>
        <w:rPr>
          <w:rFonts w:ascii="宋体" w:hAnsi="宋体" w:eastAsia="宋体" w:cs="宋体"/>
          <w:spacing w:val="-7"/>
          <w:sz w:val="24"/>
          <w:szCs w:val="24"/>
          <w:highlight w:val="none"/>
        </w:rPr>
        <w:t>宣布为准。</w:t>
      </w:r>
    </w:p>
    <w:p w14:paraId="60954F02">
      <w:pPr>
        <w:spacing w:before="213" w:line="219" w:lineRule="auto"/>
        <w:rPr>
          <w:rFonts w:ascii="宋体" w:hAnsi="宋体" w:eastAsia="宋体" w:cs="宋体"/>
          <w:b/>
          <w:bCs/>
          <w:spacing w:val="-3"/>
          <w:sz w:val="24"/>
          <w:szCs w:val="24"/>
          <w:highlight w:val="none"/>
        </w:rPr>
      </w:pPr>
      <w:r>
        <w:rPr>
          <w:rFonts w:ascii="宋体" w:hAnsi="宋体" w:eastAsia="宋体" w:cs="宋体"/>
          <w:spacing w:val="-2"/>
          <w:sz w:val="24"/>
          <w:szCs w:val="24"/>
          <w:highlight w:val="none"/>
        </w:rPr>
        <w:t>11、</w:t>
      </w:r>
      <w:r>
        <w:rPr>
          <w:rFonts w:ascii="宋体" w:hAnsi="宋体" w:eastAsia="宋体" w:cs="宋体"/>
          <w:b/>
          <w:bCs/>
          <w:spacing w:val="-2"/>
          <w:sz w:val="24"/>
          <w:szCs w:val="24"/>
          <w:highlight w:val="none"/>
        </w:rPr>
        <w:t>住房和城乡建设部办公厅关于全面实行一</w:t>
      </w:r>
      <w:r>
        <w:rPr>
          <w:rFonts w:ascii="宋体" w:hAnsi="宋体" w:eastAsia="宋体" w:cs="宋体"/>
          <w:b/>
          <w:bCs/>
          <w:spacing w:val="-3"/>
          <w:sz w:val="24"/>
          <w:szCs w:val="24"/>
          <w:highlight w:val="none"/>
        </w:rPr>
        <w:t>级建造师电子注册证书的通知住房和城乡建设部办公厅</w:t>
      </w:r>
    </w:p>
    <w:p w14:paraId="54236713">
      <w:pPr>
        <w:spacing w:before="213" w:line="219" w:lineRule="auto"/>
        <w:ind w:left="2272"/>
        <w:rPr>
          <w:rFonts w:ascii="宋体" w:hAnsi="宋体" w:eastAsia="宋体" w:cs="宋体"/>
          <w:sz w:val="24"/>
          <w:szCs w:val="24"/>
          <w:highlight w:val="none"/>
        </w:rPr>
      </w:pPr>
      <w:r>
        <w:rPr>
          <w:rFonts w:ascii="宋体" w:hAnsi="宋体" w:eastAsia="宋体" w:cs="宋体"/>
          <w:b/>
          <w:bCs/>
          <w:spacing w:val="-3"/>
          <w:sz w:val="24"/>
          <w:szCs w:val="24"/>
          <w:highlight w:val="none"/>
        </w:rPr>
        <w:t>关于全面实行一级建造师电子注册证书的通知</w:t>
      </w:r>
    </w:p>
    <w:p w14:paraId="6DC5AB7E">
      <w:pPr>
        <w:spacing w:before="194" w:line="220" w:lineRule="auto"/>
        <w:ind w:left="3526"/>
        <w:rPr>
          <w:rFonts w:ascii="宋体" w:hAnsi="宋体" w:eastAsia="宋体" w:cs="宋体"/>
          <w:sz w:val="24"/>
          <w:szCs w:val="24"/>
          <w:highlight w:val="none"/>
        </w:rPr>
      </w:pPr>
      <w:r>
        <w:rPr>
          <w:rFonts w:ascii="宋体" w:hAnsi="宋体" w:eastAsia="宋体" w:cs="宋体"/>
          <w:b/>
          <w:bCs/>
          <w:spacing w:val="-3"/>
          <w:sz w:val="24"/>
          <w:szCs w:val="24"/>
          <w:highlight w:val="none"/>
        </w:rPr>
        <w:t>建办市〔2021〕40</w:t>
      </w:r>
      <w:r>
        <w:rPr>
          <w:rFonts w:ascii="宋体" w:hAnsi="宋体" w:eastAsia="宋体" w:cs="宋体"/>
          <w:spacing w:val="-40"/>
          <w:sz w:val="24"/>
          <w:szCs w:val="24"/>
          <w:highlight w:val="none"/>
        </w:rPr>
        <w:t xml:space="preserve"> </w:t>
      </w:r>
      <w:r>
        <w:rPr>
          <w:rFonts w:ascii="宋体" w:hAnsi="宋体" w:eastAsia="宋体" w:cs="宋体"/>
          <w:b/>
          <w:bCs/>
          <w:spacing w:val="-3"/>
          <w:sz w:val="24"/>
          <w:szCs w:val="24"/>
          <w:highlight w:val="none"/>
        </w:rPr>
        <w:t>号</w:t>
      </w:r>
    </w:p>
    <w:p w14:paraId="30F12918">
      <w:pPr>
        <w:spacing w:before="195" w:line="369" w:lineRule="auto"/>
        <w:ind w:left="39" w:right="67" w:firstLine="322"/>
        <w:jc w:val="both"/>
        <w:rPr>
          <w:rFonts w:ascii="宋体" w:hAnsi="宋体" w:eastAsia="宋体" w:cs="宋体"/>
          <w:sz w:val="24"/>
          <w:szCs w:val="24"/>
          <w:highlight w:val="none"/>
        </w:rPr>
      </w:pPr>
      <w:r>
        <w:rPr>
          <w:rFonts w:ascii="宋体" w:hAnsi="宋体" w:eastAsia="宋体" w:cs="宋体"/>
          <w:spacing w:val="-7"/>
          <w:sz w:val="24"/>
          <w:szCs w:val="24"/>
          <w:highlight w:val="none"/>
        </w:rPr>
        <w:t>各省、自治区住房和城乡建设厅，</w:t>
      </w:r>
      <w:r>
        <w:rPr>
          <w:rFonts w:ascii="宋体" w:hAnsi="宋体" w:eastAsia="宋体" w:cs="宋体"/>
          <w:spacing w:val="73"/>
          <w:sz w:val="24"/>
          <w:szCs w:val="24"/>
          <w:highlight w:val="none"/>
        </w:rPr>
        <w:t xml:space="preserve"> </w:t>
      </w:r>
      <w:r>
        <w:rPr>
          <w:rFonts w:ascii="宋体" w:hAnsi="宋体" w:eastAsia="宋体" w:cs="宋体"/>
          <w:spacing w:val="-7"/>
          <w:sz w:val="24"/>
          <w:szCs w:val="24"/>
          <w:highlight w:val="none"/>
        </w:rPr>
        <w:t>直辖市住房和城乡建设（管）委，新疆生产建设</w:t>
      </w:r>
      <w:r>
        <w:rPr>
          <w:rFonts w:ascii="宋体" w:hAnsi="宋体" w:eastAsia="宋体" w:cs="宋体"/>
          <w:sz w:val="24"/>
          <w:szCs w:val="24"/>
          <w:highlight w:val="none"/>
        </w:rPr>
        <w:t>兵团住房和城乡建设局，国务院有关部门建设司（局），中央军</w:t>
      </w:r>
      <w:r>
        <w:rPr>
          <w:rFonts w:ascii="宋体" w:hAnsi="宋体" w:eastAsia="宋体" w:cs="宋体"/>
          <w:spacing w:val="-1"/>
          <w:sz w:val="24"/>
          <w:szCs w:val="24"/>
          <w:highlight w:val="none"/>
        </w:rPr>
        <w:t>委后勤保障部军事设</w:t>
      </w:r>
      <w:r>
        <w:rPr>
          <w:rFonts w:ascii="宋体" w:hAnsi="宋体" w:eastAsia="宋体" w:cs="宋体"/>
          <w:spacing w:val="-5"/>
          <w:sz w:val="24"/>
          <w:szCs w:val="24"/>
          <w:highlight w:val="none"/>
        </w:rPr>
        <w:t>施建设局，有关中央企业：</w:t>
      </w:r>
    </w:p>
    <w:p w14:paraId="36E77EA4">
      <w:pPr>
        <w:spacing w:before="1" w:line="369" w:lineRule="auto"/>
        <w:ind w:left="42" w:right="64" w:firstLine="320"/>
        <w:jc w:val="both"/>
        <w:rPr>
          <w:rFonts w:ascii="宋体" w:hAnsi="宋体" w:eastAsia="宋体" w:cs="宋体"/>
          <w:sz w:val="24"/>
          <w:szCs w:val="24"/>
          <w:highlight w:val="none"/>
        </w:rPr>
      </w:pPr>
      <w:r>
        <w:rPr>
          <w:rFonts w:ascii="宋体" w:hAnsi="宋体" w:eastAsia="宋体" w:cs="宋体"/>
          <w:spacing w:val="-2"/>
          <w:sz w:val="24"/>
          <w:szCs w:val="24"/>
          <w:highlight w:val="none"/>
        </w:rPr>
        <w:t>为扎实推进“我为群众办实事”实践活动，深化建筑业“放管服”改革，进一步提</w:t>
      </w:r>
      <w:r>
        <w:rPr>
          <w:rFonts w:ascii="宋体" w:hAnsi="宋体" w:eastAsia="宋体" w:cs="宋体"/>
          <w:sz w:val="24"/>
          <w:szCs w:val="24"/>
          <w:highlight w:val="none"/>
        </w:rPr>
        <w:t>升政务服务规范化、便利化水平，我部决定在全国范围</w:t>
      </w:r>
      <w:r>
        <w:rPr>
          <w:rFonts w:ascii="宋体" w:hAnsi="宋体" w:eastAsia="宋体" w:cs="宋体"/>
          <w:spacing w:val="-1"/>
          <w:sz w:val="24"/>
          <w:szCs w:val="24"/>
          <w:highlight w:val="none"/>
        </w:rPr>
        <w:t>内实行一级建造师电子注册证</w:t>
      </w:r>
      <w:r>
        <w:rPr>
          <w:rFonts w:ascii="宋体" w:hAnsi="宋体" w:eastAsia="宋体" w:cs="宋体"/>
          <w:spacing w:val="-2"/>
          <w:sz w:val="24"/>
          <w:szCs w:val="24"/>
          <w:highlight w:val="none"/>
        </w:rPr>
        <w:t>书（以下简称电子证书），并开展延续注册工作。现将有关事项通知如下：</w:t>
      </w:r>
    </w:p>
    <w:p w14:paraId="7C763106">
      <w:pPr>
        <w:spacing w:line="219" w:lineRule="auto"/>
        <w:ind w:left="363"/>
        <w:rPr>
          <w:rFonts w:ascii="宋体" w:hAnsi="宋体" w:eastAsia="宋体" w:cs="宋体"/>
          <w:sz w:val="24"/>
          <w:szCs w:val="24"/>
          <w:highlight w:val="none"/>
        </w:rPr>
      </w:pPr>
      <w:r>
        <w:rPr>
          <w:rFonts w:ascii="宋体" w:hAnsi="宋体" w:eastAsia="宋体" w:cs="宋体"/>
          <w:b/>
          <w:bCs/>
          <w:spacing w:val="-7"/>
          <w:sz w:val="24"/>
          <w:szCs w:val="24"/>
          <w:highlight w:val="none"/>
        </w:rPr>
        <w:t>一、工作内容</w:t>
      </w:r>
    </w:p>
    <w:p w14:paraId="3DC31E4C">
      <w:pPr>
        <w:spacing w:before="195" w:line="219" w:lineRule="auto"/>
        <w:ind w:left="366"/>
        <w:rPr>
          <w:rFonts w:ascii="宋体" w:hAnsi="宋体" w:eastAsia="宋体" w:cs="宋体"/>
          <w:sz w:val="24"/>
          <w:szCs w:val="24"/>
          <w:highlight w:val="none"/>
        </w:rPr>
      </w:pPr>
      <w:r>
        <w:rPr>
          <w:rFonts w:ascii="宋体" w:hAnsi="宋体" w:eastAsia="宋体" w:cs="宋体"/>
          <w:spacing w:val="-5"/>
          <w:sz w:val="24"/>
          <w:szCs w:val="24"/>
          <w:highlight w:val="none"/>
        </w:rPr>
        <w:t>（一）实行电子证书。</w:t>
      </w:r>
    </w:p>
    <w:p w14:paraId="03CD9BDC">
      <w:pPr>
        <w:spacing w:before="193" w:line="332" w:lineRule="auto"/>
        <w:ind w:left="39" w:right="63" w:firstLine="337"/>
        <w:rPr>
          <w:rFonts w:ascii="宋体" w:hAnsi="宋体" w:eastAsia="宋体" w:cs="宋体"/>
          <w:sz w:val="24"/>
          <w:szCs w:val="24"/>
          <w:highlight w:val="none"/>
        </w:rPr>
      </w:pPr>
      <w:r>
        <w:rPr>
          <w:rFonts w:ascii="宋体" w:hAnsi="宋体" w:eastAsia="宋体" w:cs="宋体"/>
          <w:spacing w:val="-6"/>
          <w:sz w:val="24"/>
          <w:szCs w:val="24"/>
          <w:highlight w:val="none"/>
        </w:rPr>
        <w:t>1.</w:t>
      </w:r>
      <w:r>
        <w:rPr>
          <w:rFonts w:ascii="宋体" w:hAnsi="宋体" w:eastAsia="宋体" w:cs="宋体"/>
          <w:spacing w:val="-61"/>
          <w:sz w:val="24"/>
          <w:szCs w:val="24"/>
          <w:highlight w:val="none"/>
        </w:rPr>
        <w:t xml:space="preserve"> </w:t>
      </w:r>
      <w:r>
        <w:rPr>
          <w:rFonts w:ascii="宋体" w:hAnsi="宋体" w:eastAsia="宋体" w:cs="宋体"/>
          <w:spacing w:val="-6"/>
          <w:sz w:val="24"/>
          <w:szCs w:val="24"/>
          <w:highlight w:val="none"/>
        </w:rPr>
        <w:t>自</w:t>
      </w:r>
      <w:r>
        <w:rPr>
          <w:rFonts w:ascii="宋体" w:hAnsi="宋体" w:eastAsia="宋体" w:cs="宋体"/>
          <w:spacing w:val="-47"/>
          <w:sz w:val="24"/>
          <w:szCs w:val="24"/>
          <w:highlight w:val="none"/>
        </w:rPr>
        <w:t xml:space="preserve"> </w:t>
      </w:r>
      <w:r>
        <w:rPr>
          <w:rFonts w:ascii="宋体" w:hAnsi="宋体" w:eastAsia="宋体" w:cs="宋体"/>
          <w:spacing w:val="-6"/>
          <w:sz w:val="24"/>
          <w:szCs w:val="24"/>
          <w:highlight w:val="none"/>
        </w:rPr>
        <w:t>2021</w:t>
      </w:r>
      <w:r>
        <w:rPr>
          <w:rFonts w:ascii="宋体" w:hAnsi="宋体" w:eastAsia="宋体" w:cs="宋体"/>
          <w:spacing w:val="-50"/>
          <w:sz w:val="24"/>
          <w:szCs w:val="24"/>
          <w:highlight w:val="none"/>
        </w:rPr>
        <w:t xml:space="preserve"> </w:t>
      </w:r>
      <w:r>
        <w:rPr>
          <w:rFonts w:ascii="宋体" w:hAnsi="宋体" w:eastAsia="宋体" w:cs="宋体"/>
          <w:spacing w:val="-6"/>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6"/>
          <w:sz w:val="24"/>
          <w:szCs w:val="24"/>
          <w:highlight w:val="none"/>
        </w:rPr>
        <w:t>10</w:t>
      </w:r>
      <w:r>
        <w:rPr>
          <w:rFonts w:ascii="宋体" w:hAnsi="宋体" w:eastAsia="宋体" w:cs="宋体"/>
          <w:spacing w:val="-44"/>
          <w:sz w:val="24"/>
          <w:szCs w:val="24"/>
          <w:highlight w:val="none"/>
        </w:rPr>
        <w:t xml:space="preserve"> </w:t>
      </w:r>
      <w:r>
        <w:rPr>
          <w:rFonts w:ascii="宋体" w:hAnsi="宋体" w:eastAsia="宋体" w:cs="宋体"/>
          <w:spacing w:val="-6"/>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6"/>
          <w:sz w:val="24"/>
          <w:szCs w:val="24"/>
          <w:highlight w:val="none"/>
        </w:rPr>
        <w:t>15 日起，在全国范围内实行一级建造师电子证书（具体示例及</w:t>
      </w:r>
      <w:r>
        <w:rPr>
          <w:rFonts w:ascii="宋体" w:hAnsi="宋体" w:eastAsia="宋体" w:cs="宋体"/>
          <w:spacing w:val="-1"/>
          <w:sz w:val="24"/>
          <w:szCs w:val="24"/>
          <w:highlight w:val="none"/>
        </w:rPr>
        <w:t>说明见附件</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1），电子证书式样按照《全国一体化在线政务服务平台电子证照一级建</w:t>
      </w:r>
      <w:r>
        <w:rPr>
          <w:rFonts w:ascii="宋体" w:hAnsi="宋体" w:eastAsia="宋体" w:cs="宋体"/>
          <w:spacing w:val="-6"/>
          <w:sz w:val="24"/>
          <w:szCs w:val="24"/>
          <w:highlight w:val="none"/>
        </w:rPr>
        <w:t>造师注册证书》标准执行（具体式样见附件</w:t>
      </w:r>
      <w:r>
        <w:rPr>
          <w:rFonts w:ascii="宋体" w:hAnsi="宋体" w:eastAsia="宋体" w:cs="宋体"/>
          <w:spacing w:val="-36"/>
          <w:sz w:val="24"/>
          <w:szCs w:val="24"/>
          <w:highlight w:val="none"/>
        </w:rPr>
        <w:t xml:space="preserve"> </w:t>
      </w:r>
      <w:r>
        <w:rPr>
          <w:rFonts w:ascii="宋体" w:hAnsi="宋体" w:eastAsia="宋体" w:cs="宋体"/>
          <w:spacing w:val="-6"/>
          <w:sz w:val="24"/>
          <w:szCs w:val="24"/>
          <w:highlight w:val="none"/>
        </w:rPr>
        <w:t>2）。自 2022</w:t>
      </w:r>
      <w:r>
        <w:rPr>
          <w:rFonts w:ascii="宋体" w:hAnsi="宋体" w:eastAsia="宋体" w:cs="宋体"/>
          <w:spacing w:val="-50"/>
          <w:sz w:val="24"/>
          <w:szCs w:val="24"/>
          <w:highlight w:val="none"/>
        </w:rPr>
        <w:t xml:space="preserve"> </w:t>
      </w:r>
      <w:r>
        <w:rPr>
          <w:rFonts w:ascii="宋体" w:hAnsi="宋体" w:eastAsia="宋体" w:cs="宋体"/>
          <w:spacing w:val="-6"/>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6"/>
          <w:sz w:val="24"/>
          <w:szCs w:val="24"/>
          <w:highlight w:val="none"/>
        </w:rPr>
        <w:t>1</w:t>
      </w:r>
      <w:r>
        <w:rPr>
          <w:rFonts w:ascii="宋体" w:hAnsi="宋体" w:eastAsia="宋体" w:cs="宋体"/>
          <w:spacing w:val="-44"/>
          <w:sz w:val="24"/>
          <w:szCs w:val="24"/>
          <w:highlight w:val="none"/>
        </w:rPr>
        <w:t xml:space="preserve"> </w:t>
      </w:r>
      <w:r>
        <w:rPr>
          <w:rFonts w:ascii="宋体" w:hAnsi="宋体" w:eastAsia="宋体" w:cs="宋体"/>
          <w:spacing w:val="-6"/>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7"/>
          <w:sz w:val="24"/>
          <w:szCs w:val="24"/>
          <w:highlight w:val="none"/>
        </w:rPr>
        <w:t>1 日起，一级建造师</w:t>
      </w:r>
      <w:r>
        <w:rPr>
          <w:rFonts w:ascii="宋体" w:hAnsi="宋体" w:eastAsia="宋体" w:cs="宋体"/>
          <w:spacing w:val="-3"/>
          <w:sz w:val="24"/>
          <w:szCs w:val="24"/>
          <w:highlight w:val="none"/>
        </w:rPr>
        <w:t>统一使用电子证书，纸质注册证书作废。</w:t>
      </w:r>
    </w:p>
    <w:p w14:paraId="07A3F922">
      <w:pPr>
        <w:spacing w:before="194" w:line="332" w:lineRule="auto"/>
        <w:ind w:left="40" w:right="100" w:firstLine="321"/>
        <w:rPr>
          <w:rFonts w:ascii="宋体" w:hAnsi="宋体" w:eastAsia="宋体" w:cs="宋体"/>
          <w:sz w:val="24"/>
          <w:szCs w:val="24"/>
          <w:highlight w:val="none"/>
        </w:rPr>
      </w:pPr>
      <w:r>
        <w:rPr>
          <w:rFonts w:ascii="宋体" w:hAnsi="宋体" w:eastAsia="宋体" w:cs="宋体"/>
          <w:spacing w:val="-5"/>
          <w:sz w:val="24"/>
          <w:szCs w:val="24"/>
          <w:highlight w:val="none"/>
        </w:rPr>
        <w:t>2.</w:t>
      </w:r>
      <w:r>
        <w:rPr>
          <w:rFonts w:ascii="宋体" w:hAnsi="宋体" w:eastAsia="宋体" w:cs="宋体"/>
          <w:spacing w:val="-72"/>
          <w:sz w:val="24"/>
          <w:szCs w:val="24"/>
          <w:highlight w:val="none"/>
        </w:rPr>
        <w:t xml:space="preserve"> </w:t>
      </w:r>
      <w:r>
        <w:rPr>
          <w:rFonts w:ascii="宋体" w:hAnsi="宋体" w:eastAsia="宋体" w:cs="宋体"/>
          <w:spacing w:val="-5"/>
          <w:sz w:val="24"/>
          <w:szCs w:val="24"/>
          <w:highlight w:val="none"/>
        </w:rPr>
        <w:t>自</w:t>
      </w:r>
      <w:r>
        <w:rPr>
          <w:rFonts w:ascii="宋体" w:hAnsi="宋体" w:eastAsia="宋体" w:cs="宋体"/>
          <w:spacing w:val="-47"/>
          <w:sz w:val="24"/>
          <w:szCs w:val="24"/>
          <w:highlight w:val="none"/>
        </w:rPr>
        <w:t xml:space="preserve"> </w:t>
      </w:r>
      <w:r>
        <w:rPr>
          <w:rFonts w:ascii="宋体" w:hAnsi="宋体" w:eastAsia="宋体" w:cs="宋体"/>
          <w:spacing w:val="-5"/>
          <w:sz w:val="24"/>
          <w:szCs w:val="24"/>
          <w:highlight w:val="none"/>
        </w:rPr>
        <w:t>2021</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10</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15 日起，全国范围内准予一级</w:t>
      </w:r>
      <w:r>
        <w:rPr>
          <w:rFonts w:ascii="宋体" w:hAnsi="宋体" w:eastAsia="宋体" w:cs="宋体"/>
          <w:spacing w:val="-6"/>
          <w:sz w:val="24"/>
          <w:szCs w:val="24"/>
          <w:highlight w:val="none"/>
        </w:rPr>
        <w:t>建造师初始注册、增项注册、重</w:t>
      </w:r>
      <w:r>
        <w:rPr>
          <w:rFonts w:ascii="宋体" w:hAnsi="宋体" w:eastAsia="宋体" w:cs="宋体"/>
          <w:sz w:val="24"/>
          <w:szCs w:val="24"/>
          <w:highlight w:val="none"/>
        </w:rPr>
        <w:t>新注册、延续注册的，不再发放纸质注册证书或加贴防伪贴</w:t>
      </w:r>
      <w:r>
        <w:rPr>
          <w:rFonts w:ascii="宋体" w:hAnsi="宋体" w:eastAsia="宋体" w:cs="宋体"/>
          <w:spacing w:val="-1"/>
          <w:sz w:val="24"/>
          <w:szCs w:val="24"/>
          <w:highlight w:val="none"/>
        </w:rPr>
        <w:t>；聘用单位基本信息修改</w:t>
      </w:r>
      <w:r>
        <w:rPr>
          <w:rFonts w:ascii="宋体" w:hAnsi="宋体" w:eastAsia="宋体" w:cs="宋体"/>
          <w:sz w:val="24"/>
          <w:szCs w:val="24"/>
          <w:highlight w:val="none"/>
        </w:rPr>
        <w:t>的，不再加贴防伪贴；因纸质注册证书遗失、污损或个人信</w:t>
      </w:r>
      <w:r>
        <w:rPr>
          <w:rFonts w:ascii="宋体" w:hAnsi="宋体" w:eastAsia="宋体" w:cs="宋体"/>
          <w:spacing w:val="-1"/>
          <w:sz w:val="24"/>
          <w:szCs w:val="24"/>
          <w:highlight w:val="none"/>
        </w:rPr>
        <w:t>息修改等需重新发放注册</w:t>
      </w:r>
      <w:r>
        <w:rPr>
          <w:rFonts w:ascii="宋体" w:hAnsi="宋体" w:eastAsia="宋体" w:cs="宋体"/>
          <w:spacing w:val="-3"/>
          <w:sz w:val="24"/>
          <w:szCs w:val="24"/>
          <w:highlight w:val="none"/>
        </w:rPr>
        <w:t>证书的，不再补发或更换纸质注册证书。</w:t>
      </w:r>
    </w:p>
    <w:p w14:paraId="6AFD14D6">
      <w:pPr>
        <w:spacing w:before="196" w:line="294" w:lineRule="auto"/>
        <w:ind w:left="81" w:right="259" w:firstLine="282"/>
        <w:rPr>
          <w:rFonts w:ascii="宋体" w:hAnsi="宋体" w:eastAsia="宋体" w:cs="宋体"/>
          <w:sz w:val="24"/>
          <w:szCs w:val="24"/>
          <w:highlight w:val="none"/>
        </w:rPr>
      </w:pPr>
      <w:r>
        <w:rPr>
          <w:rFonts w:ascii="宋体" w:hAnsi="宋体" w:eastAsia="宋体" w:cs="宋体"/>
          <w:spacing w:val="-2"/>
          <w:sz w:val="24"/>
          <w:szCs w:val="24"/>
          <w:highlight w:val="none"/>
        </w:rPr>
        <w:t>3.电子证书与纸质注册证书并行使用期间，</w:t>
      </w:r>
      <w:r>
        <w:rPr>
          <w:rFonts w:ascii="宋体" w:hAnsi="宋体" w:eastAsia="宋体" w:cs="宋体"/>
          <w:spacing w:val="-3"/>
          <w:sz w:val="24"/>
          <w:szCs w:val="24"/>
          <w:highlight w:val="none"/>
        </w:rPr>
        <w:t>其注册编号同时有效。2022</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1</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1日起，一级建造师应重新刻制执业印章，并使用电子证书上的注册编号。</w:t>
      </w:r>
    </w:p>
    <w:p w14:paraId="3016FBC3">
      <w:pPr>
        <w:spacing w:before="197" w:line="319" w:lineRule="auto"/>
        <w:ind w:left="43" w:firstLine="315"/>
        <w:rPr>
          <w:rFonts w:ascii="宋体" w:hAnsi="宋体" w:eastAsia="宋体" w:cs="宋体"/>
          <w:sz w:val="24"/>
          <w:szCs w:val="24"/>
          <w:highlight w:val="none"/>
        </w:rPr>
      </w:pPr>
      <w:r>
        <w:rPr>
          <w:rFonts w:ascii="宋体" w:hAnsi="宋体" w:eastAsia="宋体" w:cs="宋体"/>
          <w:spacing w:val="-7"/>
          <w:sz w:val="24"/>
          <w:szCs w:val="24"/>
          <w:highlight w:val="none"/>
        </w:rPr>
        <w:t>4.各省（区、市）</w:t>
      </w:r>
      <w:r>
        <w:rPr>
          <w:rFonts w:ascii="宋体" w:hAnsi="宋体" w:eastAsia="宋体" w:cs="宋体"/>
          <w:spacing w:val="-67"/>
          <w:sz w:val="24"/>
          <w:szCs w:val="24"/>
          <w:highlight w:val="none"/>
        </w:rPr>
        <w:t xml:space="preserve"> </w:t>
      </w:r>
      <w:r>
        <w:rPr>
          <w:rFonts w:ascii="宋体" w:hAnsi="宋体" w:eastAsia="宋体" w:cs="宋体"/>
          <w:spacing w:val="-7"/>
          <w:sz w:val="24"/>
          <w:szCs w:val="24"/>
          <w:highlight w:val="none"/>
        </w:rPr>
        <w:t>住房和城乡建设主管部门要会同</w:t>
      </w:r>
      <w:r>
        <w:rPr>
          <w:rFonts w:ascii="宋体" w:hAnsi="宋体" w:eastAsia="宋体" w:cs="宋体"/>
          <w:spacing w:val="-8"/>
          <w:sz w:val="24"/>
          <w:szCs w:val="24"/>
          <w:highlight w:val="none"/>
        </w:rPr>
        <w:t>有关行业主管部门创新监管模式，</w:t>
      </w:r>
      <w:r>
        <w:rPr>
          <w:rFonts w:ascii="宋体" w:hAnsi="宋体" w:eastAsia="宋体" w:cs="宋体"/>
          <w:sz w:val="24"/>
          <w:szCs w:val="24"/>
          <w:highlight w:val="none"/>
        </w:rPr>
        <w:t>充分运用信息化手段，加快实现电子证书在招标投标</w:t>
      </w:r>
      <w:r>
        <w:rPr>
          <w:rFonts w:ascii="宋体" w:hAnsi="宋体" w:eastAsia="宋体" w:cs="宋体"/>
          <w:spacing w:val="-1"/>
          <w:sz w:val="24"/>
          <w:szCs w:val="24"/>
          <w:highlight w:val="none"/>
        </w:rPr>
        <w:t>、审批许可、项目管理、行业监</w:t>
      </w:r>
      <w:r>
        <w:rPr>
          <w:rFonts w:ascii="宋体" w:hAnsi="宋体" w:eastAsia="宋体" w:cs="宋体"/>
          <w:spacing w:val="-6"/>
          <w:sz w:val="24"/>
          <w:szCs w:val="24"/>
          <w:highlight w:val="none"/>
        </w:rPr>
        <w:t>管等环节的应用。</w:t>
      </w:r>
    </w:p>
    <w:p w14:paraId="1E836726">
      <w:pPr>
        <w:spacing w:before="195" w:line="220" w:lineRule="auto"/>
        <w:ind w:left="366"/>
        <w:rPr>
          <w:rFonts w:ascii="宋体" w:hAnsi="宋体" w:eastAsia="宋体" w:cs="宋体"/>
          <w:sz w:val="24"/>
          <w:szCs w:val="24"/>
          <w:highlight w:val="none"/>
        </w:rPr>
      </w:pPr>
      <w:r>
        <w:rPr>
          <w:rFonts w:ascii="宋体" w:hAnsi="宋体" w:eastAsia="宋体" w:cs="宋体"/>
          <w:spacing w:val="-5"/>
          <w:sz w:val="24"/>
          <w:szCs w:val="24"/>
          <w:highlight w:val="none"/>
        </w:rPr>
        <w:t>（二）开展延续注册。</w:t>
      </w:r>
    </w:p>
    <w:p w14:paraId="1EF7EE0B">
      <w:pPr>
        <w:spacing w:before="195" w:line="319" w:lineRule="auto"/>
        <w:ind w:left="39" w:right="66" w:firstLine="337"/>
        <w:rPr>
          <w:rFonts w:ascii="宋体" w:hAnsi="宋体" w:eastAsia="宋体" w:cs="宋体"/>
          <w:sz w:val="24"/>
          <w:szCs w:val="24"/>
          <w:highlight w:val="none"/>
        </w:rPr>
      </w:pPr>
      <w:r>
        <w:rPr>
          <w:rFonts w:ascii="宋体" w:hAnsi="宋体" w:eastAsia="宋体" w:cs="宋体"/>
          <w:spacing w:val="-4"/>
          <w:sz w:val="24"/>
          <w:szCs w:val="24"/>
          <w:highlight w:val="none"/>
        </w:rPr>
        <w:t>1.一级建造师注册专业有效期已过期的，</w:t>
      </w:r>
      <w:r>
        <w:rPr>
          <w:rFonts w:ascii="宋体" w:hAnsi="宋体" w:eastAsia="宋体" w:cs="宋体"/>
          <w:spacing w:val="-5"/>
          <w:sz w:val="24"/>
          <w:szCs w:val="24"/>
          <w:highlight w:val="none"/>
        </w:rPr>
        <w:t>应于</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2021</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12</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15 日前提出延续注册</w:t>
      </w:r>
      <w:r>
        <w:rPr>
          <w:rFonts w:ascii="宋体" w:hAnsi="宋体" w:eastAsia="宋体" w:cs="宋体"/>
          <w:spacing w:val="-4"/>
          <w:sz w:val="24"/>
          <w:szCs w:val="24"/>
          <w:highlight w:val="none"/>
        </w:rPr>
        <w:t>申请；注册专业仍在有效期内的，应在有效期届满</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 xml:space="preserve">30 </w:t>
      </w:r>
      <w:r>
        <w:rPr>
          <w:rFonts w:ascii="宋体" w:hAnsi="宋体" w:eastAsia="宋体" w:cs="宋体"/>
          <w:spacing w:val="-5"/>
          <w:sz w:val="24"/>
          <w:szCs w:val="24"/>
          <w:highlight w:val="none"/>
        </w:rPr>
        <w:t>日前提出延续注册申请；注册专业有效期届满且未提出延续注册申请的，自</w:t>
      </w:r>
      <w:r>
        <w:rPr>
          <w:rFonts w:ascii="宋体" w:hAnsi="宋体" w:eastAsia="宋体" w:cs="宋体"/>
          <w:spacing w:val="-47"/>
          <w:sz w:val="24"/>
          <w:szCs w:val="24"/>
          <w:highlight w:val="none"/>
        </w:rPr>
        <w:t xml:space="preserve"> </w:t>
      </w:r>
      <w:r>
        <w:rPr>
          <w:rFonts w:ascii="宋体" w:hAnsi="宋体" w:eastAsia="宋体" w:cs="宋体"/>
          <w:spacing w:val="-5"/>
          <w:sz w:val="24"/>
          <w:szCs w:val="24"/>
          <w:highlight w:val="none"/>
        </w:rPr>
        <w:t>2022</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 日起注册专业失</w:t>
      </w:r>
      <w:r>
        <w:rPr>
          <w:rFonts w:ascii="宋体" w:hAnsi="宋体" w:eastAsia="宋体" w:cs="宋体"/>
          <w:spacing w:val="-6"/>
          <w:sz w:val="24"/>
          <w:szCs w:val="24"/>
          <w:highlight w:val="none"/>
        </w:rPr>
        <w:t>效。</w:t>
      </w:r>
    </w:p>
    <w:p w14:paraId="6100EE40">
      <w:pPr>
        <w:spacing w:before="196" w:line="294" w:lineRule="auto"/>
        <w:ind w:left="41" w:right="64" w:firstLine="321"/>
        <w:rPr>
          <w:rFonts w:ascii="宋体" w:hAnsi="宋体" w:eastAsia="宋体" w:cs="宋体"/>
          <w:sz w:val="24"/>
          <w:szCs w:val="24"/>
          <w:highlight w:val="none"/>
        </w:rPr>
      </w:pPr>
      <w:r>
        <w:rPr>
          <w:rFonts w:ascii="宋体" w:hAnsi="宋体" w:eastAsia="宋体" w:cs="宋体"/>
          <w:spacing w:val="-2"/>
          <w:sz w:val="24"/>
          <w:szCs w:val="24"/>
          <w:highlight w:val="none"/>
        </w:rPr>
        <w:t>2.一级建造师申请延续注册的，应达到继续教育要求，并对本人完成继续教育情况</w:t>
      </w:r>
      <w:r>
        <w:rPr>
          <w:rFonts w:ascii="宋体" w:hAnsi="宋体" w:eastAsia="宋体" w:cs="宋体"/>
          <w:spacing w:val="-8"/>
          <w:sz w:val="24"/>
          <w:szCs w:val="24"/>
          <w:highlight w:val="none"/>
        </w:rPr>
        <w:t>作出承诺。</w:t>
      </w:r>
    </w:p>
    <w:p w14:paraId="63813743">
      <w:pPr>
        <w:spacing w:line="294" w:lineRule="auto"/>
        <w:rPr>
          <w:rFonts w:ascii="宋体" w:hAnsi="宋体" w:eastAsia="宋体" w:cs="宋体"/>
          <w:sz w:val="24"/>
          <w:szCs w:val="24"/>
          <w:highlight w:val="none"/>
        </w:rPr>
        <w:sectPr>
          <w:footerReference r:id="rId17" w:type="default"/>
          <w:pgSz w:w="11907" w:h="16839"/>
          <w:pgMar w:top="1431" w:right="1108" w:bottom="1199" w:left="1785" w:header="0" w:footer="968" w:gutter="0"/>
          <w:cols w:space="720" w:num="1"/>
        </w:sectPr>
      </w:pPr>
    </w:p>
    <w:p w14:paraId="569C3AD8">
      <w:pPr>
        <w:spacing w:before="213" w:line="369" w:lineRule="auto"/>
        <w:ind w:left="94" w:firstLine="322"/>
        <w:rPr>
          <w:rFonts w:ascii="宋体" w:hAnsi="宋体" w:eastAsia="宋体" w:cs="宋体"/>
          <w:sz w:val="24"/>
          <w:szCs w:val="24"/>
          <w:highlight w:val="none"/>
        </w:rPr>
      </w:pPr>
      <w:r>
        <w:rPr>
          <w:rFonts w:ascii="宋体" w:hAnsi="宋体" w:eastAsia="宋体" w:cs="宋体"/>
          <w:spacing w:val="-2"/>
          <w:sz w:val="24"/>
          <w:szCs w:val="24"/>
          <w:highlight w:val="none"/>
        </w:rPr>
        <w:t>3.准予延续注册的注册专业，其注册专业有效期从准予延续注册之日起计算。准予</w:t>
      </w:r>
      <w:r>
        <w:rPr>
          <w:rFonts w:ascii="宋体" w:hAnsi="宋体" w:eastAsia="宋体" w:cs="宋体"/>
          <w:spacing w:val="-1"/>
          <w:sz w:val="24"/>
          <w:szCs w:val="24"/>
          <w:highlight w:val="none"/>
        </w:rPr>
        <w:t>延续注册之日距</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65</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周岁不满</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年的，有效期至6</w:t>
      </w:r>
      <w:r>
        <w:rPr>
          <w:rFonts w:ascii="宋体" w:hAnsi="宋体" w:eastAsia="宋体" w:cs="宋体"/>
          <w:spacing w:val="-2"/>
          <w:sz w:val="24"/>
          <w:szCs w:val="24"/>
          <w:highlight w:val="none"/>
        </w:rPr>
        <w:t>5</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周岁当日。</w:t>
      </w:r>
    </w:p>
    <w:p w14:paraId="5559A06E">
      <w:pPr>
        <w:spacing w:before="1" w:line="218" w:lineRule="auto"/>
        <w:ind w:left="416"/>
        <w:rPr>
          <w:rFonts w:ascii="宋体" w:hAnsi="宋体" w:eastAsia="宋体" w:cs="宋体"/>
          <w:sz w:val="24"/>
          <w:szCs w:val="24"/>
          <w:highlight w:val="none"/>
        </w:rPr>
      </w:pPr>
      <w:r>
        <w:rPr>
          <w:rFonts w:ascii="宋体" w:hAnsi="宋体" w:eastAsia="宋体" w:cs="宋体"/>
          <w:b/>
          <w:bCs/>
          <w:spacing w:val="-3"/>
          <w:sz w:val="24"/>
          <w:szCs w:val="24"/>
          <w:highlight w:val="none"/>
        </w:rPr>
        <w:t>二、电子证书有关使用要求</w:t>
      </w:r>
    </w:p>
    <w:p w14:paraId="777AE1EA">
      <w:pPr>
        <w:spacing w:before="197" w:line="344" w:lineRule="auto"/>
        <w:ind w:left="94" w:firstLine="324"/>
        <w:rPr>
          <w:rFonts w:ascii="宋体" w:hAnsi="宋体" w:eastAsia="宋体" w:cs="宋体"/>
          <w:sz w:val="24"/>
          <w:szCs w:val="24"/>
          <w:highlight w:val="none"/>
        </w:rPr>
      </w:pPr>
      <w:r>
        <w:rPr>
          <w:rFonts w:ascii="宋体" w:hAnsi="宋体" w:eastAsia="宋体" w:cs="宋体"/>
          <w:spacing w:val="-2"/>
          <w:sz w:val="24"/>
          <w:szCs w:val="24"/>
          <w:highlight w:val="none"/>
        </w:rPr>
        <w:t>（一）一级建造师可登录国家政务服务平台、住房和城乡建设部政务服务门户查看</w:t>
      </w:r>
      <w:r>
        <w:rPr>
          <w:rFonts w:ascii="宋体" w:hAnsi="宋体" w:eastAsia="宋体" w:cs="宋体"/>
          <w:sz w:val="24"/>
          <w:szCs w:val="24"/>
          <w:highlight w:val="none"/>
        </w:rPr>
        <w:t>和下载电子证书，具体操作流程可查阅《住房和城乡建设</w:t>
      </w:r>
      <w:r>
        <w:rPr>
          <w:rFonts w:ascii="宋体" w:hAnsi="宋体" w:eastAsia="宋体" w:cs="宋体"/>
          <w:spacing w:val="-1"/>
          <w:sz w:val="24"/>
          <w:szCs w:val="24"/>
          <w:highlight w:val="none"/>
        </w:rPr>
        <w:t>部一级建造师电子证照申领</w:t>
      </w:r>
      <w:r>
        <w:rPr>
          <w:rFonts w:ascii="宋体" w:hAnsi="宋体" w:eastAsia="宋体" w:cs="宋体"/>
          <w:sz w:val="24"/>
          <w:szCs w:val="24"/>
          <w:highlight w:val="none"/>
        </w:rPr>
        <w:t>和使用手册》。查看和下载电子证书时，本人应确认该证</w:t>
      </w:r>
      <w:r>
        <w:rPr>
          <w:rFonts w:ascii="宋体" w:hAnsi="宋体" w:eastAsia="宋体" w:cs="宋体"/>
          <w:spacing w:val="-1"/>
          <w:sz w:val="24"/>
          <w:szCs w:val="24"/>
          <w:highlight w:val="none"/>
        </w:rPr>
        <w:t>书的使用时限。电子证书使</w:t>
      </w:r>
      <w:r>
        <w:rPr>
          <w:rFonts w:ascii="宋体" w:hAnsi="宋体" w:eastAsia="宋体" w:cs="宋体"/>
          <w:spacing w:val="-5"/>
          <w:sz w:val="24"/>
          <w:szCs w:val="24"/>
          <w:highlight w:val="none"/>
        </w:rPr>
        <w:t>用时限为</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180</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天，但使用时限距注册专业有效期或建造师满</w:t>
      </w:r>
      <w:r>
        <w:rPr>
          <w:rFonts w:ascii="宋体" w:hAnsi="宋体" w:eastAsia="宋体" w:cs="宋体"/>
          <w:spacing w:val="-48"/>
          <w:sz w:val="24"/>
          <w:szCs w:val="24"/>
          <w:highlight w:val="none"/>
        </w:rPr>
        <w:t xml:space="preserve"> </w:t>
      </w:r>
      <w:r>
        <w:rPr>
          <w:rFonts w:ascii="宋体" w:hAnsi="宋体" w:eastAsia="宋体" w:cs="宋体"/>
          <w:spacing w:val="-5"/>
          <w:sz w:val="24"/>
          <w:szCs w:val="24"/>
          <w:highlight w:val="none"/>
        </w:rPr>
        <w:t>65</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周岁不足</w:t>
      </w:r>
      <w:r>
        <w:rPr>
          <w:rFonts w:ascii="宋体" w:hAnsi="宋体" w:eastAsia="宋体" w:cs="宋体"/>
          <w:spacing w:val="-32"/>
          <w:sz w:val="24"/>
          <w:szCs w:val="24"/>
          <w:highlight w:val="none"/>
        </w:rPr>
        <w:t xml:space="preserve"> </w:t>
      </w:r>
      <w:r>
        <w:rPr>
          <w:rFonts w:ascii="宋体" w:hAnsi="宋体" w:eastAsia="宋体" w:cs="宋体"/>
          <w:spacing w:val="-5"/>
          <w:sz w:val="24"/>
          <w:szCs w:val="24"/>
          <w:highlight w:val="none"/>
        </w:rPr>
        <w:t>180</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天的</w:t>
      </w:r>
      <w:r>
        <w:rPr>
          <w:rFonts w:ascii="宋体" w:hAnsi="宋体" w:eastAsia="宋体" w:cs="宋体"/>
          <w:spacing w:val="-6"/>
          <w:sz w:val="24"/>
          <w:szCs w:val="24"/>
          <w:highlight w:val="none"/>
        </w:rPr>
        <w:t>，使</w:t>
      </w:r>
      <w:r>
        <w:rPr>
          <w:rFonts w:ascii="宋体" w:hAnsi="宋体" w:eastAsia="宋体" w:cs="宋体"/>
          <w:spacing w:val="-3"/>
          <w:sz w:val="24"/>
          <w:szCs w:val="24"/>
          <w:highlight w:val="none"/>
        </w:rPr>
        <w:t>用时限截止日期以注册专业有效期截止日期或建造师满</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65</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周岁当日为准。超出</w:t>
      </w:r>
      <w:r>
        <w:rPr>
          <w:rFonts w:ascii="宋体" w:hAnsi="宋体" w:eastAsia="宋体" w:cs="宋体"/>
          <w:spacing w:val="-4"/>
          <w:sz w:val="24"/>
          <w:szCs w:val="24"/>
          <w:highlight w:val="none"/>
        </w:rPr>
        <w:t>使用时</w:t>
      </w:r>
      <w:r>
        <w:rPr>
          <w:rFonts w:ascii="宋体" w:hAnsi="宋体" w:eastAsia="宋体" w:cs="宋体"/>
          <w:spacing w:val="-2"/>
          <w:sz w:val="24"/>
          <w:szCs w:val="24"/>
          <w:highlight w:val="none"/>
        </w:rPr>
        <w:t>限的电子证书无效，需重新下载电子证书并再次确认使用时限。</w:t>
      </w:r>
    </w:p>
    <w:p w14:paraId="03A9272F">
      <w:pPr>
        <w:spacing w:before="195" w:line="294" w:lineRule="auto"/>
        <w:ind w:left="97" w:right="1" w:firstLine="320"/>
        <w:rPr>
          <w:rFonts w:ascii="宋体" w:hAnsi="宋体" w:eastAsia="宋体" w:cs="宋体"/>
          <w:sz w:val="24"/>
          <w:szCs w:val="24"/>
          <w:highlight w:val="none"/>
        </w:rPr>
      </w:pPr>
      <w:r>
        <w:rPr>
          <w:rFonts w:ascii="宋体" w:hAnsi="宋体" w:eastAsia="宋体" w:cs="宋体"/>
          <w:spacing w:val="-2"/>
          <w:sz w:val="24"/>
          <w:szCs w:val="24"/>
          <w:highlight w:val="none"/>
        </w:rPr>
        <w:t>（二）一级建造师打印电子证书后，应在个人签名处手写本人签名，未手写签名或</w:t>
      </w:r>
      <w:r>
        <w:rPr>
          <w:rFonts w:ascii="宋体" w:hAnsi="宋体" w:eastAsia="宋体" w:cs="宋体"/>
          <w:spacing w:val="-3"/>
          <w:sz w:val="24"/>
          <w:szCs w:val="24"/>
          <w:highlight w:val="none"/>
        </w:rPr>
        <w:t>与签名图像笔迹不一致的，该电子证书无效。</w:t>
      </w:r>
    </w:p>
    <w:p w14:paraId="4EEB6E04">
      <w:pPr>
        <w:spacing w:before="195" w:line="294" w:lineRule="auto"/>
        <w:ind w:left="96" w:right="1" w:firstLine="321"/>
        <w:rPr>
          <w:rFonts w:ascii="宋体" w:hAnsi="宋体" w:eastAsia="宋体" w:cs="宋体"/>
          <w:sz w:val="24"/>
          <w:szCs w:val="24"/>
          <w:highlight w:val="none"/>
        </w:rPr>
      </w:pPr>
      <w:r>
        <w:rPr>
          <w:rFonts w:ascii="宋体" w:hAnsi="宋体" w:eastAsia="宋体" w:cs="宋体"/>
          <w:spacing w:val="-2"/>
          <w:sz w:val="24"/>
          <w:szCs w:val="24"/>
          <w:highlight w:val="none"/>
        </w:rPr>
        <w:t>（三）一级建造师应妥善保管本人的国家政务服务平台账号，因本人保管不善造成</w:t>
      </w:r>
      <w:r>
        <w:rPr>
          <w:rFonts w:ascii="宋体" w:hAnsi="宋体" w:eastAsia="宋体" w:cs="宋体"/>
          <w:spacing w:val="-3"/>
          <w:sz w:val="24"/>
          <w:szCs w:val="24"/>
          <w:highlight w:val="none"/>
        </w:rPr>
        <w:t>账号信息泄露所产生的一切后果由本人承担。</w:t>
      </w:r>
    </w:p>
    <w:p w14:paraId="1FD8E6ED">
      <w:pPr>
        <w:spacing w:before="197" w:line="294" w:lineRule="auto"/>
        <w:ind w:left="92" w:right="11" w:firstLine="326"/>
        <w:rPr>
          <w:rFonts w:ascii="宋体" w:hAnsi="宋体" w:eastAsia="宋体" w:cs="宋体"/>
          <w:sz w:val="24"/>
          <w:szCs w:val="24"/>
          <w:highlight w:val="none"/>
        </w:rPr>
      </w:pPr>
      <w:r>
        <w:rPr>
          <w:rFonts w:ascii="宋体" w:hAnsi="宋体" w:eastAsia="宋体" w:cs="宋体"/>
          <w:spacing w:val="-2"/>
          <w:sz w:val="24"/>
          <w:szCs w:val="24"/>
          <w:highlight w:val="none"/>
        </w:rPr>
        <w:t>（四）有关单位和个人可通过“中国建造师网”微信公众号扫描电子证书上的二维</w:t>
      </w:r>
      <w:r>
        <w:rPr>
          <w:rFonts w:ascii="宋体" w:hAnsi="宋体" w:eastAsia="宋体" w:cs="宋体"/>
          <w:spacing w:val="-3"/>
          <w:sz w:val="24"/>
          <w:szCs w:val="24"/>
          <w:highlight w:val="none"/>
        </w:rPr>
        <w:t>码，查询一级建造师注册信息。</w:t>
      </w:r>
    </w:p>
    <w:p w14:paraId="6ABBA303">
      <w:pPr>
        <w:spacing w:before="196" w:line="319" w:lineRule="auto"/>
        <w:ind w:left="92" w:right="17" w:firstLine="326"/>
        <w:rPr>
          <w:rFonts w:ascii="宋体" w:hAnsi="宋体" w:eastAsia="宋体" w:cs="宋体"/>
          <w:sz w:val="24"/>
          <w:szCs w:val="24"/>
          <w:highlight w:val="none"/>
        </w:rPr>
      </w:pPr>
      <w:r>
        <w:rPr>
          <w:rFonts w:ascii="宋体" w:hAnsi="宋体" w:eastAsia="宋体" w:cs="宋体"/>
          <w:spacing w:val="-2"/>
          <w:sz w:val="24"/>
          <w:szCs w:val="24"/>
          <w:highlight w:val="none"/>
        </w:rPr>
        <w:t>（五）电子证书与纸质注册证书的聘用单位信息、个人基本信息、注册专</w:t>
      </w:r>
      <w:r>
        <w:rPr>
          <w:rFonts w:ascii="宋体" w:hAnsi="宋体" w:eastAsia="宋体" w:cs="宋体"/>
          <w:spacing w:val="-3"/>
          <w:sz w:val="24"/>
          <w:szCs w:val="24"/>
          <w:highlight w:val="none"/>
        </w:rPr>
        <w:t>业有效期</w:t>
      </w:r>
      <w:r>
        <w:rPr>
          <w:rFonts w:ascii="宋体" w:hAnsi="宋体" w:eastAsia="宋体" w:cs="宋体"/>
          <w:sz w:val="24"/>
          <w:szCs w:val="24"/>
          <w:highlight w:val="none"/>
        </w:rPr>
        <w:t>等不一致的，以电子证书信息为准。电子证书信息发生变更的</w:t>
      </w:r>
      <w:r>
        <w:rPr>
          <w:rFonts w:ascii="宋体" w:hAnsi="宋体" w:eastAsia="宋体" w:cs="宋体"/>
          <w:spacing w:val="-1"/>
          <w:sz w:val="24"/>
          <w:szCs w:val="24"/>
          <w:highlight w:val="none"/>
        </w:rPr>
        <w:t>，需登录国家政务服务</w:t>
      </w:r>
      <w:r>
        <w:rPr>
          <w:rFonts w:ascii="宋体" w:hAnsi="宋体" w:eastAsia="宋体" w:cs="宋体"/>
          <w:spacing w:val="-2"/>
          <w:sz w:val="24"/>
          <w:szCs w:val="24"/>
          <w:highlight w:val="none"/>
        </w:rPr>
        <w:t>平台或住房和城乡建设部政务服务门户重新下载。</w:t>
      </w:r>
    </w:p>
    <w:p w14:paraId="3B34EE65">
      <w:pPr>
        <w:spacing w:before="194" w:line="220"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住房和城乡建设部办公厅</w:t>
      </w:r>
    </w:p>
    <w:p w14:paraId="446E8204">
      <w:pPr>
        <w:spacing w:before="194" w:line="220" w:lineRule="auto"/>
        <w:jc w:val="right"/>
        <w:rPr>
          <w:rFonts w:ascii="宋体" w:hAnsi="宋体" w:eastAsia="宋体" w:cs="宋体"/>
          <w:sz w:val="24"/>
          <w:szCs w:val="24"/>
          <w:highlight w:val="none"/>
        </w:rPr>
      </w:pPr>
      <w:r>
        <w:rPr>
          <w:rFonts w:ascii="宋体" w:hAnsi="宋体" w:eastAsia="宋体" w:cs="宋体"/>
          <w:spacing w:val="-13"/>
          <w:sz w:val="24"/>
          <w:szCs w:val="24"/>
          <w:highlight w:val="none"/>
        </w:rPr>
        <w:t>2021</w:t>
      </w:r>
      <w:r>
        <w:rPr>
          <w:rFonts w:ascii="宋体" w:hAnsi="宋体" w:eastAsia="宋体" w:cs="宋体"/>
          <w:spacing w:val="-43"/>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50"/>
          <w:sz w:val="24"/>
          <w:szCs w:val="24"/>
          <w:highlight w:val="none"/>
        </w:rPr>
        <w:t xml:space="preserve"> </w:t>
      </w:r>
      <w:r>
        <w:rPr>
          <w:rFonts w:ascii="宋体" w:hAnsi="宋体" w:eastAsia="宋体" w:cs="宋体"/>
          <w:spacing w:val="-13"/>
          <w:sz w:val="24"/>
          <w:szCs w:val="24"/>
          <w:highlight w:val="none"/>
        </w:rPr>
        <w:t>9</w:t>
      </w:r>
      <w:r>
        <w:rPr>
          <w:rFonts w:ascii="宋体" w:hAnsi="宋体" w:eastAsia="宋体" w:cs="宋体"/>
          <w:spacing w:val="-45"/>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13"/>
          <w:sz w:val="24"/>
          <w:szCs w:val="24"/>
          <w:highlight w:val="none"/>
        </w:rPr>
        <w:t>18 日</w:t>
      </w:r>
    </w:p>
    <w:p w14:paraId="381C052E">
      <w:pPr>
        <w:spacing w:before="194" w:line="219" w:lineRule="auto"/>
        <w:ind w:left="430"/>
        <w:rPr>
          <w:rFonts w:ascii="宋体" w:hAnsi="宋体" w:eastAsia="宋体" w:cs="宋体"/>
          <w:sz w:val="24"/>
          <w:szCs w:val="24"/>
          <w:highlight w:val="none"/>
        </w:rPr>
      </w:pPr>
      <w:r>
        <w:rPr>
          <w:rFonts w:ascii="宋体" w:hAnsi="宋体" w:eastAsia="宋体" w:cs="宋体"/>
          <w:b/>
          <w:bCs/>
          <w:spacing w:val="-3"/>
          <w:sz w:val="24"/>
          <w:szCs w:val="24"/>
          <w:highlight w:val="none"/>
        </w:rPr>
        <w:t>12、安徽省建设厅《关于启用二级注册建造师电子注册证书的通知》</w:t>
      </w:r>
    </w:p>
    <w:p w14:paraId="29B7314B">
      <w:pPr>
        <w:spacing w:before="196" w:line="219" w:lineRule="auto"/>
        <w:ind w:left="1146"/>
        <w:rPr>
          <w:rFonts w:ascii="宋体" w:hAnsi="宋体" w:eastAsia="宋体" w:cs="宋体"/>
          <w:sz w:val="24"/>
          <w:szCs w:val="24"/>
          <w:highlight w:val="none"/>
        </w:rPr>
      </w:pPr>
      <w:r>
        <w:rPr>
          <w:rFonts w:ascii="宋体" w:hAnsi="宋体" w:eastAsia="宋体" w:cs="宋体"/>
          <w:spacing w:val="-1"/>
          <w:sz w:val="24"/>
          <w:szCs w:val="24"/>
          <w:highlight w:val="none"/>
        </w:rPr>
        <w:t>安徽省建设厅《关于启用二级注册建造师电子注册证书的通知》</w:t>
      </w:r>
    </w:p>
    <w:p w14:paraId="0AC812E8">
      <w:pPr>
        <w:spacing w:before="195" w:line="221" w:lineRule="auto"/>
        <w:ind w:left="3276"/>
        <w:rPr>
          <w:rFonts w:ascii="宋体" w:hAnsi="宋体" w:eastAsia="宋体" w:cs="宋体"/>
          <w:sz w:val="24"/>
          <w:szCs w:val="24"/>
          <w:highlight w:val="none"/>
        </w:rPr>
      </w:pPr>
      <w:r>
        <w:rPr>
          <w:rFonts w:ascii="宋体" w:hAnsi="宋体" w:eastAsia="宋体" w:cs="宋体"/>
          <w:spacing w:val="-1"/>
          <w:sz w:val="24"/>
          <w:szCs w:val="24"/>
          <w:highlight w:val="none"/>
        </w:rPr>
        <w:t>建人函〔2018〕3038</w:t>
      </w:r>
      <w:r>
        <w:rPr>
          <w:rFonts w:ascii="宋体" w:hAnsi="宋体" w:eastAsia="宋体" w:cs="宋体"/>
          <w:spacing w:val="-44"/>
          <w:sz w:val="24"/>
          <w:szCs w:val="24"/>
          <w:highlight w:val="none"/>
        </w:rPr>
        <w:t xml:space="preserve"> </w:t>
      </w:r>
      <w:r>
        <w:rPr>
          <w:rFonts w:ascii="宋体" w:hAnsi="宋体" w:eastAsia="宋体" w:cs="宋体"/>
          <w:spacing w:val="-1"/>
          <w:sz w:val="24"/>
          <w:szCs w:val="24"/>
          <w:highlight w:val="none"/>
        </w:rPr>
        <w:t>号</w:t>
      </w:r>
    </w:p>
    <w:p w14:paraId="3ABD3025">
      <w:pPr>
        <w:spacing w:before="194" w:line="369" w:lineRule="auto"/>
        <w:ind w:left="3" w:right="1" w:hanging="3"/>
        <w:rPr>
          <w:rFonts w:ascii="宋体" w:hAnsi="宋体" w:eastAsia="宋体" w:cs="宋体"/>
          <w:sz w:val="24"/>
          <w:szCs w:val="24"/>
          <w:highlight w:val="none"/>
        </w:rPr>
      </w:pPr>
      <w:r>
        <w:rPr>
          <w:rFonts w:ascii="宋体" w:hAnsi="宋体" w:eastAsia="宋体" w:cs="宋体"/>
          <w:spacing w:val="-6"/>
          <w:sz w:val="24"/>
          <w:szCs w:val="24"/>
          <w:highlight w:val="none"/>
        </w:rPr>
        <w:t>各市住房城乡建设委（城乡建设委、城乡规划建设委</w:t>
      </w:r>
      <w:r>
        <w:rPr>
          <w:rFonts w:ascii="宋体" w:hAnsi="宋体" w:eastAsia="宋体" w:cs="宋体"/>
          <w:spacing w:val="-7"/>
          <w:sz w:val="24"/>
          <w:szCs w:val="24"/>
          <w:highlight w:val="none"/>
        </w:rPr>
        <w:t>），</w:t>
      </w:r>
      <w:r>
        <w:rPr>
          <w:rFonts w:ascii="宋体" w:hAnsi="宋体" w:eastAsia="宋体" w:cs="宋体"/>
          <w:spacing w:val="-6"/>
          <w:sz w:val="24"/>
          <w:szCs w:val="24"/>
          <w:highlight w:val="none"/>
        </w:rPr>
        <w:t>广德、宿松县</w:t>
      </w:r>
      <w:r>
        <w:rPr>
          <w:rFonts w:ascii="宋体" w:hAnsi="宋体" w:eastAsia="宋体" w:cs="宋体"/>
          <w:spacing w:val="-7"/>
          <w:sz w:val="24"/>
          <w:szCs w:val="24"/>
          <w:highlight w:val="none"/>
        </w:rPr>
        <w:t>住房城乡建设委</w:t>
      </w:r>
      <w:r>
        <w:rPr>
          <w:rFonts w:ascii="宋体" w:hAnsi="宋体" w:eastAsia="宋体" w:cs="宋体"/>
          <w:spacing w:val="-18"/>
          <w:sz w:val="24"/>
          <w:szCs w:val="24"/>
          <w:highlight w:val="none"/>
        </w:rPr>
        <w:t>（局</w:t>
      </w:r>
      <w:r>
        <w:rPr>
          <w:rFonts w:ascii="宋体" w:hAnsi="宋体" w:eastAsia="宋体" w:cs="宋体"/>
          <w:spacing w:val="-9"/>
          <w:sz w:val="24"/>
          <w:szCs w:val="24"/>
          <w:highlight w:val="none"/>
        </w:rPr>
        <w:t>）：</w:t>
      </w:r>
    </w:p>
    <w:p w14:paraId="27CC86DD">
      <w:pPr>
        <w:spacing w:before="1" w:line="369" w:lineRule="auto"/>
        <w:ind w:right="6"/>
        <w:rPr>
          <w:rFonts w:ascii="宋体" w:hAnsi="宋体" w:eastAsia="宋体" w:cs="宋体"/>
          <w:sz w:val="24"/>
          <w:szCs w:val="24"/>
          <w:highlight w:val="none"/>
        </w:rPr>
      </w:pPr>
      <w:r>
        <w:rPr>
          <w:rFonts w:ascii="宋体" w:hAnsi="宋体" w:eastAsia="宋体" w:cs="宋体"/>
          <w:sz w:val="24"/>
          <w:szCs w:val="24"/>
          <w:highlight w:val="none"/>
        </w:rPr>
        <w:t>为进一步推进“互联网+政务服务”，实现证照数字化管理目标，我省</w:t>
      </w:r>
      <w:r>
        <w:rPr>
          <w:rFonts w:ascii="宋体" w:hAnsi="宋体" w:eastAsia="宋体" w:cs="宋体"/>
          <w:spacing w:val="-1"/>
          <w:sz w:val="24"/>
          <w:szCs w:val="24"/>
          <w:highlight w:val="none"/>
        </w:rPr>
        <w:t>将启用二级注册</w:t>
      </w:r>
      <w:r>
        <w:rPr>
          <w:rFonts w:ascii="宋体" w:hAnsi="宋体" w:eastAsia="宋体" w:cs="宋体"/>
          <w:spacing w:val="-3"/>
          <w:sz w:val="24"/>
          <w:szCs w:val="24"/>
          <w:highlight w:val="none"/>
        </w:rPr>
        <w:t>建造师（含临时）电子注册证书。现将有关事项通知如下：</w:t>
      </w:r>
    </w:p>
    <w:p w14:paraId="7132F4DE">
      <w:pPr>
        <w:spacing w:before="1" w:line="218" w:lineRule="auto"/>
        <w:rPr>
          <w:rFonts w:ascii="宋体" w:hAnsi="宋体" w:eastAsia="宋体" w:cs="宋体"/>
          <w:sz w:val="24"/>
          <w:szCs w:val="24"/>
          <w:highlight w:val="none"/>
        </w:rPr>
      </w:pPr>
      <w:r>
        <w:rPr>
          <w:rFonts w:ascii="宋体" w:hAnsi="宋体" w:eastAsia="宋体" w:cs="宋体"/>
          <w:spacing w:val="-4"/>
          <w:sz w:val="24"/>
          <w:szCs w:val="24"/>
          <w:highlight w:val="none"/>
        </w:rPr>
        <w:t>一、电子注册证书的启用</w:t>
      </w:r>
    </w:p>
    <w:p w14:paraId="1F60250B">
      <w:pPr>
        <w:spacing w:before="195" w:line="219" w:lineRule="auto"/>
        <w:jc w:val="right"/>
        <w:rPr>
          <w:rFonts w:ascii="宋体" w:hAnsi="宋体" w:eastAsia="宋体" w:cs="宋体"/>
          <w:sz w:val="24"/>
          <w:szCs w:val="24"/>
          <w:highlight w:val="none"/>
        </w:rPr>
      </w:pPr>
      <w:r>
        <w:rPr>
          <w:rFonts w:ascii="宋体" w:hAnsi="宋体" w:eastAsia="宋体" w:cs="宋体"/>
          <w:spacing w:val="-9"/>
          <w:sz w:val="24"/>
          <w:szCs w:val="24"/>
          <w:highlight w:val="none"/>
        </w:rPr>
        <w:t>自</w:t>
      </w:r>
      <w:r>
        <w:rPr>
          <w:rFonts w:ascii="宋体" w:hAnsi="宋体" w:eastAsia="宋体" w:cs="宋体"/>
          <w:spacing w:val="-41"/>
          <w:sz w:val="24"/>
          <w:szCs w:val="24"/>
          <w:highlight w:val="none"/>
        </w:rPr>
        <w:t xml:space="preserve"> </w:t>
      </w:r>
      <w:r>
        <w:rPr>
          <w:rFonts w:ascii="宋体" w:hAnsi="宋体" w:eastAsia="宋体" w:cs="宋体"/>
          <w:spacing w:val="-9"/>
          <w:sz w:val="24"/>
          <w:szCs w:val="24"/>
          <w:highlight w:val="none"/>
        </w:rPr>
        <w:t>2018</w:t>
      </w:r>
      <w:r>
        <w:rPr>
          <w:rFonts w:ascii="宋体" w:hAnsi="宋体" w:eastAsia="宋体" w:cs="宋体"/>
          <w:spacing w:val="-49"/>
          <w:sz w:val="24"/>
          <w:szCs w:val="24"/>
          <w:highlight w:val="none"/>
        </w:rPr>
        <w:t xml:space="preserve"> </w:t>
      </w:r>
      <w:r>
        <w:rPr>
          <w:rFonts w:ascii="宋体" w:hAnsi="宋体" w:eastAsia="宋体" w:cs="宋体"/>
          <w:spacing w:val="-9"/>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9"/>
          <w:sz w:val="24"/>
          <w:szCs w:val="24"/>
          <w:highlight w:val="none"/>
        </w:rPr>
        <w:t>12</w:t>
      </w:r>
      <w:r>
        <w:rPr>
          <w:rFonts w:ascii="宋体" w:hAnsi="宋体" w:eastAsia="宋体" w:cs="宋体"/>
          <w:spacing w:val="-45"/>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9"/>
          <w:sz w:val="24"/>
          <w:szCs w:val="24"/>
          <w:highlight w:val="none"/>
        </w:rPr>
        <w:t>1 日起，我省启用二级注册建造师电子注册证书。2018</w:t>
      </w:r>
      <w:r>
        <w:rPr>
          <w:rFonts w:ascii="宋体" w:hAnsi="宋体" w:eastAsia="宋体" w:cs="宋体"/>
          <w:spacing w:val="-49"/>
          <w:sz w:val="24"/>
          <w:szCs w:val="24"/>
          <w:highlight w:val="none"/>
        </w:rPr>
        <w:t xml:space="preserve"> </w:t>
      </w:r>
      <w:r>
        <w:rPr>
          <w:rFonts w:ascii="宋体" w:hAnsi="宋体" w:eastAsia="宋体" w:cs="宋体"/>
          <w:spacing w:val="-9"/>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9"/>
          <w:sz w:val="24"/>
          <w:szCs w:val="24"/>
          <w:highlight w:val="none"/>
        </w:rPr>
        <w:t>12</w:t>
      </w:r>
      <w:r>
        <w:rPr>
          <w:rFonts w:ascii="宋体" w:hAnsi="宋体" w:eastAsia="宋体" w:cs="宋体"/>
          <w:spacing w:val="-45"/>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9"/>
          <w:sz w:val="24"/>
          <w:szCs w:val="24"/>
          <w:highlight w:val="none"/>
        </w:rPr>
        <w:t>1 日至</w:t>
      </w:r>
    </w:p>
    <w:p w14:paraId="40F092B1">
      <w:pPr>
        <w:spacing w:line="219" w:lineRule="auto"/>
        <w:rPr>
          <w:rFonts w:ascii="宋体" w:hAnsi="宋体" w:eastAsia="宋体" w:cs="宋体"/>
          <w:sz w:val="24"/>
          <w:szCs w:val="24"/>
          <w:highlight w:val="none"/>
        </w:rPr>
        <w:sectPr>
          <w:footerReference r:id="rId18" w:type="default"/>
          <w:pgSz w:w="11907" w:h="16839"/>
          <w:pgMar w:top="1431" w:right="1171" w:bottom="1199" w:left="1733" w:header="0" w:footer="968" w:gutter="0"/>
          <w:cols w:space="720" w:num="1"/>
        </w:sectPr>
      </w:pPr>
    </w:p>
    <w:p w14:paraId="0A8E7B95">
      <w:pPr>
        <w:spacing w:before="214" w:line="369" w:lineRule="auto"/>
        <w:ind w:left="6" w:right="117" w:firstLine="12"/>
        <w:jc w:val="both"/>
        <w:rPr>
          <w:rFonts w:ascii="宋体" w:hAnsi="宋体" w:eastAsia="宋体" w:cs="宋体"/>
          <w:sz w:val="24"/>
          <w:szCs w:val="24"/>
          <w:highlight w:val="none"/>
        </w:rPr>
      </w:pPr>
      <w:r>
        <w:rPr>
          <w:rFonts w:ascii="宋体" w:hAnsi="宋体" w:eastAsia="宋体" w:cs="宋体"/>
          <w:spacing w:val="-8"/>
          <w:sz w:val="24"/>
          <w:szCs w:val="24"/>
          <w:highlight w:val="none"/>
        </w:rPr>
        <w:t>12</w:t>
      </w:r>
      <w:r>
        <w:rPr>
          <w:rFonts w:ascii="宋体" w:hAnsi="宋体" w:eastAsia="宋体" w:cs="宋体"/>
          <w:spacing w:val="-45"/>
          <w:sz w:val="24"/>
          <w:szCs w:val="24"/>
          <w:highlight w:val="none"/>
        </w:rPr>
        <w:t xml:space="preserve"> </w:t>
      </w:r>
      <w:r>
        <w:rPr>
          <w:rFonts w:ascii="宋体" w:hAnsi="宋体" w:eastAsia="宋体" w:cs="宋体"/>
          <w:spacing w:val="-8"/>
          <w:sz w:val="24"/>
          <w:szCs w:val="24"/>
          <w:highlight w:val="none"/>
        </w:rPr>
        <w:t>月</w:t>
      </w:r>
      <w:r>
        <w:rPr>
          <w:rFonts w:ascii="宋体" w:hAnsi="宋体" w:eastAsia="宋体" w:cs="宋体"/>
          <w:spacing w:val="-46"/>
          <w:sz w:val="24"/>
          <w:szCs w:val="24"/>
          <w:highlight w:val="none"/>
        </w:rPr>
        <w:t xml:space="preserve"> </w:t>
      </w:r>
      <w:r>
        <w:rPr>
          <w:rFonts w:ascii="宋体" w:hAnsi="宋体" w:eastAsia="宋体" w:cs="宋体"/>
          <w:spacing w:val="-8"/>
          <w:sz w:val="24"/>
          <w:szCs w:val="24"/>
          <w:highlight w:val="none"/>
        </w:rPr>
        <w:t>31 日，采用电子注册证书，同时发放纸质注册</w:t>
      </w:r>
      <w:r>
        <w:rPr>
          <w:rFonts w:ascii="宋体" w:hAnsi="宋体" w:eastAsia="宋体" w:cs="宋体"/>
          <w:spacing w:val="-9"/>
          <w:sz w:val="24"/>
          <w:szCs w:val="24"/>
          <w:highlight w:val="none"/>
        </w:rPr>
        <w:t>证书。2019</w:t>
      </w:r>
      <w:r>
        <w:rPr>
          <w:rFonts w:ascii="宋体" w:hAnsi="宋体" w:eastAsia="宋体" w:cs="宋体"/>
          <w:spacing w:val="-50"/>
          <w:sz w:val="24"/>
          <w:szCs w:val="24"/>
          <w:highlight w:val="none"/>
        </w:rPr>
        <w:t xml:space="preserve"> </w:t>
      </w:r>
      <w:r>
        <w:rPr>
          <w:rFonts w:ascii="宋体" w:hAnsi="宋体" w:eastAsia="宋体" w:cs="宋体"/>
          <w:spacing w:val="-9"/>
          <w:sz w:val="24"/>
          <w:szCs w:val="24"/>
          <w:highlight w:val="none"/>
        </w:rPr>
        <w:t>年</w:t>
      </w:r>
      <w:r>
        <w:rPr>
          <w:rFonts w:ascii="宋体" w:hAnsi="宋体" w:eastAsia="宋体" w:cs="宋体"/>
          <w:spacing w:val="-33"/>
          <w:sz w:val="24"/>
          <w:szCs w:val="24"/>
          <w:highlight w:val="none"/>
        </w:rPr>
        <w:t xml:space="preserve"> </w:t>
      </w:r>
      <w:r>
        <w:rPr>
          <w:rFonts w:ascii="宋体" w:hAnsi="宋体" w:eastAsia="宋体" w:cs="宋体"/>
          <w:spacing w:val="-9"/>
          <w:sz w:val="24"/>
          <w:szCs w:val="24"/>
          <w:highlight w:val="none"/>
        </w:rPr>
        <w:t>1</w:t>
      </w:r>
      <w:r>
        <w:rPr>
          <w:rFonts w:ascii="宋体" w:hAnsi="宋体" w:eastAsia="宋体" w:cs="宋体"/>
          <w:spacing w:val="-44"/>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33"/>
          <w:sz w:val="24"/>
          <w:szCs w:val="24"/>
          <w:highlight w:val="none"/>
        </w:rPr>
        <w:t xml:space="preserve"> </w:t>
      </w:r>
      <w:r>
        <w:rPr>
          <w:rFonts w:ascii="宋体" w:hAnsi="宋体" w:eastAsia="宋体" w:cs="宋体"/>
          <w:spacing w:val="-9"/>
          <w:sz w:val="24"/>
          <w:szCs w:val="24"/>
          <w:highlight w:val="none"/>
        </w:rPr>
        <w:t>1 日后，仅采用</w:t>
      </w:r>
      <w:r>
        <w:rPr>
          <w:rFonts w:ascii="宋体" w:hAnsi="宋体" w:eastAsia="宋体" w:cs="宋体"/>
          <w:spacing w:val="-3"/>
          <w:sz w:val="24"/>
          <w:szCs w:val="24"/>
          <w:highlight w:val="none"/>
        </w:rPr>
        <w:t>电子注册证书，纸质注册证书停发，已发的纸质证书并在有效期</w:t>
      </w:r>
      <w:r>
        <w:rPr>
          <w:rFonts w:ascii="宋体" w:hAnsi="宋体" w:eastAsia="宋体" w:cs="宋体"/>
          <w:spacing w:val="-4"/>
          <w:sz w:val="24"/>
          <w:szCs w:val="24"/>
          <w:highlight w:val="none"/>
        </w:rPr>
        <w:t>内的可继续使用。今后</w:t>
      </w:r>
      <w:r>
        <w:rPr>
          <w:rFonts w:ascii="宋体" w:hAnsi="宋体" w:eastAsia="宋体" w:cs="宋体"/>
          <w:spacing w:val="-2"/>
          <w:sz w:val="24"/>
          <w:szCs w:val="24"/>
          <w:highlight w:val="none"/>
        </w:rPr>
        <w:t>办理初始、增项、重新、变更、延续等业务时均改发电子注册证书。</w:t>
      </w:r>
    </w:p>
    <w:p w14:paraId="12B60D2A">
      <w:pPr>
        <w:spacing w:before="1" w:line="218" w:lineRule="auto"/>
        <w:ind w:left="5"/>
        <w:rPr>
          <w:rFonts w:ascii="宋体" w:hAnsi="宋体" w:eastAsia="宋体" w:cs="宋体"/>
          <w:sz w:val="24"/>
          <w:szCs w:val="24"/>
          <w:highlight w:val="none"/>
        </w:rPr>
      </w:pPr>
      <w:r>
        <w:rPr>
          <w:rFonts w:ascii="宋体" w:hAnsi="宋体" w:eastAsia="宋体" w:cs="宋体"/>
          <w:spacing w:val="-2"/>
          <w:sz w:val="24"/>
          <w:szCs w:val="24"/>
          <w:highlight w:val="none"/>
        </w:rPr>
        <w:t>二、电子注册证书的办理</w:t>
      </w:r>
    </w:p>
    <w:p w14:paraId="74DD432A">
      <w:pPr>
        <w:spacing w:before="196" w:line="369" w:lineRule="auto"/>
        <w:ind w:right="67" w:firstLine="6"/>
        <w:jc w:val="both"/>
        <w:rPr>
          <w:rFonts w:ascii="宋体" w:hAnsi="宋体" w:eastAsia="宋体" w:cs="宋体"/>
          <w:sz w:val="24"/>
          <w:szCs w:val="24"/>
          <w:highlight w:val="none"/>
        </w:rPr>
      </w:pPr>
      <w:r>
        <w:rPr>
          <w:rFonts w:ascii="宋体" w:hAnsi="宋体" w:eastAsia="宋体" w:cs="宋体"/>
          <w:sz w:val="24"/>
          <w:szCs w:val="24"/>
          <w:highlight w:val="none"/>
        </w:rPr>
        <w:t>登录二级执业师注册管理信息系统（个人版</w:t>
      </w:r>
      <w:r>
        <w:rPr>
          <w:rFonts w:ascii="宋体" w:hAnsi="宋体" w:eastAsia="宋体" w:cs="宋体"/>
          <w:spacing w:val="-1"/>
          <w:sz w:val="24"/>
          <w:szCs w:val="24"/>
          <w:highlight w:val="none"/>
        </w:rPr>
        <w:t>），</w:t>
      </w:r>
      <w:r>
        <w:rPr>
          <w:rFonts w:ascii="宋体" w:hAnsi="宋体" w:eastAsia="宋体" w:cs="宋体"/>
          <w:sz w:val="24"/>
          <w:szCs w:val="24"/>
          <w:highlight w:val="none"/>
        </w:rPr>
        <w:t>选择“电子证照-照片上</w:t>
      </w:r>
      <w:r>
        <w:rPr>
          <w:rFonts w:ascii="宋体" w:hAnsi="宋体" w:eastAsia="宋体" w:cs="宋体"/>
          <w:spacing w:val="-1"/>
          <w:sz w:val="24"/>
          <w:szCs w:val="24"/>
          <w:highlight w:val="none"/>
        </w:rPr>
        <w:t>传”模块并上</w:t>
      </w:r>
      <w:r>
        <w:rPr>
          <w:rFonts w:ascii="宋体" w:hAnsi="宋体" w:eastAsia="宋体" w:cs="宋体"/>
          <w:spacing w:val="-2"/>
          <w:sz w:val="24"/>
          <w:szCs w:val="24"/>
          <w:highlight w:val="none"/>
        </w:rPr>
        <w:t>传</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2</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寸蓝底照片。取得二级建造师执业资格人员在注册成功</w:t>
      </w:r>
      <w:r>
        <w:rPr>
          <w:rFonts w:ascii="宋体" w:hAnsi="宋体" w:eastAsia="宋体" w:cs="宋体"/>
          <w:spacing w:val="-3"/>
          <w:sz w:val="24"/>
          <w:szCs w:val="24"/>
          <w:highlight w:val="none"/>
        </w:rPr>
        <w:t>后自动获取电子注册证书，已注册人员在照片上传后获取电子注册证书。</w:t>
      </w:r>
    </w:p>
    <w:p w14:paraId="531A83C0">
      <w:pPr>
        <w:spacing w:before="1" w:line="220" w:lineRule="auto"/>
        <w:ind w:left="1"/>
        <w:rPr>
          <w:rFonts w:ascii="宋体" w:hAnsi="宋体" w:eastAsia="宋体" w:cs="宋体"/>
          <w:sz w:val="24"/>
          <w:szCs w:val="24"/>
          <w:highlight w:val="none"/>
        </w:rPr>
      </w:pPr>
      <w:r>
        <w:rPr>
          <w:rFonts w:ascii="宋体" w:hAnsi="宋体" w:eastAsia="宋体" w:cs="宋体"/>
          <w:spacing w:val="-2"/>
          <w:sz w:val="24"/>
          <w:szCs w:val="24"/>
          <w:highlight w:val="none"/>
        </w:rPr>
        <w:t>三、查询验证</w:t>
      </w:r>
    </w:p>
    <w:p w14:paraId="26773194">
      <w:pPr>
        <w:spacing w:before="193" w:line="219" w:lineRule="auto"/>
        <w:ind w:left="4"/>
        <w:rPr>
          <w:rFonts w:ascii="宋体" w:hAnsi="宋体" w:eastAsia="宋体" w:cs="宋体"/>
          <w:sz w:val="24"/>
          <w:szCs w:val="24"/>
          <w:highlight w:val="none"/>
        </w:rPr>
      </w:pPr>
      <w:r>
        <w:rPr>
          <w:rFonts w:ascii="宋体" w:hAnsi="宋体" w:eastAsia="宋体" w:cs="宋体"/>
          <w:spacing w:val="-2"/>
          <w:sz w:val="24"/>
          <w:szCs w:val="24"/>
          <w:highlight w:val="none"/>
        </w:rPr>
        <w:t>各相关单位及个人可通过以下方式查询核验电子注册</w:t>
      </w:r>
      <w:r>
        <w:rPr>
          <w:rFonts w:ascii="宋体" w:hAnsi="宋体" w:eastAsia="宋体" w:cs="宋体"/>
          <w:spacing w:val="-3"/>
          <w:sz w:val="24"/>
          <w:szCs w:val="24"/>
          <w:highlight w:val="none"/>
        </w:rPr>
        <w:t>证书实时信息：</w:t>
      </w:r>
    </w:p>
    <w:p w14:paraId="7BAEE7B6">
      <w:pPr>
        <w:spacing w:before="197" w:line="330" w:lineRule="auto"/>
        <w:ind w:left="1" w:firstLine="17"/>
        <w:rPr>
          <w:rFonts w:ascii="宋体" w:hAnsi="宋体" w:eastAsia="宋体" w:cs="宋体"/>
          <w:sz w:val="24"/>
          <w:szCs w:val="24"/>
          <w:highlight w:val="none"/>
        </w:rPr>
      </w:pPr>
      <w:r>
        <w:rPr>
          <w:rFonts w:ascii="宋体" w:hAnsi="宋体" w:eastAsia="宋体" w:cs="宋体"/>
          <w:spacing w:val="-3"/>
          <w:sz w:val="24"/>
          <w:szCs w:val="24"/>
          <w:highlight w:val="none"/>
        </w:rPr>
        <w:t>1.登录“安徽省工程建设监管和信用管理平</w:t>
      </w:r>
      <w:r>
        <w:rPr>
          <w:rFonts w:ascii="宋体" w:hAnsi="宋体" w:eastAsia="宋体" w:cs="宋体"/>
          <w:spacing w:val="-4"/>
          <w:sz w:val="24"/>
          <w:szCs w:val="24"/>
          <w:highlight w:val="none"/>
        </w:rPr>
        <w:t>台—注册二级建造师—证照查询”或“安徽</w:t>
      </w:r>
      <w:r>
        <w:rPr>
          <w:rFonts w:ascii="宋体" w:hAnsi="宋体" w:eastAsia="宋体" w:cs="宋体"/>
          <w:spacing w:val="-3"/>
          <w:sz w:val="24"/>
          <w:szCs w:val="24"/>
          <w:highlight w:val="none"/>
        </w:rPr>
        <w:t>省建设干部学校（安徽省住房和建设执业资格注册中心）官方网站—住房</w:t>
      </w:r>
      <w:r>
        <w:rPr>
          <w:rFonts w:ascii="宋体" w:hAnsi="宋体" w:eastAsia="宋体" w:cs="宋体"/>
          <w:spacing w:val="-4"/>
          <w:sz w:val="24"/>
          <w:szCs w:val="24"/>
          <w:highlight w:val="none"/>
        </w:rPr>
        <w:t>和建设执业资</w:t>
      </w:r>
      <w:r>
        <w:rPr>
          <w:rFonts w:ascii="宋体" w:hAnsi="宋体" w:eastAsia="宋体" w:cs="宋体"/>
          <w:spacing w:val="-8"/>
          <w:sz w:val="24"/>
          <w:szCs w:val="24"/>
          <w:highlight w:val="none"/>
        </w:rPr>
        <w:t>格</w:t>
      </w:r>
      <w:r>
        <w:rPr>
          <w:rFonts w:ascii="宋体" w:hAnsi="宋体" w:eastAsia="宋体" w:cs="宋体"/>
          <w:spacing w:val="63"/>
          <w:sz w:val="24"/>
          <w:szCs w:val="24"/>
          <w:highlight w:val="none"/>
        </w:rPr>
        <w:t xml:space="preserve"> </w:t>
      </w:r>
      <w:r>
        <w:rPr>
          <w:rFonts w:ascii="宋体" w:hAnsi="宋体" w:eastAsia="宋体" w:cs="宋体"/>
          <w:spacing w:val="-8"/>
          <w:sz w:val="24"/>
          <w:szCs w:val="24"/>
          <w:highlight w:val="none"/>
        </w:rPr>
        <w:t>人</w:t>
      </w:r>
      <w:r>
        <w:rPr>
          <w:rFonts w:ascii="宋体" w:hAnsi="宋体" w:eastAsia="宋体" w:cs="宋体"/>
          <w:spacing w:val="57"/>
          <w:sz w:val="24"/>
          <w:szCs w:val="24"/>
          <w:highlight w:val="none"/>
        </w:rPr>
        <w:t xml:space="preserve"> </w:t>
      </w:r>
      <w:r>
        <w:rPr>
          <w:rFonts w:ascii="宋体" w:hAnsi="宋体" w:eastAsia="宋体" w:cs="宋体"/>
          <w:spacing w:val="-8"/>
          <w:sz w:val="24"/>
          <w:szCs w:val="24"/>
          <w:highlight w:val="none"/>
        </w:rPr>
        <w:t>员</w:t>
      </w:r>
      <w:r>
        <w:rPr>
          <w:rFonts w:ascii="宋体" w:hAnsi="宋体" w:eastAsia="宋体" w:cs="宋体"/>
          <w:spacing w:val="48"/>
          <w:sz w:val="24"/>
          <w:szCs w:val="24"/>
          <w:highlight w:val="none"/>
        </w:rPr>
        <w:t xml:space="preserve"> </w:t>
      </w:r>
      <w:r>
        <w:rPr>
          <w:rFonts w:ascii="宋体" w:hAnsi="宋体" w:eastAsia="宋体" w:cs="宋体"/>
          <w:spacing w:val="-8"/>
          <w:sz w:val="24"/>
          <w:szCs w:val="24"/>
          <w:highlight w:val="none"/>
        </w:rPr>
        <w:t>注</w:t>
      </w:r>
      <w:r>
        <w:rPr>
          <w:rFonts w:ascii="宋体" w:hAnsi="宋体" w:eastAsia="宋体" w:cs="宋体"/>
          <w:spacing w:val="47"/>
          <w:sz w:val="24"/>
          <w:szCs w:val="24"/>
          <w:highlight w:val="none"/>
        </w:rPr>
        <w:t xml:space="preserve"> </w:t>
      </w:r>
      <w:r>
        <w:rPr>
          <w:rFonts w:ascii="宋体" w:hAnsi="宋体" w:eastAsia="宋体" w:cs="宋体"/>
          <w:spacing w:val="-8"/>
          <w:sz w:val="24"/>
          <w:szCs w:val="24"/>
          <w:highlight w:val="none"/>
        </w:rPr>
        <w:t>册</w:t>
      </w:r>
      <w:r>
        <w:rPr>
          <w:rFonts w:ascii="宋体" w:hAnsi="宋体" w:eastAsia="宋体" w:cs="宋体"/>
          <w:spacing w:val="48"/>
          <w:sz w:val="24"/>
          <w:szCs w:val="24"/>
          <w:highlight w:val="none"/>
        </w:rPr>
        <w:t xml:space="preserve"> </w:t>
      </w:r>
      <w:r>
        <w:rPr>
          <w:rFonts w:ascii="宋体" w:hAnsi="宋体" w:eastAsia="宋体" w:cs="宋体"/>
          <w:spacing w:val="-8"/>
          <w:sz w:val="24"/>
          <w:szCs w:val="24"/>
          <w:highlight w:val="none"/>
        </w:rPr>
        <w:t>服</w:t>
      </w:r>
      <w:r>
        <w:rPr>
          <w:rFonts w:ascii="宋体" w:hAnsi="宋体" w:eastAsia="宋体" w:cs="宋体"/>
          <w:spacing w:val="52"/>
          <w:sz w:val="24"/>
          <w:szCs w:val="24"/>
          <w:highlight w:val="none"/>
        </w:rPr>
        <w:t xml:space="preserve"> </w:t>
      </w:r>
      <w:r>
        <w:rPr>
          <w:rFonts w:ascii="宋体" w:hAnsi="宋体" w:eastAsia="宋体" w:cs="宋体"/>
          <w:spacing w:val="-8"/>
          <w:sz w:val="24"/>
          <w:szCs w:val="24"/>
          <w:highlight w:val="none"/>
        </w:rPr>
        <w:t>务</w:t>
      </w:r>
      <w:r>
        <w:rPr>
          <w:rFonts w:ascii="宋体" w:hAnsi="宋体" w:eastAsia="宋体" w:cs="宋体"/>
          <w:spacing w:val="46"/>
          <w:sz w:val="24"/>
          <w:szCs w:val="24"/>
          <w:highlight w:val="none"/>
        </w:rPr>
        <w:t xml:space="preserve"> </w:t>
      </w:r>
      <w:r>
        <w:rPr>
          <w:rFonts w:ascii="宋体" w:hAnsi="宋体" w:eastAsia="宋体" w:cs="宋体"/>
          <w:spacing w:val="-8"/>
          <w:sz w:val="24"/>
          <w:szCs w:val="24"/>
          <w:highlight w:val="none"/>
        </w:rPr>
        <w:t>平</w:t>
      </w:r>
      <w:r>
        <w:rPr>
          <w:rFonts w:ascii="宋体" w:hAnsi="宋体" w:eastAsia="宋体" w:cs="宋体"/>
          <w:spacing w:val="66"/>
          <w:sz w:val="24"/>
          <w:szCs w:val="24"/>
          <w:highlight w:val="none"/>
        </w:rPr>
        <w:t xml:space="preserve"> </w:t>
      </w:r>
      <w:r>
        <w:rPr>
          <w:rFonts w:ascii="宋体" w:hAnsi="宋体" w:eastAsia="宋体" w:cs="宋体"/>
          <w:spacing w:val="-8"/>
          <w:sz w:val="24"/>
          <w:szCs w:val="24"/>
          <w:highlight w:val="none"/>
        </w:rPr>
        <w:t>台</w:t>
      </w:r>
      <w:r>
        <w:rPr>
          <w:rFonts w:ascii="宋体" w:hAnsi="宋体" w:eastAsia="宋体" w:cs="宋体"/>
          <w:spacing w:val="4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47"/>
          <w:sz w:val="24"/>
          <w:szCs w:val="24"/>
          <w:highlight w:val="none"/>
        </w:rPr>
        <w:t xml:space="preserve"> </w:t>
      </w:r>
      <w:r>
        <w:rPr>
          <w:rFonts w:ascii="宋体" w:hAnsi="宋体" w:eastAsia="宋体" w:cs="宋体"/>
          <w:spacing w:val="-8"/>
          <w:sz w:val="24"/>
          <w:szCs w:val="24"/>
          <w:highlight w:val="none"/>
        </w:rPr>
        <w:t>注</w:t>
      </w:r>
      <w:r>
        <w:rPr>
          <w:rFonts w:ascii="宋体" w:hAnsi="宋体" w:eastAsia="宋体" w:cs="宋体"/>
          <w:spacing w:val="48"/>
          <w:sz w:val="24"/>
          <w:szCs w:val="24"/>
          <w:highlight w:val="none"/>
        </w:rPr>
        <w:t xml:space="preserve"> </w:t>
      </w:r>
      <w:r>
        <w:rPr>
          <w:rFonts w:ascii="宋体" w:hAnsi="宋体" w:eastAsia="宋体" w:cs="宋体"/>
          <w:spacing w:val="-8"/>
          <w:sz w:val="24"/>
          <w:szCs w:val="24"/>
          <w:highlight w:val="none"/>
        </w:rPr>
        <w:t>册</w:t>
      </w:r>
      <w:r>
        <w:rPr>
          <w:rFonts w:ascii="宋体" w:hAnsi="宋体" w:eastAsia="宋体" w:cs="宋体"/>
          <w:spacing w:val="54"/>
          <w:sz w:val="24"/>
          <w:szCs w:val="24"/>
          <w:highlight w:val="none"/>
        </w:rPr>
        <w:t xml:space="preserve"> </w:t>
      </w:r>
      <w:r>
        <w:rPr>
          <w:rFonts w:ascii="宋体" w:hAnsi="宋体" w:eastAsia="宋体" w:cs="宋体"/>
          <w:spacing w:val="-8"/>
          <w:sz w:val="24"/>
          <w:szCs w:val="24"/>
          <w:highlight w:val="none"/>
        </w:rPr>
        <w:t>二</w:t>
      </w:r>
      <w:r>
        <w:rPr>
          <w:rFonts w:ascii="宋体" w:hAnsi="宋体" w:eastAsia="宋体" w:cs="宋体"/>
          <w:spacing w:val="51"/>
          <w:sz w:val="24"/>
          <w:szCs w:val="24"/>
          <w:highlight w:val="none"/>
        </w:rPr>
        <w:t xml:space="preserve"> </w:t>
      </w:r>
      <w:r>
        <w:rPr>
          <w:rFonts w:ascii="宋体" w:hAnsi="宋体" w:eastAsia="宋体" w:cs="宋体"/>
          <w:spacing w:val="-8"/>
          <w:sz w:val="24"/>
          <w:szCs w:val="24"/>
          <w:highlight w:val="none"/>
        </w:rPr>
        <w:t>级</w:t>
      </w:r>
      <w:r>
        <w:rPr>
          <w:rFonts w:ascii="宋体" w:hAnsi="宋体" w:eastAsia="宋体" w:cs="宋体"/>
          <w:spacing w:val="50"/>
          <w:sz w:val="24"/>
          <w:szCs w:val="24"/>
          <w:highlight w:val="none"/>
        </w:rPr>
        <w:t xml:space="preserve"> </w:t>
      </w:r>
      <w:r>
        <w:rPr>
          <w:rFonts w:ascii="宋体" w:hAnsi="宋体" w:eastAsia="宋体" w:cs="宋体"/>
          <w:spacing w:val="-8"/>
          <w:sz w:val="24"/>
          <w:szCs w:val="24"/>
          <w:highlight w:val="none"/>
        </w:rPr>
        <w:t>建</w:t>
      </w:r>
      <w:r>
        <w:rPr>
          <w:rFonts w:ascii="宋体" w:hAnsi="宋体" w:eastAsia="宋体" w:cs="宋体"/>
          <w:spacing w:val="47"/>
          <w:sz w:val="24"/>
          <w:szCs w:val="24"/>
          <w:highlight w:val="none"/>
        </w:rPr>
        <w:t xml:space="preserve"> </w:t>
      </w:r>
      <w:r>
        <w:rPr>
          <w:rFonts w:ascii="宋体" w:hAnsi="宋体" w:eastAsia="宋体" w:cs="宋体"/>
          <w:spacing w:val="-8"/>
          <w:sz w:val="24"/>
          <w:szCs w:val="24"/>
          <w:highlight w:val="none"/>
        </w:rPr>
        <w:t>造</w:t>
      </w:r>
      <w:r>
        <w:rPr>
          <w:rFonts w:ascii="宋体" w:hAnsi="宋体" w:eastAsia="宋体" w:cs="宋体"/>
          <w:spacing w:val="51"/>
          <w:sz w:val="24"/>
          <w:szCs w:val="24"/>
          <w:highlight w:val="none"/>
        </w:rPr>
        <w:t xml:space="preserve"> </w:t>
      </w:r>
      <w:r>
        <w:rPr>
          <w:rFonts w:ascii="宋体" w:hAnsi="宋体" w:eastAsia="宋体" w:cs="宋体"/>
          <w:spacing w:val="-8"/>
          <w:sz w:val="24"/>
          <w:szCs w:val="24"/>
          <w:highlight w:val="none"/>
        </w:rPr>
        <w:t>师</w:t>
      </w:r>
      <w:r>
        <w:rPr>
          <w:rFonts w:ascii="宋体" w:hAnsi="宋体" w:eastAsia="宋体" w:cs="宋体"/>
          <w:spacing w:val="4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51"/>
          <w:sz w:val="24"/>
          <w:szCs w:val="24"/>
          <w:highlight w:val="none"/>
        </w:rPr>
        <w:t xml:space="preserve"> </w:t>
      </w:r>
      <w:r>
        <w:rPr>
          <w:rFonts w:ascii="宋体" w:hAnsi="宋体" w:eastAsia="宋体" w:cs="宋体"/>
          <w:spacing w:val="-8"/>
          <w:sz w:val="24"/>
          <w:szCs w:val="24"/>
          <w:highlight w:val="none"/>
        </w:rPr>
        <w:t>证</w:t>
      </w:r>
      <w:r>
        <w:rPr>
          <w:rFonts w:ascii="宋体" w:hAnsi="宋体" w:eastAsia="宋体" w:cs="宋体"/>
          <w:spacing w:val="55"/>
          <w:sz w:val="24"/>
          <w:szCs w:val="24"/>
          <w:highlight w:val="none"/>
        </w:rPr>
        <w:t xml:space="preserve"> </w:t>
      </w:r>
      <w:r>
        <w:rPr>
          <w:rFonts w:ascii="宋体" w:hAnsi="宋体" w:eastAsia="宋体" w:cs="宋体"/>
          <w:spacing w:val="-8"/>
          <w:sz w:val="24"/>
          <w:szCs w:val="24"/>
          <w:highlight w:val="none"/>
        </w:rPr>
        <w:t>照</w:t>
      </w:r>
      <w:r>
        <w:rPr>
          <w:rFonts w:ascii="宋体" w:hAnsi="宋体" w:eastAsia="宋体" w:cs="宋体"/>
          <w:spacing w:val="51"/>
          <w:sz w:val="24"/>
          <w:szCs w:val="24"/>
          <w:highlight w:val="none"/>
        </w:rPr>
        <w:t xml:space="preserve"> </w:t>
      </w:r>
      <w:r>
        <w:rPr>
          <w:rFonts w:ascii="宋体" w:hAnsi="宋体" w:eastAsia="宋体" w:cs="宋体"/>
          <w:spacing w:val="-8"/>
          <w:sz w:val="24"/>
          <w:szCs w:val="24"/>
          <w:highlight w:val="none"/>
        </w:rPr>
        <w:t>查</w:t>
      </w:r>
      <w:r>
        <w:rPr>
          <w:rFonts w:ascii="宋体" w:hAnsi="宋体" w:eastAsia="宋体" w:cs="宋体"/>
          <w:spacing w:val="47"/>
          <w:sz w:val="24"/>
          <w:szCs w:val="24"/>
          <w:highlight w:val="none"/>
        </w:rPr>
        <w:t xml:space="preserve"> </w:t>
      </w:r>
      <w:r>
        <w:rPr>
          <w:rFonts w:ascii="宋体" w:hAnsi="宋体" w:eastAsia="宋体" w:cs="宋体"/>
          <w:spacing w:val="-8"/>
          <w:sz w:val="24"/>
          <w:szCs w:val="24"/>
          <w:highlight w:val="none"/>
        </w:rPr>
        <w:t>询</w:t>
      </w:r>
      <w:r>
        <w:rPr>
          <w:rFonts w:ascii="宋体" w:hAnsi="宋体" w:eastAsia="宋体" w:cs="宋体"/>
          <w:spacing w:val="71"/>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"http://61.190.70.122:8085/credit01/login" </w:instrText>
      </w:r>
      <w:r>
        <w:rPr>
          <w:highlight w:val="none"/>
        </w:rPr>
        <w:fldChar w:fldCharType="separate"/>
      </w:r>
      <w:r>
        <w:rPr>
          <w:rFonts w:ascii="宋体" w:hAnsi="宋体" w:eastAsia="宋体" w:cs="宋体"/>
          <w:sz w:val="24"/>
          <w:szCs w:val="24"/>
          <w:highlight w:val="none"/>
        </w:rPr>
        <w:t>http://61.190.70.122:8085/cre</w:t>
      </w:r>
      <w:r>
        <w:rPr>
          <w:rFonts w:ascii="宋体" w:hAnsi="宋体" w:eastAsia="宋体" w:cs="宋体"/>
          <w:spacing w:val="-1"/>
          <w:sz w:val="24"/>
          <w:szCs w:val="24"/>
          <w:highlight w:val="none"/>
        </w:rPr>
        <w:t>dit01/login</w:t>
      </w:r>
      <w:r>
        <w:rPr>
          <w:rFonts w:ascii="宋体" w:hAnsi="宋体" w:eastAsia="宋体" w:cs="宋体"/>
          <w:spacing w:val="-1"/>
          <w:sz w:val="24"/>
          <w:szCs w:val="24"/>
          <w:highlight w:val="none"/>
        </w:rPr>
        <w:fldChar w:fldCharType="end"/>
      </w:r>
      <w:r>
        <w:rPr>
          <w:rFonts w:ascii="宋体" w:hAnsi="宋体" w:eastAsia="宋体" w:cs="宋体"/>
          <w:sz w:val="24"/>
          <w:szCs w:val="24"/>
          <w:highlight w:val="none"/>
        </w:rPr>
        <w:t>）；</w:t>
      </w:r>
    </w:p>
    <w:p w14:paraId="6F02737C">
      <w:pPr>
        <w:spacing w:before="201" w:line="219" w:lineRule="auto"/>
        <w:ind w:left="4"/>
        <w:rPr>
          <w:rFonts w:ascii="宋体" w:hAnsi="宋体" w:eastAsia="宋体" w:cs="宋体"/>
          <w:sz w:val="24"/>
          <w:szCs w:val="24"/>
          <w:highlight w:val="none"/>
        </w:rPr>
      </w:pPr>
      <w:r>
        <w:rPr>
          <w:rFonts w:ascii="宋体" w:hAnsi="宋体" w:eastAsia="宋体" w:cs="宋体"/>
          <w:spacing w:val="-2"/>
          <w:sz w:val="24"/>
          <w:szCs w:val="24"/>
          <w:highlight w:val="none"/>
        </w:rPr>
        <w:t>2.关注“安徽省建设干部学校（安徽省住房和建设执业资格注册中心）”微信公众号；</w:t>
      </w:r>
    </w:p>
    <w:p w14:paraId="5A065B74">
      <w:pPr>
        <w:spacing w:before="195" w:line="219" w:lineRule="auto"/>
        <w:ind w:left="6"/>
        <w:rPr>
          <w:rFonts w:ascii="宋体" w:hAnsi="宋体" w:eastAsia="宋体" w:cs="宋体"/>
          <w:sz w:val="24"/>
          <w:szCs w:val="24"/>
          <w:highlight w:val="none"/>
        </w:rPr>
      </w:pPr>
      <w:r>
        <w:rPr>
          <w:rFonts w:ascii="宋体" w:hAnsi="宋体" w:eastAsia="宋体" w:cs="宋体"/>
          <w:spacing w:val="-4"/>
          <w:sz w:val="24"/>
          <w:szCs w:val="24"/>
          <w:highlight w:val="none"/>
        </w:rPr>
        <w:t>3.扫描电子注册证书二维码。</w:t>
      </w:r>
    </w:p>
    <w:p w14:paraId="71F97154">
      <w:pPr>
        <w:spacing w:before="196" w:line="219" w:lineRule="auto"/>
        <w:ind w:left="24"/>
        <w:rPr>
          <w:rFonts w:ascii="宋体" w:hAnsi="宋体" w:eastAsia="宋体" w:cs="宋体"/>
          <w:sz w:val="24"/>
          <w:szCs w:val="24"/>
          <w:highlight w:val="none"/>
        </w:rPr>
      </w:pPr>
      <w:r>
        <w:rPr>
          <w:rFonts w:ascii="宋体" w:hAnsi="宋体" w:eastAsia="宋体" w:cs="宋体"/>
          <w:spacing w:val="-3"/>
          <w:sz w:val="24"/>
          <w:szCs w:val="24"/>
          <w:highlight w:val="none"/>
        </w:rPr>
        <w:t>四、电子注册证书使用</w:t>
      </w:r>
    </w:p>
    <w:p w14:paraId="52B6B120">
      <w:pPr>
        <w:spacing w:before="197" w:line="369" w:lineRule="auto"/>
        <w:ind w:right="121" w:firstLine="2"/>
        <w:jc w:val="both"/>
        <w:rPr>
          <w:rFonts w:ascii="宋体" w:hAnsi="宋体" w:eastAsia="宋体" w:cs="宋体"/>
          <w:sz w:val="24"/>
          <w:szCs w:val="24"/>
          <w:highlight w:val="none"/>
        </w:rPr>
      </w:pPr>
      <w:r>
        <w:rPr>
          <w:rFonts w:ascii="宋体" w:hAnsi="宋体" w:eastAsia="宋体" w:cs="宋体"/>
          <w:spacing w:val="-6"/>
          <w:sz w:val="24"/>
          <w:szCs w:val="24"/>
          <w:highlight w:val="none"/>
        </w:rPr>
        <w:t>依据《中华人民共和国电子签名法》、《安徽省互联网政务服务办</w:t>
      </w:r>
      <w:r>
        <w:rPr>
          <w:rFonts w:ascii="宋体" w:hAnsi="宋体" w:eastAsia="宋体" w:cs="宋体"/>
          <w:spacing w:val="-7"/>
          <w:sz w:val="24"/>
          <w:szCs w:val="24"/>
          <w:highlight w:val="none"/>
        </w:rPr>
        <w:t>法》， 按照安全规范</w:t>
      </w:r>
      <w:r>
        <w:rPr>
          <w:rFonts w:ascii="宋体" w:hAnsi="宋体" w:eastAsia="宋体" w:cs="宋体"/>
          <w:spacing w:val="-3"/>
          <w:sz w:val="24"/>
          <w:szCs w:val="24"/>
          <w:highlight w:val="none"/>
        </w:rPr>
        <w:t>要求生成的电子证书与纸质证书具有同等法律效力。各地住房城乡建设行政主</w:t>
      </w:r>
      <w:r>
        <w:rPr>
          <w:rFonts w:ascii="宋体" w:hAnsi="宋体" w:eastAsia="宋体" w:cs="宋体"/>
          <w:spacing w:val="-4"/>
          <w:sz w:val="24"/>
          <w:szCs w:val="24"/>
          <w:highlight w:val="none"/>
        </w:rPr>
        <w:t>管部门在</w:t>
      </w:r>
      <w:r>
        <w:rPr>
          <w:rFonts w:ascii="宋体" w:hAnsi="宋体" w:eastAsia="宋体" w:cs="宋体"/>
          <w:spacing w:val="-3"/>
          <w:sz w:val="24"/>
          <w:szCs w:val="24"/>
          <w:highlight w:val="none"/>
        </w:rPr>
        <w:t>实名制、企业资质、工程招投标、施工许可、工程质量安全、执法监督检查、</w:t>
      </w:r>
      <w:r>
        <w:rPr>
          <w:rFonts w:ascii="宋体" w:hAnsi="宋体" w:eastAsia="宋体" w:cs="宋体"/>
          <w:spacing w:val="-4"/>
          <w:sz w:val="24"/>
          <w:szCs w:val="24"/>
          <w:highlight w:val="none"/>
        </w:rPr>
        <w:t>竣工验收</w:t>
      </w:r>
      <w:r>
        <w:rPr>
          <w:rFonts w:ascii="宋体" w:hAnsi="宋体" w:eastAsia="宋体" w:cs="宋体"/>
          <w:spacing w:val="-2"/>
          <w:sz w:val="24"/>
          <w:szCs w:val="24"/>
          <w:highlight w:val="none"/>
        </w:rPr>
        <w:t>及备案等管理中应对核发的电子注册证书予以认可。</w:t>
      </w:r>
    </w:p>
    <w:p w14:paraId="7962624B">
      <w:pPr>
        <w:spacing w:before="1" w:line="218" w:lineRule="auto"/>
        <w:ind w:left="5"/>
        <w:rPr>
          <w:rFonts w:ascii="宋体" w:hAnsi="宋体" w:eastAsia="宋体" w:cs="宋体"/>
          <w:sz w:val="24"/>
          <w:szCs w:val="24"/>
          <w:highlight w:val="none"/>
        </w:rPr>
      </w:pPr>
      <w:r>
        <w:rPr>
          <w:rFonts w:ascii="宋体" w:hAnsi="宋体" w:eastAsia="宋体" w:cs="宋体"/>
          <w:spacing w:val="-2"/>
          <w:sz w:val="24"/>
          <w:szCs w:val="24"/>
          <w:highlight w:val="none"/>
        </w:rPr>
        <w:t>五、电子注册证书样式</w:t>
      </w:r>
    </w:p>
    <w:p w14:paraId="64A6C908">
      <w:pPr>
        <w:spacing w:before="195" w:line="219" w:lineRule="auto"/>
        <w:ind w:left="4"/>
        <w:rPr>
          <w:rFonts w:ascii="宋体" w:hAnsi="宋体" w:eastAsia="宋体" w:cs="宋体"/>
          <w:sz w:val="24"/>
          <w:szCs w:val="24"/>
          <w:highlight w:val="none"/>
        </w:rPr>
      </w:pPr>
      <w:r>
        <w:rPr>
          <w:rFonts w:ascii="宋体" w:hAnsi="宋体" w:eastAsia="宋体" w:cs="宋体"/>
          <w:spacing w:val="-3"/>
          <w:sz w:val="24"/>
          <w:szCs w:val="24"/>
          <w:highlight w:val="none"/>
        </w:rPr>
        <w:t>查询和打印输出的电子注册证书采用</w:t>
      </w:r>
      <w:r>
        <w:rPr>
          <w:rFonts w:ascii="宋体" w:hAnsi="宋体" w:eastAsia="宋体" w:cs="宋体"/>
          <w:spacing w:val="-38"/>
          <w:sz w:val="24"/>
          <w:szCs w:val="24"/>
          <w:highlight w:val="none"/>
        </w:rPr>
        <w:t xml:space="preserve"> </w:t>
      </w:r>
      <w:r>
        <w:rPr>
          <w:rFonts w:ascii="宋体" w:hAnsi="宋体" w:eastAsia="宋体" w:cs="宋体"/>
          <w:spacing w:val="-3"/>
          <w:sz w:val="24"/>
          <w:szCs w:val="24"/>
          <w:highlight w:val="none"/>
        </w:rPr>
        <w:t>PDF</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文件格式。</w:t>
      </w:r>
    </w:p>
    <w:p w14:paraId="723D1936">
      <w:pPr>
        <w:spacing w:before="197" w:line="369" w:lineRule="auto"/>
        <w:ind w:left="1" w:right="121"/>
        <w:rPr>
          <w:rFonts w:ascii="宋体" w:hAnsi="宋体" w:eastAsia="宋体" w:cs="宋体"/>
          <w:sz w:val="24"/>
          <w:szCs w:val="24"/>
          <w:highlight w:val="none"/>
        </w:rPr>
      </w:pPr>
      <w:r>
        <w:rPr>
          <w:rFonts w:ascii="宋体" w:hAnsi="宋体" w:eastAsia="宋体" w:cs="宋体"/>
          <w:spacing w:val="-6"/>
          <w:sz w:val="24"/>
          <w:szCs w:val="24"/>
          <w:highlight w:val="none"/>
        </w:rPr>
        <w:t>使用电子注册证书过程中，企业、持证人员及管理部门如有疑问和建议，</w:t>
      </w:r>
      <w:r>
        <w:rPr>
          <w:rFonts w:ascii="宋体" w:hAnsi="宋体" w:eastAsia="宋体" w:cs="宋体"/>
          <w:spacing w:val="-12"/>
          <w:sz w:val="24"/>
          <w:szCs w:val="24"/>
          <w:highlight w:val="none"/>
        </w:rPr>
        <w:t xml:space="preserve"> </w:t>
      </w:r>
      <w:r>
        <w:rPr>
          <w:rFonts w:ascii="宋体" w:hAnsi="宋体" w:eastAsia="宋体" w:cs="宋体"/>
          <w:spacing w:val="-6"/>
          <w:sz w:val="24"/>
          <w:szCs w:val="24"/>
          <w:highlight w:val="none"/>
        </w:rPr>
        <w:t>请及时与我厅</w:t>
      </w:r>
      <w:r>
        <w:rPr>
          <w:rFonts w:ascii="宋体" w:hAnsi="宋体" w:eastAsia="宋体" w:cs="宋体"/>
          <w:spacing w:val="-5"/>
          <w:sz w:val="24"/>
          <w:szCs w:val="24"/>
          <w:highlight w:val="none"/>
        </w:rPr>
        <w:t>注册中心联系。</w:t>
      </w:r>
    </w:p>
    <w:p w14:paraId="64E15DB6">
      <w:pPr>
        <w:spacing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联系方式：0551-62999849（业务咨询）</w:t>
      </w:r>
    </w:p>
    <w:p w14:paraId="46EEF41C">
      <w:pPr>
        <w:spacing w:before="194" w:line="220" w:lineRule="auto"/>
        <w:ind w:left="3"/>
        <w:rPr>
          <w:rFonts w:ascii="宋体" w:hAnsi="宋体" w:eastAsia="宋体" w:cs="宋体"/>
          <w:sz w:val="24"/>
          <w:szCs w:val="24"/>
          <w:highlight w:val="none"/>
        </w:rPr>
      </w:pPr>
      <w:r>
        <w:rPr>
          <w:rFonts w:ascii="宋体" w:hAnsi="宋体" w:eastAsia="宋体" w:cs="宋体"/>
          <w:spacing w:val="-1"/>
          <w:sz w:val="24"/>
          <w:szCs w:val="24"/>
          <w:highlight w:val="none"/>
        </w:rPr>
        <w:t>0551-62871992、62871995、62871996（技术支持）</w:t>
      </w:r>
    </w:p>
    <w:p w14:paraId="3D37F6C4">
      <w:pPr>
        <w:spacing w:before="194" w:line="220" w:lineRule="auto"/>
        <w:ind w:left="6365"/>
        <w:rPr>
          <w:rFonts w:ascii="宋体" w:hAnsi="宋体" w:eastAsia="宋体" w:cs="宋体"/>
          <w:sz w:val="24"/>
          <w:szCs w:val="24"/>
          <w:highlight w:val="none"/>
        </w:rPr>
      </w:pPr>
      <w:r>
        <w:rPr>
          <w:rFonts w:ascii="宋体" w:hAnsi="宋体" w:eastAsia="宋体" w:cs="宋体"/>
          <w:spacing w:val="-8"/>
          <w:sz w:val="24"/>
          <w:szCs w:val="24"/>
          <w:highlight w:val="none"/>
        </w:rPr>
        <w:t>2018</w:t>
      </w:r>
      <w:r>
        <w:rPr>
          <w:rFonts w:ascii="宋体" w:hAnsi="宋体" w:eastAsia="宋体" w:cs="宋体"/>
          <w:spacing w:val="-42"/>
          <w:sz w:val="24"/>
          <w:szCs w:val="24"/>
          <w:highlight w:val="none"/>
        </w:rPr>
        <w:t xml:space="preserve"> </w:t>
      </w:r>
      <w:r>
        <w:rPr>
          <w:rFonts w:ascii="宋体" w:hAnsi="宋体" w:eastAsia="宋体" w:cs="宋体"/>
          <w:spacing w:val="-8"/>
          <w:sz w:val="24"/>
          <w:szCs w:val="24"/>
          <w:highlight w:val="none"/>
        </w:rPr>
        <w:t>年</w:t>
      </w:r>
      <w:r>
        <w:rPr>
          <w:rFonts w:ascii="宋体" w:hAnsi="宋体" w:eastAsia="宋体" w:cs="宋体"/>
          <w:spacing w:val="-32"/>
          <w:sz w:val="24"/>
          <w:szCs w:val="24"/>
          <w:highlight w:val="none"/>
        </w:rPr>
        <w:t xml:space="preserve"> </w:t>
      </w:r>
      <w:r>
        <w:rPr>
          <w:rFonts w:ascii="宋体" w:hAnsi="宋体" w:eastAsia="宋体" w:cs="宋体"/>
          <w:spacing w:val="-8"/>
          <w:sz w:val="24"/>
          <w:szCs w:val="24"/>
          <w:highlight w:val="none"/>
        </w:rPr>
        <w:t>11</w:t>
      </w:r>
      <w:r>
        <w:rPr>
          <w:rFonts w:ascii="宋体" w:hAnsi="宋体" w:eastAsia="宋体" w:cs="宋体"/>
          <w:spacing w:val="-45"/>
          <w:sz w:val="24"/>
          <w:szCs w:val="24"/>
          <w:highlight w:val="none"/>
        </w:rPr>
        <w:t xml:space="preserve"> </w:t>
      </w:r>
      <w:r>
        <w:rPr>
          <w:rFonts w:ascii="宋体" w:hAnsi="宋体" w:eastAsia="宋体" w:cs="宋体"/>
          <w:spacing w:val="-8"/>
          <w:sz w:val="24"/>
          <w:szCs w:val="24"/>
          <w:highlight w:val="none"/>
        </w:rPr>
        <w:t>月</w:t>
      </w:r>
      <w:r>
        <w:rPr>
          <w:rFonts w:ascii="宋体" w:hAnsi="宋体" w:eastAsia="宋体" w:cs="宋体"/>
          <w:spacing w:val="-47"/>
          <w:sz w:val="24"/>
          <w:szCs w:val="24"/>
          <w:highlight w:val="none"/>
        </w:rPr>
        <w:t xml:space="preserve"> </w:t>
      </w:r>
      <w:r>
        <w:rPr>
          <w:rFonts w:ascii="宋体" w:hAnsi="宋体" w:eastAsia="宋体" w:cs="宋体"/>
          <w:spacing w:val="-8"/>
          <w:sz w:val="24"/>
          <w:szCs w:val="24"/>
          <w:highlight w:val="none"/>
        </w:rPr>
        <w:t>27 日</w:t>
      </w:r>
    </w:p>
    <w:p w14:paraId="4B7A030A">
      <w:pPr>
        <w:spacing w:line="220" w:lineRule="auto"/>
        <w:rPr>
          <w:rFonts w:ascii="宋体" w:hAnsi="宋体" w:eastAsia="宋体" w:cs="宋体"/>
          <w:sz w:val="24"/>
          <w:szCs w:val="24"/>
          <w:highlight w:val="none"/>
        </w:rPr>
        <w:sectPr>
          <w:footerReference r:id="rId19" w:type="default"/>
          <w:pgSz w:w="11907" w:h="16839"/>
          <w:pgMar w:top="1431" w:right="1051" w:bottom="1199" w:left="1728" w:header="0" w:footer="968" w:gutter="0"/>
          <w:cols w:space="720" w:num="1"/>
        </w:sectPr>
      </w:pPr>
    </w:p>
    <w:p w14:paraId="51DC69F1">
      <w:pPr>
        <w:spacing w:before="72" w:line="220" w:lineRule="auto"/>
        <w:ind w:left="4140"/>
        <w:rPr>
          <w:rFonts w:ascii="宋体" w:hAnsi="宋体" w:eastAsia="宋体" w:cs="宋体"/>
          <w:sz w:val="36"/>
          <w:szCs w:val="36"/>
          <w:highlight w:val="none"/>
        </w:rPr>
      </w:pPr>
      <w:r>
        <w:rPr>
          <w:rFonts w:ascii="宋体" w:hAnsi="宋体" w:eastAsia="宋体" w:cs="宋体"/>
          <w:spacing w:val="-4"/>
          <w:sz w:val="36"/>
          <w:szCs w:val="36"/>
          <w:highlight w:val="none"/>
        </w:rPr>
        <w:t>询标函</w:t>
      </w:r>
    </w:p>
    <w:p w14:paraId="1A3B8406">
      <w:pPr>
        <w:spacing w:before="21" w:line="220" w:lineRule="auto"/>
        <w:ind w:left="126"/>
        <w:rPr>
          <w:rFonts w:ascii="宋体" w:hAnsi="宋体" w:eastAsia="宋体" w:cs="宋体"/>
          <w:sz w:val="24"/>
          <w:szCs w:val="24"/>
          <w:highlight w:val="none"/>
        </w:rPr>
      </w:pPr>
      <w:r>
        <w:rPr>
          <w:rFonts w:ascii="宋体" w:hAnsi="宋体" w:eastAsia="宋体" w:cs="宋体"/>
          <w:spacing w:val="-11"/>
          <w:sz w:val="24"/>
          <w:szCs w:val="24"/>
          <w:highlight w:val="none"/>
        </w:rPr>
        <w:t>项目名称：</w:t>
      </w:r>
    </w:p>
    <w:p w14:paraId="22B40CC9">
      <w:pPr>
        <w:spacing w:before="23" w:line="214" w:lineRule="auto"/>
        <w:ind w:left="126"/>
        <w:rPr>
          <w:rFonts w:ascii="宋体" w:hAnsi="宋体" w:eastAsia="宋体" w:cs="宋体"/>
          <w:sz w:val="24"/>
          <w:szCs w:val="24"/>
          <w:highlight w:val="none"/>
        </w:rPr>
      </w:pPr>
      <w:r>
        <w:rPr>
          <w:rFonts w:ascii="宋体" w:hAnsi="宋体" w:eastAsia="宋体" w:cs="宋体"/>
          <w:spacing w:val="-1"/>
          <w:sz w:val="24"/>
          <w:szCs w:val="24"/>
          <w:highlight w:val="none"/>
        </w:rPr>
        <w:t xml:space="preserve">项目编号：                      </w:t>
      </w:r>
      <w:r>
        <w:rPr>
          <w:rFonts w:ascii="宋体" w:hAnsi="宋体" w:eastAsia="宋体" w:cs="宋体"/>
          <w:spacing w:val="-2"/>
          <w:sz w:val="24"/>
          <w:szCs w:val="24"/>
          <w:highlight w:val="none"/>
        </w:rPr>
        <w:t xml:space="preserve">                      询标日期：</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年  月</w:t>
      </w:r>
      <w:r>
        <w:rPr>
          <w:rFonts w:ascii="宋体" w:hAnsi="宋体" w:eastAsia="宋体" w:cs="宋体"/>
          <w:spacing w:val="26"/>
          <w:sz w:val="24"/>
          <w:szCs w:val="24"/>
          <w:highlight w:val="none"/>
        </w:rPr>
        <w:t xml:space="preserve">  </w:t>
      </w:r>
      <w:r>
        <w:rPr>
          <w:rFonts w:ascii="宋体" w:hAnsi="宋体" w:eastAsia="宋体" w:cs="宋体"/>
          <w:spacing w:val="-2"/>
          <w:sz w:val="24"/>
          <w:szCs w:val="24"/>
          <w:highlight w:val="none"/>
        </w:rPr>
        <w:t>日</w:t>
      </w:r>
    </w:p>
    <w:tbl>
      <w:tblPr>
        <w:tblStyle w:val="24"/>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0"/>
        <w:gridCol w:w="7905"/>
      </w:tblGrid>
      <w:tr w14:paraId="3488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1420" w:type="dxa"/>
            <w:vAlign w:val="top"/>
          </w:tcPr>
          <w:p w14:paraId="02ABDEB0">
            <w:pPr>
              <w:spacing w:line="265" w:lineRule="auto"/>
              <w:rPr>
                <w:rFonts w:ascii="Arial"/>
                <w:sz w:val="21"/>
                <w:highlight w:val="none"/>
              </w:rPr>
            </w:pPr>
          </w:p>
          <w:p w14:paraId="53459ACA">
            <w:pPr>
              <w:spacing w:line="266" w:lineRule="auto"/>
              <w:rPr>
                <w:rFonts w:ascii="Arial"/>
                <w:sz w:val="21"/>
                <w:highlight w:val="none"/>
              </w:rPr>
            </w:pPr>
          </w:p>
          <w:p w14:paraId="70590B16">
            <w:pPr>
              <w:spacing w:before="78" w:line="243" w:lineRule="auto"/>
              <w:ind w:left="119" w:right="59" w:firstLine="117"/>
              <w:rPr>
                <w:rFonts w:ascii="宋体" w:hAnsi="宋体" w:eastAsia="宋体" w:cs="宋体"/>
                <w:sz w:val="18"/>
                <w:szCs w:val="18"/>
                <w:highlight w:val="none"/>
              </w:rPr>
            </w:pPr>
            <w:r>
              <w:rPr>
                <w:rFonts w:ascii="宋体" w:hAnsi="宋体" w:eastAsia="宋体" w:cs="宋体"/>
                <w:spacing w:val="-3"/>
                <w:sz w:val="24"/>
                <w:szCs w:val="24"/>
                <w:highlight w:val="none"/>
              </w:rPr>
              <w:t>询标内容</w:t>
            </w:r>
            <w:r>
              <w:rPr>
                <w:rFonts w:ascii="宋体" w:hAnsi="宋体" w:eastAsia="宋体" w:cs="宋体"/>
                <w:spacing w:val="-4"/>
                <w:sz w:val="18"/>
                <w:szCs w:val="18"/>
                <w:highlight w:val="none"/>
              </w:rPr>
              <w:t>（由评委填写）</w:t>
            </w:r>
          </w:p>
        </w:tc>
        <w:tc>
          <w:tcPr>
            <w:tcW w:w="7905" w:type="dxa"/>
            <w:vAlign w:val="top"/>
          </w:tcPr>
          <w:p w14:paraId="58D96203">
            <w:pPr>
              <w:rPr>
                <w:rFonts w:ascii="Arial"/>
                <w:sz w:val="21"/>
                <w:highlight w:val="none"/>
              </w:rPr>
            </w:pPr>
          </w:p>
        </w:tc>
      </w:tr>
      <w:tr w14:paraId="19AA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1420" w:type="dxa"/>
            <w:vAlign w:val="top"/>
          </w:tcPr>
          <w:p w14:paraId="6EBF1A04">
            <w:pPr>
              <w:spacing w:line="260" w:lineRule="auto"/>
              <w:rPr>
                <w:rFonts w:ascii="Arial"/>
                <w:sz w:val="21"/>
                <w:highlight w:val="none"/>
              </w:rPr>
            </w:pPr>
          </w:p>
          <w:p w14:paraId="4718E7E1">
            <w:pPr>
              <w:spacing w:before="78" w:line="236" w:lineRule="auto"/>
              <w:ind w:left="600" w:right="107" w:hanging="480"/>
              <w:rPr>
                <w:rFonts w:ascii="宋体" w:hAnsi="宋体" w:eastAsia="宋体" w:cs="宋体"/>
                <w:sz w:val="24"/>
                <w:szCs w:val="24"/>
                <w:highlight w:val="none"/>
              </w:rPr>
            </w:pPr>
            <w:r>
              <w:rPr>
                <w:rFonts w:ascii="宋体" w:hAnsi="宋体" w:eastAsia="宋体" w:cs="宋体"/>
                <w:spacing w:val="-3"/>
                <w:sz w:val="24"/>
                <w:szCs w:val="24"/>
                <w:highlight w:val="none"/>
              </w:rPr>
              <w:t>投标人的意</w:t>
            </w:r>
            <w:r>
              <w:rPr>
                <w:rFonts w:ascii="宋体" w:hAnsi="宋体" w:eastAsia="宋体" w:cs="宋体"/>
                <w:sz w:val="24"/>
                <w:szCs w:val="24"/>
                <w:highlight w:val="none"/>
              </w:rPr>
              <w:t>见</w:t>
            </w:r>
          </w:p>
          <w:p w14:paraId="10AFB206">
            <w:pPr>
              <w:spacing w:line="220" w:lineRule="auto"/>
              <w:ind w:left="179"/>
              <w:rPr>
                <w:rFonts w:ascii="宋体" w:hAnsi="宋体" w:eastAsia="宋体" w:cs="宋体"/>
                <w:sz w:val="18"/>
                <w:szCs w:val="18"/>
                <w:highlight w:val="none"/>
              </w:rPr>
            </w:pPr>
            <w:r>
              <w:rPr>
                <w:rFonts w:ascii="宋体" w:hAnsi="宋体" w:eastAsia="宋体" w:cs="宋体"/>
                <w:spacing w:val="-3"/>
                <w:sz w:val="18"/>
                <w:szCs w:val="18"/>
                <w:highlight w:val="none"/>
              </w:rPr>
              <w:t>（作出确认或</w:t>
            </w:r>
          </w:p>
          <w:p w14:paraId="5B52BF69">
            <w:pPr>
              <w:spacing w:before="17" w:line="220" w:lineRule="auto"/>
              <w:ind w:left="116"/>
              <w:rPr>
                <w:rFonts w:ascii="宋体" w:hAnsi="宋体" w:eastAsia="宋体" w:cs="宋体"/>
                <w:sz w:val="18"/>
                <w:szCs w:val="18"/>
                <w:highlight w:val="none"/>
              </w:rPr>
            </w:pPr>
            <w:r>
              <w:rPr>
                <w:rFonts w:ascii="宋体" w:hAnsi="宋体" w:eastAsia="宋体" w:cs="宋体"/>
                <w:spacing w:val="-11"/>
                <w:sz w:val="18"/>
                <w:szCs w:val="18"/>
                <w:highlight w:val="none"/>
              </w:rPr>
              <w:t>说明、纠正、补</w:t>
            </w:r>
          </w:p>
          <w:p w14:paraId="03421DB0">
            <w:pPr>
              <w:spacing w:before="20" w:line="220" w:lineRule="auto"/>
              <w:ind w:left="176"/>
              <w:rPr>
                <w:rFonts w:ascii="宋体" w:hAnsi="宋体" w:eastAsia="宋体" w:cs="宋体"/>
                <w:sz w:val="18"/>
                <w:szCs w:val="18"/>
                <w:highlight w:val="none"/>
              </w:rPr>
            </w:pPr>
            <w:r>
              <w:rPr>
                <w:rFonts w:ascii="宋体" w:hAnsi="宋体" w:eastAsia="宋体" w:cs="宋体"/>
                <w:spacing w:val="-2"/>
                <w:sz w:val="18"/>
                <w:szCs w:val="18"/>
                <w:highlight w:val="none"/>
              </w:rPr>
              <w:t>充、承诺等意</w:t>
            </w:r>
          </w:p>
          <w:p w14:paraId="7EDB5E09">
            <w:pPr>
              <w:spacing w:before="18" w:line="220" w:lineRule="auto"/>
              <w:ind w:left="537"/>
              <w:rPr>
                <w:rFonts w:ascii="宋体" w:hAnsi="宋体" w:eastAsia="宋体" w:cs="宋体"/>
                <w:sz w:val="18"/>
                <w:szCs w:val="18"/>
                <w:highlight w:val="none"/>
              </w:rPr>
            </w:pPr>
            <w:r>
              <w:rPr>
                <w:rFonts w:ascii="宋体" w:hAnsi="宋体" w:eastAsia="宋体" w:cs="宋体"/>
                <w:spacing w:val="-6"/>
                <w:sz w:val="18"/>
                <w:szCs w:val="18"/>
                <w:highlight w:val="none"/>
              </w:rPr>
              <w:t>见）</w:t>
            </w:r>
          </w:p>
        </w:tc>
        <w:tc>
          <w:tcPr>
            <w:tcW w:w="7905" w:type="dxa"/>
            <w:vAlign w:val="top"/>
          </w:tcPr>
          <w:p w14:paraId="2353F520">
            <w:pPr>
              <w:spacing w:line="295" w:lineRule="auto"/>
              <w:rPr>
                <w:rFonts w:ascii="Arial"/>
                <w:sz w:val="21"/>
                <w:highlight w:val="none"/>
              </w:rPr>
            </w:pPr>
          </w:p>
          <w:p w14:paraId="7125CD68">
            <w:pPr>
              <w:spacing w:line="295" w:lineRule="auto"/>
              <w:rPr>
                <w:rFonts w:ascii="Arial"/>
                <w:sz w:val="21"/>
                <w:highlight w:val="none"/>
              </w:rPr>
            </w:pPr>
          </w:p>
          <w:p w14:paraId="5548FF09">
            <w:pPr>
              <w:spacing w:line="295" w:lineRule="auto"/>
              <w:rPr>
                <w:rFonts w:ascii="Arial"/>
                <w:sz w:val="21"/>
                <w:highlight w:val="none"/>
              </w:rPr>
            </w:pPr>
          </w:p>
          <w:p w14:paraId="376AD928">
            <w:pPr>
              <w:spacing w:before="78" w:line="219" w:lineRule="auto"/>
              <w:ind w:left="5884"/>
              <w:rPr>
                <w:rFonts w:ascii="宋体" w:hAnsi="宋体" w:eastAsia="宋体" w:cs="宋体"/>
                <w:sz w:val="24"/>
                <w:szCs w:val="24"/>
                <w:highlight w:val="none"/>
              </w:rPr>
            </w:pPr>
            <w:r>
              <w:rPr>
                <w:rFonts w:ascii="宋体" w:hAnsi="宋体" w:eastAsia="宋体" w:cs="宋体"/>
                <w:spacing w:val="-8"/>
                <w:sz w:val="24"/>
                <w:szCs w:val="24"/>
                <w:highlight w:val="none"/>
              </w:rPr>
              <w:t>投标人电子签章：</w:t>
            </w:r>
          </w:p>
          <w:p w14:paraId="51B178CC">
            <w:pPr>
              <w:spacing w:line="256" w:lineRule="auto"/>
              <w:rPr>
                <w:rFonts w:ascii="Arial"/>
                <w:sz w:val="21"/>
                <w:highlight w:val="none"/>
              </w:rPr>
            </w:pPr>
          </w:p>
          <w:p w14:paraId="1F09037B">
            <w:pPr>
              <w:spacing w:before="78" w:line="220" w:lineRule="auto"/>
              <w:ind w:left="6722"/>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52"/>
                <w:sz w:val="24"/>
                <w:szCs w:val="24"/>
                <w:highlight w:val="none"/>
              </w:rPr>
              <w:t xml:space="preserve"> </w:t>
            </w:r>
            <w:r>
              <w:rPr>
                <w:rFonts w:ascii="宋体" w:hAnsi="宋体" w:eastAsia="宋体" w:cs="宋体"/>
                <w:spacing w:val="-9"/>
                <w:sz w:val="24"/>
                <w:szCs w:val="24"/>
                <w:highlight w:val="none"/>
              </w:rPr>
              <w:t>日</w:t>
            </w:r>
          </w:p>
        </w:tc>
      </w:tr>
      <w:tr w14:paraId="519F7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1420" w:type="dxa"/>
            <w:vAlign w:val="top"/>
          </w:tcPr>
          <w:p w14:paraId="08556260">
            <w:pPr>
              <w:spacing w:line="250" w:lineRule="auto"/>
              <w:rPr>
                <w:rFonts w:ascii="Arial"/>
                <w:sz w:val="21"/>
                <w:highlight w:val="none"/>
              </w:rPr>
            </w:pPr>
          </w:p>
          <w:p w14:paraId="0552D4C3">
            <w:pPr>
              <w:spacing w:line="251" w:lineRule="auto"/>
              <w:rPr>
                <w:rFonts w:ascii="Arial"/>
                <w:sz w:val="21"/>
                <w:highlight w:val="none"/>
              </w:rPr>
            </w:pPr>
          </w:p>
          <w:p w14:paraId="37E11953">
            <w:pPr>
              <w:spacing w:line="251" w:lineRule="auto"/>
              <w:rPr>
                <w:rFonts w:ascii="Arial"/>
                <w:sz w:val="21"/>
                <w:highlight w:val="none"/>
              </w:rPr>
            </w:pPr>
          </w:p>
          <w:p w14:paraId="5B457F87">
            <w:pPr>
              <w:spacing w:before="78" w:line="242" w:lineRule="auto"/>
              <w:ind w:left="242" w:right="107" w:hanging="126"/>
              <w:rPr>
                <w:rFonts w:ascii="宋体" w:hAnsi="宋体" w:eastAsia="宋体" w:cs="宋体"/>
                <w:sz w:val="24"/>
                <w:szCs w:val="24"/>
                <w:highlight w:val="none"/>
              </w:rPr>
            </w:pPr>
            <w:r>
              <w:rPr>
                <w:rFonts w:ascii="宋体" w:hAnsi="宋体" w:eastAsia="宋体" w:cs="宋体"/>
                <w:spacing w:val="-2"/>
                <w:sz w:val="24"/>
                <w:szCs w:val="24"/>
                <w:highlight w:val="none"/>
              </w:rPr>
              <w:t>评标委员会</w:t>
            </w:r>
            <w:r>
              <w:rPr>
                <w:rFonts w:ascii="宋体" w:hAnsi="宋体" w:eastAsia="宋体" w:cs="宋体"/>
                <w:spacing w:val="-3"/>
                <w:sz w:val="24"/>
                <w:szCs w:val="24"/>
                <w:highlight w:val="none"/>
              </w:rPr>
              <w:t>结论意见</w:t>
            </w:r>
          </w:p>
        </w:tc>
        <w:tc>
          <w:tcPr>
            <w:tcW w:w="7905" w:type="dxa"/>
            <w:vAlign w:val="top"/>
          </w:tcPr>
          <w:p w14:paraId="2B428812">
            <w:pPr>
              <w:spacing w:line="296" w:lineRule="auto"/>
              <w:rPr>
                <w:rFonts w:ascii="Arial"/>
                <w:sz w:val="21"/>
                <w:highlight w:val="none"/>
              </w:rPr>
            </w:pPr>
          </w:p>
          <w:p w14:paraId="36629CFB">
            <w:pPr>
              <w:spacing w:line="296" w:lineRule="auto"/>
              <w:rPr>
                <w:rFonts w:ascii="Arial"/>
                <w:sz w:val="21"/>
                <w:highlight w:val="none"/>
              </w:rPr>
            </w:pPr>
          </w:p>
          <w:p w14:paraId="70E203A6">
            <w:pPr>
              <w:spacing w:line="296" w:lineRule="auto"/>
              <w:rPr>
                <w:rFonts w:ascii="Arial"/>
                <w:sz w:val="21"/>
                <w:highlight w:val="none"/>
              </w:rPr>
            </w:pPr>
          </w:p>
          <w:p w14:paraId="6FF66D82">
            <w:pPr>
              <w:spacing w:before="78" w:line="219" w:lineRule="auto"/>
              <w:ind w:left="5884"/>
              <w:rPr>
                <w:rFonts w:ascii="宋体" w:hAnsi="宋体" w:eastAsia="宋体" w:cs="宋体"/>
                <w:sz w:val="24"/>
                <w:szCs w:val="24"/>
                <w:highlight w:val="none"/>
              </w:rPr>
            </w:pPr>
            <w:r>
              <w:rPr>
                <w:rFonts w:ascii="宋体" w:hAnsi="宋体" w:eastAsia="宋体" w:cs="宋体"/>
                <w:spacing w:val="-8"/>
                <w:sz w:val="24"/>
                <w:szCs w:val="24"/>
                <w:highlight w:val="none"/>
              </w:rPr>
              <w:t>各评委电子签章：</w:t>
            </w:r>
          </w:p>
          <w:p w14:paraId="0B34644C">
            <w:pPr>
              <w:spacing w:line="256" w:lineRule="auto"/>
              <w:rPr>
                <w:rFonts w:ascii="Arial"/>
                <w:sz w:val="21"/>
                <w:highlight w:val="none"/>
              </w:rPr>
            </w:pPr>
          </w:p>
          <w:p w14:paraId="14508573">
            <w:pPr>
              <w:spacing w:before="78" w:line="220" w:lineRule="auto"/>
              <w:ind w:left="6602"/>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9"/>
                <w:sz w:val="24"/>
                <w:szCs w:val="24"/>
                <w:highlight w:val="none"/>
              </w:rPr>
              <w:t>日</w:t>
            </w:r>
          </w:p>
        </w:tc>
      </w:tr>
      <w:tr w14:paraId="36DE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420" w:type="dxa"/>
            <w:vAlign w:val="top"/>
          </w:tcPr>
          <w:p w14:paraId="6B735174">
            <w:pPr>
              <w:spacing w:line="358" w:lineRule="auto"/>
              <w:rPr>
                <w:rFonts w:ascii="Arial"/>
                <w:sz w:val="21"/>
                <w:highlight w:val="none"/>
              </w:rPr>
            </w:pPr>
          </w:p>
          <w:p w14:paraId="07134B21">
            <w:pPr>
              <w:spacing w:before="78" w:line="242" w:lineRule="auto"/>
              <w:ind w:left="483" w:right="107" w:hanging="365"/>
              <w:rPr>
                <w:rFonts w:ascii="宋体" w:hAnsi="宋体" w:eastAsia="宋体" w:cs="宋体"/>
                <w:sz w:val="24"/>
                <w:szCs w:val="24"/>
                <w:highlight w:val="none"/>
              </w:rPr>
            </w:pPr>
            <w:r>
              <w:rPr>
                <w:rFonts w:ascii="宋体" w:hAnsi="宋体" w:eastAsia="宋体" w:cs="宋体"/>
                <w:spacing w:val="-3"/>
                <w:sz w:val="24"/>
                <w:szCs w:val="24"/>
                <w:highlight w:val="none"/>
              </w:rPr>
              <w:t>招标代表的</w:t>
            </w:r>
            <w:r>
              <w:rPr>
                <w:rFonts w:ascii="宋体" w:hAnsi="宋体" w:eastAsia="宋体" w:cs="宋体"/>
                <w:spacing w:val="-4"/>
                <w:sz w:val="24"/>
                <w:szCs w:val="24"/>
                <w:highlight w:val="none"/>
              </w:rPr>
              <w:t>意见</w:t>
            </w:r>
          </w:p>
        </w:tc>
        <w:tc>
          <w:tcPr>
            <w:tcW w:w="7905" w:type="dxa"/>
            <w:vAlign w:val="top"/>
          </w:tcPr>
          <w:p w14:paraId="7B05F76E">
            <w:pPr>
              <w:spacing w:line="270" w:lineRule="auto"/>
              <w:rPr>
                <w:rFonts w:ascii="Arial"/>
                <w:sz w:val="21"/>
                <w:highlight w:val="none"/>
              </w:rPr>
            </w:pPr>
          </w:p>
          <w:p w14:paraId="0C9FA9A6">
            <w:pPr>
              <w:spacing w:before="78" w:line="219" w:lineRule="auto"/>
              <w:ind w:left="6629"/>
              <w:rPr>
                <w:rFonts w:ascii="宋体" w:hAnsi="宋体" w:eastAsia="宋体" w:cs="宋体"/>
                <w:sz w:val="24"/>
                <w:szCs w:val="24"/>
                <w:highlight w:val="none"/>
              </w:rPr>
            </w:pPr>
            <w:r>
              <w:rPr>
                <w:rFonts w:ascii="宋体" w:hAnsi="宋体" w:eastAsia="宋体" w:cs="宋体"/>
                <w:spacing w:val="-15"/>
                <w:sz w:val="24"/>
                <w:szCs w:val="24"/>
                <w:highlight w:val="none"/>
              </w:rPr>
              <w:t>电子签章：</w:t>
            </w:r>
          </w:p>
          <w:p w14:paraId="78295B1D">
            <w:pPr>
              <w:spacing w:line="366" w:lineRule="auto"/>
              <w:rPr>
                <w:rFonts w:ascii="Arial"/>
                <w:sz w:val="21"/>
                <w:highlight w:val="none"/>
              </w:rPr>
            </w:pPr>
          </w:p>
          <w:p w14:paraId="01B8AD68">
            <w:pPr>
              <w:spacing w:before="78" w:line="220" w:lineRule="auto"/>
              <w:ind w:left="6602"/>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9"/>
                <w:sz w:val="24"/>
                <w:szCs w:val="24"/>
                <w:highlight w:val="none"/>
              </w:rPr>
              <w:t>日</w:t>
            </w:r>
          </w:p>
        </w:tc>
      </w:tr>
      <w:tr w14:paraId="32AB1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420" w:type="dxa"/>
            <w:vAlign w:val="top"/>
          </w:tcPr>
          <w:p w14:paraId="07F9E71D">
            <w:pPr>
              <w:spacing w:before="211" w:line="242" w:lineRule="auto"/>
              <w:ind w:left="483" w:right="227" w:hanging="245"/>
              <w:rPr>
                <w:rFonts w:ascii="宋体" w:hAnsi="宋体" w:eastAsia="宋体" w:cs="宋体"/>
                <w:sz w:val="24"/>
                <w:szCs w:val="24"/>
                <w:highlight w:val="none"/>
              </w:rPr>
            </w:pPr>
            <w:r>
              <w:rPr>
                <w:rFonts w:ascii="宋体" w:hAnsi="宋体" w:eastAsia="宋体" w:cs="宋体"/>
                <w:spacing w:val="-3"/>
                <w:sz w:val="24"/>
                <w:szCs w:val="24"/>
                <w:highlight w:val="none"/>
              </w:rPr>
              <w:t>监督人员</w:t>
            </w:r>
            <w:r>
              <w:rPr>
                <w:rFonts w:ascii="宋体" w:hAnsi="宋体" w:eastAsia="宋体" w:cs="宋体"/>
                <w:spacing w:val="-4"/>
                <w:sz w:val="24"/>
                <w:szCs w:val="24"/>
                <w:highlight w:val="none"/>
              </w:rPr>
              <w:t>意见</w:t>
            </w:r>
          </w:p>
        </w:tc>
        <w:tc>
          <w:tcPr>
            <w:tcW w:w="7905" w:type="dxa"/>
            <w:vAlign w:val="top"/>
          </w:tcPr>
          <w:p w14:paraId="0978D781">
            <w:pPr>
              <w:spacing w:line="267" w:lineRule="auto"/>
              <w:rPr>
                <w:rFonts w:ascii="Arial"/>
                <w:sz w:val="21"/>
                <w:highlight w:val="none"/>
              </w:rPr>
            </w:pPr>
          </w:p>
          <w:p w14:paraId="4D9AA5F4">
            <w:pPr>
              <w:spacing w:before="78" w:line="219" w:lineRule="auto"/>
              <w:ind w:left="5642"/>
              <w:rPr>
                <w:rFonts w:ascii="宋体" w:hAnsi="宋体" w:eastAsia="宋体" w:cs="宋体"/>
                <w:sz w:val="24"/>
                <w:szCs w:val="24"/>
                <w:highlight w:val="none"/>
              </w:rPr>
            </w:pPr>
            <w:r>
              <w:rPr>
                <w:rFonts w:ascii="宋体" w:hAnsi="宋体" w:eastAsia="宋体" w:cs="宋体"/>
                <w:spacing w:val="-7"/>
                <w:sz w:val="24"/>
                <w:szCs w:val="24"/>
                <w:highlight w:val="none"/>
              </w:rPr>
              <w:t>监督人员电子签章：</w:t>
            </w:r>
          </w:p>
          <w:p w14:paraId="5E769160">
            <w:pPr>
              <w:spacing w:before="26" w:line="220" w:lineRule="auto"/>
              <w:ind w:left="6602"/>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9"/>
                <w:sz w:val="24"/>
                <w:szCs w:val="24"/>
                <w:highlight w:val="none"/>
              </w:rPr>
              <w:t>日</w:t>
            </w:r>
          </w:p>
        </w:tc>
      </w:tr>
    </w:tbl>
    <w:p w14:paraId="4C277C69">
      <w:pPr>
        <w:spacing w:before="42" w:line="220" w:lineRule="auto"/>
        <w:ind w:left="132"/>
        <w:outlineLvl w:val="1"/>
        <w:rPr>
          <w:rFonts w:ascii="宋体" w:hAnsi="宋体" w:eastAsia="宋体" w:cs="宋体"/>
          <w:sz w:val="30"/>
          <w:szCs w:val="30"/>
          <w:highlight w:val="none"/>
        </w:rPr>
      </w:pPr>
      <w:bookmarkStart w:id="12" w:name="_Toc9326"/>
      <w:r>
        <w:rPr>
          <w:rFonts w:ascii="宋体" w:hAnsi="宋体" w:eastAsia="宋体" w:cs="宋体"/>
          <w:b/>
          <w:bCs/>
          <w:spacing w:val="-7"/>
          <w:sz w:val="30"/>
          <w:szCs w:val="30"/>
          <w:highlight w:val="none"/>
        </w:rPr>
        <w:t>（十）评标结果</w:t>
      </w:r>
      <w:bookmarkEnd w:id="12"/>
    </w:p>
    <w:p w14:paraId="2E3443F5">
      <w:pPr>
        <w:spacing w:before="23" w:line="220" w:lineRule="auto"/>
        <w:ind w:left="606"/>
        <w:rPr>
          <w:rFonts w:ascii="宋体" w:hAnsi="宋体" w:eastAsia="宋体" w:cs="宋体"/>
          <w:sz w:val="24"/>
          <w:szCs w:val="24"/>
          <w:highlight w:val="none"/>
        </w:rPr>
      </w:pPr>
      <w:r>
        <w:rPr>
          <w:rFonts w:ascii="宋体" w:hAnsi="宋体" w:eastAsia="宋体" w:cs="宋体"/>
          <w:spacing w:val="-2"/>
          <w:sz w:val="24"/>
          <w:szCs w:val="24"/>
          <w:highlight w:val="none"/>
        </w:rPr>
        <w:t>34.2.4  评标结果</w:t>
      </w:r>
    </w:p>
    <w:p w14:paraId="42A6C7D5">
      <w:pPr>
        <w:spacing w:before="72" w:line="250" w:lineRule="auto"/>
        <w:ind w:left="121" w:right="108" w:firstLine="485"/>
        <w:rPr>
          <w:rFonts w:ascii="宋体" w:hAnsi="宋体" w:eastAsia="宋体" w:cs="宋体"/>
          <w:sz w:val="24"/>
          <w:szCs w:val="24"/>
          <w:highlight w:val="none"/>
        </w:rPr>
      </w:pPr>
      <w:r>
        <w:rPr>
          <w:highlight w:val="none"/>
        </w:rPr>
        <w:fldChar w:fldCharType="begin"/>
      </w:r>
      <w:r>
        <w:rPr>
          <w:highlight w:val="none"/>
        </w:rPr>
        <w:instrText xml:space="preserve"> HYPERLINK "34.2.4.1" </w:instrText>
      </w:r>
      <w:r>
        <w:rPr>
          <w:highlight w:val="none"/>
        </w:rPr>
        <w:fldChar w:fldCharType="separate"/>
      </w:r>
      <w:r>
        <w:rPr>
          <w:rFonts w:ascii="宋体" w:hAnsi="宋体" w:eastAsia="宋体" w:cs="宋体"/>
          <w:sz w:val="24"/>
          <w:szCs w:val="24"/>
          <w:highlight w:val="none"/>
        </w:rPr>
        <w:t>34.2.4.1</w:t>
      </w:r>
      <w:r>
        <w:rPr>
          <w:rFonts w:ascii="宋体" w:hAnsi="宋体" w:eastAsia="宋体" w:cs="宋体"/>
          <w:sz w:val="24"/>
          <w:szCs w:val="24"/>
          <w:highlight w:val="none"/>
        </w:rPr>
        <w:fldChar w:fldCharType="end"/>
      </w:r>
      <w:r>
        <w:rPr>
          <w:rFonts w:ascii="宋体" w:hAnsi="宋体" w:eastAsia="宋体" w:cs="宋体"/>
          <w:sz w:val="24"/>
          <w:szCs w:val="24"/>
          <w:highlight w:val="none"/>
        </w:rPr>
        <w:t>评标委员会按照商务标和技术标累计得分由高到低的顺序推</w:t>
      </w:r>
      <w:r>
        <w:rPr>
          <w:rFonts w:ascii="宋体" w:hAnsi="宋体" w:eastAsia="宋体" w:cs="宋体"/>
          <w:spacing w:val="-1"/>
          <w:sz w:val="24"/>
          <w:szCs w:val="24"/>
          <w:highlight w:val="none"/>
        </w:rPr>
        <w:t>荐</w:t>
      </w:r>
      <w:r>
        <w:rPr>
          <w:rFonts w:ascii="宋体" w:hAnsi="宋体" w:eastAsia="宋体" w:cs="宋体"/>
          <w:spacing w:val="-68"/>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72"/>
          <w:sz w:val="24"/>
          <w:szCs w:val="24"/>
          <w:highlight w:val="none"/>
        </w:rPr>
        <w:t xml:space="preserve"> </w:t>
      </w:r>
      <w:r>
        <w:rPr>
          <w:rFonts w:ascii="宋体" w:hAnsi="宋体" w:eastAsia="宋体" w:cs="宋体"/>
          <w:spacing w:val="-1"/>
          <w:sz w:val="24"/>
          <w:szCs w:val="24"/>
          <w:highlight w:val="none"/>
        </w:rPr>
        <w:t>名中标候</w:t>
      </w:r>
      <w:r>
        <w:rPr>
          <w:rFonts w:ascii="宋体" w:hAnsi="宋体" w:eastAsia="宋体" w:cs="宋体"/>
          <w:spacing w:val="-10"/>
          <w:sz w:val="24"/>
          <w:szCs w:val="24"/>
          <w:highlight w:val="none"/>
        </w:rPr>
        <w:t>选人。</w:t>
      </w:r>
    </w:p>
    <w:p w14:paraId="33F3B3E2">
      <w:pPr>
        <w:spacing w:before="72" w:line="218" w:lineRule="auto"/>
        <w:ind w:left="606"/>
        <w:rPr>
          <w:rFonts w:ascii="宋体" w:hAnsi="宋体" w:eastAsia="宋体" w:cs="宋体"/>
          <w:sz w:val="24"/>
          <w:szCs w:val="24"/>
          <w:highlight w:val="none"/>
        </w:rPr>
      </w:pPr>
      <w:r>
        <w:rPr>
          <w:rFonts w:ascii="宋体" w:hAnsi="宋体" w:eastAsia="宋体" w:cs="宋体"/>
          <w:sz w:val="24"/>
          <w:szCs w:val="24"/>
          <w:highlight w:val="none"/>
        </w:rPr>
        <w:t>34.2.4.2评标委员会完成评标后，向招标人提交书面评标报告。</w:t>
      </w:r>
    </w:p>
    <w:p w14:paraId="20347F49">
      <w:pPr>
        <w:spacing w:before="77" w:line="218" w:lineRule="auto"/>
        <w:ind w:left="606"/>
        <w:rPr>
          <w:rFonts w:ascii="宋体" w:hAnsi="宋体" w:eastAsia="宋体" w:cs="宋体"/>
          <w:sz w:val="24"/>
          <w:szCs w:val="24"/>
          <w:highlight w:val="none"/>
        </w:rPr>
      </w:pPr>
      <w:r>
        <w:rPr>
          <w:rFonts w:ascii="宋体" w:hAnsi="宋体" w:eastAsia="宋体" w:cs="宋体"/>
          <w:spacing w:val="-4"/>
          <w:sz w:val="24"/>
          <w:szCs w:val="24"/>
          <w:highlight w:val="none"/>
        </w:rPr>
        <w:t>34.2.4.3</w:t>
      </w:r>
      <w:r>
        <w:rPr>
          <w:rFonts w:ascii="宋体" w:hAnsi="宋体" w:eastAsia="宋体" w:cs="宋体"/>
          <w:spacing w:val="-25"/>
          <w:sz w:val="24"/>
          <w:szCs w:val="24"/>
          <w:highlight w:val="none"/>
        </w:rPr>
        <w:t xml:space="preserve"> </w:t>
      </w:r>
      <w:r>
        <w:rPr>
          <w:rFonts w:ascii="宋体" w:hAnsi="宋体" w:eastAsia="宋体" w:cs="宋体"/>
          <w:spacing w:val="-4"/>
          <w:sz w:val="24"/>
          <w:szCs w:val="24"/>
          <w:highlight w:val="none"/>
        </w:rPr>
        <w:t>中标价为投标人投标报价。</w:t>
      </w:r>
    </w:p>
    <w:p w14:paraId="3B33DA98">
      <w:pPr>
        <w:spacing w:before="76" w:line="277" w:lineRule="auto"/>
        <w:ind w:left="129" w:right="108" w:firstLine="477"/>
        <w:jc w:val="both"/>
        <w:rPr>
          <w:rFonts w:ascii="宋体" w:hAnsi="宋体" w:eastAsia="宋体" w:cs="宋体"/>
          <w:sz w:val="24"/>
          <w:szCs w:val="24"/>
          <w:highlight w:val="none"/>
        </w:rPr>
      </w:pPr>
      <w:r>
        <w:rPr>
          <w:rFonts w:ascii="宋体" w:hAnsi="宋体" w:eastAsia="宋体" w:cs="宋体"/>
          <w:spacing w:val="-1"/>
          <w:sz w:val="24"/>
          <w:szCs w:val="24"/>
          <w:highlight w:val="none"/>
        </w:rPr>
        <w:t>35、投标人(包括联合体各成员)有下列第（1）款至第（10）款情形之一者，一 律</w:t>
      </w:r>
      <w:r>
        <w:rPr>
          <w:rFonts w:ascii="宋体" w:hAnsi="宋体" w:eastAsia="宋体" w:cs="宋体"/>
          <w:spacing w:val="2"/>
          <w:sz w:val="24"/>
          <w:szCs w:val="24"/>
          <w:highlight w:val="none"/>
        </w:rPr>
        <w:t>否决其投标；有下列第（11）款至第（25）款情形之一者，一律否决其投标，由公共</w:t>
      </w:r>
      <w:r>
        <w:rPr>
          <w:rFonts w:ascii="宋体" w:hAnsi="宋体" w:eastAsia="宋体" w:cs="宋体"/>
          <w:spacing w:val="-3"/>
          <w:sz w:val="24"/>
          <w:szCs w:val="24"/>
          <w:highlight w:val="none"/>
        </w:rPr>
        <w:t>资源交易监督管理部门依法依规处理。</w:t>
      </w:r>
    </w:p>
    <w:p w14:paraId="02FEA2B9">
      <w:pPr>
        <w:spacing w:before="1" w:line="248" w:lineRule="auto"/>
        <w:ind w:left="126" w:right="119" w:firstLine="482"/>
        <w:rPr>
          <w:rFonts w:ascii="宋体" w:hAnsi="宋体" w:eastAsia="宋体" w:cs="宋体"/>
          <w:sz w:val="24"/>
          <w:szCs w:val="24"/>
          <w:highlight w:val="none"/>
        </w:rPr>
      </w:pPr>
      <w:r>
        <w:rPr>
          <w:rFonts w:ascii="宋体" w:hAnsi="宋体" w:eastAsia="宋体" w:cs="宋体"/>
          <w:spacing w:val="-8"/>
          <w:sz w:val="24"/>
          <w:szCs w:val="24"/>
          <w:highlight w:val="none"/>
        </w:rPr>
        <w:t>（1）投标文件中的工程量清单报价书相应位置未加盖工程造价人员“专用章”</w:t>
      </w:r>
      <w:r>
        <w:rPr>
          <w:rFonts w:ascii="宋体" w:hAnsi="宋体" w:eastAsia="宋体" w:cs="宋体"/>
          <w:spacing w:val="-56"/>
          <w:sz w:val="24"/>
          <w:szCs w:val="24"/>
          <w:highlight w:val="none"/>
        </w:rPr>
        <w:t>；（</w:t>
      </w:r>
      <w:r>
        <w:rPr>
          <w:rFonts w:ascii="宋体" w:hAnsi="宋体" w:eastAsia="宋体" w:cs="宋体"/>
          <w:spacing w:val="-8"/>
          <w:sz w:val="24"/>
          <w:szCs w:val="24"/>
          <w:highlight w:val="none"/>
        </w:rPr>
        <w:t>本</w:t>
      </w:r>
      <w:r>
        <w:rPr>
          <w:rFonts w:ascii="宋体" w:hAnsi="宋体" w:eastAsia="宋体" w:cs="宋体"/>
          <w:spacing w:val="-5"/>
          <w:sz w:val="24"/>
          <w:szCs w:val="24"/>
          <w:highlight w:val="none"/>
        </w:rPr>
        <w:t>项目不要求）</w:t>
      </w:r>
    </w:p>
    <w:p w14:paraId="566E22F0">
      <w:pPr>
        <w:spacing w:before="74" w:line="218" w:lineRule="auto"/>
        <w:ind w:left="608"/>
        <w:rPr>
          <w:rFonts w:ascii="宋体" w:hAnsi="宋体" w:eastAsia="宋体" w:cs="宋体"/>
          <w:sz w:val="24"/>
          <w:szCs w:val="24"/>
          <w:highlight w:val="none"/>
        </w:rPr>
      </w:pPr>
      <w:r>
        <w:rPr>
          <w:rFonts w:ascii="宋体" w:hAnsi="宋体" w:eastAsia="宋体" w:cs="宋体"/>
          <w:spacing w:val="-7"/>
          <w:sz w:val="24"/>
          <w:szCs w:val="24"/>
          <w:highlight w:val="none"/>
        </w:rPr>
        <w:t>（2）投标函中投标报价、工期、质量不能满足招标文件要求的或作出的承诺与招 标</w:t>
      </w:r>
    </w:p>
    <w:p w14:paraId="2874F387">
      <w:pPr>
        <w:spacing w:line="218" w:lineRule="auto"/>
        <w:rPr>
          <w:rFonts w:ascii="宋体" w:hAnsi="宋体" w:eastAsia="宋体" w:cs="宋体"/>
          <w:sz w:val="24"/>
          <w:szCs w:val="24"/>
          <w:highlight w:val="none"/>
        </w:rPr>
        <w:sectPr>
          <w:footerReference r:id="rId20" w:type="default"/>
          <w:pgSz w:w="11907" w:h="16839"/>
          <w:pgMar w:top="1419" w:right="967" w:bottom="1199" w:left="1608" w:header="0" w:footer="968" w:gutter="0"/>
          <w:cols w:space="720" w:num="1"/>
        </w:sectPr>
      </w:pPr>
    </w:p>
    <w:p w14:paraId="68F4BFDB">
      <w:pPr>
        <w:spacing w:before="90" w:line="219" w:lineRule="auto"/>
        <w:ind w:left="2"/>
        <w:rPr>
          <w:rFonts w:ascii="宋体" w:hAnsi="宋体" w:eastAsia="宋体" w:cs="宋体"/>
          <w:sz w:val="24"/>
          <w:szCs w:val="24"/>
          <w:highlight w:val="none"/>
        </w:rPr>
      </w:pPr>
      <w:r>
        <w:rPr>
          <w:rFonts w:ascii="宋体" w:hAnsi="宋体" w:eastAsia="宋体" w:cs="宋体"/>
          <w:spacing w:val="-3"/>
          <w:sz w:val="24"/>
          <w:szCs w:val="24"/>
          <w:highlight w:val="none"/>
        </w:rPr>
        <w:t>文件中提供的投标函样本中相关内容相抵触或有遗漏的；</w:t>
      </w:r>
    </w:p>
    <w:p w14:paraId="27D08B0E">
      <w:pPr>
        <w:spacing w:before="75" w:line="219" w:lineRule="auto"/>
        <w:ind w:left="487"/>
        <w:rPr>
          <w:rFonts w:ascii="宋体" w:hAnsi="宋体" w:eastAsia="宋体" w:cs="宋体"/>
          <w:sz w:val="24"/>
          <w:szCs w:val="24"/>
          <w:highlight w:val="none"/>
        </w:rPr>
      </w:pPr>
      <w:r>
        <w:rPr>
          <w:rFonts w:ascii="宋体" w:hAnsi="宋体" w:eastAsia="宋体" w:cs="宋体"/>
          <w:spacing w:val="-1"/>
          <w:sz w:val="24"/>
          <w:szCs w:val="24"/>
          <w:highlight w:val="none"/>
        </w:rPr>
        <w:t>（3）为招标人不具有独立法人资格的附属机构（单位</w:t>
      </w:r>
      <w:r>
        <w:rPr>
          <w:rFonts w:ascii="宋体" w:hAnsi="宋体" w:eastAsia="宋体" w:cs="宋体"/>
          <w:spacing w:val="3"/>
          <w:sz w:val="24"/>
          <w:szCs w:val="24"/>
          <w:highlight w:val="none"/>
        </w:rPr>
        <w:t>）</w:t>
      </w:r>
      <w:r>
        <w:rPr>
          <w:rFonts w:ascii="宋体" w:hAnsi="宋体" w:eastAsia="宋体" w:cs="宋体"/>
          <w:spacing w:val="2"/>
          <w:sz w:val="24"/>
          <w:szCs w:val="24"/>
          <w:highlight w:val="none"/>
        </w:rPr>
        <w:t xml:space="preserve"> </w:t>
      </w:r>
      <w:r>
        <w:rPr>
          <w:rFonts w:ascii="宋体" w:hAnsi="宋体" w:eastAsia="宋体" w:cs="宋体"/>
          <w:spacing w:val="3"/>
          <w:sz w:val="24"/>
          <w:szCs w:val="24"/>
          <w:highlight w:val="none"/>
        </w:rPr>
        <w:t>；</w:t>
      </w:r>
    </w:p>
    <w:p w14:paraId="0DE42F98">
      <w:pPr>
        <w:spacing w:before="75" w:line="219"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（4）为本标段前期准备提供设计或咨询服务的，但设计施工总承包</w:t>
      </w:r>
      <w:r>
        <w:rPr>
          <w:rFonts w:ascii="宋体" w:hAnsi="宋体" w:eastAsia="宋体" w:cs="宋体"/>
          <w:spacing w:val="-3"/>
          <w:sz w:val="24"/>
          <w:szCs w:val="24"/>
          <w:highlight w:val="none"/>
        </w:rPr>
        <w:t>的除外；</w:t>
      </w:r>
    </w:p>
    <w:p w14:paraId="61D90877">
      <w:pPr>
        <w:spacing w:before="75" w:line="219" w:lineRule="auto"/>
        <w:ind w:left="487"/>
        <w:rPr>
          <w:rFonts w:ascii="宋体" w:hAnsi="宋体" w:eastAsia="宋体" w:cs="宋体"/>
          <w:sz w:val="24"/>
          <w:szCs w:val="24"/>
          <w:highlight w:val="none"/>
        </w:rPr>
      </w:pPr>
      <w:r>
        <w:rPr>
          <w:rFonts w:ascii="宋体" w:hAnsi="宋体" w:eastAsia="宋体" w:cs="宋体"/>
          <w:spacing w:val="-6"/>
          <w:sz w:val="24"/>
          <w:szCs w:val="24"/>
          <w:highlight w:val="none"/>
        </w:rPr>
        <w:t>（5）为本标段的监理人；</w:t>
      </w:r>
    </w:p>
    <w:p w14:paraId="2D080EC7">
      <w:pPr>
        <w:spacing w:before="75" w:line="219" w:lineRule="auto"/>
        <w:ind w:left="487"/>
        <w:rPr>
          <w:rFonts w:ascii="宋体" w:hAnsi="宋体" w:eastAsia="宋体" w:cs="宋体"/>
          <w:sz w:val="24"/>
          <w:szCs w:val="24"/>
          <w:highlight w:val="none"/>
        </w:rPr>
      </w:pPr>
      <w:r>
        <w:rPr>
          <w:rFonts w:ascii="宋体" w:hAnsi="宋体" w:eastAsia="宋体" w:cs="宋体"/>
          <w:spacing w:val="-6"/>
          <w:sz w:val="24"/>
          <w:szCs w:val="24"/>
          <w:highlight w:val="none"/>
        </w:rPr>
        <w:t>（6）为本标段的代建人；</w:t>
      </w:r>
    </w:p>
    <w:p w14:paraId="04F9CD65">
      <w:pPr>
        <w:spacing w:before="75" w:line="219" w:lineRule="auto"/>
        <w:ind w:left="487"/>
        <w:rPr>
          <w:rFonts w:ascii="宋体" w:hAnsi="宋体" w:eastAsia="宋体" w:cs="宋体"/>
          <w:sz w:val="24"/>
          <w:szCs w:val="24"/>
          <w:highlight w:val="none"/>
        </w:rPr>
      </w:pPr>
      <w:r>
        <w:rPr>
          <w:rFonts w:ascii="宋体" w:hAnsi="宋体" w:eastAsia="宋体" w:cs="宋体"/>
          <w:spacing w:val="-5"/>
          <w:sz w:val="24"/>
          <w:szCs w:val="24"/>
          <w:highlight w:val="none"/>
        </w:rPr>
        <w:t>（7）为本标段提供招标代理服务的；</w:t>
      </w:r>
    </w:p>
    <w:p w14:paraId="03771405">
      <w:pPr>
        <w:spacing w:before="75"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（8）投标人或其法定代表人、投标项目经理在近三年内有行贿犯罪</w:t>
      </w:r>
      <w:r>
        <w:rPr>
          <w:rFonts w:ascii="宋体" w:hAnsi="宋体" w:eastAsia="宋体" w:cs="宋体"/>
          <w:spacing w:val="-3"/>
          <w:sz w:val="24"/>
          <w:szCs w:val="24"/>
          <w:highlight w:val="none"/>
        </w:rPr>
        <w:t>行为的；</w:t>
      </w:r>
    </w:p>
    <w:p w14:paraId="6EFFFFB4">
      <w:pPr>
        <w:spacing w:before="74" w:line="219"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（9）投标人被责令停业，暂扣或者吊销执照，或吊销资质证书；</w:t>
      </w:r>
    </w:p>
    <w:p w14:paraId="239A25E5">
      <w:pPr>
        <w:spacing w:before="76" w:line="218"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（10）进入清算程序，或被宣告破产；</w:t>
      </w:r>
    </w:p>
    <w:p w14:paraId="1DF5F054">
      <w:pPr>
        <w:spacing w:before="76" w:line="258" w:lineRule="auto"/>
        <w:ind w:left="3" w:right="71" w:firstLine="483"/>
        <w:rPr>
          <w:rFonts w:ascii="宋体" w:hAnsi="宋体" w:eastAsia="宋体" w:cs="宋体"/>
          <w:sz w:val="24"/>
          <w:szCs w:val="24"/>
          <w:highlight w:val="none"/>
        </w:rPr>
      </w:pPr>
      <w:r>
        <w:rPr>
          <w:rFonts w:ascii="宋体" w:hAnsi="宋体" w:eastAsia="宋体" w:cs="宋体"/>
          <w:spacing w:val="2"/>
          <w:sz w:val="24"/>
          <w:szCs w:val="24"/>
          <w:highlight w:val="none"/>
        </w:rPr>
        <w:t>（11）投标人被县级及以上建设行政主管部门/房屋建筑和市政基础设施工程招标投标活动的监督部门暂停或取消本次招标项目工程所在地或公共资源交易平台所在 地</w:t>
      </w:r>
      <w:r>
        <w:rPr>
          <w:rFonts w:ascii="宋体" w:hAnsi="宋体" w:eastAsia="宋体" w:cs="宋体"/>
          <w:spacing w:val="-3"/>
          <w:sz w:val="24"/>
          <w:szCs w:val="24"/>
          <w:highlight w:val="none"/>
        </w:rPr>
        <w:t>的投标资格或限制投标资格，且处于有效期内的；</w:t>
      </w:r>
    </w:p>
    <w:p w14:paraId="30E5C2C9">
      <w:pPr>
        <w:spacing w:before="75" w:line="248" w:lineRule="auto"/>
        <w:ind w:left="2" w:right="75" w:firstLine="484"/>
        <w:rPr>
          <w:rFonts w:ascii="宋体" w:hAnsi="宋体" w:eastAsia="宋体" w:cs="宋体"/>
          <w:sz w:val="24"/>
          <w:szCs w:val="24"/>
          <w:highlight w:val="none"/>
        </w:rPr>
      </w:pPr>
      <w:r>
        <w:rPr>
          <w:rFonts w:ascii="宋体" w:hAnsi="宋体" w:eastAsia="宋体" w:cs="宋体"/>
          <w:spacing w:val="-1"/>
          <w:sz w:val="24"/>
          <w:szCs w:val="24"/>
          <w:highlight w:val="none"/>
        </w:rPr>
        <w:t>（12）投标项目经理在其他在建工程（含已中标的待建工程）中担任项目经理、技</w:t>
      </w:r>
      <w:r>
        <w:rPr>
          <w:rFonts w:ascii="宋体" w:hAnsi="宋体" w:eastAsia="宋体" w:cs="宋体"/>
          <w:spacing w:val="-4"/>
          <w:sz w:val="24"/>
          <w:szCs w:val="24"/>
          <w:highlight w:val="none"/>
        </w:rPr>
        <w:t>术负责人、安全员、施工员、质量员的；</w:t>
      </w:r>
    </w:p>
    <w:p w14:paraId="676A5DB4">
      <w:pPr>
        <w:spacing w:before="75" w:line="218"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（13）投标人之间协商投标报价等投标文件的实质性内容的；</w:t>
      </w:r>
    </w:p>
    <w:p w14:paraId="2F90B95D">
      <w:pPr>
        <w:spacing w:before="77" w:line="220" w:lineRule="auto"/>
        <w:ind w:left="487"/>
        <w:rPr>
          <w:rFonts w:ascii="宋体" w:hAnsi="宋体" w:eastAsia="宋体" w:cs="宋体"/>
          <w:sz w:val="24"/>
          <w:szCs w:val="24"/>
          <w:highlight w:val="none"/>
        </w:rPr>
      </w:pPr>
      <w:r>
        <w:rPr>
          <w:rFonts w:ascii="宋体" w:hAnsi="宋体" w:eastAsia="宋体" w:cs="宋体"/>
          <w:spacing w:val="-5"/>
          <w:sz w:val="24"/>
          <w:szCs w:val="24"/>
          <w:highlight w:val="none"/>
        </w:rPr>
        <w:t>（14）投标人之间约定中标人的；</w:t>
      </w:r>
    </w:p>
    <w:p w14:paraId="160E360C">
      <w:pPr>
        <w:spacing w:before="73"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（15）投标人之间约定部分投标人放弃投标或者中标的；</w:t>
      </w:r>
    </w:p>
    <w:p w14:paraId="25A37E4F">
      <w:pPr>
        <w:spacing w:before="74" w:line="219" w:lineRule="auto"/>
        <w:ind w:right="4"/>
        <w:jc w:val="right"/>
        <w:rPr>
          <w:rFonts w:ascii="宋体" w:hAnsi="宋体" w:eastAsia="宋体" w:cs="宋体"/>
          <w:sz w:val="24"/>
          <w:szCs w:val="24"/>
          <w:highlight w:val="none"/>
        </w:rPr>
      </w:pPr>
      <w:r>
        <w:rPr>
          <w:rFonts w:ascii="宋体" w:hAnsi="宋体" w:eastAsia="宋体" w:cs="宋体"/>
          <w:spacing w:val="-5"/>
          <w:sz w:val="24"/>
          <w:szCs w:val="24"/>
          <w:highlight w:val="none"/>
        </w:rPr>
        <w:t>（16）属于同一集团、协会、商会等组织成员的投</w:t>
      </w:r>
      <w:r>
        <w:rPr>
          <w:rFonts w:ascii="宋体" w:hAnsi="宋体" w:eastAsia="宋体" w:cs="宋体"/>
          <w:spacing w:val="-6"/>
          <w:sz w:val="24"/>
          <w:szCs w:val="24"/>
          <w:highlight w:val="none"/>
        </w:rPr>
        <w:t>标人按照该组织要求协同投标的；</w:t>
      </w:r>
    </w:p>
    <w:p w14:paraId="01B5321E">
      <w:pPr>
        <w:spacing w:before="75" w:line="219"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（17）投标人之间为谋取中标或者排斥特定投标人而采取的其他联合行动</w:t>
      </w:r>
      <w:r>
        <w:rPr>
          <w:rFonts w:ascii="宋体" w:hAnsi="宋体" w:eastAsia="宋体" w:cs="宋体"/>
          <w:spacing w:val="-3"/>
          <w:sz w:val="24"/>
          <w:szCs w:val="24"/>
          <w:highlight w:val="none"/>
        </w:rPr>
        <w:t>的；</w:t>
      </w:r>
    </w:p>
    <w:p w14:paraId="4D336696">
      <w:pPr>
        <w:spacing w:before="75"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（18）不同投标人的投标文件由同一单位或者个人编制的；</w:t>
      </w:r>
    </w:p>
    <w:p w14:paraId="65CA066B">
      <w:pPr>
        <w:spacing w:before="75"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（19）不同投标人委托同一单位或者个人办理投标事宜的；</w:t>
      </w:r>
    </w:p>
    <w:p w14:paraId="62018B4E">
      <w:pPr>
        <w:spacing w:before="74"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（20）不同投标人的投标文件载明的项目管理成员为同一人的；</w:t>
      </w:r>
    </w:p>
    <w:p w14:paraId="7A184931">
      <w:pPr>
        <w:spacing w:before="74" w:line="218"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（21）不同投标人的投标文件异常一致或者投标报价呈规</w:t>
      </w:r>
      <w:r>
        <w:rPr>
          <w:rFonts w:ascii="宋体" w:hAnsi="宋体" w:eastAsia="宋体" w:cs="宋体"/>
          <w:spacing w:val="-3"/>
          <w:sz w:val="24"/>
          <w:szCs w:val="24"/>
          <w:highlight w:val="none"/>
        </w:rPr>
        <w:t>律性差异的；</w:t>
      </w:r>
    </w:p>
    <w:p w14:paraId="301C118E">
      <w:pPr>
        <w:spacing w:before="76" w:line="220"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（22）不同投标人的投标文件相互混装的；</w:t>
      </w:r>
    </w:p>
    <w:p w14:paraId="5C1F8664">
      <w:pPr>
        <w:spacing w:before="74"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（23）不同投标人的投标保证金从同一单位或者个人</w:t>
      </w:r>
      <w:r>
        <w:rPr>
          <w:rFonts w:ascii="宋体" w:hAnsi="宋体" w:eastAsia="宋体" w:cs="宋体"/>
          <w:spacing w:val="-3"/>
          <w:sz w:val="24"/>
          <w:szCs w:val="24"/>
          <w:highlight w:val="none"/>
        </w:rPr>
        <w:t>的账户转出的；</w:t>
      </w:r>
    </w:p>
    <w:p w14:paraId="6F6AAFA8">
      <w:pPr>
        <w:spacing w:before="73" w:line="258" w:lineRule="auto"/>
        <w:ind w:left="1" w:firstLine="485"/>
        <w:rPr>
          <w:rFonts w:ascii="宋体" w:hAnsi="宋体" w:eastAsia="宋体" w:cs="宋体"/>
          <w:sz w:val="24"/>
          <w:szCs w:val="24"/>
          <w:highlight w:val="none"/>
        </w:rPr>
      </w:pPr>
      <w:r>
        <w:rPr>
          <w:rFonts w:ascii="宋体" w:hAnsi="宋体" w:eastAsia="宋体" w:cs="宋体"/>
          <w:spacing w:val="-1"/>
          <w:sz w:val="24"/>
          <w:szCs w:val="24"/>
          <w:highlight w:val="none"/>
        </w:rPr>
        <w:t>（24）投标人在本次投标中有弄虚作假行为，包括使用伪造、变造的资质证书、许</w:t>
      </w:r>
      <w:r>
        <w:rPr>
          <w:rFonts w:ascii="宋体" w:hAnsi="宋体" w:eastAsia="宋体" w:cs="宋体"/>
          <w:spacing w:val="-9"/>
          <w:sz w:val="24"/>
          <w:szCs w:val="24"/>
          <w:highlight w:val="none"/>
        </w:rPr>
        <w:t>可证件，提供虚假的财务状况或者业绩，提供虚假的项目班子成员简历、社保缴费证</w:t>
      </w:r>
      <w:r>
        <w:rPr>
          <w:rFonts w:ascii="宋体" w:hAnsi="宋体" w:eastAsia="宋体" w:cs="宋体"/>
          <w:spacing w:val="35"/>
          <w:sz w:val="24"/>
          <w:szCs w:val="24"/>
          <w:highlight w:val="none"/>
        </w:rPr>
        <w:t xml:space="preserve"> </w:t>
      </w:r>
      <w:r>
        <w:rPr>
          <w:rFonts w:ascii="宋体" w:hAnsi="宋体" w:eastAsia="宋体" w:cs="宋体"/>
          <w:spacing w:val="-9"/>
          <w:sz w:val="24"/>
          <w:szCs w:val="24"/>
          <w:highlight w:val="none"/>
        </w:rPr>
        <w:t>明，</w:t>
      </w:r>
      <w:r>
        <w:rPr>
          <w:rFonts w:ascii="宋体" w:hAnsi="宋体" w:eastAsia="宋体" w:cs="宋体"/>
          <w:spacing w:val="-3"/>
          <w:sz w:val="24"/>
          <w:szCs w:val="24"/>
          <w:highlight w:val="none"/>
        </w:rPr>
        <w:t>提供虚假的信用状况，提供虚假的获奖资料</w:t>
      </w:r>
      <w:r>
        <w:rPr>
          <w:rFonts w:ascii="宋体" w:hAnsi="宋体" w:eastAsia="宋体" w:cs="宋体"/>
          <w:spacing w:val="-4"/>
          <w:sz w:val="24"/>
          <w:szCs w:val="24"/>
          <w:highlight w:val="none"/>
        </w:rPr>
        <w:t>等；</w:t>
      </w:r>
    </w:p>
    <w:p w14:paraId="4DD9ED95">
      <w:pPr>
        <w:spacing w:before="75"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（25）与招标人存在利害关系且可能影响招标公正性；</w:t>
      </w:r>
    </w:p>
    <w:p w14:paraId="6106B961">
      <w:pPr>
        <w:spacing w:before="72" w:line="221" w:lineRule="auto"/>
        <w:ind w:left="106"/>
        <w:rPr>
          <w:rFonts w:ascii="宋体" w:hAnsi="宋体" w:eastAsia="宋体" w:cs="宋体"/>
          <w:sz w:val="28"/>
          <w:szCs w:val="28"/>
          <w:highlight w:val="none"/>
        </w:rPr>
      </w:pPr>
      <w:r>
        <w:rPr>
          <w:rFonts w:ascii="宋体" w:hAnsi="宋体" w:eastAsia="宋体" w:cs="宋体"/>
          <w:b/>
          <w:bCs/>
          <w:spacing w:val="-6"/>
          <w:sz w:val="28"/>
          <w:szCs w:val="28"/>
          <w:highlight w:val="none"/>
        </w:rPr>
        <w:t>（十一）合同的授予</w:t>
      </w:r>
    </w:p>
    <w:p w14:paraId="789261E0">
      <w:pPr>
        <w:spacing w:before="101" w:line="220" w:lineRule="auto"/>
        <w:ind w:left="101"/>
        <w:rPr>
          <w:rFonts w:ascii="宋体" w:hAnsi="宋体" w:eastAsia="宋体" w:cs="宋体"/>
          <w:sz w:val="24"/>
          <w:szCs w:val="24"/>
          <w:highlight w:val="none"/>
        </w:rPr>
      </w:pPr>
      <w:r>
        <w:rPr>
          <w:rFonts w:ascii="宋体" w:hAnsi="宋体" w:eastAsia="宋体" w:cs="宋体"/>
          <w:spacing w:val="-3"/>
          <w:sz w:val="24"/>
          <w:szCs w:val="24"/>
          <w:highlight w:val="none"/>
        </w:rPr>
        <w:t>36、合同授予标准</w:t>
      </w:r>
    </w:p>
    <w:p w14:paraId="754FCB88">
      <w:pPr>
        <w:spacing w:before="80" w:line="221"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36.1</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合同授予</w:t>
      </w:r>
    </w:p>
    <w:p w14:paraId="56E77353">
      <w:pPr>
        <w:spacing w:before="73" w:line="218"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本招标工程的施工合同将授予按评标委员会</w:t>
      </w:r>
      <w:r>
        <w:rPr>
          <w:rFonts w:ascii="宋体" w:hAnsi="宋体" w:eastAsia="宋体" w:cs="宋体"/>
          <w:spacing w:val="-2"/>
          <w:sz w:val="24"/>
          <w:szCs w:val="24"/>
          <w:highlight w:val="none"/>
        </w:rPr>
        <w:t>的评标报告所确定的中标人。</w:t>
      </w:r>
    </w:p>
    <w:p w14:paraId="105FB614">
      <w:pPr>
        <w:spacing w:before="76"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36.2</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招标人拒绝投标的权力</w:t>
      </w:r>
    </w:p>
    <w:p w14:paraId="6E3B2CE0">
      <w:pPr>
        <w:spacing w:before="74" w:line="277" w:lineRule="auto"/>
        <w:ind w:right="70" w:firstLine="481"/>
        <w:rPr>
          <w:rFonts w:ascii="宋体" w:hAnsi="宋体" w:eastAsia="宋体" w:cs="宋体"/>
          <w:sz w:val="24"/>
          <w:szCs w:val="24"/>
          <w:highlight w:val="none"/>
        </w:rPr>
      </w:pPr>
      <w:r>
        <w:rPr>
          <w:rFonts w:ascii="宋体" w:hAnsi="宋体" w:eastAsia="宋体" w:cs="宋体"/>
          <w:spacing w:val="-6"/>
          <w:sz w:val="24"/>
          <w:szCs w:val="24"/>
          <w:highlight w:val="none"/>
        </w:rPr>
        <w:t>招标人不承诺将合同授予报价最低的投标人。招标人在发出中标通知书前，</w:t>
      </w:r>
      <w:r>
        <w:rPr>
          <w:rFonts w:ascii="宋体" w:hAnsi="宋体" w:eastAsia="宋体" w:cs="宋体"/>
          <w:spacing w:val="70"/>
          <w:sz w:val="24"/>
          <w:szCs w:val="24"/>
          <w:highlight w:val="none"/>
        </w:rPr>
        <w:t xml:space="preserve"> </w:t>
      </w:r>
      <w:r>
        <w:rPr>
          <w:rFonts w:ascii="宋体" w:hAnsi="宋体" w:eastAsia="宋体" w:cs="宋体"/>
          <w:spacing w:val="-6"/>
          <w:sz w:val="24"/>
          <w:szCs w:val="24"/>
          <w:highlight w:val="none"/>
        </w:rPr>
        <w:t>有权依</w:t>
      </w:r>
      <w:r>
        <w:rPr>
          <w:rFonts w:ascii="宋体" w:hAnsi="宋体" w:eastAsia="宋体" w:cs="宋体"/>
          <w:spacing w:val="-2"/>
          <w:sz w:val="24"/>
          <w:szCs w:val="24"/>
          <w:highlight w:val="none"/>
        </w:rPr>
        <w:t>据评标委员会的评标报告和法规规定拒绝不合格的投标。</w:t>
      </w:r>
    </w:p>
    <w:p w14:paraId="672ADB10">
      <w:pPr>
        <w:spacing w:before="2" w:line="218" w:lineRule="auto"/>
        <w:ind w:left="5"/>
        <w:rPr>
          <w:rFonts w:ascii="宋体" w:hAnsi="宋体" w:eastAsia="宋体" w:cs="宋体"/>
          <w:sz w:val="24"/>
          <w:szCs w:val="24"/>
          <w:highlight w:val="none"/>
        </w:rPr>
      </w:pPr>
      <w:r>
        <w:rPr>
          <w:rFonts w:ascii="宋体" w:hAnsi="宋体" w:eastAsia="宋体" w:cs="宋体"/>
          <w:spacing w:val="-4"/>
          <w:sz w:val="24"/>
          <w:szCs w:val="24"/>
          <w:highlight w:val="none"/>
        </w:rPr>
        <w:t>37、中标通知书</w:t>
      </w:r>
    </w:p>
    <w:p w14:paraId="45C66482">
      <w:pPr>
        <w:spacing w:before="74" w:line="220"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37.1</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中标人确定后，招标人将在六安市公共资源交易平台电子服务系统网站上公</w:t>
      </w:r>
    </w:p>
    <w:p w14:paraId="3A9146E3">
      <w:pPr>
        <w:spacing w:line="220" w:lineRule="auto"/>
        <w:rPr>
          <w:rFonts w:ascii="宋体" w:hAnsi="宋体" w:eastAsia="宋体" w:cs="宋体"/>
          <w:sz w:val="24"/>
          <w:szCs w:val="24"/>
          <w:highlight w:val="none"/>
        </w:rPr>
        <w:sectPr>
          <w:footerReference r:id="rId21" w:type="default"/>
          <w:pgSz w:w="11907" w:h="16839"/>
          <w:pgMar w:top="1431" w:right="1009" w:bottom="1199" w:left="1729" w:header="0" w:footer="968" w:gutter="0"/>
          <w:cols w:space="720" w:num="1"/>
        </w:sectPr>
      </w:pPr>
    </w:p>
    <w:p w14:paraId="522F77A3">
      <w:pPr>
        <w:spacing w:before="90" w:line="277" w:lineRule="auto"/>
        <w:ind w:left="42" w:right="31" w:hanging="1"/>
        <w:rPr>
          <w:rFonts w:ascii="宋体" w:hAnsi="宋体" w:eastAsia="宋体" w:cs="宋体"/>
          <w:sz w:val="24"/>
          <w:szCs w:val="24"/>
          <w:highlight w:val="none"/>
        </w:rPr>
      </w:pPr>
      <w:r>
        <w:rPr>
          <w:rFonts w:ascii="宋体" w:hAnsi="宋体" w:eastAsia="宋体" w:cs="宋体"/>
          <w:spacing w:val="-3"/>
          <w:sz w:val="24"/>
          <w:szCs w:val="24"/>
          <w:highlight w:val="none"/>
        </w:rPr>
        <w:t>示，公示期为 3 日，未发现中标人在招标投标活动中有违法行为或有前述 35</w:t>
      </w:r>
      <w:r>
        <w:rPr>
          <w:rFonts w:ascii="宋体" w:hAnsi="宋体" w:eastAsia="宋体" w:cs="宋体"/>
          <w:spacing w:val="-22"/>
          <w:sz w:val="24"/>
          <w:szCs w:val="24"/>
          <w:highlight w:val="none"/>
        </w:rPr>
        <w:t xml:space="preserve"> </w:t>
      </w:r>
      <w:r>
        <w:rPr>
          <w:rFonts w:ascii="宋体" w:hAnsi="宋体" w:eastAsia="宋体" w:cs="宋体"/>
          <w:spacing w:val="-3"/>
          <w:sz w:val="24"/>
          <w:szCs w:val="24"/>
          <w:highlight w:val="none"/>
        </w:rPr>
        <w:t>条所列情</w:t>
      </w:r>
      <w:r>
        <w:rPr>
          <w:rFonts w:ascii="宋体" w:hAnsi="宋体" w:eastAsia="宋体" w:cs="宋体"/>
          <w:spacing w:val="-2"/>
          <w:sz w:val="24"/>
          <w:szCs w:val="24"/>
          <w:highlight w:val="none"/>
        </w:rPr>
        <w:t>形之一的,招标人将向中标人按程序办理和发放中标通知书。</w:t>
      </w:r>
    </w:p>
    <w:p w14:paraId="4E7E8A19">
      <w:pPr>
        <w:spacing w:line="216" w:lineRule="auto"/>
        <w:ind w:left="525"/>
        <w:rPr>
          <w:rFonts w:ascii="宋体" w:hAnsi="宋体" w:eastAsia="宋体" w:cs="宋体"/>
          <w:sz w:val="24"/>
          <w:szCs w:val="24"/>
          <w:highlight w:val="none"/>
        </w:rPr>
      </w:pPr>
      <w:r>
        <w:rPr>
          <w:rFonts w:ascii="宋体" w:hAnsi="宋体" w:eastAsia="宋体" w:cs="宋体"/>
          <w:spacing w:val="-2"/>
          <w:sz w:val="24"/>
          <w:szCs w:val="24"/>
          <w:highlight w:val="none"/>
        </w:rPr>
        <w:t>37.2</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招标人将在发出中标通知书的同时,将中标结果通知所有未中标的投标人。</w:t>
      </w:r>
    </w:p>
    <w:p w14:paraId="7AC346F7">
      <w:pPr>
        <w:spacing w:before="109" w:line="311" w:lineRule="auto"/>
        <w:ind w:left="40" w:right="28" w:firstLine="484"/>
        <w:rPr>
          <w:rFonts w:ascii="宋体" w:hAnsi="宋体" w:eastAsia="宋体" w:cs="宋体"/>
          <w:sz w:val="24"/>
          <w:szCs w:val="24"/>
          <w:highlight w:val="none"/>
        </w:rPr>
      </w:pPr>
      <w:r>
        <w:rPr>
          <w:rFonts w:ascii="宋体" w:hAnsi="宋体" w:eastAsia="宋体" w:cs="宋体"/>
          <w:spacing w:val="-1"/>
          <w:sz w:val="24"/>
          <w:szCs w:val="24"/>
          <w:highlight w:val="none"/>
        </w:rPr>
        <w:t>38、招标代理服务费、清单、控制价编制费由中标人支付，按以下列收费标准</w:t>
      </w:r>
      <w:r>
        <w:rPr>
          <w:rFonts w:hint="eastAsia" w:ascii="宋体" w:hAnsi="宋体" w:eastAsia="宋体" w:cs="宋体"/>
          <w:spacing w:val="-1"/>
          <w:sz w:val="24"/>
          <w:szCs w:val="24"/>
          <w:highlight w:val="none"/>
          <w:lang w:val="en-US" w:eastAsia="zh-CN"/>
        </w:rPr>
        <w:t>100</w:t>
      </w:r>
      <w:r>
        <w:rPr>
          <w:rFonts w:ascii="宋体" w:hAnsi="宋体" w:eastAsia="宋体" w:cs="宋体"/>
          <w:spacing w:val="-1"/>
          <w:sz w:val="24"/>
          <w:szCs w:val="24"/>
          <w:highlight w:val="none"/>
        </w:rPr>
        <w:t>%</w:t>
      </w:r>
      <w:r>
        <w:rPr>
          <w:rFonts w:ascii="宋体" w:hAnsi="宋体" w:eastAsia="宋体" w:cs="宋体"/>
          <w:spacing w:val="-15"/>
          <w:sz w:val="24"/>
          <w:szCs w:val="24"/>
          <w:highlight w:val="none"/>
        </w:rPr>
        <w:t>计取：</w:t>
      </w:r>
    </w:p>
    <w:p w14:paraId="4C128F0B">
      <w:pPr>
        <w:spacing w:before="119" w:line="220" w:lineRule="auto"/>
        <w:ind w:left="3634"/>
        <w:rPr>
          <w:rFonts w:ascii="宋体" w:hAnsi="宋体" w:eastAsia="宋体" w:cs="宋体"/>
          <w:sz w:val="24"/>
          <w:szCs w:val="24"/>
          <w:highlight w:val="none"/>
        </w:rPr>
      </w:pPr>
      <w:r>
        <w:rPr>
          <w:rFonts w:ascii="宋体" w:hAnsi="宋体" w:eastAsia="宋体" w:cs="宋体"/>
          <w:spacing w:val="-2"/>
          <w:sz w:val="24"/>
          <w:szCs w:val="24"/>
          <w:highlight w:val="none"/>
        </w:rPr>
        <w:t>招标代理收费标准</w:t>
      </w:r>
    </w:p>
    <w:p w14:paraId="65ABDE8C">
      <w:pPr>
        <w:spacing w:line="34" w:lineRule="exact"/>
        <w:rPr>
          <w:highlight w:val="none"/>
        </w:rPr>
      </w:pPr>
    </w:p>
    <w:tbl>
      <w:tblPr>
        <w:tblStyle w:val="24"/>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4"/>
        <w:gridCol w:w="1854"/>
        <w:gridCol w:w="1776"/>
        <w:gridCol w:w="1840"/>
      </w:tblGrid>
      <w:tr w14:paraId="0550B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694" w:type="dxa"/>
            <w:vAlign w:val="top"/>
          </w:tcPr>
          <w:p w14:paraId="5940510C">
            <w:pPr>
              <w:pStyle w:val="25"/>
              <w:spacing w:before="112" w:line="218" w:lineRule="auto"/>
              <w:ind w:left="444"/>
              <w:rPr>
                <w:highlight w:val="none"/>
              </w:rPr>
            </w:pPr>
            <w:r>
              <w:rPr>
                <w:b/>
                <w:bCs/>
                <w:spacing w:val="-12"/>
                <w:highlight w:val="none"/>
              </w:rPr>
              <w:t>中标（成交）</w:t>
            </w:r>
            <w:r>
              <w:rPr>
                <w:spacing w:val="-60"/>
                <w:highlight w:val="none"/>
              </w:rPr>
              <w:t xml:space="preserve"> </w:t>
            </w:r>
            <w:r>
              <w:rPr>
                <w:b/>
                <w:bCs/>
                <w:spacing w:val="-12"/>
                <w:highlight w:val="none"/>
              </w:rPr>
              <w:t>金额（万元）</w:t>
            </w:r>
          </w:p>
        </w:tc>
        <w:tc>
          <w:tcPr>
            <w:tcW w:w="1854" w:type="dxa"/>
            <w:vAlign w:val="top"/>
          </w:tcPr>
          <w:p w14:paraId="4435359A">
            <w:pPr>
              <w:pStyle w:val="25"/>
              <w:spacing w:before="112" w:line="217" w:lineRule="auto"/>
              <w:ind w:left="342"/>
              <w:rPr>
                <w:highlight w:val="none"/>
              </w:rPr>
            </w:pPr>
            <w:r>
              <w:rPr>
                <w:b/>
                <w:bCs/>
                <w:spacing w:val="-6"/>
                <w:highlight w:val="none"/>
              </w:rPr>
              <w:t>货物类项目</w:t>
            </w:r>
          </w:p>
        </w:tc>
        <w:tc>
          <w:tcPr>
            <w:tcW w:w="1776" w:type="dxa"/>
            <w:vAlign w:val="top"/>
          </w:tcPr>
          <w:p w14:paraId="4A1298C9">
            <w:pPr>
              <w:pStyle w:val="25"/>
              <w:spacing w:before="112" w:line="218" w:lineRule="auto"/>
              <w:ind w:left="297"/>
              <w:rPr>
                <w:highlight w:val="none"/>
              </w:rPr>
            </w:pPr>
            <w:r>
              <w:rPr>
                <w:b/>
                <w:bCs/>
                <w:spacing w:val="-5"/>
                <w:highlight w:val="none"/>
              </w:rPr>
              <w:t>服务类项目</w:t>
            </w:r>
          </w:p>
        </w:tc>
        <w:tc>
          <w:tcPr>
            <w:tcW w:w="1840" w:type="dxa"/>
            <w:vAlign w:val="top"/>
          </w:tcPr>
          <w:p w14:paraId="5B91D33D">
            <w:pPr>
              <w:pStyle w:val="25"/>
              <w:spacing w:before="112" w:line="219" w:lineRule="auto"/>
              <w:ind w:left="335"/>
              <w:rPr>
                <w:highlight w:val="none"/>
              </w:rPr>
            </w:pPr>
            <w:r>
              <w:rPr>
                <w:b/>
                <w:bCs/>
                <w:spacing w:val="-6"/>
                <w:highlight w:val="none"/>
              </w:rPr>
              <w:t>工程类项目</w:t>
            </w:r>
          </w:p>
        </w:tc>
      </w:tr>
      <w:tr w14:paraId="3433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694" w:type="dxa"/>
            <w:vAlign w:val="top"/>
          </w:tcPr>
          <w:p w14:paraId="79A3A20C">
            <w:pPr>
              <w:pStyle w:val="25"/>
              <w:spacing w:before="109" w:line="218" w:lineRule="auto"/>
              <w:ind w:left="1420"/>
              <w:rPr>
                <w:highlight w:val="none"/>
              </w:rPr>
            </w:pPr>
            <w:r>
              <w:rPr>
                <w:spacing w:val="-10"/>
                <w:highlight w:val="none"/>
              </w:rPr>
              <w:t>100</w:t>
            </w:r>
            <w:r>
              <w:rPr>
                <w:spacing w:val="-17"/>
                <w:highlight w:val="none"/>
              </w:rPr>
              <w:t xml:space="preserve"> </w:t>
            </w:r>
            <w:r>
              <w:rPr>
                <w:spacing w:val="-10"/>
                <w:highlight w:val="none"/>
              </w:rPr>
              <w:t>以下</w:t>
            </w:r>
          </w:p>
        </w:tc>
        <w:tc>
          <w:tcPr>
            <w:tcW w:w="1854" w:type="dxa"/>
            <w:vAlign w:val="top"/>
          </w:tcPr>
          <w:p w14:paraId="30255B26">
            <w:pPr>
              <w:pStyle w:val="25"/>
              <w:spacing w:before="109" w:line="236" w:lineRule="auto"/>
              <w:ind w:left="710"/>
              <w:rPr>
                <w:highlight w:val="none"/>
              </w:rPr>
            </w:pPr>
            <w:r>
              <w:rPr>
                <w:spacing w:val="-5"/>
                <w:highlight w:val="none"/>
              </w:rPr>
              <w:t>1.5%</w:t>
            </w:r>
          </w:p>
        </w:tc>
        <w:tc>
          <w:tcPr>
            <w:tcW w:w="1776" w:type="dxa"/>
            <w:vAlign w:val="top"/>
          </w:tcPr>
          <w:p w14:paraId="105FE88F">
            <w:pPr>
              <w:pStyle w:val="25"/>
              <w:spacing w:before="109" w:line="236" w:lineRule="auto"/>
              <w:ind w:left="670"/>
              <w:rPr>
                <w:highlight w:val="none"/>
              </w:rPr>
            </w:pPr>
            <w:r>
              <w:rPr>
                <w:spacing w:val="-5"/>
                <w:highlight w:val="none"/>
              </w:rPr>
              <w:t>1.5%</w:t>
            </w:r>
          </w:p>
        </w:tc>
        <w:tc>
          <w:tcPr>
            <w:tcW w:w="1840" w:type="dxa"/>
            <w:vAlign w:val="top"/>
          </w:tcPr>
          <w:p w14:paraId="058A7C31">
            <w:pPr>
              <w:pStyle w:val="25"/>
              <w:spacing w:before="109" w:line="236" w:lineRule="auto"/>
              <w:ind w:left="702"/>
              <w:rPr>
                <w:highlight w:val="none"/>
              </w:rPr>
            </w:pPr>
            <w:r>
              <w:rPr>
                <w:spacing w:val="-6"/>
                <w:highlight w:val="none"/>
              </w:rPr>
              <w:t>1.0%</w:t>
            </w:r>
          </w:p>
        </w:tc>
      </w:tr>
      <w:tr w14:paraId="225F0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694" w:type="dxa"/>
            <w:vAlign w:val="top"/>
          </w:tcPr>
          <w:p w14:paraId="34FEABDE">
            <w:pPr>
              <w:pStyle w:val="25"/>
              <w:spacing w:before="111" w:line="237" w:lineRule="auto"/>
              <w:ind w:left="1449"/>
              <w:rPr>
                <w:highlight w:val="none"/>
              </w:rPr>
            </w:pPr>
            <w:r>
              <w:rPr>
                <w:spacing w:val="-4"/>
                <w:highlight w:val="none"/>
              </w:rPr>
              <w:t>100-500</w:t>
            </w:r>
          </w:p>
        </w:tc>
        <w:tc>
          <w:tcPr>
            <w:tcW w:w="1854" w:type="dxa"/>
            <w:vAlign w:val="top"/>
          </w:tcPr>
          <w:p w14:paraId="3520CBD6">
            <w:pPr>
              <w:pStyle w:val="25"/>
              <w:spacing w:before="112" w:line="236" w:lineRule="auto"/>
              <w:ind w:left="710"/>
              <w:rPr>
                <w:highlight w:val="none"/>
              </w:rPr>
            </w:pPr>
            <w:r>
              <w:rPr>
                <w:spacing w:val="-4"/>
                <w:highlight w:val="none"/>
              </w:rPr>
              <w:t>1.1%</w:t>
            </w:r>
          </w:p>
        </w:tc>
        <w:tc>
          <w:tcPr>
            <w:tcW w:w="1776" w:type="dxa"/>
            <w:vAlign w:val="top"/>
          </w:tcPr>
          <w:p w14:paraId="7E1E17AC">
            <w:pPr>
              <w:pStyle w:val="25"/>
              <w:spacing w:before="112" w:line="236" w:lineRule="auto"/>
              <w:ind w:left="655"/>
              <w:rPr>
                <w:highlight w:val="none"/>
              </w:rPr>
            </w:pPr>
            <w:r>
              <w:rPr>
                <w:spacing w:val="-2"/>
                <w:highlight w:val="none"/>
              </w:rPr>
              <w:t>0.8%</w:t>
            </w:r>
          </w:p>
        </w:tc>
        <w:tc>
          <w:tcPr>
            <w:tcW w:w="1840" w:type="dxa"/>
            <w:vAlign w:val="top"/>
          </w:tcPr>
          <w:p w14:paraId="3259755F">
            <w:pPr>
              <w:pStyle w:val="25"/>
              <w:spacing w:before="112" w:line="236" w:lineRule="auto"/>
              <w:ind w:left="686"/>
              <w:rPr>
                <w:highlight w:val="none"/>
              </w:rPr>
            </w:pPr>
            <w:r>
              <w:rPr>
                <w:spacing w:val="-1"/>
                <w:highlight w:val="none"/>
              </w:rPr>
              <w:t>0.7%</w:t>
            </w:r>
          </w:p>
        </w:tc>
      </w:tr>
      <w:tr w14:paraId="4AA66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694" w:type="dxa"/>
            <w:vAlign w:val="top"/>
          </w:tcPr>
          <w:p w14:paraId="56AC7A14">
            <w:pPr>
              <w:pStyle w:val="25"/>
              <w:spacing w:before="112" w:line="237" w:lineRule="auto"/>
              <w:ind w:left="1376"/>
              <w:rPr>
                <w:highlight w:val="none"/>
              </w:rPr>
            </w:pPr>
            <w:r>
              <w:rPr>
                <w:spacing w:val="-2"/>
                <w:highlight w:val="none"/>
              </w:rPr>
              <w:t>500-1000</w:t>
            </w:r>
          </w:p>
        </w:tc>
        <w:tc>
          <w:tcPr>
            <w:tcW w:w="1854" w:type="dxa"/>
            <w:vAlign w:val="top"/>
          </w:tcPr>
          <w:p w14:paraId="1D8C7BE4">
            <w:pPr>
              <w:pStyle w:val="25"/>
              <w:spacing w:before="113" w:line="236" w:lineRule="auto"/>
              <w:ind w:left="694"/>
              <w:rPr>
                <w:highlight w:val="none"/>
              </w:rPr>
            </w:pPr>
            <w:r>
              <w:rPr>
                <w:spacing w:val="-2"/>
                <w:highlight w:val="none"/>
              </w:rPr>
              <w:t>0.8%</w:t>
            </w:r>
          </w:p>
        </w:tc>
        <w:tc>
          <w:tcPr>
            <w:tcW w:w="1776" w:type="dxa"/>
            <w:vAlign w:val="top"/>
          </w:tcPr>
          <w:p w14:paraId="1D1661E3">
            <w:pPr>
              <w:pStyle w:val="25"/>
              <w:spacing w:before="113" w:line="236" w:lineRule="auto"/>
              <w:ind w:left="595"/>
              <w:rPr>
                <w:highlight w:val="none"/>
              </w:rPr>
            </w:pPr>
            <w:r>
              <w:rPr>
                <w:spacing w:val="-3"/>
                <w:highlight w:val="none"/>
              </w:rPr>
              <w:t>0.45%</w:t>
            </w:r>
          </w:p>
        </w:tc>
        <w:tc>
          <w:tcPr>
            <w:tcW w:w="1840" w:type="dxa"/>
            <w:vAlign w:val="top"/>
          </w:tcPr>
          <w:p w14:paraId="62AC9BCA">
            <w:pPr>
              <w:pStyle w:val="25"/>
              <w:spacing w:before="113" w:line="236" w:lineRule="auto"/>
              <w:ind w:left="626"/>
              <w:rPr>
                <w:highlight w:val="none"/>
              </w:rPr>
            </w:pPr>
            <w:r>
              <w:rPr>
                <w:spacing w:val="-2"/>
                <w:highlight w:val="none"/>
              </w:rPr>
              <w:t>0.55%</w:t>
            </w:r>
          </w:p>
        </w:tc>
      </w:tr>
      <w:tr w14:paraId="1587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694" w:type="dxa"/>
            <w:vAlign w:val="top"/>
          </w:tcPr>
          <w:p w14:paraId="53E97F94">
            <w:pPr>
              <w:pStyle w:val="25"/>
              <w:spacing w:before="111" w:line="237" w:lineRule="auto"/>
              <w:ind w:left="1329"/>
              <w:rPr>
                <w:highlight w:val="none"/>
              </w:rPr>
            </w:pPr>
            <w:r>
              <w:rPr>
                <w:spacing w:val="-3"/>
                <w:highlight w:val="none"/>
              </w:rPr>
              <w:t>1000-5000</w:t>
            </w:r>
          </w:p>
        </w:tc>
        <w:tc>
          <w:tcPr>
            <w:tcW w:w="1854" w:type="dxa"/>
            <w:vAlign w:val="top"/>
          </w:tcPr>
          <w:p w14:paraId="6F1BFC77">
            <w:pPr>
              <w:pStyle w:val="25"/>
              <w:spacing w:before="111" w:line="236" w:lineRule="auto"/>
              <w:ind w:left="694"/>
              <w:rPr>
                <w:highlight w:val="none"/>
              </w:rPr>
            </w:pPr>
            <w:r>
              <w:rPr>
                <w:spacing w:val="-1"/>
                <w:highlight w:val="none"/>
              </w:rPr>
              <w:t>0.5%</w:t>
            </w:r>
          </w:p>
        </w:tc>
        <w:tc>
          <w:tcPr>
            <w:tcW w:w="1776" w:type="dxa"/>
            <w:vAlign w:val="top"/>
          </w:tcPr>
          <w:p w14:paraId="67D22214">
            <w:pPr>
              <w:pStyle w:val="25"/>
              <w:spacing w:before="111" w:line="236" w:lineRule="auto"/>
              <w:ind w:left="595"/>
              <w:rPr>
                <w:highlight w:val="none"/>
              </w:rPr>
            </w:pPr>
            <w:r>
              <w:rPr>
                <w:spacing w:val="-2"/>
                <w:highlight w:val="none"/>
              </w:rPr>
              <w:t>0.25%</w:t>
            </w:r>
          </w:p>
        </w:tc>
        <w:tc>
          <w:tcPr>
            <w:tcW w:w="1840" w:type="dxa"/>
            <w:vAlign w:val="top"/>
          </w:tcPr>
          <w:p w14:paraId="31BC0254">
            <w:pPr>
              <w:pStyle w:val="25"/>
              <w:spacing w:before="111" w:line="236" w:lineRule="auto"/>
              <w:ind w:left="626"/>
              <w:rPr>
                <w:highlight w:val="none"/>
              </w:rPr>
            </w:pPr>
            <w:r>
              <w:rPr>
                <w:spacing w:val="-2"/>
                <w:highlight w:val="none"/>
              </w:rPr>
              <w:t>0.35%</w:t>
            </w:r>
          </w:p>
        </w:tc>
      </w:tr>
      <w:tr w14:paraId="093C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694" w:type="dxa"/>
            <w:vAlign w:val="top"/>
          </w:tcPr>
          <w:p w14:paraId="3A5257F0">
            <w:pPr>
              <w:pStyle w:val="25"/>
              <w:spacing w:before="111" w:line="237" w:lineRule="auto"/>
              <w:ind w:left="1256"/>
              <w:rPr>
                <w:highlight w:val="none"/>
              </w:rPr>
            </w:pPr>
            <w:r>
              <w:rPr>
                <w:spacing w:val="-2"/>
                <w:highlight w:val="none"/>
              </w:rPr>
              <w:t>5000-10000</w:t>
            </w:r>
          </w:p>
        </w:tc>
        <w:tc>
          <w:tcPr>
            <w:tcW w:w="1854" w:type="dxa"/>
            <w:vAlign w:val="top"/>
          </w:tcPr>
          <w:p w14:paraId="3937F956">
            <w:pPr>
              <w:pStyle w:val="25"/>
              <w:spacing w:before="111" w:line="236" w:lineRule="auto"/>
              <w:ind w:left="634"/>
              <w:rPr>
                <w:highlight w:val="none"/>
              </w:rPr>
            </w:pPr>
            <w:r>
              <w:rPr>
                <w:spacing w:val="-2"/>
                <w:highlight w:val="none"/>
              </w:rPr>
              <w:t>0.25%</w:t>
            </w:r>
          </w:p>
        </w:tc>
        <w:tc>
          <w:tcPr>
            <w:tcW w:w="1776" w:type="dxa"/>
            <w:vAlign w:val="top"/>
          </w:tcPr>
          <w:p w14:paraId="2A8DA0FB">
            <w:pPr>
              <w:pStyle w:val="25"/>
              <w:spacing w:before="111" w:line="236" w:lineRule="auto"/>
              <w:ind w:left="655"/>
              <w:rPr>
                <w:highlight w:val="none"/>
              </w:rPr>
            </w:pPr>
            <w:r>
              <w:rPr>
                <w:highlight w:val="none"/>
              </w:rPr>
              <w:t>0.1%</w:t>
            </w:r>
          </w:p>
        </w:tc>
        <w:tc>
          <w:tcPr>
            <w:tcW w:w="1840" w:type="dxa"/>
            <w:vAlign w:val="top"/>
          </w:tcPr>
          <w:p w14:paraId="356308B5">
            <w:pPr>
              <w:pStyle w:val="25"/>
              <w:spacing w:before="111" w:line="236" w:lineRule="auto"/>
              <w:ind w:left="686"/>
              <w:rPr>
                <w:highlight w:val="none"/>
              </w:rPr>
            </w:pPr>
            <w:r>
              <w:rPr>
                <w:spacing w:val="-2"/>
                <w:highlight w:val="none"/>
              </w:rPr>
              <w:t>0.2%</w:t>
            </w:r>
          </w:p>
        </w:tc>
      </w:tr>
      <w:tr w14:paraId="64DC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694" w:type="dxa"/>
            <w:vAlign w:val="top"/>
          </w:tcPr>
          <w:p w14:paraId="5BD3F33E">
            <w:pPr>
              <w:pStyle w:val="25"/>
              <w:spacing w:before="114" w:line="237" w:lineRule="auto"/>
              <w:ind w:left="1149"/>
              <w:rPr>
                <w:highlight w:val="none"/>
              </w:rPr>
            </w:pPr>
            <w:r>
              <w:rPr>
                <w:spacing w:val="-3"/>
                <w:highlight w:val="none"/>
              </w:rPr>
              <w:t>10000-100000</w:t>
            </w:r>
          </w:p>
        </w:tc>
        <w:tc>
          <w:tcPr>
            <w:tcW w:w="1854" w:type="dxa"/>
            <w:vAlign w:val="top"/>
          </w:tcPr>
          <w:p w14:paraId="45ABBF7A">
            <w:pPr>
              <w:pStyle w:val="25"/>
              <w:spacing w:before="114" w:line="236" w:lineRule="auto"/>
              <w:ind w:left="634"/>
              <w:rPr>
                <w:highlight w:val="none"/>
              </w:rPr>
            </w:pPr>
            <w:r>
              <w:rPr>
                <w:spacing w:val="-2"/>
                <w:highlight w:val="none"/>
              </w:rPr>
              <w:t>0.05%</w:t>
            </w:r>
          </w:p>
        </w:tc>
        <w:tc>
          <w:tcPr>
            <w:tcW w:w="1776" w:type="dxa"/>
            <w:vAlign w:val="top"/>
          </w:tcPr>
          <w:p w14:paraId="1453C03A">
            <w:pPr>
              <w:pStyle w:val="25"/>
              <w:spacing w:before="114" w:line="236" w:lineRule="auto"/>
              <w:ind w:left="595"/>
              <w:rPr>
                <w:highlight w:val="none"/>
              </w:rPr>
            </w:pPr>
            <w:r>
              <w:rPr>
                <w:spacing w:val="-2"/>
                <w:highlight w:val="none"/>
              </w:rPr>
              <w:t>0.05%</w:t>
            </w:r>
          </w:p>
        </w:tc>
        <w:tc>
          <w:tcPr>
            <w:tcW w:w="1840" w:type="dxa"/>
            <w:vAlign w:val="top"/>
          </w:tcPr>
          <w:p w14:paraId="21FF6E7D">
            <w:pPr>
              <w:pStyle w:val="25"/>
              <w:spacing w:before="114" w:line="236" w:lineRule="auto"/>
              <w:ind w:left="626"/>
              <w:rPr>
                <w:highlight w:val="none"/>
              </w:rPr>
            </w:pPr>
            <w:r>
              <w:rPr>
                <w:spacing w:val="-2"/>
                <w:highlight w:val="none"/>
              </w:rPr>
              <w:t>0.05%</w:t>
            </w:r>
          </w:p>
        </w:tc>
      </w:tr>
      <w:tr w14:paraId="721E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694" w:type="dxa"/>
            <w:vAlign w:val="top"/>
          </w:tcPr>
          <w:p w14:paraId="50728F33">
            <w:pPr>
              <w:pStyle w:val="25"/>
              <w:spacing w:before="119" w:line="221" w:lineRule="auto"/>
              <w:ind w:left="1240"/>
              <w:rPr>
                <w:highlight w:val="none"/>
              </w:rPr>
            </w:pPr>
            <w:r>
              <w:rPr>
                <w:spacing w:val="-6"/>
                <w:highlight w:val="none"/>
              </w:rPr>
              <w:t>100000</w:t>
            </w:r>
            <w:r>
              <w:rPr>
                <w:spacing w:val="-19"/>
                <w:highlight w:val="none"/>
              </w:rPr>
              <w:t xml:space="preserve"> </w:t>
            </w:r>
            <w:r>
              <w:rPr>
                <w:spacing w:val="-6"/>
                <w:highlight w:val="none"/>
              </w:rPr>
              <w:t>以上</w:t>
            </w:r>
          </w:p>
        </w:tc>
        <w:tc>
          <w:tcPr>
            <w:tcW w:w="1854" w:type="dxa"/>
            <w:vAlign w:val="top"/>
          </w:tcPr>
          <w:p w14:paraId="079AF90C">
            <w:pPr>
              <w:pStyle w:val="25"/>
              <w:spacing w:before="119" w:line="236" w:lineRule="auto"/>
              <w:ind w:left="634"/>
              <w:rPr>
                <w:highlight w:val="none"/>
              </w:rPr>
            </w:pPr>
            <w:r>
              <w:rPr>
                <w:spacing w:val="-2"/>
                <w:highlight w:val="none"/>
              </w:rPr>
              <w:t>0.01%</w:t>
            </w:r>
          </w:p>
        </w:tc>
        <w:tc>
          <w:tcPr>
            <w:tcW w:w="1776" w:type="dxa"/>
            <w:vAlign w:val="top"/>
          </w:tcPr>
          <w:p w14:paraId="3FC05841">
            <w:pPr>
              <w:pStyle w:val="25"/>
              <w:spacing w:before="119" w:line="236" w:lineRule="auto"/>
              <w:ind w:left="595"/>
              <w:rPr>
                <w:highlight w:val="none"/>
              </w:rPr>
            </w:pPr>
            <w:r>
              <w:rPr>
                <w:spacing w:val="-3"/>
                <w:highlight w:val="none"/>
              </w:rPr>
              <w:t>0.01%</w:t>
            </w:r>
          </w:p>
        </w:tc>
        <w:tc>
          <w:tcPr>
            <w:tcW w:w="1840" w:type="dxa"/>
            <w:vAlign w:val="top"/>
          </w:tcPr>
          <w:p w14:paraId="3FAC1E2E">
            <w:pPr>
              <w:pStyle w:val="25"/>
              <w:spacing w:before="119" w:line="236" w:lineRule="auto"/>
              <w:ind w:left="626"/>
              <w:rPr>
                <w:highlight w:val="none"/>
              </w:rPr>
            </w:pPr>
            <w:r>
              <w:rPr>
                <w:spacing w:val="-2"/>
                <w:highlight w:val="none"/>
              </w:rPr>
              <w:t>0.01%</w:t>
            </w:r>
          </w:p>
        </w:tc>
      </w:tr>
    </w:tbl>
    <w:p w14:paraId="6C8CDBF4">
      <w:pPr>
        <w:spacing w:before="242" w:line="220" w:lineRule="auto"/>
        <w:ind w:left="520"/>
        <w:rPr>
          <w:rFonts w:ascii="宋体" w:hAnsi="宋体" w:eastAsia="宋体" w:cs="宋体"/>
          <w:sz w:val="24"/>
          <w:szCs w:val="24"/>
          <w:highlight w:val="none"/>
        </w:rPr>
      </w:pPr>
      <w:r>
        <w:rPr>
          <w:rFonts w:ascii="宋体" w:hAnsi="宋体" w:eastAsia="宋体" w:cs="宋体"/>
          <w:spacing w:val="-3"/>
          <w:sz w:val="24"/>
          <w:szCs w:val="24"/>
          <w:highlight w:val="none"/>
        </w:rPr>
        <w:t>注：招标代理服务费按差额定率累进法计算。</w:t>
      </w:r>
    </w:p>
    <w:p w14:paraId="22AA8243">
      <w:pPr>
        <w:spacing w:before="274" w:line="218" w:lineRule="auto"/>
        <w:ind w:left="3153"/>
        <w:rPr>
          <w:rFonts w:ascii="宋体" w:hAnsi="宋体" w:eastAsia="宋体" w:cs="宋体"/>
          <w:sz w:val="24"/>
          <w:szCs w:val="24"/>
          <w:highlight w:val="none"/>
        </w:rPr>
      </w:pPr>
      <w:r>
        <w:rPr>
          <w:rFonts w:ascii="宋体" w:hAnsi="宋体" w:eastAsia="宋体" w:cs="宋体"/>
          <w:spacing w:val="-1"/>
          <w:sz w:val="24"/>
          <w:szCs w:val="24"/>
          <w:highlight w:val="none"/>
        </w:rPr>
        <w:t>清单及控制价编制收费标准</w:t>
      </w:r>
    </w:p>
    <w:p w14:paraId="2932AAB8">
      <w:pPr>
        <w:spacing w:before="230" w:line="217" w:lineRule="auto"/>
        <w:ind w:right="23"/>
        <w:jc w:val="right"/>
        <w:rPr>
          <w:rFonts w:ascii="仿宋" w:hAnsi="仿宋" w:eastAsia="仿宋" w:cs="仿宋"/>
          <w:sz w:val="24"/>
          <w:szCs w:val="24"/>
          <w:highlight w:val="none"/>
        </w:rPr>
      </w:pPr>
      <w:r>
        <w:rPr>
          <w:rFonts w:ascii="仿宋" w:hAnsi="仿宋" w:eastAsia="仿宋" w:cs="仿宋"/>
          <w:spacing w:val="-4"/>
          <w:sz w:val="24"/>
          <w:szCs w:val="24"/>
          <w:highlight w:val="none"/>
        </w:rPr>
        <w:t>单位：‰</w:t>
      </w:r>
    </w:p>
    <w:p w14:paraId="517D1AC9">
      <w:pPr>
        <w:spacing w:line="23" w:lineRule="exact"/>
        <w:rPr>
          <w:highlight w:val="none"/>
        </w:rPr>
      </w:pPr>
    </w:p>
    <w:tbl>
      <w:tblPr>
        <w:tblStyle w:val="24"/>
        <w:tblW w:w="9128"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420"/>
        <w:gridCol w:w="912"/>
        <w:gridCol w:w="1672"/>
        <w:gridCol w:w="550"/>
        <w:gridCol w:w="588"/>
        <w:gridCol w:w="542"/>
        <w:gridCol w:w="499"/>
        <w:gridCol w:w="493"/>
        <w:gridCol w:w="502"/>
        <w:gridCol w:w="588"/>
        <w:gridCol w:w="685"/>
      </w:tblGrid>
      <w:tr w14:paraId="56927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097" w:type="dxa"/>
            <w:gridSpan w:val="2"/>
            <w:vMerge w:val="restart"/>
            <w:tcBorders>
              <w:bottom w:val="nil"/>
            </w:tcBorders>
            <w:vAlign w:val="top"/>
          </w:tcPr>
          <w:p w14:paraId="1DEB4C2C">
            <w:pPr>
              <w:spacing w:line="383" w:lineRule="auto"/>
              <w:rPr>
                <w:rFonts w:ascii="Arial"/>
                <w:sz w:val="21"/>
                <w:highlight w:val="none"/>
              </w:rPr>
            </w:pPr>
          </w:p>
          <w:p w14:paraId="71229FAA">
            <w:pPr>
              <w:spacing w:before="78" w:line="220" w:lineRule="auto"/>
              <w:ind w:left="582"/>
              <w:rPr>
                <w:rFonts w:ascii="宋体" w:hAnsi="宋体" w:eastAsia="宋体" w:cs="宋体"/>
                <w:sz w:val="24"/>
                <w:szCs w:val="24"/>
                <w:highlight w:val="none"/>
              </w:rPr>
            </w:pPr>
            <w:r>
              <w:rPr>
                <w:rFonts w:ascii="宋体" w:hAnsi="宋体" w:eastAsia="宋体" w:cs="宋体"/>
                <w:spacing w:val="-4"/>
                <w:sz w:val="24"/>
                <w:szCs w:val="24"/>
                <w:highlight w:val="none"/>
              </w:rPr>
              <w:t>咨询项目</w:t>
            </w:r>
          </w:p>
        </w:tc>
        <w:tc>
          <w:tcPr>
            <w:tcW w:w="912" w:type="dxa"/>
            <w:vMerge w:val="restart"/>
            <w:tcBorders>
              <w:bottom w:val="nil"/>
            </w:tcBorders>
            <w:vAlign w:val="top"/>
          </w:tcPr>
          <w:p w14:paraId="4C84597F">
            <w:pPr>
              <w:spacing w:line="243" w:lineRule="auto"/>
              <w:rPr>
                <w:rFonts w:ascii="Arial"/>
                <w:sz w:val="21"/>
                <w:highlight w:val="none"/>
              </w:rPr>
            </w:pPr>
          </w:p>
          <w:p w14:paraId="70361378">
            <w:pPr>
              <w:spacing w:before="78" w:line="220" w:lineRule="auto"/>
              <w:ind w:left="216" w:right="219" w:firstLine="8"/>
              <w:rPr>
                <w:rFonts w:ascii="宋体" w:hAnsi="宋体" w:eastAsia="宋体" w:cs="宋体"/>
                <w:sz w:val="24"/>
                <w:szCs w:val="24"/>
                <w:highlight w:val="none"/>
              </w:rPr>
            </w:pPr>
            <w:r>
              <w:rPr>
                <w:rFonts w:ascii="宋体" w:hAnsi="宋体" w:eastAsia="宋体" w:cs="宋体"/>
                <w:spacing w:val="-9"/>
                <w:sz w:val="24"/>
                <w:szCs w:val="24"/>
                <w:highlight w:val="none"/>
              </w:rPr>
              <w:t>收费</w:t>
            </w:r>
            <w:r>
              <w:rPr>
                <w:rFonts w:ascii="宋体" w:hAnsi="宋体" w:eastAsia="宋体" w:cs="宋体"/>
                <w:spacing w:val="-5"/>
                <w:sz w:val="24"/>
                <w:szCs w:val="24"/>
                <w:highlight w:val="none"/>
              </w:rPr>
              <w:t>基础</w:t>
            </w:r>
          </w:p>
        </w:tc>
        <w:tc>
          <w:tcPr>
            <w:tcW w:w="1672" w:type="dxa"/>
            <w:vMerge w:val="restart"/>
            <w:tcBorders>
              <w:bottom w:val="nil"/>
            </w:tcBorders>
            <w:vAlign w:val="top"/>
          </w:tcPr>
          <w:p w14:paraId="4B7F4BCD">
            <w:pPr>
              <w:spacing w:line="382" w:lineRule="auto"/>
              <w:rPr>
                <w:rFonts w:ascii="Arial"/>
                <w:sz w:val="21"/>
                <w:highlight w:val="none"/>
              </w:rPr>
            </w:pPr>
          </w:p>
          <w:p w14:paraId="3ABCED7D">
            <w:pPr>
              <w:spacing w:before="78" w:line="220" w:lineRule="auto"/>
              <w:ind w:left="361"/>
              <w:rPr>
                <w:rFonts w:ascii="宋体" w:hAnsi="宋体" w:eastAsia="宋体" w:cs="宋体"/>
                <w:sz w:val="24"/>
                <w:szCs w:val="24"/>
                <w:highlight w:val="none"/>
              </w:rPr>
            </w:pPr>
            <w:r>
              <w:rPr>
                <w:rFonts w:ascii="宋体" w:hAnsi="宋体" w:eastAsia="宋体" w:cs="宋体"/>
                <w:spacing w:val="-3"/>
                <w:sz w:val="24"/>
                <w:szCs w:val="24"/>
                <w:highlight w:val="none"/>
              </w:rPr>
              <w:t>工程类型</w:t>
            </w:r>
          </w:p>
        </w:tc>
        <w:tc>
          <w:tcPr>
            <w:tcW w:w="4447" w:type="dxa"/>
            <w:gridSpan w:val="8"/>
            <w:vAlign w:val="top"/>
          </w:tcPr>
          <w:p w14:paraId="0EB2C630">
            <w:pPr>
              <w:spacing w:before="126" w:line="220" w:lineRule="auto"/>
              <w:ind w:left="1148"/>
              <w:rPr>
                <w:rFonts w:ascii="宋体" w:hAnsi="宋体" w:eastAsia="宋体" w:cs="宋体"/>
                <w:sz w:val="24"/>
                <w:szCs w:val="24"/>
                <w:highlight w:val="none"/>
              </w:rPr>
            </w:pPr>
            <w:r>
              <w:rPr>
                <w:rFonts w:ascii="宋体" w:hAnsi="宋体" w:eastAsia="宋体" w:cs="宋体"/>
                <w:spacing w:val="-2"/>
                <w:sz w:val="24"/>
                <w:szCs w:val="24"/>
                <w:highlight w:val="none"/>
              </w:rPr>
              <w:t>单位工程金额(万元)</w:t>
            </w:r>
          </w:p>
        </w:tc>
      </w:tr>
      <w:tr w14:paraId="5936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097" w:type="dxa"/>
            <w:gridSpan w:val="2"/>
            <w:vMerge w:val="continue"/>
            <w:tcBorders>
              <w:top w:val="nil"/>
            </w:tcBorders>
            <w:vAlign w:val="top"/>
          </w:tcPr>
          <w:p w14:paraId="780CAE74">
            <w:pPr>
              <w:rPr>
                <w:rFonts w:ascii="Arial"/>
                <w:sz w:val="21"/>
                <w:highlight w:val="none"/>
              </w:rPr>
            </w:pPr>
          </w:p>
        </w:tc>
        <w:tc>
          <w:tcPr>
            <w:tcW w:w="912" w:type="dxa"/>
            <w:vMerge w:val="continue"/>
            <w:tcBorders>
              <w:top w:val="nil"/>
            </w:tcBorders>
            <w:vAlign w:val="top"/>
          </w:tcPr>
          <w:p w14:paraId="4CF57E8A">
            <w:pPr>
              <w:rPr>
                <w:rFonts w:ascii="Arial"/>
                <w:sz w:val="21"/>
                <w:highlight w:val="none"/>
              </w:rPr>
            </w:pPr>
          </w:p>
        </w:tc>
        <w:tc>
          <w:tcPr>
            <w:tcW w:w="1672" w:type="dxa"/>
            <w:vMerge w:val="continue"/>
            <w:tcBorders>
              <w:top w:val="nil"/>
            </w:tcBorders>
            <w:vAlign w:val="top"/>
          </w:tcPr>
          <w:p w14:paraId="7490A3AF">
            <w:pPr>
              <w:rPr>
                <w:rFonts w:ascii="Arial"/>
                <w:sz w:val="21"/>
                <w:highlight w:val="none"/>
              </w:rPr>
            </w:pPr>
          </w:p>
        </w:tc>
        <w:tc>
          <w:tcPr>
            <w:tcW w:w="550" w:type="dxa"/>
            <w:vAlign w:val="top"/>
          </w:tcPr>
          <w:p w14:paraId="0775E277">
            <w:pPr>
              <w:spacing w:before="61" w:line="218" w:lineRule="auto"/>
              <w:ind w:left="62" w:right="38" w:firstLine="50"/>
              <w:rPr>
                <w:rFonts w:ascii="宋体" w:hAnsi="宋体" w:eastAsia="宋体" w:cs="宋体"/>
                <w:sz w:val="24"/>
                <w:szCs w:val="24"/>
                <w:highlight w:val="none"/>
              </w:rPr>
            </w:pPr>
            <w:r>
              <w:rPr>
                <w:rFonts w:ascii="宋体" w:hAnsi="宋体" w:eastAsia="宋体" w:cs="宋体"/>
                <w:spacing w:val="-10"/>
                <w:sz w:val="24"/>
                <w:szCs w:val="24"/>
                <w:highlight w:val="none"/>
              </w:rPr>
              <w:t>100</w:t>
            </w:r>
            <w:r>
              <w:rPr>
                <w:rFonts w:ascii="宋体" w:hAnsi="宋体" w:eastAsia="宋体" w:cs="宋体"/>
                <w:spacing w:val="-19"/>
                <w:sz w:val="24"/>
                <w:szCs w:val="24"/>
                <w:highlight w:val="none"/>
              </w:rPr>
              <w:t>以内</w:t>
            </w:r>
          </w:p>
        </w:tc>
        <w:tc>
          <w:tcPr>
            <w:tcW w:w="588" w:type="dxa"/>
            <w:vAlign w:val="top"/>
          </w:tcPr>
          <w:p w14:paraId="0623301E">
            <w:pPr>
              <w:spacing w:before="61" w:line="218" w:lineRule="auto"/>
              <w:ind w:left="81" w:right="58" w:firstLine="35"/>
              <w:rPr>
                <w:rFonts w:ascii="宋体" w:hAnsi="宋体" w:eastAsia="宋体" w:cs="宋体"/>
                <w:sz w:val="24"/>
                <w:szCs w:val="24"/>
                <w:highlight w:val="none"/>
              </w:rPr>
            </w:pPr>
            <w:r>
              <w:rPr>
                <w:rFonts w:ascii="宋体" w:hAnsi="宋体" w:eastAsia="宋体" w:cs="宋体"/>
                <w:spacing w:val="-5"/>
                <w:sz w:val="24"/>
                <w:szCs w:val="24"/>
                <w:highlight w:val="none"/>
              </w:rPr>
              <w:t>200</w:t>
            </w:r>
            <w:r>
              <w:rPr>
                <w:rFonts w:ascii="宋体" w:hAnsi="宋体" w:eastAsia="宋体" w:cs="宋体"/>
                <w:spacing w:val="-19"/>
                <w:sz w:val="24"/>
                <w:szCs w:val="24"/>
                <w:highlight w:val="none"/>
              </w:rPr>
              <w:t>以内</w:t>
            </w:r>
          </w:p>
        </w:tc>
        <w:tc>
          <w:tcPr>
            <w:tcW w:w="542" w:type="dxa"/>
            <w:vAlign w:val="top"/>
          </w:tcPr>
          <w:p w14:paraId="5FB08D27">
            <w:pPr>
              <w:spacing w:before="61" w:line="218" w:lineRule="auto"/>
              <w:ind w:left="57" w:right="36" w:firstLine="37"/>
              <w:rPr>
                <w:rFonts w:ascii="宋体" w:hAnsi="宋体" w:eastAsia="宋体" w:cs="宋体"/>
                <w:sz w:val="24"/>
                <w:szCs w:val="24"/>
                <w:highlight w:val="none"/>
              </w:rPr>
            </w:pPr>
            <w:r>
              <w:rPr>
                <w:rFonts w:ascii="宋体" w:hAnsi="宋体" w:eastAsia="宋体" w:cs="宋体"/>
                <w:spacing w:val="-5"/>
                <w:sz w:val="24"/>
                <w:szCs w:val="24"/>
                <w:highlight w:val="none"/>
              </w:rPr>
              <w:t>500</w:t>
            </w:r>
            <w:r>
              <w:rPr>
                <w:rFonts w:ascii="宋体" w:hAnsi="宋体" w:eastAsia="宋体" w:cs="宋体"/>
                <w:spacing w:val="-19"/>
                <w:sz w:val="24"/>
                <w:szCs w:val="24"/>
                <w:highlight w:val="none"/>
              </w:rPr>
              <w:t>以内</w:t>
            </w:r>
          </w:p>
        </w:tc>
        <w:tc>
          <w:tcPr>
            <w:tcW w:w="499" w:type="dxa"/>
            <w:vAlign w:val="top"/>
          </w:tcPr>
          <w:p w14:paraId="5924F4CA">
            <w:pPr>
              <w:spacing w:before="61" w:line="218" w:lineRule="auto"/>
              <w:ind w:left="35" w:right="14" w:hanging="9"/>
              <w:rPr>
                <w:rFonts w:ascii="宋体" w:hAnsi="宋体" w:eastAsia="宋体" w:cs="宋体"/>
                <w:sz w:val="24"/>
                <w:szCs w:val="24"/>
                <w:highlight w:val="none"/>
              </w:rPr>
            </w:pPr>
            <w:r>
              <w:rPr>
                <w:rFonts w:ascii="宋体" w:hAnsi="宋体" w:eastAsia="宋体" w:cs="宋体"/>
                <w:spacing w:val="-7"/>
                <w:sz w:val="24"/>
                <w:szCs w:val="24"/>
                <w:highlight w:val="none"/>
              </w:rPr>
              <w:t>1000</w:t>
            </w:r>
            <w:r>
              <w:rPr>
                <w:rFonts w:ascii="宋体" w:hAnsi="宋体" w:eastAsia="宋体" w:cs="宋体"/>
                <w:spacing w:val="-19"/>
                <w:sz w:val="24"/>
                <w:szCs w:val="24"/>
                <w:highlight w:val="none"/>
              </w:rPr>
              <w:t>以内</w:t>
            </w:r>
          </w:p>
        </w:tc>
        <w:tc>
          <w:tcPr>
            <w:tcW w:w="493" w:type="dxa"/>
            <w:vAlign w:val="top"/>
          </w:tcPr>
          <w:p w14:paraId="6A0A6267">
            <w:pPr>
              <w:spacing w:before="61" w:line="218" w:lineRule="auto"/>
              <w:ind w:left="36" w:right="8" w:hanging="24"/>
              <w:rPr>
                <w:rFonts w:ascii="宋体" w:hAnsi="宋体" w:eastAsia="宋体" w:cs="宋体"/>
                <w:sz w:val="24"/>
                <w:szCs w:val="24"/>
                <w:highlight w:val="none"/>
              </w:rPr>
            </w:pPr>
            <w:r>
              <w:rPr>
                <w:rFonts w:ascii="宋体" w:hAnsi="宋体" w:eastAsia="宋体" w:cs="宋体"/>
                <w:spacing w:val="-4"/>
                <w:sz w:val="24"/>
                <w:szCs w:val="24"/>
                <w:highlight w:val="none"/>
              </w:rPr>
              <w:t>2000</w:t>
            </w:r>
            <w:r>
              <w:rPr>
                <w:rFonts w:ascii="宋体" w:hAnsi="宋体" w:eastAsia="宋体" w:cs="宋体"/>
                <w:spacing w:val="-19"/>
                <w:sz w:val="24"/>
                <w:szCs w:val="24"/>
                <w:highlight w:val="none"/>
              </w:rPr>
              <w:t>以内</w:t>
            </w:r>
          </w:p>
        </w:tc>
        <w:tc>
          <w:tcPr>
            <w:tcW w:w="502" w:type="dxa"/>
            <w:vAlign w:val="top"/>
          </w:tcPr>
          <w:p w14:paraId="6090804C">
            <w:pPr>
              <w:spacing w:before="61" w:line="218" w:lineRule="auto"/>
              <w:ind w:left="38" w:right="15" w:hanging="22"/>
              <w:rPr>
                <w:rFonts w:ascii="宋体" w:hAnsi="宋体" w:eastAsia="宋体" w:cs="宋体"/>
                <w:sz w:val="24"/>
                <w:szCs w:val="24"/>
                <w:highlight w:val="none"/>
              </w:rPr>
            </w:pPr>
            <w:r>
              <w:rPr>
                <w:rFonts w:ascii="宋体" w:hAnsi="宋体" w:eastAsia="宋体" w:cs="宋体"/>
                <w:spacing w:val="-4"/>
                <w:sz w:val="24"/>
                <w:szCs w:val="24"/>
                <w:highlight w:val="none"/>
              </w:rPr>
              <w:t>5000</w:t>
            </w:r>
            <w:r>
              <w:rPr>
                <w:rFonts w:ascii="宋体" w:hAnsi="宋体" w:eastAsia="宋体" w:cs="宋体"/>
                <w:spacing w:val="-19"/>
                <w:sz w:val="24"/>
                <w:szCs w:val="24"/>
                <w:highlight w:val="none"/>
              </w:rPr>
              <w:t>以内</w:t>
            </w:r>
          </w:p>
        </w:tc>
        <w:tc>
          <w:tcPr>
            <w:tcW w:w="588" w:type="dxa"/>
            <w:vAlign w:val="top"/>
          </w:tcPr>
          <w:p w14:paraId="0FEDCBBE">
            <w:pPr>
              <w:spacing w:before="61" w:line="218" w:lineRule="auto"/>
              <w:ind w:left="90" w:hanging="67"/>
              <w:rPr>
                <w:rFonts w:ascii="宋体" w:hAnsi="宋体" w:eastAsia="宋体" w:cs="宋体"/>
                <w:sz w:val="24"/>
                <w:szCs w:val="24"/>
                <w:highlight w:val="none"/>
              </w:rPr>
            </w:pPr>
            <w:r>
              <w:rPr>
                <w:rFonts w:ascii="宋体" w:hAnsi="宋体" w:eastAsia="宋体" w:cs="宋体"/>
                <w:spacing w:val="-9"/>
                <w:sz w:val="24"/>
                <w:szCs w:val="24"/>
                <w:highlight w:val="none"/>
              </w:rPr>
              <w:t>10000</w:t>
            </w:r>
            <w:r>
              <w:rPr>
                <w:rFonts w:ascii="宋体" w:hAnsi="宋体" w:eastAsia="宋体" w:cs="宋体"/>
                <w:spacing w:val="-12"/>
                <w:sz w:val="24"/>
                <w:szCs w:val="24"/>
                <w:highlight w:val="none"/>
              </w:rPr>
              <w:t>以内</w:t>
            </w:r>
          </w:p>
        </w:tc>
        <w:tc>
          <w:tcPr>
            <w:tcW w:w="685" w:type="dxa"/>
            <w:vAlign w:val="top"/>
          </w:tcPr>
          <w:p w14:paraId="6416A39C">
            <w:pPr>
              <w:spacing w:before="59" w:line="220" w:lineRule="auto"/>
              <w:ind w:left="143" w:right="32" w:hanging="69"/>
              <w:rPr>
                <w:rFonts w:ascii="宋体" w:hAnsi="宋体" w:eastAsia="宋体" w:cs="宋体"/>
                <w:sz w:val="24"/>
                <w:szCs w:val="24"/>
                <w:highlight w:val="none"/>
              </w:rPr>
            </w:pPr>
            <w:r>
              <w:rPr>
                <w:rFonts w:ascii="宋体" w:hAnsi="宋体" w:eastAsia="宋体" w:cs="宋体"/>
                <w:spacing w:val="-6"/>
                <w:sz w:val="24"/>
                <w:szCs w:val="24"/>
                <w:highlight w:val="none"/>
              </w:rPr>
              <w:t>10000</w:t>
            </w:r>
            <w:r>
              <w:rPr>
                <w:rFonts w:ascii="宋体" w:hAnsi="宋体" w:eastAsia="宋体" w:cs="宋体"/>
                <w:spacing w:val="-10"/>
                <w:sz w:val="24"/>
                <w:szCs w:val="24"/>
                <w:highlight w:val="none"/>
              </w:rPr>
              <w:t>以上</w:t>
            </w:r>
          </w:p>
        </w:tc>
      </w:tr>
      <w:tr w14:paraId="7129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7" w:type="dxa"/>
            <w:vMerge w:val="restart"/>
            <w:tcBorders>
              <w:bottom w:val="nil"/>
            </w:tcBorders>
            <w:textDirection w:val="tbRlV"/>
            <w:vAlign w:val="top"/>
          </w:tcPr>
          <w:p w14:paraId="7FB69D39">
            <w:pPr>
              <w:spacing w:before="219" w:line="206" w:lineRule="auto"/>
              <w:ind w:left="489"/>
              <w:rPr>
                <w:rFonts w:ascii="宋体" w:hAnsi="宋体" w:eastAsia="宋体" w:cs="宋体"/>
                <w:sz w:val="24"/>
                <w:szCs w:val="24"/>
                <w:highlight w:val="none"/>
              </w:rPr>
            </w:pPr>
            <w:r>
              <w:rPr>
                <w:rFonts w:ascii="宋体" w:hAnsi="宋体" w:eastAsia="宋体" w:cs="宋体"/>
                <w:spacing w:val="30"/>
                <w:sz w:val="24"/>
                <w:szCs w:val="24"/>
                <w:highlight w:val="none"/>
              </w:rPr>
              <w:t>清单计价</w:t>
            </w:r>
          </w:p>
        </w:tc>
        <w:tc>
          <w:tcPr>
            <w:tcW w:w="1420" w:type="dxa"/>
            <w:vMerge w:val="restart"/>
            <w:tcBorders>
              <w:bottom w:val="nil"/>
            </w:tcBorders>
            <w:vAlign w:val="top"/>
          </w:tcPr>
          <w:p w14:paraId="2BFC356B">
            <w:pPr>
              <w:spacing w:before="243" w:line="217" w:lineRule="auto"/>
              <w:ind w:left="473" w:right="112" w:hanging="359"/>
              <w:rPr>
                <w:rFonts w:ascii="宋体" w:hAnsi="宋体" w:eastAsia="宋体" w:cs="宋体"/>
                <w:sz w:val="24"/>
                <w:szCs w:val="24"/>
                <w:highlight w:val="none"/>
              </w:rPr>
            </w:pPr>
            <w:r>
              <w:rPr>
                <w:rFonts w:ascii="宋体" w:hAnsi="宋体" w:eastAsia="宋体" w:cs="宋体"/>
                <w:spacing w:val="-3"/>
                <w:sz w:val="24"/>
                <w:szCs w:val="24"/>
                <w:highlight w:val="none"/>
              </w:rPr>
              <w:t>工程量清单编制</w:t>
            </w:r>
          </w:p>
        </w:tc>
        <w:tc>
          <w:tcPr>
            <w:tcW w:w="912" w:type="dxa"/>
            <w:vMerge w:val="restart"/>
            <w:tcBorders>
              <w:bottom w:val="nil"/>
            </w:tcBorders>
            <w:vAlign w:val="top"/>
          </w:tcPr>
          <w:p w14:paraId="0B780959">
            <w:pPr>
              <w:spacing w:line="303" w:lineRule="auto"/>
              <w:rPr>
                <w:rFonts w:ascii="Arial"/>
                <w:sz w:val="21"/>
                <w:highlight w:val="none"/>
              </w:rPr>
            </w:pPr>
          </w:p>
          <w:p w14:paraId="26BA0D75">
            <w:pPr>
              <w:spacing w:before="78" w:line="218" w:lineRule="auto"/>
              <w:ind w:left="119"/>
              <w:rPr>
                <w:rFonts w:ascii="宋体" w:hAnsi="宋体" w:eastAsia="宋体" w:cs="宋体"/>
                <w:sz w:val="24"/>
                <w:szCs w:val="24"/>
                <w:highlight w:val="none"/>
              </w:rPr>
            </w:pPr>
            <w:r>
              <w:rPr>
                <w:rFonts w:ascii="宋体" w:hAnsi="宋体" w:eastAsia="宋体" w:cs="宋体"/>
                <w:spacing w:val="-8"/>
                <w:sz w:val="24"/>
                <w:szCs w:val="24"/>
                <w:highlight w:val="none"/>
              </w:rPr>
              <w:t>中标价</w:t>
            </w:r>
          </w:p>
        </w:tc>
        <w:tc>
          <w:tcPr>
            <w:tcW w:w="1672" w:type="dxa"/>
            <w:vAlign w:val="top"/>
          </w:tcPr>
          <w:p w14:paraId="0488C35A">
            <w:pPr>
              <w:spacing w:before="124" w:line="220" w:lineRule="auto"/>
              <w:ind w:left="361"/>
              <w:rPr>
                <w:rFonts w:ascii="宋体" w:hAnsi="宋体" w:eastAsia="宋体" w:cs="宋体"/>
                <w:sz w:val="24"/>
                <w:szCs w:val="24"/>
                <w:highlight w:val="none"/>
              </w:rPr>
            </w:pPr>
            <w:r>
              <w:rPr>
                <w:rFonts w:ascii="宋体" w:hAnsi="宋体" w:eastAsia="宋体" w:cs="宋体"/>
                <w:spacing w:val="-3"/>
                <w:sz w:val="24"/>
                <w:szCs w:val="24"/>
                <w:highlight w:val="none"/>
              </w:rPr>
              <w:t>建筑工程</w:t>
            </w:r>
          </w:p>
        </w:tc>
        <w:tc>
          <w:tcPr>
            <w:tcW w:w="550" w:type="dxa"/>
            <w:vAlign w:val="top"/>
          </w:tcPr>
          <w:p w14:paraId="1A39385B">
            <w:pPr>
              <w:spacing w:before="124" w:line="239" w:lineRule="auto"/>
              <w:ind w:left="94"/>
              <w:rPr>
                <w:rFonts w:ascii="宋体" w:hAnsi="宋体" w:eastAsia="宋体" w:cs="宋体"/>
                <w:sz w:val="24"/>
                <w:szCs w:val="24"/>
                <w:highlight w:val="none"/>
              </w:rPr>
            </w:pPr>
            <w:r>
              <w:rPr>
                <w:rFonts w:ascii="宋体" w:hAnsi="宋体" w:eastAsia="宋体" w:cs="宋体"/>
                <w:spacing w:val="-2"/>
                <w:sz w:val="24"/>
                <w:szCs w:val="24"/>
                <w:highlight w:val="none"/>
              </w:rPr>
              <w:t>4.8</w:t>
            </w:r>
          </w:p>
        </w:tc>
        <w:tc>
          <w:tcPr>
            <w:tcW w:w="588" w:type="dxa"/>
            <w:vAlign w:val="top"/>
          </w:tcPr>
          <w:p w14:paraId="64559583">
            <w:pPr>
              <w:spacing w:before="124" w:line="239" w:lineRule="auto"/>
              <w:ind w:left="113"/>
              <w:rPr>
                <w:rFonts w:ascii="宋体" w:hAnsi="宋体" w:eastAsia="宋体" w:cs="宋体"/>
                <w:sz w:val="24"/>
                <w:szCs w:val="24"/>
                <w:highlight w:val="none"/>
              </w:rPr>
            </w:pPr>
            <w:r>
              <w:rPr>
                <w:rFonts w:ascii="宋体" w:hAnsi="宋体" w:eastAsia="宋体" w:cs="宋体"/>
                <w:spacing w:val="-2"/>
                <w:sz w:val="24"/>
                <w:szCs w:val="24"/>
                <w:highlight w:val="none"/>
              </w:rPr>
              <w:t>4.3</w:t>
            </w:r>
          </w:p>
        </w:tc>
        <w:tc>
          <w:tcPr>
            <w:tcW w:w="542" w:type="dxa"/>
            <w:vAlign w:val="top"/>
          </w:tcPr>
          <w:p w14:paraId="5C2F0C66">
            <w:pPr>
              <w:spacing w:before="124" w:line="239" w:lineRule="auto"/>
              <w:ind w:left="97"/>
              <w:rPr>
                <w:rFonts w:ascii="宋体" w:hAnsi="宋体" w:eastAsia="宋体" w:cs="宋体"/>
                <w:sz w:val="24"/>
                <w:szCs w:val="24"/>
                <w:highlight w:val="none"/>
              </w:rPr>
            </w:pPr>
            <w:r>
              <w:rPr>
                <w:rFonts w:ascii="宋体" w:hAnsi="宋体" w:eastAsia="宋体" w:cs="宋体"/>
                <w:spacing w:val="-4"/>
                <w:sz w:val="24"/>
                <w:szCs w:val="24"/>
                <w:highlight w:val="none"/>
              </w:rPr>
              <w:t>3.8</w:t>
            </w:r>
          </w:p>
        </w:tc>
        <w:tc>
          <w:tcPr>
            <w:tcW w:w="499" w:type="dxa"/>
            <w:vAlign w:val="top"/>
          </w:tcPr>
          <w:p w14:paraId="1B64728F">
            <w:pPr>
              <w:spacing w:before="124" w:line="239" w:lineRule="auto"/>
              <w:ind w:left="78"/>
              <w:rPr>
                <w:rFonts w:ascii="宋体" w:hAnsi="宋体" w:eastAsia="宋体" w:cs="宋体"/>
                <w:sz w:val="24"/>
                <w:szCs w:val="24"/>
                <w:highlight w:val="none"/>
              </w:rPr>
            </w:pPr>
            <w:r>
              <w:rPr>
                <w:rFonts w:ascii="宋体" w:hAnsi="宋体" w:eastAsia="宋体" w:cs="宋体"/>
                <w:spacing w:val="-4"/>
                <w:sz w:val="24"/>
                <w:szCs w:val="24"/>
                <w:highlight w:val="none"/>
              </w:rPr>
              <w:t>3.4</w:t>
            </w:r>
          </w:p>
        </w:tc>
        <w:tc>
          <w:tcPr>
            <w:tcW w:w="493" w:type="dxa"/>
            <w:vAlign w:val="top"/>
          </w:tcPr>
          <w:p w14:paraId="2BF4A915">
            <w:pPr>
              <w:spacing w:before="124" w:line="239" w:lineRule="auto"/>
              <w:ind w:left="74"/>
              <w:rPr>
                <w:rFonts w:ascii="宋体" w:hAnsi="宋体" w:eastAsia="宋体" w:cs="宋体"/>
                <w:sz w:val="24"/>
                <w:szCs w:val="24"/>
                <w:highlight w:val="none"/>
              </w:rPr>
            </w:pPr>
            <w:r>
              <w:rPr>
                <w:rFonts w:ascii="宋体" w:hAnsi="宋体" w:eastAsia="宋体" w:cs="宋体"/>
                <w:spacing w:val="-4"/>
                <w:sz w:val="24"/>
                <w:szCs w:val="24"/>
                <w:highlight w:val="none"/>
              </w:rPr>
              <w:t>3.0</w:t>
            </w:r>
          </w:p>
        </w:tc>
        <w:tc>
          <w:tcPr>
            <w:tcW w:w="502" w:type="dxa"/>
            <w:vAlign w:val="top"/>
          </w:tcPr>
          <w:p w14:paraId="51A6E280">
            <w:pPr>
              <w:spacing w:before="124" w:line="239" w:lineRule="auto"/>
              <w:ind w:left="74"/>
              <w:rPr>
                <w:rFonts w:ascii="宋体" w:hAnsi="宋体" w:eastAsia="宋体" w:cs="宋体"/>
                <w:sz w:val="24"/>
                <w:szCs w:val="24"/>
                <w:highlight w:val="none"/>
              </w:rPr>
            </w:pPr>
            <w:r>
              <w:rPr>
                <w:rFonts w:ascii="宋体" w:hAnsi="宋体" w:eastAsia="宋体" w:cs="宋体"/>
                <w:spacing w:val="-3"/>
                <w:sz w:val="24"/>
                <w:szCs w:val="24"/>
                <w:highlight w:val="none"/>
              </w:rPr>
              <w:t>2.8</w:t>
            </w:r>
          </w:p>
        </w:tc>
        <w:tc>
          <w:tcPr>
            <w:tcW w:w="588" w:type="dxa"/>
            <w:vAlign w:val="top"/>
          </w:tcPr>
          <w:p w14:paraId="06040BE8">
            <w:pPr>
              <w:spacing w:before="124" w:line="239" w:lineRule="auto"/>
              <w:ind w:left="116"/>
              <w:rPr>
                <w:rFonts w:ascii="宋体" w:hAnsi="宋体" w:eastAsia="宋体" w:cs="宋体"/>
                <w:sz w:val="24"/>
                <w:szCs w:val="24"/>
                <w:highlight w:val="none"/>
              </w:rPr>
            </w:pPr>
            <w:r>
              <w:rPr>
                <w:rFonts w:ascii="宋体" w:hAnsi="宋体" w:eastAsia="宋体" w:cs="宋体"/>
                <w:spacing w:val="-3"/>
                <w:sz w:val="24"/>
                <w:szCs w:val="24"/>
                <w:highlight w:val="none"/>
              </w:rPr>
              <w:t>2.5</w:t>
            </w:r>
          </w:p>
        </w:tc>
        <w:tc>
          <w:tcPr>
            <w:tcW w:w="685" w:type="dxa"/>
            <w:vAlign w:val="top"/>
          </w:tcPr>
          <w:p w14:paraId="376CA6E0">
            <w:pPr>
              <w:spacing w:before="124" w:line="239" w:lineRule="auto"/>
              <w:ind w:left="167"/>
              <w:rPr>
                <w:rFonts w:ascii="宋体" w:hAnsi="宋体" w:eastAsia="宋体" w:cs="宋体"/>
                <w:sz w:val="24"/>
                <w:szCs w:val="24"/>
                <w:highlight w:val="none"/>
              </w:rPr>
            </w:pPr>
            <w:r>
              <w:rPr>
                <w:rFonts w:ascii="宋体" w:hAnsi="宋体" w:eastAsia="宋体" w:cs="宋体"/>
                <w:spacing w:val="-3"/>
                <w:sz w:val="24"/>
                <w:szCs w:val="24"/>
                <w:highlight w:val="none"/>
              </w:rPr>
              <w:t>2.3</w:t>
            </w:r>
          </w:p>
        </w:tc>
      </w:tr>
      <w:tr w14:paraId="41668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77" w:type="dxa"/>
            <w:vMerge w:val="continue"/>
            <w:tcBorders>
              <w:top w:val="nil"/>
              <w:bottom w:val="nil"/>
            </w:tcBorders>
            <w:textDirection w:val="tbRlV"/>
            <w:vAlign w:val="top"/>
          </w:tcPr>
          <w:p w14:paraId="7F1C308A">
            <w:pPr>
              <w:rPr>
                <w:rFonts w:ascii="Arial"/>
                <w:sz w:val="21"/>
                <w:highlight w:val="none"/>
              </w:rPr>
            </w:pPr>
          </w:p>
        </w:tc>
        <w:tc>
          <w:tcPr>
            <w:tcW w:w="1420" w:type="dxa"/>
            <w:vMerge w:val="continue"/>
            <w:tcBorders>
              <w:top w:val="nil"/>
            </w:tcBorders>
            <w:vAlign w:val="top"/>
          </w:tcPr>
          <w:p w14:paraId="472F8C78">
            <w:pPr>
              <w:rPr>
                <w:rFonts w:ascii="Arial"/>
                <w:sz w:val="21"/>
                <w:highlight w:val="none"/>
              </w:rPr>
            </w:pPr>
          </w:p>
        </w:tc>
        <w:tc>
          <w:tcPr>
            <w:tcW w:w="912" w:type="dxa"/>
            <w:vMerge w:val="continue"/>
            <w:tcBorders>
              <w:top w:val="nil"/>
            </w:tcBorders>
            <w:vAlign w:val="top"/>
          </w:tcPr>
          <w:p w14:paraId="2E3E1E0D">
            <w:pPr>
              <w:rPr>
                <w:rFonts w:ascii="Arial"/>
                <w:sz w:val="21"/>
                <w:highlight w:val="none"/>
              </w:rPr>
            </w:pPr>
          </w:p>
        </w:tc>
        <w:tc>
          <w:tcPr>
            <w:tcW w:w="1672" w:type="dxa"/>
            <w:vAlign w:val="top"/>
          </w:tcPr>
          <w:p w14:paraId="03775DB2">
            <w:pPr>
              <w:spacing w:before="127" w:line="220" w:lineRule="auto"/>
              <w:ind w:left="363"/>
              <w:rPr>
                <w:rFonts w:ascii="宋体" w:hAnsi="宋体" w:eastAsia="宋体" w:cs="宋体"/>
                <w:sz w:val="24"/>
                <w:szCs w:val="24"/>
                <w:highlight w:val="none"/>
              </w:rPr>
            </w:pPr>
            <w:r>
              <w:rPr>
                <w:rFonts w:ascii="宋体" w:hAnsi="宋体" w:eastAsia="宋体" w:cs="宋体"/>
                <w:spacing w:val="-3"/>
                <w:sz w:val="24"/>
                <w:szCs w:val="24"/>
                <w:highlight w:val="none"/>
              </w:rPr>
              <w:t>安装工程</w:t>
            </w:r>
          </w:p>
        </w:tc>
        <w:tc>
          <w:tcPr>
            <w:tcW w:w="550" w:type="dxa"/>
            <w:vAlign w:val="top"/>
          </w:tcPr>
          <w:p w14:paraId="6B54F22A">
            <w:pPr>
              <w:spacing w:before="127" w:line="239" w:lineRule="auto"/>
              <w:ind w:left="100"/>
              <w:rPr>
                <w:rFonts w:ascii="宋体" w:hAnsi="宋体" w:eastAsia="宋体" w:cs="宋体"/>
                <w:sz w:val="24"/>
                <w:szCs w:val="24"/>
                <w:highlight w:val="none"/>
              </w:rPr>
            </w:pPr>
            <w:r>
              <w:rPr>
                <w:rFonts w:ascii="宋体" w:hAnsi="宋体" w:eastAsia="宋体" w:cs="宋体"/>
                <w:spacing w:val="-4"/>
                <w:sz w:val="24"/>
                <w:szCs w:val="24"/>
                <w:highlight w:val="none"/>
              </w:rPr>
              <w:t>5.0</w:t>
            </w:r>
          </w:p>
        </w:tc>
        <w:tc>
          <w:tcPr>
            <w:tcW w:w="588" w:type="dxa"/>
            <w:vAlign w:val="top"/>
          </w:tcPr>
          <w:p w14:paraId="512E2B8D">
            <w:pPr>
              <w:spacing w:before="127" w:line="239" w:lineRule="auto"/>
              <w:ind w:left="113"/>
              <w:rPr>
                <w:rFonts w:ascii="宋体" w:hAnsi="宋体" w:eastAsia="宋体" w:cs="宋体"/>
                <w:sz w:val="24"/>
                <w:szCs w:val="24"/>
                <w:highlight w:val="none"/>
              </w:rPr>
            </w:pPr>
            <w:r>
              <w:rPr>
                <w:rFonts w:ascii="宋体" w:hAnsi="宋体" w:eastAsia="宋体" w:cs="宋体"/>
                <w:spacing w:val="-2"/>
                <w:sz w:val="24"/>
                <w:szCs w:val="24"/>
                <w:highlight w:val="none"/>
              </w:rPr>
              <w:t>4.6</w:t>
            </w:r>
          </w:p>
        </w:tc>
        <w:tc>
          <w:tcPr>
            <w:tcW w:w="542" w:type="dxa"/>
            <w:vAlign w:val="top"/>
          </w:tcPr>
          <w:p w14:paraId="5F82E5E0">
            <w:pPr>
              <w:spacing w:before="127" w:line="239" w:lineRule="auto"/>
              <w:ind w:left="91"/>
              <w:rPr>
                <w:rFonts w:ascii="宋体" w:hAnsi="宋体" w:eastAsia="宋体" w:cs="宋体"/>
                <w:sz w:val="24"/>
                <w:szCs w:val="24"/>
                <w:highlight w:val="none"/>
              </w:rPr>
            </w:pPr>
            <w:r>
              <w:rPr>
                <w:rFonts w:ascii="宋体" w:hAnsi="宋体" w:eastAsia="宋体" w:cs="宋体"/>
                <w:spacing w:val="-2"/>
                <w:sz w:val="24"/>
                <w:szCs w:val="24"/>
                <w:highlight w:val="none"/>
              </w:rPr>
              <w:t>4.0</w:t>
            </w:r>
          </w:p>
        </w:tc>
        <w:tc>
          <w:tcPr>
            <w:tcW w:w="499" w:type="dxa"/>
            <w:vAlign w:val="top"/>
          </w:tcPr>
          <w:p w14:paraId="7AA5DFE7">
            <w:pPr>
              <w:spacing w:before="127" w:line="239" w:lineRule="auto"/>
              <w:ind w:left="78"/>
              <w:rPr>
                <w:rFonts w:ascii="宋体" w:hAnsi="宋体" w:eastAsia="宋体" w:cs="宋体"/>
                <w:sz w:val="24"/>
                <w:szCs w:val="24"/>
                <w:highlight w:val="none"/>
              </w:rPr>
            </w:pPr>
            <w:r>
              <w:rPr>
                <w:rFonts w:ascii="宋体" w:hAnsi="宋体" w:eastAsia="宋体" w:cs="宋体"/>
                <w:spacing w:val="-4"/>
                <w:sz w:val="24"/>
                <w:szCs w:val="24"/>
                <w:highlight w:val="none"/>
              </w:rPr>
              <w:t>3.6</w:t>
            </w:r>
          </w:p>
        </w:tc>
        <w:tc>
          <w:tcPr>
            <w:tcW w:w="493" w:type="dxa"/>
            <w:vAlign w:val="top"/>
          </w:tcPr>
          <w:p w14:paraId="01837667">
            <w:pPr>
              <w:spacing w:before="127" w:line="239" w:lineRule="auto"/>
              <w:ind w:left="74"/>
              <w:rPr>
                <w:rFonts w:ascii="宋体" w:hAnsi="宋体" w:eastAsia="宋体" w:cs="宋体"/>
                <w:sz w:val="24"/>
                <w:szCs w:val="24"/>
                <w:highlight w:val="none"/>
              </w:rPr>
            </w:pPr>
            <w:r>
              <w:rPr>
                <w:rFonts w:ascii="宋体" w:hAnsi="宋体" w:eastAsia="宋体" w:cs="宋体"/>
                <w:spacing w:val="-4"/>
                <w:sz w:val="24"/>
                <w:szCs w:val="24"/>
                <w:highlight w:val="none"/>
              </w:rPr>
              <w:t>3.1</w:t>
            </w:r>
          </w:p>
        </w:tc>
        <w:tc>
          <w:tcPr>
            <w:tcW w:w="502" w:type="dxa"/>
            <w:vAlign w:val="top"/>
          </w:tcPr>
          <w:p w14:paraId="37CF955A">
            <w:pPr>
              <w:spacing w:before="127" w:line="239" w:lineRule="auto"/>
              <w:ind w:left="74"/>
              <w:rPr>
                <w:rFonts w:ascii="宋体" w:hAnsi="宋体" w:eastAsia="宋体" w:cs="宋体"/>
                <w:sz w:val="24"/>
                <w:szCs w:val="24"/>
                <w:highlight w:val="none"/>
              </w:rPr>
            </w:pPr>
            <w:r>
              <w:rPr>
                <w:rFonts w:ascii="宋体" w:hAnsi="宋体" w:eastAsia="宋体" w:cs="宋体"/>
                <w:spacing w:val="-3"/>
                <w:sz w:val="24"/>
                <w:szCs w:val="24"/>
                <w:highlight w:val="none"/>
              </w:rPr>
              <w:t>2.9</w:t>
            </w:r>
          </w:p>
        </w:tc>
        <w:tc>
          <w:tcPr>
            <w:tcW w:w="588" w:type="dxa"/>
            <w:vAlign w:val="top"/>
          </w:tcPr>
          <w:p w14:paraId="74BC9039">
            <w:pPr>
              <w:spacing w:before="127" w:line="239" w:lineRule="auto"/>
              <w:ind w:left="116"/>
              <w:rPr>
                <w:rFonts w:ascii="宋体" w:hAnsi="宋体" w:eastAsia="宋体" w:cs="宋体"/>
                <w:sz w:val="24"/>
                <w:szCs w:val="24"/>
                <w:highlight w:val="none"/>
              </w:rPr>
            </w:pPr>
            <w:r>
              <w:rPr>
                <w:rFonts w:ascii="宋体" w:hAnsi="宋体" w:eastAsia="宋体" w:cs="宋体"/>
                <w:spacing w:val="-3"/>
                <w:sz w:val="24"/>
                <w:szCs w:val="24"/>
                <w:highlight w:val="none"/>
              </w:rPr>
              <w:t>2.6</w:t>
            </w:r>
          </w:p>
        </w:tc>
        <w:tc>
          <w:tcPr>
            <w:tcW w:w="685" w:type="dxa"/>
            <w:vAlign w:val="top"/>
          </w:tcPr>
          <w:p w14:paraId="18B582C2">
            <w:pPr>
              <w:spacing w:before="127" w:line="239" w:lineRule="auto"/>
              <w:ind w:left="167"/>
              <w:rPr>
                <w:rFonts w:ascii="宋体" w:hAnsi="宋体" w:eastAsia="宋体" w:cs="宋体"/>
                <w:sz w:val="24"/>
                <w:szCs w:val="24"/>
                <w:highlight w:val="none"/>
              </w:rPr>
            </w:pPr>
            <w:r>
              <w:rPr>
                <w:rFonts w:ascii="宋体" w:hAnsi="宋体" w:eastAsia="宋体" w:cs="宋体"/>
                <w:spacing w:val="-3"/>
                <w:sz w:val="24"/>
                <w:szCs w:val="24"/>
                <w:highlight w:val="none"/>
              </w:rPr>
              <w:t>2.4</w:t>
            </w:r>
          </w:p>
        </w:tc>
      </w:tr>
      <w:tr w14:paraId="3E35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77" w:type="dxa"/>
            <w:vMerge w:val="continue"/>
            <w:tcBorders>
              <w:top w:val="nil"/>
              <w:bottom w:val="nil"/>
            </w:tcBorders>
            <w:textDirection w:val="tbRlV"/>
            <w:vAlign w:val="top"/>
          </w:tcPr>
          <w:p w14:paraId="4C07BD5F">
            <w:pPr>
              <w:rPr>
                <w:rFonts w:ascii="Arial"/>
                <w:sz w:val="21"/>
                <w:highlight w:val="none"/>
              </w:rPr>
            </w:pPr>
          </w:p>
        </w:tc>
        <w:tc>
          <w:tcPr>
            <w:tcW w:w="1420" w:type="dxa"/>
            <w:vMerge w:val="restart"/>
            <w:tcBorders>
              <w:bottom w:val="nil"/>
            </w:tcBorders>
            <w:vAlign w:val="top"/>
          </w:tcPr>
          <w:p w14:paraId="456460AB">
            <w:pPr>
              <w:spacing w:before="255" w:line="214" w:lineRule="auto"/>
              <w:ind w:left="51"/>
              <w:rPr>
                <w:rFonts w:ascii="宋体" w:hAnsi="宋体" w:eastAsia="宋体" w:cs="宋体"/>
                <w:sz w:val="24"/>
                <w:szCs w:val="24"/>
                <w:highlight w:val="none"/>
              </w:rPr>
            </w:pPr>
            <w:r>
              <w:rPr>
                <w:rFonts w:ascii="宋体" w:hAnsi="宋体" w:eastAsia="宋体" w:cs="宋体"/>
                <w:spacing w:val="-2"/>
                <w:sz w:val="24"/>
                <w:szCs w:val="24"/>
                <w:highlight w:val="none"/>
              </w:rPr>
              <w:t>控制价(标底</w:t>
            </w:r>
          </w:p>
          <w:p w14:paraId="78A1730F">
            <w:pPr>
              <w:spacing w:line="218" w:lineRule="auto"/>
              <w:ind w:left="533"/>
              <w:rPr>
                <w:rFonts w:ascii="宋体" w:hAnsi="宋体" w:eastAsia="宋体" w:cs="宋体"/>
                <w:sz w:val="24"/>
                <w:szCs w:val="24"/>
                <w:highlight w:val="none"/>
              </w:rPr>
            </w:pPr>
            <w:r>
              <w:rPr>
                <w:rFonts w:ascii="宋体" w:hAnsi="宋体" w:eastAsia="宋体" w:cs="宋体"/>
                <w:spacing w:val="-6"/>
                <w:sz w:val="24"/>
                <w:szCs w:val="24"/>
                <w:highlight w:val="none"/>
              </w:rPr>
              <w:t>价)</w:t>
            </w:r>
          </w:p>
        </w:tc>
        <w:tc>
          <w:tcPr>
            <w:tcW w:w="912" w:type="dxa"/>
            <w:vMerge w:val="restart"/>
            <w:tcBorders>
              <w:bottom w:val="nil"/>
            </w:tcBorders>
            <w:vAlign w:val="top"/>
          </w:tcPr>
          <w:p w14:paraId="0FAFBCAC">
            <w:pPr>
              <w:spacing w:line="314" w:lineRule="auto"/>
              <w:rPr>
                <w:rFonts w:ascii="Arial"/>
                <w:sz w:val="21"/>
                <w:highlight w:val="none"/>
              </w:rPr>
            </w:pPr>
          </w:p>
          <w:p w14:paraId="0D10F205">
            <w:pPr>
              <w:spacing w:before="78" w:line="218" w:lineRule="auto"/>
              <w:ind w:left="119"/>
              <w:rPr>
                <w:rFonts w:ascii="宋体" w:hAnsi="宋体" w:eastAsia="宋体" w:cs="宋体"/>
                <w:sz w:val="24"/>
                <w:szCs w:val="24"/>
                <w:highlight w:val="none"/>
              </w:rPr>
            </w:pPr>
            <w:r>
              <w:rPr>
                <w:rFonts w:ascii="宋体" w:hAnsi="宋体" w:eastAsia="宋体" w:cs="宋体"/>
                <w:spacing w:val="-11"/>
                <w:sz w:val="24"/>
                <w:szCs w:val="24"/>
                <w:highlight w:val="none"/>
              </w:rPr>
              <w:t>中标价</w:t>
            </w:r>
          </w:p>
        </w:tc>
        <w:tc>
          <w:tcPr>
            <w:tcW w:w="1672" w:type="dxa"/>
            <w:vAlign w:val="top"/>
          </w:tcPr>
          <w:p w14:paraId="6DA1780E">
            <w:pPr>
              <w:spacing w:before="123" w:line="220" w:lineRule="auto"/>
              <w:ind w:left="361"/>
              <w:rPr>
                <w:rFonts w:ascii="宋体" w:hAnsi="宋体" w:eastAsia="宋体" w:cs="宋体"/>
                <w:sz w:val="24"/>
                <w:szCs w:val="24"/>
                <w:highlight w:val="none"/>
              </w:rPr>
            </w:pPr>
            <w:r>
              <w:rPr>
                <w:rFonts w:ascii="宋体" w:hAnsi="宋体" w:eastAsia="宋体" w:cs="宋体"/>
                <w:spacing w:val="-3"/>
                <w:sz w:val="24"/>
                <w:szCs w:val="24"/>
                <w:highlight w:val="none"/>
              </w:rPr>
              <w:t>建筑工程</w:t>
            </w:r>
          </w:p>
        </w:tc>
        <w:tc>
          <w:tcPr>
            <w:tcW w:w="550" w:type="dxa"/>
            <w:vAlign w:val="top"/>
          </w:tcPr>
          <w:p w14:paraId="6C00BA2B">
            <w:pPr>
              <w:spacing w:before="123" w:line="239" w:lineRule="auto"/>
              <w:ind w:left="98"/>
              <w:rPr>
                <w:rFonts w:ascii="宋体" w:hAnsi="宋体" w:eastAsia="宋体" w:cs="宋体"/>
                <w:sz w:val="24"/>
                <w:szCs w:val="24"/>
                <w:highlight w:val="none"/>
              </w:rPr>
            </w:pPr>
            <w:r>
              <w:rPr>
                <w:rFonts w:ascii="宋体" w:hAnsi="宋体" w:eastAsia="宋体" w:cs="宋体"/>
                <w:spacing w:val="-3"/>
                <w:sz w:val="24"/>
                <w:szCs w:val="24"/>
                <w:highlight w:val="none"/>
              </w:rPr>
              <w:t>2.0</w:t>
            </w:r>
          </w:p>
        </w:tc>
        <w:tc>
          <w:tcPr>
            <w:tcW w:w="588" w:type="dxa"/>
            <w:vAlign w:val="top"/>
          </w:tcPr>
          <w:p w14:paraId="60753586">
            <w:pPr>
              <w:spacing w:before="123" w:line="239" w:lineRule="auto"/>
              <w:ind w:left="132"/>
              <w:rPr>
                <w:rFonts w:ascii="宋体" w:hAnsi="宋体" w:eastAsia="宋体" w:cs="宋体"/>
                <w:sz w:val="24"/>
                <w:szCs w:val="24"/>
                <w:highlight w:val="none"/>
              </w:rPr>
            </w:pPr>
            <w:r>
              <w:rPr>
                <w:rFonts w:ascii="宋体" w:hAnsi="宋体" w:eastAsia="宋体" w:cs="宋体"/>
                <w:spacing w:val="-7"/>
                <w:sz w:val="24"/>
                <w:szCs w:val="24"/>
                <w:highlight w:val="none"/>
              </w:rPr>
              <w:t>1.8</w:t>
            </w:r>
          </w:p>
        </w:tc>
        <w:tc>
          <w:tcPr>
            <w:tcW w:w="542" w:type="dxa"/>
            <w:vAlign w:val="top"/>
          </w:tcPr>
          <w:p w14:paraId="5C179EC9">
            <w:pPr>
              <w:spacing w:before="123" w:line="239" w:lineRule="auto"/>
              <w:ind w:left="110"/>
              <w:rPr>
                <w:rFonts w:ascii="宋体" w:hAnsi="宋体" w:eastAsia="宋体" w:cs="宋体"/>
                <w:sz w:val="24"/>
                <w:szCs w:val="24"/>
                <w:highlight w:val="none"/>
              </w:rPr>
            </w:pPr>
            <w:r>
              <w:rPr>
                <w:rFonts w:ascii="宋体" w:hAnsi="宋体" w:eastAsia="宋体" w:cs="宋体"/>
                <w:spacing w:val="-7"/>
                <w:sz w:val="24"/>
                <w:szCs w:val="24"/>
                <w:highlight w:val="none"/>
              </w:rPr>
              <w:t>1.6</w:t>
            </w:r>
          </w:p>
        </w:tc>
        <w:tc>
          <w:tcPr>
            <w:tcW w:w="499" w:type="dxa"/>
            <w:vAlign w:val="top"/>
          </w:tcPr>
          <w:p w14:paraId="061E0FFC">
            <w:pPr>
              <w:spacing w:before="123" w:line="239" w:lineRule="auto"/>
              <w:ind w:left="91"/>
              <w:rPr>
                <w:rFonts w:ascii="宋体" w:hAnsi="宋体" w:eastAsia="宋体" w:cs="宋体"/>
                <w:sz w:val="24"/>
                <w:szCs w:val="24"/>
                <w:highlight w:val="none"/>
              </w:rPr>
            </w:pPr>
            <w:r>
              <w:rPr>
                <w:rFonts w:ascii="宋体" w:hAnsi="宋体" w:eastAsia="宋体" w:cs="宋体"/>
                <w:spacing w:val="-7"/>
                <w:sz w:val="24"/>
                <w:szCs w:val="24"/>
                <w:highlight w:val="none"/>
              </w:rPr>
              <w:t>1.4</w:t>
            </w:r>
          </w:p>
        </w:tc>
        <w:tc>
          <w:tcPr>
            <w:tcW w:w="493" w:type="dxa"/>
            <w:vAlign w:val="top"/>
          </w:tcPr>
          <w:p w14:paraId="10363C5B">
            <w:pPr>
              <w:spacing w:before="123" w:line="239" w:lineRule="auto"/>
              <w:ind w:left="87"/>
              <w:rPr>
                <w:rFonts w:ascii="宋体" w:hAnsi="宋体" w:eastAsia="宋体" w:cs="宋体"/>
                <w:sz w:val="24"/>
                <w:szCs w:val="24"/>
                <w:highlight w:val="none"/>
              </w:rPr>
            </w:pPr>
            <w:r>
              <w:rPr>
                <w:rFonts w:ascii="宋体" w:hAnsi="宋体" w:eastAsia="宋体" w:cs="宋体"/>
                <w:spacing w:val="-7"/>
                <w:sz w:val="24"/>
                <w:szCs w:val="24"/>
                <w:highlight w:val="none"/>
              </w:rPr>
              <w:t>1.3</w:t>
            </w:r>
          </w:p>
        </w:tc>
        <w:tc>
          <w:tcPr>
            <w:tcW w:w="502" w:type="dxa"/>
            <w:vAlign w:val="top"/>
          </w:tcPr>
          <w:p w14:paraId="598F1FC5">
            <w:pPr>
              <w:spacing w:before="123" w:line="239" w:lineRule="auto"/>
              <w:ind w:left="89"/>
              <w:rPr>
                <w:rFonts w:ascii="宋体" w:hAnsi="宋体" w:eastAsia="宋体" w:cs="宋体"/>
                <w:sz w:val="24"/>
                <w:szCs w:val="24"/>
                <w:highlight w:val="none"/>
              </w:rPr>
            </w:pPr>
            <w:r>
              <w:rPr>
                <w:rFonts w:ascii="宋体" w:hAnsi="宋体" w:eastAsia="宋体" w:cs="宋体"/>
                <w:spacing w:val="-7"/>
                <w:sz w:val="24"/>
                <w:szCs w:val="24"/>
                <w:highlight w:val="none"/>
              </w:rPr>
              <w:t>1.2</w:t>
            </w:r>
          </w:p>
        </w:tc>
        <w:tc>
          <w:tcPr>
            <w:tcW w:w="588" w:type="dxa"/>
            <w:vAlign w:val="top"/>
          </w:tcPr>
          <w:p w14:paraId="3245F557">
            <w:pPr>
              <w:spacing w:before="123" w:line="239" w:lineRule="auto"/>
              <w:ind w:left="131"/>
              <w:rPr>
                <w:rFonts w:ascii="宋体" w:hAnsi="宋体" w:eastAsia="宋体" w:cs="宋体"/>
                <w:sz w:val="24"/>
                <w:szCs w:val="24"/>
                <w:highlight w:val="none"/>
              </w:rPr>
            </w:pPr>
            <w:r>
              <w:rPr>
                <w:rFonts w:ascii="宋体" w:hAnsi="宋体" w:eastAsia="宋体" w:cs="宋体"/>
                <w:spacing w:val="-7"/>
                <w:sz w:val="24"/>
                <w:szCs w:val="24"/>
                <w:highlight w:val="none"/>
              </w:rPr>
              <w:t>1.1</w:t>
            </w:r>
          </w:p>
        </w:tc>
        <w:tc>
          <w:tcPr>
            <w:tcW w:w="685" w:type="dxa"/>
            <w:vAlign w:val="top"/>
          </w:tcPr>
          <w:p w14:paraId="193D3534">
            <w:pPr>
              <w:spacing w:before="123" w:line="239" w:lineRule="auto"/>
              <w:ind w:left="182"/>
              <w:rPr>
                <w:rFonts w:ascii="宋体" w:hAnsi="宋体" w:eastAsia="宋体" w:cs="宋体"/>
                <w:sz w:val="24"/>
                <w:szCs w:val="24"/>
                <w:highlight w:val="none"/>
              </w:rPr>
            </w:pPr>
            <w:r>
              <w:rPr>
                <w:rFonts w:ascii="宋体" w:hAnsi="宋体" w:eastAsia="宋体" w:cs="宋体"/>
                <w:spacing w:val="-7"/>
                <w:sz w:val="24"/>
                <w:szCs w:val="24"/>
                <w:highlight w:val="none"/>
              </w:rPr>
              <w:t>1.0</w:t>
            </w:r>
          </w:p>
        </w:tc>
      </w:tr>
      <w:tr w14:paraId="24DEE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7" w:type="dxa"/>
            <w:vMerge w:val="continue"/>
            <w:tcBorders>
              <w:top w:val="nil"/>
            </w:tcBorders>
            <w:textDirection w:val="tbRlV"/>
            <w:vAlign w:val="top"/>
          </w:tcPr>
          <w:p w14:paraId="1523332E">
            <w:pPr>
              <w:rPr>
                <w:rFonts w:ascii="Arial"/>
                <w:sz w:val="21"/>
                <w:highlight w:val="none"/>
              </w:rPr>
            </w:pPr>
          </w:p>
        </w:tc>
        <w:tc>
          <w:tcPr>
            <w:tcW w:w="1420" w:type="dxa"/>
            <w:vMerge w:val="continue"/>
            <w:tcBorders>
              <w:top w:val="nil"/>
            </w:tcBorders>
            <w:vAlign w:val="top"/>
          </w:tcPr>
          <w:p w14:paraId="0BEF9EF4">
            <w:pPr>
              <w:rPr>
                <w:rFonts w:ascii="Arial"/>
                <w:sz w:val="21"/>
                <w:highlight w:val="none"/>
              </w:rPr>
            </w:pPr>
          </w:p>
        </w:tc>
        <w:tc>
          <w:tcPr>
            <w:tcW w:w="912" w:type="dxa"/>
            <w:vMerge w:val="continue"/>
            <w:tcBorders>
              <w:top w:val="nil"/>
            </w:tcBorders>
            <w:vAlign w:val="top"/>
          </w:tcPr>
          <w:p w14:paraId="2747A28B">
            <w:pPr>
              <w:rPr>
                <w:rFonts w:ascii="Arial"/>
                <w:sz w:val="21"/>
                <w:highlight w:val="none"/>
              </w:rPr>
            </w:pPr>
          </w:p>
        </w:tc>
        <w:tc>
          <w:tcPr>
            <w:tcW w:w="1672" w:type="dxa"/>
            <w:vAlign w:val="top"/>
          </w:tcPr>
          <w:p w14:paraId="6A211A57">
            <w:pPr>
              <w:spacing w:before="141" w:line="220" w:lineRule="auto"/>
              <w:ind w:left="363"/>
              <w:rPr>
                <w:rFonts w:ascii="宋体" w:hAnsi="宋体" w:eastAsia="宋体" w:cs="宋体"/>
                <w:sz w:val="24"/>
                <w:szCs w:val="24"/>
                <w:highlight w:val="none"/>
              </w:rPr>
            </w:pPr>
            <w:r>
              <w:rPr>
                <w:rFonts w:ascii="宋体" w:hAnsi="宋体" w:eastAsia="宋体" w:cs="宋体"/>
                <w:spacing w:val="-3"/>
                <w:sz w:val="24"/>
                <w:szCs w:val="24"/>
                <w:highlight w:val="none"/>
              </w:rPr>
              <w:t>安装工程</w:t>
            </w:r>
          </w:p>
        </w:tc>
        <w:tc>
          <w:tcPr>
            <w:tcW w:w="550" w:type="dxa"/>
            <w:vAlign w:val="top"/>
          </w:tcPr>
          <w:p w14:paraId="50DC3FED">
            <w:pPr>
              <w:spacing w:before="141" w:line="239" w:lineRule="auto"/>
              <w:ind w:left="98"/>
              <w:rPr>
                <w:rFonts w:ascii="宋体" w:hAnsi="宋体" w:eastAsia="宋体" w:cs="宋体"/>
                <w:sz w:val="24"/>
                <w:szCs w:val="24"/>
                <w:highlight w:val="none"/>
              </w:rPr>
            </w:pPr>
            <w:r>
              <w:rPr>
                <w:rFonts w:ascii="宋体" w:hAnsi="宋体" w:eastAsia="宋体" w:cs="宋体"/>
                <w:spacing w:val="-3"/>
                <w:sz w:val="24"/>
                <w:szCs w:val="24"/>
                <w:highlight w:val="none"/>
              </w:rPr>
              <w:t>2.1</w:t>
            </w:r>
          </w:p>
        </w:tc>
        <w:tc>
          <w:tcPr>
            <w:tcW w:w="588" w:type="dxa"/>
            <w:vAlign w:val="top"/>
          </w:tcPr>
          <w:p w14:paraId="3517891A">
            <w:pPr>
              <w:spacing w:before="141" w:line="239" w:lineRule="auto"/>
              <w:ind w:left="132"/>
              <w:rPr>
                <w:rFonts w:ascii="宋体" w:hAnsi="宋体" w:eastAsia="宋体" w:cs="宋体"/>
                <w:sz w:val="24"/>
                <w:szCs w:val="24"/>
                <w:highlight w:val="none"/>
              </w:rPr>
            </w:pPr>
            <w:r>
              <w:rPr>
                <w:rFonts w:ascii="宋体" w:hAnsi="宋体" w:eastAsia="宋体" w:cs="宋体"/>
                <w:spacing w:val="-7"/>
                <w:sz w:val="24"/>
                <w:szCs w:val="24"/>
                <w:highlight w:val="none"/>
              </w:rPr>
              <w:t>1.9</w:t>
            </w:r>
          </w:p>
        </w:tc>
        <w:tc>
          <w:tcPr>
            <w:tcW w:w="542" w:type="dxa"/>
            <w:vAlign w:val="top"/>
          </w:tcPr>
          <w:p w14:paraId="4B1DD73D">
            <w:pPr>
              <w:spacing w:before="141" w:line="239" w:lineRule="auto"/>
              <w:ind w:left="110"/>
              <w:rPr>
                <w:rFonts w:ascii="宋体" w:hAnsi="宋体" w:eastAsia="宋体" w:cs="宋体"/>
                <w:sz w:val="24"/>
                <w:szCs w:val="24"/>
                <w:highlight w:val="none"/>
              </w:rPr>
            </w:pPr>
            <w:r>
              <w:rPr>
                <w:rFonts w:ascii="宋体" w:hAnsi="宋体" w:eastAsia="宋体" w:cs="宋体"/>
                <w:spacing w:val="-7"/>
                <w:sz w:val="24"/>
                <w:szCs w:val="24"/>
                <w:highlight w:val="none"/>
              </w:rPr>
              <w:t>1.7</w:t>
            </w:r>
          </w:p>
        </w:tc>
        <w:tc>
          <w:tcPr>
            <w:tcW w:w="499" w:type="dxa"/>
            <w:vAlign w:val="top"/>
          </w:tcPr>
          <w:p w14:paraId="7310BEFF">
            <w:pPr>
              <w:spacing w:before="141" w:line="239" w:lineRule="auto"/>
              <w:ind w:left="91"/>
              <w:rPr>
                <w:rFonts w:ascii="宋体" w:hAnsi="宋体" w:eastAsia="宋体" w:cs="宋体"/>
                <w:sz w:val="24"/>
                <w:szCs w:val="24"/>
                <w:highlight w:val="none"/>
              </w:rPr>
            </w:pPr>
            <w:r>
              <w:rPr>
                <w:rFonts w:ascii="宋体" w:hAnsi="宋体" w:eastAsia="宋体" w:cs="宋体"/>
                <w:spacing w:val="-7"/>
                <w:sz w:val="24"/>
                <w:szCs w:val="24"/>
                <w:highlight w:val="none"/>
              </w:rPr>
              <w:t>1.6</w:t>
            </w:r>
          </w:p>
        </w:tc>
        <w:tc>
          <w:tcPr>
            <w:tcW w:w="493" w:type="dxa"/>
            <w:vAlign w:val="top"/>
          </w:tcPr>
          <w:p w14:paraId="77E878DF">
            <w:pPr>
              <w:spacing w:before="141" w:line="239" w:lineRule="auto"/>
              <w:ind w:left="87"/>
              <w:rPr>
                <w:rFonts w:ascii="宋体" w:hAnsi="宋体" w:eastAsia="宋体" w:cs="宋体"/>
                <w:sz w:val="24"/>
                <w:szCs w:val="24"/>
                <w:highlight w:val="none"/>
              </w:rPr>
            </w:pPr>
            <w:r>
              <w:rPr>
                <w:rFonts w:ascii="宋体" w:hAnsi="宋体" w:eastAsia="宋体" w:cs="宋体"/>
                <w:spacing w:val="-7"/>
                <w:sz w:val="24"/>
                <w:szCs w:val="24"/>
                <w:highlight w:val="none"/>
              </w:rPr>
              <w:t>1.4</w:t>
            </w:r>
          </w:p>
        </w:tc>
        <w:tc>
          <w:tcPr>
            <w:tcW w:w="502" w:type="dxa"/>
            <w:vAlign w:val="top"/>
          </w:tcPr>
          <w:p w14:paraId="1A47FDC2">
            <w:pPr>
              <w:spacing w:before="141" w:line="239" w:lineRule="auto"/>
              <w:ind w:left="89"/>
              <w:rPr>
                <w:rFonts w:ascii="宋体" w:hAnsi="宋体" w:eastAsia="宋体" w:cs="宋体"/>
                <w:sz w:val="24"/>
                <w:szCs w:val="24"/>
                <w:highlight w:val="none"/>
              </w:rPr>
            </w:pPr>
            <w:r>
              <w:rPr>
                <w:rFonts w:ascii="宋体" w:hAnsi="宋体" w:eastAsia="宋体" w:cs="宋体"/>
                <w:spacing w:val="-7"/>
                <w:sz w:val="24"/>
                <w:szCs w:val="24"/>
                <w:highlight w:val="none"/>
              </w:rPr>
              <w:t>1.3</w:t>
            </w:r>
          </w:p>
        </w:tc>
        <w:tc>
          <w:tcPr>
            <w:tcW w:w="588" w:type="dxa"/>
            <w:vAlign w:val="top"/>
          </w:tcPr>
          <w:p w14:paraId="36FA498A">
            <w:pPr>
              <w:spacing w:before="141" w:line="239" w:lineRule="auto"/>
              <w:ind w:left="131"/>
              <w:rPr>
                <w:rFonts w:ascii="宋体" w:hAnsi="宋体" w:eastAsia="宋体" w:cs="宋体"/>
                <w:sz w:val="24"/>
                <w:szCs w:val="24"/>
                <w:highlight w:val="none"/>
              </w:rPr>
            </w:pPr>
            <w:r>
              <w:rPr>
                <w:rFonts w:ascii="宋体" w:hAnsi="宋体" w:eastAsia="宋体" w:cs="宋体"/>
                <w:spacing w:val="-7"/>
                <w:sz w:val="24"/>
                <w:szCs w:val="24"/>
                <w:highlight w:val="none"/>
              </w:rPr>
              <w:t>1.2</w:t>
            </w:r>
          </w:p>
        </w:tc>
        <w:tc>
          <w:tcPr>
            <w:tcW w:w="685" w:type="dxa"/>
            <w:vAlign w:val="top"/>
          </w:tcPr>
          <w:p w14:paraId="1D137397">
            <w:pPr>
              <w:spacing w:before="141" w:line="239" w:lineRule="auto"/>
              <w:ind w:left="182"/>
              <w:rPr>
                <w:rFonts w:ascii="宋体" w:hAnsi="宋体" w:eastAsia="宋体" w:cs="宋体"/>
                <w:sz w:val="24"/>
                <w:szCs w:val="24"/>
                <w:highlight w:val="none"/>
              </w:rPr>
            </w:pPr>
            <w:r>
              <w:rPr>
                <w:rFonts w:ascii="宋体" w:hAnsi="宋体" w:eastAsia="宋体" w:cs="宋体"/>
                <w:spacing w:val="-7"/>
                <w:sz w:val="24"/>
                <w:szCs w:val="24"/>
                <w:highlight w:val="none"/>
              </w:rPr>
              <w:t>1.1</w:t>
            </w:r>
          </w:p>
        </w:tc>
      </w:tr>
    </w:tbl>
    <w:p w14:paraId="1AA1C408">
      <w:pPr>
        <w:spacing w:before="112" w:line="222" w:lineRule="auto"/>
        <w:ind w:left="45"/>
        <w:rPr>
          <w:rFonts w:ascii="宋体" w:hAnsi="宋体" w:eastAsia="宋体" w:cs="宋体"/>
          <w:sz w:val="24"/>
          <w:szCs w:val="24"/>
          <w:highlight w:val="none"/>
        </w:rPr>
      </w:pPr>
      <w:r>
        <w:rPr>
          <w:rFonts w:ascii="宋体" w:hAnsi="宋体" w:eastAsia="宋体" w:cs="宋体"/>
          <w:spacing w:val="-5"/>
          <w:sz w:val="24"/>
          <w:szCs w:val="24"/>
          <w:highlight w:val="none"/>
        </w:rPr>
        <w:t>39、签订合同</w:t>
      </w:r>
    </w:p>
    <w:p w14:paraId="3AA3D293">
      <w:pPr>
        <w:spacing w:before="82" w:line="218" w:lineRule="auto"/>
        <w:ind w:left="525"/>
        <w:rPr>
          <w:rFonts w:ascii="宋体" w:hAnsi="宋体" w:eastAsia="宋体" w:cs="宋体"/>
          <w:sz w:val="24"/>
          <w:szCs w:val="24"/>
          <w:highlight w:val="none"/>
        </w:rPr>
      </w:pPr>
      <w:r>
        <w:rPr>
          <w:rFonts w:ascii="宋体" w:hAnsi="宋体" w:eastAsia="宋体" w:cs="宋体"/>
          <w:spacing w:val="-5"/>
          <w:sz w:val="24"/>
          <w:szCs w:val="24"/>
          <w:highlight w:val="none"/>
        </w:rPr>
        <w:t>39.1</w:t>
      </w:r>
      <w:r>
        <w:rPr>
          <w:rFonts w:ascii="宋体" w:hAnsi="宋体" w:eastAsia="宋体" w:cs="宋体"/>
          <w:spacing w:val="-16"/>
          <w:sz w:val="24"/>
          <w:szCs w:val="24"/>
          <w:highlight w:val="none"/>
        </w:rPr>
        <w:t xml:space="preserve"> </w:t>
      </w:r>
      <w:r>
        <w:rPr>
          <w:rFonts w:ascii="宋体" w:hAnsi="宋体" w:eastAsia="宋体" w:cs="宋体"/>
          <w:spacing w:val="-5"/>
          <w:sz w:val="24"/>
          <w:szCs w:val="24"/>
          <w:highlight w:val="none"/>
        </w:rPr>
        <w:t>中标人的中标价即为合同价款。</w:t>
      </w:r>
    </w:p>
    <w:p w14:paraId="4226B91E">
      <w:pPr>
        <w:spacing w:before="77" w:line="248" w:lineRule="auto"/>
        <w:ind w:left="43" w:right="30" w:firstLine="481"/>
        <w:rPr>
          <w:rFonts w:ascii="宋体" w:hAnsi="宋体" w:eastAsia="宋体" w:cs="宋体"/>
          <w:sz w:val="24"/>
          <w:szCs w:val="24"/>
          <w:highlight w:val="none"/>
        </w:rPr>
      </w:pPr>
      <w:r>
        <w:rPr>
          <w:rFonts w:ascii="宋体" w:hAnsi="宋体" w:eastAsia="宋体" w:cs="宋体"/>
          <w:spacing w:val="-3"/>
          <w:sz w:val="24"/>
          <w:szCs w:val="24"/>
          <w:highlight w:val="none"/>
        </w:rPr>
        <w:t>39.2</w:t>
      </w:r>
      <w:r>
        <w:rPr>
          <w:rFonts w:ascii="宋体" w:hAnsi="宋体" w:eastAsia="宋体" w:cs="宋体"/>
          <w:spacing w:val="-28"/>
          <w:sz w:val="24"/>
          <w:szCs w:val="24"/>
          <w:highlight w:val="none"/>
        </w:rPr>
        <w:t xml:space="preserve"> </w:t>
      </w:r>
      <w:r>
        <w:rPr>
          <w:rFonts w:ascii="宋体" w:hAnsi="宋体" w:eastAsia="宋体" w:cs="宋体"/>
          <w:spacing w:val="-3"/>
          <w:sz w:val="24"/>
          <w:szCs w:val="24"/>
          <w:highlight w:val="none"/>
        </w:rPr>
        <w:t>中标人在收到中标通知书之日起，应及时与招标人办理洽谈和签</w:t>
      </w:r>
      <w:r>
        <w:rPr>
          <w:rFonts w:ascii="宋体" w:hAnsi="宋体" w:eastAsia="宋体" w:cs="宋体"/>
          <w:spacing w:val="-4"/>
          <w:sz w:val="24"/>
          <w:szCs w:val="24"/>
          <w:highlight w:val="none"/>
        </w:rPr>
        <w:t>订承包合同的</w:t>
      </w:r>
      <w:r>
        <w:rPr>
          <w:rFonts w:ascii="宋体" w:hAnsi="宋体" w:eastAsia="宋体" w:cs="宋体"/>
          <w:spacing w:val="-1"/>
          <w:sz w:val="24"/>
          <w:szCs w:val="24"/>
          <w:highlight w:val="none"/>
        </w:rPr>
        <w:t>各项手续并做好进场准备工作(含临时设施、施工水电接引)，招标人另有</w:t>
      </w:r>
      <w:r>
        <w:rPr>
          <w:rFonts w:ascii="宋体" w:hAnsi="宋体" w:eastAsia="宋体" w:cs="宋体"/>
          <w:spacing w:val="-2"/>
          <w:sz w:val="24"/>
          <w:szCs w:val="24"/>
          <w:highlight w:val="none"/>
        </w:rPr>
        <w:t>规定的除外。</w:t>
      </w:r>
    </w:p>
    <w:p w14:paraId="4DB46898">
      <w:pPr>
        <w:spacing w:before="74" w:line="258" w:lineRule="auto"/>
        <w:ind w:left="39" w:right="30" w:firstLine="485"/>
        <w:rPr>
          <w:rFonts w:ascii="宋体" w:hAnsi="宋体" w:eastAsia="宋体" w:cs="宋体"/>
          <w:sz w:val="24"/>
          <w:szCs w:val="24"/>
          <w:highlight w:val="none"/>
        </w:rPr>
      </w:pPr>
      <w:r>
        <w:rPr>
          <w:rFonts w:ascii="宋体" w:hAnsi="宋体" w:eastAsia="宋体" w:cs="宋体"/>
          <w:spacing w:val="-3"/>
          <w:sz w:val="24"/>
          <w:szCs w:val="24"/>
          <w:highlight w:val="none"/>
        </w:rPr>
        <w:t>39.3</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招标人和中标人应当在投标须知前附表规定的时间内，根据招标文件和中标人</w:t>
      </w:r>
      <w:r>
        <w:rPr>
          <w:rFonts w:ascii="宋体" w:hAnsi="宋体" w:eastAsia="宋体" w:cs="宋体"/>
          <w:spacing w:val="-5"/>
          <w:sz w:val="24"/>
          <w:szCs w:val="24"/>
          <w:highlight w:val="none"/>
        </w:rPr>
        <w:t>的投标文件订立书面合同。中标人无正当理由拒签合同</w:t>
      </w:r>
      <w:r>
        <w:rPr>
          <w:rFonts w:ascii="宋体" w:hAnsi="宋体" w:eastAsia="宋体" w:cs="宋体"/>
          <w:spacing w:val="-6"/>
          <w:sz w:val="24"/>
          <w:szCs w:val="24"/>
          <w:highlight w:val="none"/>
        </w:rPr>
        <w:t>的，取消其中标资格，给招标人</w:t>
      </w:r>
      <w:r>
        <w:rPr>
          <w:rFonts w:ascii="宋体" w:hAnsi="宋体" w:eastAsia="宋体" w:cs="宋体"/>
          <w:spacing w:val="-3"/>
          <w:sz w:val="24"/>
          <w:szCs w:val="24"/>
          <w:highlight w:val="none"/>
        </w:rPr>
        <w:t>造成损失的，中标人应当予以赔偿。</w:t>
      </w:r>
    </w:p>
    <w:p w14:paraId="2D169A24">
      <w:pPr>
        <w:spacing w:line="258" w:lineRule="auto"/>
        <w:rPr>
          <w:rFonts w:ascii="宋体" w:hAnsi="宋体" w:eastAsia="宋体" w:cs="宋体"/>
          <w:sz w:val="24"/>
          <w:szCs w:val="24"/>
          <w:highlight w:val="none"/>
        </w:rPr>
        <w:sectPr>
          <w:footerReference r:id="rId22" w:type="default"/>
          <w:pgSz w:w="11907" w:h="16839"/>
          <w:pgMar w:top="1431" w:right="1046" w:bottom="1199" w:left="1690" w:header="0" w:footer="968" w:gutter="0"/>
          <w:cols w:space="720" w:num="1"/>
        </w:sectPr>
      </w:pPr>
    </w:p>
    <w:p w14:paraId="7C7006DF">
      <w:pPr>
        <w:spacing w:before="91" w:line="248" w:lineRule="auto"/>
        <w:ind w:left="1" w:firstLine="484"/>
        <w:rPr>
          <w:rFonts w:ascii="宋体" w:hAnsi="宋体" w:eastAsia="宋体" w:cs="宋体"/>
          <w:sz w:val="24"/>
          <w:szCs w:val="24"/>
          <w:highlight w:val="none"/>
        </w:rPr>
      </w:pPr>
      <w:r>
        <w:rPr>
          <w:rFonts w:ascii="宋体" w:hAnsi="宋体" w:eastAsia="宋体" w:cs="宋体"/>
          <w:spacing w:val="-3"/>
          <w:sz w:val="24"/>
          <w:szCs w:val="24"/>
          <w:highlight w:val="none"/>
        </w:rPr>
        <w:t>39.4</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发出中标通知书后，招标人无正当理由拒签合同，给中标人造成损失的，应当</w:t>
      </w:r>
      <w:r>
        <w:rPr>
          <w:rFonts w:ascii="宋体" w:hAnsi="宋体" w:eastAsia="宋体" w:cs="宋体"/>
          <w:spacing w:val="-8"/>
          <w:sz w:val="24"/>
          <w:szCs w:val="24"/>
          <w:highlight w:val="none"/>
        </w:rPr>
        <w:t>赔偿损失。</w:t>
      </w:r>
    </w:p>
    <w:p w14:paraId="14A4F927">
      <w:pPr>
        <w:spacing w:before="73" w:line="249" w:lineRule="auto"/>
        <w:ind w:left="2" w:firstLine="483"/>
        <w:rPr>
          <w:rFonts w:ascii="宋体" w:hAnsi="宋体" w:eastAsia="宋体" w:cs="宋体"/>
          <w:sz w:val="24"/>
          <w:szCs w:val="24"/>
          <w:highlight w:val="none"/>
        </w:rPr>
      </w:pPr>
      <w:r>
        <w:rPr>
          <w:rFonts w:ascii="宋体" w:hAnsi="宋体" w:eastAsia="宋体" w:cs="宋体"/>
          <w:spacing w:val="-3"/>
          <w:sz w:val="24"/>
          <w:szCs w:val="24"/>
          <w:highlight w:val="none"/>
        </w:rPr>
        <w:t>39.5</w:t>
      </w:r>
      <w:r>
        <w:rPr>
          <w:rFonts w:ascii="宋体" w:hAnsi="宋体" w:eastAsia="宋体" w:cs="宋体"/>
          <w:spacing w:val="-28"/>
          <w:sz w:val="24"/>
          <w:szCs w:val="24"/>
          <w:highlight w:val="none"/>
        </w:rPr>
        <w:t xml:space="preserve"> </w:t>
      </w:r>
      <w:r>
        <w:rPr>
          <w:rFonts w:ascii="宋体" w:hAnsi="宋体" w:eastAsia="宋体" w:cs="宋体"/>
          <w:spacing w:val="-3"/>
          <w:sz w:val="24"/>
          <w:szCs w:val="24"/>
          <w:highlight w:val="none"/>
        </w:rPr>
        <w:t>中标人应当按照合同约定履行义务，完成中标项目施工，不得将</w:t>
      </w:r>
      <w:r>
        <w:rPr>
          <w:rFonts w:ascii="宋体" w:hAnsi="宋体" w:eastAsia="宋体" w:cs="宋体"/>
          <w:spacing w:val="-4"/>
          <w:sz w:val="24"/>
          <w:szCs w:val="24"/>
          <w:highlight w:val="none"/>
        </w:rPr>
        <w:t>中标项目施工</w:t>
      </w:r>
      <w:r>
        <w:rPr>
          <w:rFonts w:ascii="宋体" w:hAnsi="宋体" w:eastAsia="宋体" w:cs="宋体"/>
          <w:spacing w:val="-5"/>
          <w:sz w:val="24"/>
          <w:szCs w:val="24"/>
          <w:highlight w:val="none"/>
        </w:rPr>
        <w:t>转让（转包）给他人。</w:t>
      </w:r>
    </w:p>
    <w:p w14:paraId="0FBCC75E">
      <w:pPr>
        <w:spacing w:before="105" w:line="220" w:lineRule="auto"/>
        <w:rPr>
          <w:rFonts w:ascii="宋体" w:hAnsi="宋体" w:eastAsia="宋体" w:cs="宋体"/>
          <w:sz w:val="24"/>
          <w:szCs w:val="24"/>
          <w:highlight w:val="none"/>
        </w:rPr>
      </w:pPr>
      <w:r>
        <w:rPr>
          <w:rFonts w:ascii="宋体" w:hAnsi="宋体" w:eastAsia="宋体" w:cs="宋体"/>
          <w:spacing w:val="-3"/>
          <w:sz w:val="24"/>
          <w:szCs w:val="24"/>
          <w:highlight w:val="none"/>
        </w:rPr>
        <w:t>40、履约担保</w:t>
      </w:r>
    </w:p>
    <w:p w14:paraId="0485DB9E">
      <w:pPr>
        <w:spacing w:before="113" w:line="308" w:lineRule="auto"/>
        <w:ind w:left="2" w:right="2" w:firstLine="479"/>
        <w:jc w:val="both"/>
        <w:rPr>
          <w:rFonts w:ascii="宋体" w:hAnsi="宋体" w:eastAsia="宋体" w:cs="宋体"/>
          <w:sz w:val="24"/>
          <w:szCs w:val="24"/>
          <w:highlight w:val="none"/>
        </w:rPr>
      </w:pPr>
      <w:r>
        <w:rPr>
          <w:rFonts w:ascii="宋体" w:hAnsi="宋体" w:eastAsia="宋体" w:cs="宋体"/>
          <w:spacing w:val="-1"/>
          <w:sz w:val="24"/>
          <w:szCs w:val="24"/>
          <w:highlight w:val="none"/>
        </w:rPr>
        <w:t>合同协议书签署前，中标人应按投标须知前附表的规定提交履约保证金，中标人拒绝提交履约保证金的，视为放弃中标资格，招标人将有充分的理由不与其签订合同，给</w:t>
      </w:r>
      <w:r>
        <w:rPr>
          <w:rFonts w:ascii="宋体" w:hAnsi="宋体" w:eastAsia="宋体" w:cs="宋体"/>
          <w:spacing w:val="-2"/>
          <w:sz w:val="24"/>
          <w:szCs w:val="24"/>
          <w:highlight w:val="none"/>
        </w:rPr>
        <w:t>招标人造成损失的，中标人应当予以赔偿并承担相应的法律责任。</w:t>
      </w:r>
    </w:p>
    <w:p w14:paraId="5774682F">
      <w:pPr>
        <w:spacing w:line="220" w:lineRule="auto"/>
        <w:rPr>
          <w:rFonts w:ascii="宋体" w:hAnsi="宋体" w:eastAsia="宋体" w:cs="宋体"/>
          <w:sz w:val="24"/>
          <w:szCs w:val="24"/>
          <w:highlight w:val="none"/>
        </w:rPr>
      </w:pPr>
      <w:r>
        <w:rPr>
          <w:rFonts w:ascii="宋体" w:hAnsi="宋体" w:eastAsia="宋体" w:cs="宋体"/>
          <w:spacing w:val="-2"/>
          <w:sz w:val="24"/>
          <w:szCs w:val="24"/>
          <w:highlight w:val="none"/>
        </w:rPr>
        <w:t>41、履约保证金退还</w:t>
      </w:r>
    </w:p>
    <w:p w14:paraId="3B5CA34A">
      <w:pPr>
        <w:spacing w:before="31" w:line="241" w:lineRule="auto"/>
        <w:ind w:left="2" w:firstLine="501"/>
        <w:jc w:val="both"/>
        <w:rPr>
          <w:rFonts w:ascii="宋体" w:hAnsi="宋体" w:eastAsia="宋体" w:cs="宋体"/>
          <w:sz w:val="24"/>
          <w:szCs w:val="24"/>
          <w:highlight w:val="none"/>
        </w:rPr>
      </w:pPr>
      <w:r>
        <w:rPr>
          <w:rFonts w:ascii="宋体" w:hAnsi="宋体" w:eastAsia="宋体" w:cs="宋体"/>
          <w:spacing w:val="-1"/>
          <w:sz w:val="24"/>
          <w:szCs w:val="24"/>
          <w:highlight w:val="none"/>
        </w:rPr>
        <w:t>中标人未发生招标文件和合同约定的违约情形，工程竣工验收</w:t>
      </w:r>
      <w:r>
        <w:rPr>
          <w:rFonts w:ascii="宋体" w:hAnsi="宋体" w:eastAsia="宋体" w:cs="宋体"/>
          <w:spacing w:val="-2"/>
          <w:sz w:val="24"/>
          <w:szCs w:val="24"/>
          <w:highlight w:val="none"/>
        </w:rPr>
        <w:t>后，可凭建设工程项</w:t>
      </w:r>
      <w:r>
        <w:rPr>
          <w:rFonts w:ascii="宋体" w:hAnsi="宋体" w:eastAsia="宋体" w:cs="宋体"/>
          <w:spacing w:val="-1"/>
          <w:sz w:val="24"/>
          <w:szCs w:val="24"/>
          <w:highlight w:val="none"/>
        </w:rPr>
        <w:t>目竣工验收报告（初验报告或单位工程验收报告或交工验收报告）等材料，向招标人提</w:t>
      </w:r>
      <w:r>
        <w:rPr>
          <w:rFonts w:ascii="宋体" w:hAnsi="宋体" w:eastAsia="宋体" w:cs="宋体"/>
          <w:spacing w:val="-2"/>
          <w:sz w:val="24"/>
          <w:szCs w:val="24"/>
          <w:highlight w:val="none"/>
        </w:rPr>
        <w:t>出退还履约保证金的申请。招标人应当从收到申请及相关材料之日起 30</w:t>
      </w:r>
      <w:r>
        <w:rPr>
          <w:rFonts w:ascii="宋体" w:hAnsi="宋体" w:eastAsia="宋体" w:cs="宋体"/>
          <w:spacing w:val="53"/>
          <w:sz w:val="24"/>
          <w:szCs w:val="24"/>
          <w:highlight w:val="none"/>
        </w:rPr>
        <w:t xml:space="preserve"> </w:t>
      </w:r>
      <w:r>
        <w:rPr>
          <w:rFonts w:ascii="宋体" w:hAnsi="宋体" w:eastAsia="宋体" w:cs="宋体"/>
          <w:spacing w:val="-2"/>
          <w:sz w:val="24"/>
          <w:szCs w:val="24"/>
          <w:highlight w:val="none"/>
        </w:rPr>
        <w:t>日内，将履约</w:t>
      </w:r>
      <w:r>
        <w:rPr>
          <w:rFonts w:ascii="宋体" w:hAnsi="宋体" w:eastAsia="宋体" w:cs="宋体"/>
          <w:spacing w:val="-5"/>
          <w:sz w:val="24"/>
          <w:szCs w:val="24"/>
          <w:highlight w:val="none"/>
        </w:rPr>
        <w:t>保证金退还中标人。</w:t>
      </w:r>
    </w:p>
    <w:p w14:paraId="2765D837">
      <w:pPr>
        <w:spacing w:before="73" w:line="220" w:lineRule="auto"/>
        <w:rPr>
          <w:rFonts w:ascii="宋体" w:hAnsi="宋体" w:eastAsia="宋体" w:cs="宋体"/>
          <w:sz w:val="24"/>
          <w:szCs w:val="24"/>
          <w:highlight w:val="none"/>
        </w:rPr>
      </w:pPr>
      <w:r>
        <w:rPr>
          <w:rFonts w:ascii="宋体" w:hAnsi="宋体" w:eastAsia="宋体" w:cs="宋体"/>
          <w:spacing w:val="-3"/>
          <w:sz w:val="24"/>
          <w:szCs w:val="24"/>
          <w:highlight w:val="none"/>
        </w:rPr>
        <w:t>42、支付担保</w:t>
      </w:r>
    </w:p>
    <w:p w14:paraId="0690FB51">
      <w:pPr>
        <w:spacing w:before="162" w:line="309" w:lineRule="auto"/>
        <w:ind w:right="2" w:firstLine="501"/>
        <w:rPr>
          <w:rFonts w:ascii="宋体" w:hAnsi="宋体" w:eastAsia="宋体" w:cs="宋体"/>
          <w:sz w:val="24"/>
          <w:szCs w:val="24"/>
          <w:highlight w:val="none"/>
        </w:rPr>
      </w:pPr>
      <w:r>
        <w:rPr>
          <w:rFonts w:ascii="宋体" w:hAnsi="宋体" w:eastAsia="宋体" w:cs="宋体"/>
          <w:spacing w:val="-1"/>
          <w:sz w:val="24"/>
          <w:szCs w:val="24"/>
          <w:highlight w:val="none"/>
        </w:rPr>
        <w:t>本工程是否实行工程款支付担保及有关规定见前附表规定，如</w:t>
      </w:r>
      <w:r>
        <w:rPr>
          <w:rFonts w:ascii="宋体" w:hAnsi="宋体" w:eastAsia="宋体" w:cs="宋体"/>
          <w:spacing w:val="-2"/>
          <w:sz w:val="24"/>
          <w:szCs w:val="24"/>
          <w:highlight w:val="none"/>
        </w:rPr>
        <w:t>实行，招标人最迟也</w:t>
      </w:r>
      <w:r>
        <w:rPr>
          <w:rFonts w:ascii="宋体" w:hAnsi="宋体" w:eastAsia="宋体" w:cs="宋体"/>
          <w:spacing w:val="-3"/>
          <w:sz w:val="24"/>
          <w:szCs w:val="24"/>
          <w:highlight w:val="none"/>
        </w:rPr>
        <w:t>将在签订合同的同时向中标人提交。</w:t>
      </w:r>
    </w:p>
    <w:p w14:paraId="1032961B">
      <w:pPr>
        <w:spacing w:line="309" w:lineRule="auto"/>
        <w:rPr>
          <w:rFonts w:ascii="宋体" w:hAnsi="宋体" w:eastAsia="宋体" w:cs="宋体"/>
          <w:sz w:val="24"/>
          <w:szCs w:val="24"/>
          <w:highlight w:val="none"/>
        </w:rPr>
        <w:sectPr>
          <w:footerReference r:id="rId23" w:type="default"/>
          <w:pgSz w:w="11907" w:h="16839"/>
          <w:pgMar w:top="1431" w:right="1076" w:bottom="1199" w:left="1728" w:header="0" w:footer="968" w:gutter="0"/>
          <w:cols w:space="720" w:num="1"/>
        </w:sectPr>
      </w:pPr>
    </w:p>
    <w:p w14:paraId="0FDE2DAB">
      <w:pPr>
        <w:spacing w:before="71" w:line="219" w:lineRule="auto"/>
        <w:ind w:left="3293"/>
        <w:outlineLvl w:val="0"/>
        <w:rPr>
          <w:rFonts w:ascii="宋体" w:hAnsi="宋体" w:eastAsia="宋体" w:cs="宋体"/>
          <w:sz w:val="36"/>
          <w:szCs w:val="36"/>
          <w:highlight w:val="none"/>
        </w:rPr>
      </w:pPr>
      <w:bookmarkStart w:id="13" w:name="_Toc21713"/>
      <w:r>
        <w:rPr>
          <w:rFonts w:ascii="宋体" w:hAnsi="宋体" w:eastAsia="宋体" w:cs="宋体"/>
          <w:b/>
          <w:bCs/>
          <w:spacing w:val="-5"/>
          <w:sz w:val="36"/>
          <w:szCs w:val="36"/>
          <w:highlight w:val="none"/>
        </w:rPr>
        <w:t>第三章合同条款</w:t>
      </w:r>
      <w:bookmarkEnd w:id="13"/>
    </w:p>
    <w:p w14:paraId="0668080F">
      <w:pPr>
        <w:spacing w:before="237" w:line="219" w:lineRule="auto"/>
        <w:ind w:left="2940"/>
        <w:rPr>
          <w:rFonts w:ascii="宋体" w:hAnsi="宋体" w:eastAsia="宋体" w:cs="宋体"/>
          <w:sz w:val="36"/>
          <w:szCs w:val="36"/>
          <w:highlight w:val="none"/>
        </w:rPr>
      </w:pPr>
      <w:r>
        <w:rPr>
          <w:rFonts w:ascii="宋体" w:hAnsi="宋体" w:eastAsia="宋体" w:cs="宋体"/>
          <w:b/>
          <w:bCs/>
          <w:spacing w:val="-6"/>
          <w:sz w:val="36"/>
          <w:szCs w:val="36"/>
          <w:highlight w:val="none"/>
        </w:rPr>
        <w:t>第一部分合同协议书</w:t>
      </w:r>
    </w:p>
    <w:p w14:paraId="73CAA3ED">
      <w:pPr>
        <w:spacing w:before="255" w:line="359" w:lineRule="auto"/>
        <w:ind w:left="96" w:right="3969" w:firstLine="3"/>
        <w:rPr>
          <w:rFonts w:hint="eastAsia" w:ascii="宋体" w:hAnsi="宋体" w:eastAsia="宋体" w:cs="宋体"/>
          <w:spacing w:val="-2"/>
          <w:sz w:val="24"/>
          <w:szCs w:val="24"/>
          <w:highlight w:val="none"/>
          <w:lang w:val="en-US" w:eastAsia="zh-CN"/>
        </w:rPr>
      </w:pPr>
      <w:r>
        <w:rPr>
          <w:rFonts w:ascii="宋体" w:hAnsi="宋体" w:eastAsia="宋体" w:cs="宋体"/>
          <w:spacing w:val="-2"/>
          <w:sz w:val="24"/>
          <w:szCs w:val="24"/>
          <w:highlight w:val="none"/>
        </w:rPr>
        <w:t>发包人（全称</w:t>
      </w:r>
      <w:r>
        <w:rPr>
          <w:rFonts w:ascii="宋体" w:hAnsi="宋体" w:eastAsia="宋体" w:cs="宋体"/>
          <w:spacing w:val="11"/>
          <w:sz w:val="24"/>
          <w:szCs w:val="24"/>
          <w:highlight w:val="none"/>
        </w:rPr>
        <w:t>）：</w:t>
      </w:r>
      <w:r>
        <w:rPr>
          <w:rFonts w:hint="eastAsia" w:ascii="宋体" w:hAnsi="宋体" w:eastAsia="宋体" w:cs="宋体"/>
          <w:spacing w:val="-2"/>
          <w:sz w:val="24"/>
          <w:szCs w:val="24"/>
          <w:highlight w:val="none"/>
          <w:lang w:val="en-US" w:eastAsia="zh-CN"/>
        </w:rPr>
        <w:t>霍邱县三流乡人民政府</w:t>
      </w:r>
    </w:p>
    <w:p w14:paraId="714DFF4E">
      <w:pPr>
        <w:spacing w:before="255" w:line="359" w:lineRule="auto"/>
        <w:ind w:left="96" w:right="3969" w:firstLine="3"/>
        <w:rPr>
          <w:rFonts w:ascii="宋体" w:hAnsi="宋体" w:eastAsia="宋体" w:cs="宋体"/>
          <w:sz w:val="24"/>
          <w:szCs w:val="24"/>
          <w:highlight w:val="none"/>
        </w:rPr>
      </w:pPr>
      <w:r>
        <w:rPr>
          <w:rFonts w:ascii="宋体" w:hAnsi="宋体" w:eastAsia="宋体" w:cs="宋体"/>
          <w:spacing w:val="-2"/>
          <w:sz w:val="24"/>
          <w:szCs w:val="24"/>
          <w:highlight w:val="none"/>
        </w:rPr>
        <w:t>承包人（全称</w:t>
      </w:r>
      <w:r>
        <w:rPr>
          <w:rFonts w:ascii="宋体" w:hAnsi="宋体" w:eastAsia="宋体" w:cs="宋体"/>
          <w:sz w:val="24"/>
          <w:szCs w:val="24"/>
          <w:highlight w:val="none"/>
        </w:rPr>
        <w:t>）：</w:t>
      </w:r>
      <w:r>
        <w:rPr>
          <w:rFonts w:hint="eastAsia" w:ascii="宋体" w:hAnsi="宋体" w:eastAsia="宋体" w:cs="宋体"/>
          <w:spacing w:val="-6"/>
          <w:sz w:val="24"/>
          <w:szCs w:val="24"/>
          <w:highlight w:val="none"/>
          <w:u w:val="single"/>
          <w:lang w:val="en-US" w:eastAsia="zh-CN"/>
        </w:rPr>
        <w:t xml:space="preserve">                    </w:t>
      </w:r>
    </w:p>
    <w:p w14:paraId="731FF931">
      <w:pPr>
        <w:spacing w:before="2" w:line="359" w:lineRule="auto"/>
        <w:ind w:left="96" w:right="97" w:firstLine="480"/>
        <w:jc w:val="both"/>
        <w:rPr>
          <w:rFonts w:ascii="宋体" w:hAnsi="宋体" w:eastAsia="宋体" w:cs="宋体"/>
          <w:sz w:val="24"/>
          <w:szCs w:val="24"/>
          <w:highlight w:val="none"/>
        </w:rPr>
      </w:pPr>
      <w:r>
        <w:rPr>
          <w:rFonts w:ascii="宋体" w:hAnsi="宋体" w:eastAsia="宋体" w:cs="宋体"/>
          <w:spacing w:val="1"/>
          <w:sz w:val="24"/>
          <w:szCs w:val="24"/>
          <w:highlight w:val="none"/>
        </w:rPr>
        <w:t>依照《中华人民共和国民法典》、《中华人民</w:t>
      </w:r>
      <w:r>
        <w:rPr>
          <w:rFonts w:ascii="宋体" w:hAnsi="宋体" w:eastAsia="宋体" w:cs="宋体"/>
          <w:sz w:val="24"/>
          <w:szCs w:val="24"/>
          <w:highlight w:val="none"/>
        </w:rPr>
        <w:t>共和国建筑法》、《中华人民共和国招标投标法》及相关法律、行政法规，遵循平等、自愿、公平和诚信原则，合同双</w:t>
      </w:r>
      <w:r>
        <w:rPr>
          <w:rFonts w:ascii="宋体" w:hAnsi="宋体" w:eastAsia="宋体" w:cs="宋体"/>
          <w:spacing w:val="-2"/>
          <w:sz w:val="24"/>
          <w:szCs w:val="24"/>
          <w:highlight w:val="none"/>
        </w:rPr>
        <w:t>方就(项目名称）事宜经协商一致，订立本合同。</w:t>
      </w:r>
    </w:p>
    <w:p w14:paraId="7A496FEB">
      <w:pPr>
        <w:spacing w:line="219" w:lineRule="auto"/>
        <w:ind w:left="3"/>
        <w:rPr>
          <w:rFonts w:ascii="宋体" w:hAnsi="宋体" w:eastAsia="宋体" w:cs="宋体"/>
          <w:sz w:val="24"/>
          <w:szCs w:val="24"/>
          <w:highlight w:val="none"/>
        </w:rPr>
      </w:pPr>
      <w:r>
        <w:rPr>
          <w:rFonts w:ascii="宋体" w:hAnsi="宋体" w:eastAsia="宋体" w:cs="宋体"/>
          <w:b/>
          <w:bCs/>
          <w:spacing w:val="-6"/>
          <w:sz w:val="24"/>
          <w:szCs w:val="24"/>
          <w:highlight w:val="none"/>
        </w:rPr>
        <w:t>一、工程概况</w:t>
      </w:r>
    </w:p>
    <w:p w14:paraId="2069AF51">
      <w:pPr>
        <w:spacing w:before="180" w:line="220" w:lineRule="auto"/>
        <w:ind w:left="482"/>
        <w:rPr>
          <w:rFonts w:ascii="宋体" w:hAnsi="宋体" w:eastAsia="宋体" w:cs="宋体"/>
          <w:sz w:val="24"/>
          <w:szCs w:val="24"/>
          <w:highlight w:val="none"/>
        </w:rPr>
      </w:pPr>
      <w:r>
        <w:rPr>
          <w:rFonts w:ascii="宋体" w:hAnsi="宋体" w:eastAsia="宋体" w:cs="宋体"/>
          <w:spacing w:val="-11"/>
          <w:sz w:val="24"/>
          <w:szCs w:val="24"/>
          <w:highlight w:val="none"/>
        </w:rPr>
        <w:t>工程名称：</w:t>
      </w:r>
      <w:r>
        <w:rPr>
          <w:rFonts w:hint="eastAsia" w:ascii="宋体" w:hAnsi="宋体" w:eastAsia="宋体" w:cs="宋体"/>
          <w:spacing w:val="-6"/>
          <w:sz w:val="24"/>
          <w:szCs w:val="24"/>
          <w:highlight w:val="none"/>
          <w:u w:val="single"/>
          <w:lang w:val="en-US" w:eastAsia="zh-CN"/>
        </w:rPr>
        <w:t xml:space="preserve">                    </w:t>
      </w:r>
    </w:p>
    <w:p w14:paraId="104F7F24">
      <w:pPr>
        <w:spacing w:before="182" w:line="220" w:lineRule="auto"/>
        <w:ind w:left="482"/>
        <w:rPr>
          <w:rFonts w:ascii="宋体" w:hAnsi="宋体" w:eastAsia="宋体" w:cs="宋体"/>
          <w:sz w:val="24"/>
          <w:szCs w:val="24"/>
          <w:highlight w:val="none"/>
        </w:rPr>
      </w:pPr>
      <w:r>
        <w:rPr>
          <w:rFonts w:ascii="宋体" w:hAnsi="宋体" w:eastAsia="宋体" w:cs="宋体"/>
          <w:spacing w:val="-5"/>
          <w:sz w:val="24"/>
          <w:szCs w:val="24"/>
          <w:highlight w:val="none"/>
        </w:rPr>
        <w:t>工程批准、核准或备案文号：</w:t>
      </w:r>
      <w:r>
        <w:rPr>
          <w:rFonts w:hint="eastAsia" w:ascii="宋体" w:hAnsi="宋体" w:eastAsia="宋体" w:cs="宋体"/>
          <w:spacing w:val="-6"/>
          <w:sz w:val="24"/>
          <w:szCs w:val="24"/>
          <w:highlight w:val="none"/>
          <w:u w:val="single"/>
          <w:lang w:val="en-US" w:eastAsia="zh-CN"/>
        </w:rPr>
        <w:t xml:space="preserve">                    </w:t>
      </w:r>
    </w:p>
    <w:p w14:paraId="2303062B">
      <w:pPr>
        <w:spacing w:before="179" w:line="220" w:lineRule="auto"/>
        <w:ind w:left="482"/>
        <w:rPr>
          <w:rFonts w:ascii="宋体" w:hAnsi="宋体" w:eastAsia="宋体" w:cs="宋体"/>
          <w:sz w:val="24"/>
          <w:szCs w:val="24"/>
          <w:highlight w:val="none"/>
        </w:rPr>
      </w:pPr>
      <w:r>
        <w:rPr>
          <w:rFonts w:ascii="宋体" w:hAnsi="宋体" w:eastAsia="宋体" w:cs="宋体"/>
          <w:spacing w:val="-8"/>
          <w:sz w:val="24"/>
          <w:szCs w:val="24"/>
          <w:highlight w:val="none"/>
        </w:rPr>
        <w:t>工程内容及规模：</w:t>
      </w:r>
      <w:r>
        <w:rPr>
          <w:rFonts w:hint="eastAsia" w:ascii="宋体" w:hAnsi="宋体" w:eastAsia="宋体" w:cs="宋体"/>
          <w:spacing w:val="-6"/>
          <w:sz w:val="24"/>
          <w:szCs w:val="24"/>
          <w:highlight w:val="none"/>
          <w:u w:val="single"/>
          <w:lang w:val="en-US" w:eastAsia="zh-CN"/>
        </w:rPr>
        <w:t xml:space="preserve">                    </w:t>
      </w:r>
    </w:p>
    <w:p w14:paraId="374EFC0E">
      <w:pPr>
        <w:spacing w:before="182" w:line="220" w:lineRule="auto"/>
        <w:ind w:left="482"/>
        <w:rPr>
          <w:rFonts w:ascii="宋体" w:hAnsi="宋体" w:eastAsia="宋体" w:cs="宋体"/>
          <w:sz w:val="24"/>
          <w:szCs w:val="24"/>
          <w:highlight w:val="none"/>
        </w:rPr>
      </w:pPr>
      <w:r>
        <w:rPr>
          <w:rFonts w:ascii="宋体" w:hAnsi="宋体" w:eastAsia="宋体" w:cs="宋体"/>
          <w:spacing w:val="-6"/>
          <w:sz w:val="24"/>
          <w:szCs w:val="24"/>
          <w:highlight w:val="none"/>
        </w:rPr>
        <w:t>工程所在省市详细地址：</w:t>
      </w:r>
      <w:r>
        <w:rPr>
          <w:rFonts w:hint="eastAsia" w:ascii="宋体" w:hAnsi="宋体" w:eastAsia="宋体" w:cs="宋体"/>
          <w:spacing w:val="-6"/>
          <w:sz w:val="24"/>
          <w:szCs w:val="24"/>
          <w:highlight w:val="none"/>
          <w:u w:val="single"/>
          <w:lang w:val="en-US" w:eastAsia="zh-CN"/>
        </w:rPr>
        <w:t xml:space="preserve">                    </w:t>
      </w:r>
    </w:p>
    <w:p w14:paraId="7009D17A">
      <w:pPr>
        <w:spacing w:before="179" w:line="220" w:lineRule="auto"/>
        <w:ind w:left="482"/>
        <w:rPr>
          <w:rFonts w:ascii="宋体" w:hAnsi="宋体" w:eastAsia="宋体" w:cs="宋体"/>
          <w:sz w:val="24"/>
          <w:szCs w:val="24"/>
          <w:highlight w:val="none"/>
        </w:rPr>
      </w:pPr>
      <w:r>
        <w:rPr>
          <w:rFonts w:ascii="宋体" w:hAnsi="宋体" w:eastAsia="宋体" w:cs="宋体"/>
          <w:spacing w:val="-9"/>
          <w:sz w:val="24"/>
          <w:szCs w:val="24"/>
          <w:highlight w:val="none"/>
        </w:rPr>
        <w:t>工程承包范围：</w:t>
      </w:r>
      <w:r>
        <w:rPr>
          <w:rFonts w:hint="eastAsia" w:ascii="宋体" w:hAnsi="宋体" w:eastAsia="宋体" w:cs="宋体"/>
          <w:spacing w:val="-6"/>
          <w:sz w:val="24"/>
          <w:szCs w:val="24"/>
          <w:highlight w:val="none"/>
          <w:u w:val="single"/>
          <w:lang w:val="en-US" w:eastAsia="zh-CN"/>
        </w:rPr>
        <w:t xml:space="preserve">                    </w:t>
      </w:r>
    </w:p>
    <w:p w14:paraId="5FA599C4">
      <w:pPr>
        <w:spacing w:before="183" w:line="220" w:lineRule="auto"/>
        <w:ind w:left="3"/>
        <w:rPr>
          <w:rFonts w:ascii="宋体" w:hAnsi="宋体" w:eastAsia="宋体" w:cs="宋体"/>
          <w:sz w:val="24"/>
          <w:szCs w:val="24"/>
          <w:highlight w:val="none"/>
        </w:rPr>
      </w:pPr>
      <w:r>
        <w:rPr>
          <w:rFonts w:ascii="宋体" w:hAnsi="宋体" w:eastAsia="宋体" w:cs="宋体"/>
          <w:b/>
          <w:bCs/>
          <w:spacing w:val="-4"/>
          <w:sz w:val="24"/>
          <w:szCs w:val="24"/>
          <w:highlight w:val="none"/>
        </w:rPr>
        <w:t>二、项目周期：</w:t>
      </w:r>
    </w:p>
    <w:p w14:paraId="12EBA626">
      <w:pPr>
        <w:spacing w:before="180"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三、工程质量标准</w:t>
      </w:r>
    </w:p>
    <w:p w14:paraId="0D1AA9D2">
      <w:pPr>
        <w:spacing w:before="182" w:line="359" w:lineRule="auto"/>
        <w:ind w:left="3" w:firstLine="479"/>
        <w:rPr>
          <w:rFonts w:ascii="宋体" w:hAnsi="宋体" w:eastAsia="宋体" w:cs="宋体"/>
          <w:sz w:val="24"/>
          <w:szCs w:val="24"/>
          <w:highlight w:val="none"/>
        </w:rPr>
      </w:pPr>
      <w:r>
        <w:rPr>
          <w:rFonts w:ascii="宋体" w:hAnsi="宋体" w:eastAsia="宋体" w:cs="宋体"/>
          <w:spacing w:val="-6"/>
          <w:sz w:val="24"/>
          <w:szCs w:val="24"/>
          <w:highlight w:val="none"/>
        </w:rPr>
        <w:t>设计要求的质量标准：符合现行国家、地方及行业相关设计规范要求，确保通过有</w:t>
      </w:r>
      <w:r>
        <w:rPr>
          <w:rFonts w:ascii="宋体" w:hAnsi="宋体" w:eastAsia="宋体" w:cs="宋体"/>
          <w:spacing w:val="-9"/>
          <w:sz w:val="24"/>
          <w:szCs w:val="24"/>
          <w:highlight w:val="none"/>
        </w:rPr>
        <w:t>关部门的审查；</w:t>
      </w:r>
    </w:p>
    <w:p w14:paraId="1785E180">
      <w:pPr>
        <w:spacing w:before="1" w:line="218" w:lineRule="auto"/>
        <w:ind w:left="478"/>
        <w:rPr>
          <w:rFonts w:ascii="宋体" w:hAnsi="宋体" w:eastAsia="宋体" w:cs="宋体"/>
          <w:sz w:val="24"/>
          <w:szCs w:val="24"/>
          <w:highlight w:val="none"/>
        </w:rPr>
      </w:pPr>
      <w:r>
        <w:rPr>
          <w:rFonts w:ascii="宋体" w:hAnsi="宋体" w:eastAsia="宋体" w:cs="宋体"/>
          <w:spacing w:val="-5"/>
          <w:sz w:val="24"/>
          <w:szCs w:val="24"/>
          <w:highlight w:val="none"/>
        </w:rPr>
        <w:t>采购要求的质量标准：合格；</w:t>
      </w:r>
    </w:p>
    <w:p w14:paraId="75459E89">
      <w:pPr>
        <w:spacing w:before="181" w:line="220"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施工要求的质量标准：满足国家、省市行业等相关要求，达到合格标准；</w:t>
      </w:r>
    </w:p>
    <w:p w14:paraId="7DDFBEAC">
      <w:pPr>
        <w:spacing w:before="182" w:line="220" w:lineRule="auto"/>
        <w:ind w:left="479"/>
        <w:rPr>
          <w:rFonts w:ascii="宋体" w:hAnsi="宋体" w:eastAsia="宋体" w:cs="宋体"/>
          <w:sz w:val="24"/>
          <w:szCs w:val="24"/>
          <w:highlight w:val="none"/>
        </w:rPr>
      </w:pPr>
      <w:r>
        <w:rPr>
          <w:rFonts w:ascii="宋体" w:hAnsi="宋体" w:eastAsia="宋体" w:cs="宋体"/>
          <w:spacing w:val="-4"/>
          <w:sz w:val="24"/>
          <w:szCs w:val="24"/>
          <w:highlight w:val="none"/>
        </w:rPr>
        <w:t>运营要求的质量标准：合格。</w:t>
      </w:r>
    </w:p>
    <w:p w14:paraId="245F9218">
      <w:pPr>
        <w:spacing w:before="183" w:line="218" w:lineRule="auto"/>
        <w:ind w:left="504"/>
        <w:rPr>
          <w:rFonts w:ascii="宋体" w:hAnsi="宋体" w:eastAsia="宋体" w:cs="宋体"/>
          <w:sz w:val="24"/>
          <w:szCs w:val="24"/>
          <w:highlight w:val="none"/>
        </w:rPr>
      </w:pPr>
      <w:r>
        <w:rPr>
          <w:rFonts w:ascii="宋体" w:hAnsi="宋体" w:eastAsia="宋体" w:cs="宋体"/>
          <w:b/>
          <w:bCs/>
          <w:spacing w:val="-4"/>
          <w:sz w:val="24"/>
          <w:szCs w:val="24"/>
          <w:highlight w:val="none"/>
        </w:rPr>
        <w:t>四、签约合同价与合同价格形式</w:t>
      </w:r>
    </w:p>
    <w:p w14:paraId="6E2CF8B4">
      <w:pPr>
        <w:spacing w:before="182" w:line="218" w:lineRule="auto"/>
        <w:ind w:left="593"/>
        <w:rPr>
          <w:rFonts w:ascii="宋体" w:hAnsi="宋体" w:eastAsia="宋体" w:cs="宋体"/>
          <w:sz w:val="24"/>
          <w:szCs w:val="24"/>
          <w:highlight w:val="none"/>
        </w:rPr>
      </w:pPr>
      <w:r>
        <w:rPr>
          <w:rFonts w:ascii="宋体" w:hAnsi="宋体" w:eastAsia="宋体" w:cs="宋体"/>
          <w:spacing w:val="-1"/>
          <w:sz w:val="24"/>
          <w:szCs w:val="24"/>
          <w:highlight w:val="none"/>
        </w:rPr>
        <w:t>1.</w:t>
      </w:r>
      <w:r>
        <w:rPr>
          <w:rFonts w:hint="eastAsia" w:ascii="宋体" w:hAnsi="宋体" w:eastAsia="宋体" w:cs="宋体"/>
          <w:spacing w:val="-1"/>
          <w:sz w:val="24"/>
          <w:szCs w:val="24"/>
          <w:highlight w:val="none"/>
          <w:lang w:val="en-US" w:eastAsia="zh-CN"/>
        </w:rPr>
        <w:t>.签约合同价（不含基础设施及运营费用）为：</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1"/>
          <w:sz w:val="24"/>
          <w:szCs w:val="24"/>
          <w:highlight w:val="none"/>
          <w:lang w:val="en-US" w:eastAsia="zh-CN"/>
        </w:rPr>
        <w:t>。</w:t>
      </w:r>
    </w:p>
    <w:p w14:paraId="6AFAAEB5">
      <w:pPr>
        <w:spacing w:before="184" w:line="218" w:lineRule="auto"/>
        <w:ind w:left="578"/>
        <w:rPr>
          <w:rFonts w:ascii="宋体" w:hAnsi="宋体" w:eastAsia="宋体" w:cs="宋体"/>
          <w:sz w:val="24"/>
          <w:szCs w:val="24"/>
          <w:highlight w:val="none"/>
        </w:rPr>
      </w:pPr>
      <w:r>
        <w:rPr>
          <w:rFonts w:ascii="宋体" w:hAnsi="宋体" w:eastAsia="宋体" w:cs="宋体"/>
          <w:spacing w:val="-1"/>
          <w:sz w:val="24"/>
          <w:szCs w:val="24"/>
          <w:highlight w:val="none"/>
        </w:rPr>
        <w:t>2.合同价格形式：费率(审定预算价的百分比)。</w:t>
      </w:r>
    </w:p>
    <w:p w14:paraId="7A0EAF45">
      <w:pPr>
        <w:spacing w:before="182" w:line="220" w:lineRule="auto"/>
        <w:ind w:left="3"/>
        <w:rPr>
          <w:rFonts w:ascii="宋体" w:hAnsi="宋体" w:eastAsia="宋体" w:cs="宋体"/>
          <w:sz w:val="24"/>
          <w:szCs w:val="24"/>
          <w:highlight w:val="none"/>
        </w:rPr>
      </w:pPr>
      <w:r>
        <w:rPr>
          <w:rFonts w:ascii="宋体" w:hAnsi="宋体" w:eastAsia="宋体" w:cs="宋体"/>
          <w:b/>
          <w:bCs/>
          <w:spacing w:val="-3"/>
          <w:sz w:val="24"/>
          <w:szCs w:val="24"/>
          <w:highlight w:val="none"/>
        </w:rPr>
        <w:t>五、设计负责人、项目经理</w:t>
      </w:r>
    </w:p>
    <w:p w14:paraId="090386E9">
      <w:pPr>
        <w:spacing w:before="182" w:line="220" w:lineRule="auto"/>
        <w:ind w:left="575"/>
        <w:rPr>
          <w:rFonts w:ascii="宋体" w:hAnsi="宋体" w:eastAsia="宋体" w:cs="宋体"/>
          <w:sz w:val="24"/>
          <w:szCs w:val="24"/>
          <w:highlight w:val="none"/>
        </w:rPr>
      </w:pPr>
      <w:r>
        <w:rPr>
          <w:rFonts w:ascii="宋体" w:hAnsi="宋体" w:eastAsia="宋体" w:cs="宋体"/>
          <w:spacing w:val="-7"/>
          <w:sz w:val="24"/>
          <w:szCs w:val="24"/>
          <w:highlight w:val="none"/>
        </w:rPr>
        <w:t>承包人设计负责人：</w:t>
      </w:r>
      <w:r>
        <w:rPr>
          <w:rFonts w:hint="eastAsia" w:ascii="宋体" w:hAnsi="宋体" w:eastAsia="宋体" w:cs="宋体"/>
          <w:spacing w:val="-6"/>
          <w:sz w:val="24"/>
          <w:szCs w:val="24"/>
          <w:highlight w:val="none"/>
          <w:u w:val="single"/>
          <w:lang w:val="en-US" w:eastAsia="zh-CN"/>
        </w:rPr>
        <w:t xml:space="preserve">                    </w:t>
      </w:r>
    </w:p>
    <w:p w14:paraId="154455E2">
      <w:pPr>
        <w:spacing w:before="180" w:line="220" w:lineRule="auto"/>
        <w:ind w:left="575"/>
        <w:rPr>
          <w:rFonts w:ascii="宋体" w:hAnsi="宋体" w:eastAsia="宋体" w:cs="宋体"/>
          <w:sz w:val="24"/>
          <w:szCs w:val="24"/>
          <w:highlight w:val="none"/>
        </w:rPr>
      </w:pPr>
      <w:r>
        <w:rPr>
          <w:rFonts w:ascii="宋体" w:hAnsi="宋体" w:eastAsia="宋体" w:cs="宋体"/>
          <w:spacing w:val="-8"/>
          <w:sz w:val="24"/>
          <w:szCs w:val="24"/>
          <w:highlight w:val="none"/>
        </w:rPr>
        <w:t>承包人项目经理：</w:t>
      </w:r>
      <w:r>
        <w:rPr>
          <w:rFonts w:hint="eastAsia" w:ascii="宋体" w:hAnsi="宋体" w:eastAsia="宋体" w:cs="宋体"/>
          <w:spacing w:val="-6"/>
          <w:sz w:val="24"/>
          <w:szCs w:val="24"/>
          <w:highlight w:val="none"/>
          <w:u w:val="single"/>
          <w:lang w:val="en-US" w:eastAsia="zh-CN"/>
        </w:rPr>
        <w:t xml:space="preserve">                    </w:t>
      </w:r>
    </w:p>
    <w:p w14:paraId="4EF77E8E">
      <w:pPr>
        <w:spacing w:before="182" w:line="219" w:lineRule="auto"/>
        <w:ind w:left="1"/>
        <w:rPr>
          <w:rFonts w:ascii="宋体" w:hAnsi="宋体" w:eastAsia="宋体" w:cs="宋体"/>
          <w:b/>
          <w:bCs/>
          <w:spacing w:val="-4"/>
          <w:sz w:val="24"/>
          <w:szCs w:val="24"/>
          <w:highlight w:val="none"/>
        </w:rPr>
      </w:pPr>
    </w:p>
    <w:p w14:paraId="01D81C5C">
      <w:pPr>
        <w:spacing w:before="182" w:line="219" w:lineRule="auto"/>
        <w:rPr>
          <w:rFonts w:ascii="宋体" w:hAnsi="宋体" w:eastAsia="宋体" w:cs="宋体"/>
          <w:b/>
          <w:bCs/>
          <w:spacing w:val="-4"/>
          <w:sz w:val="24"/>
          <w:szCs w:val="24"/>
          <w:highlight w:val="none"/>
        </w:rPr>
      </w:pPr>
    </w:p>
    <w:p w14:paraId="33CC7246">
      <w:pPr>
        <w:spacing w:before="182" w:line="219" w:lineRule="auto"/>
        <w:rPr>
          <w:rFonts w:ascii="宋体" w:hAnsi="宋体" w:eastAsia="宋体" w:cs="宋体"/>
          <w:b/>
          <w:bCs/>
          <w:spacing w:val="-4"/>
          <w:sz w:val="24"/>
          <w:szCs w:val="24"/>
          <w:highlight w:val="none"/>
        </w:rPr>
      </w:pPr>
    </w:p>
    <w:p w14:paraId="333C1D83">
      <w:pPr>
        <w:spacing w:before="182" w:line="219" w:lineRule="auto"/>
        <w:rPr>
          <w:rFonts w:ascii="宋体" w:hAnsi="宋体" w:eastAsia="宋体" w:cs="宋体"/>
          <w:sz w:val="24"/>
          <w:szCs w:val="24"/>
          <w:highlight w:val="none"/>
        </w:rPr>
      </w:pPr>
      <w:r>
        <w:rPr>
          <w:rFonts w:ascii="宋体" w:hAnsi="宋体" w:eastAsia="宋体" w:cs="宋体"/>
          <w:b/>
          <w:bCs/>
          <w:spacing w:val="-4"/>
          <w:sz w:val="24"/>
          <w:szCs w:val="24"/>
          <w:highlight w:val="none"/>
        </w:rPr>
        <w:t>六、合同文件构成本协议书与下列文件一起构成合同文件：</w:t>
      </w:r>
    </w:p>
    <w:p w14:paraId="27F87637">
      <w:pPr>
        <w:spacing w:before="181" w:line="219" w:lineRule="auto"/>
        <w:ind w:left="582"/>
        <w:rPr>
          <w:rFonts w:ascii="宋体" w:hAnsi="宋体" w:eastAsia="宋体" w:cs="宋体"/>
          <w:sz w:val="24"/>
          <w:szCs w:val="24"/>
          <w:highlight w:val="none"/>
        </w:rPr>
      </w:pPr>
      <w:r>
        <w:rPr>
          <w:rFonts w:ascii="宋体" w:hAnsi="宋体" w:eastAsia="宋体" w:cs="宋体"/>
          <w:spacing w:val="-6"/>
          <w:sz w:val="24"/>
          <w:szCs w:val="24"/>
          <w:highlight w:val="none"/>
        </w:rPr>
        <w:t>（1）中标通知书（如果有</w:t>
      </w:r>
      <w:r>
        <w:rPr>
          <w:rFonts w:ascii="宋体" w:hAnsi="宋体" w:eastAsia="宋体" w:cs="宋体"/>
          <w:spacing w:val="1"/>
          <w:sz w:val="24"/>
          <w:szCs w:val="24"/>
          <w:highlight w:val="none"/>
        </w:rPr>
        <w:t>）；</w:t>
      </w:r>
    </w:p>
    <w:p w14:paraId="0E782703">
      <w:pPr>
        <w:spacing w:before="184" w:line="219" w:lineRule="auto"/>
        <w:ind w:left="582"/>
        <w:rPr>
          <w:rFonts w:ascii="宋体" w:hAnsi="宋体" w:eastAsia="宋体" w:cs="宋体"/>
          <w:sz w:val="24"/>
          <w:szCs w:val="24"/>
          <w:highlight w:val="none"/>
        </w:rPr>
      </w:pPr>
      <w:r>
        <w:rPr>
          <w:rFonts w:ascii="宋体" w:hAnsi="宋体" w:eastAsia="宋体" w:cs="宋体"/>
          <w:spacing w:val="-5"/>
          <w:sz w:val="24"/>
          <w:szCs w:val="24"/>
          <w:highlight w:val="none"/>
        </w:rPr>
        <w:t>（2）投标函及其附录（如果有</w:t>
      </w:r>
      <w:r>
        <w:rPr>
          <w:rFonts w:ascii="宋体" w:hAnsi="宋体" w:eastAsia="宋体" w:cs="宋体"/>
          <w:sz w:val="24"/>
          <w:szCs w:val="24"/>
          <w:highlight w:val="none"/>
        </w:rPr>
        <w:t>）；</w:t>
      </w:r>
    </w:p>
    <w:p w14:paraId="2955E485">
      <w:pPr>
        <w:spacing w:before="184" w:line="219" w:lineRule="auto"/>
        <w:ind w:left="582"/>
        <w:rPr>
          <w:rFonts w:ascii="宋体" w:hAnsi="宋体" w:eastAsia="宋体" w:cs="宋体"/>
          <w:sz w:val="24"/>
          <w:szCs w:val="24"/>
          <w:highlight w:val="none"/>
        </w:rPr>
      </w:pPr>
      <w:r>
        <w:rPr>
          <w:rFonts w:ascii="宋体" w:hAnsi="宋体" w:eastAsia="宋体" w:cs="宋体"/>
          <w:spacing w:val="-5"/>
          <w:sz w:val="24"/>
          <w:szCs w:val="24"/>
          <w:highlight w:val="none"/>
        </w:rPr>
        <w:t>（3）专用合同条款及其附件；</w:t>
      </w:r>
    </w:p>
    <w:p w14:paraId="1938C6DC">
      <w:pPr>
        <w:spacing w:before="183" w:line="220" w:lineRule="auto"/>
        <w:ind w:left="583"/>
        <w:rPr>
          <w:rFonts w:ascii="宋体" w:hAnsi="宋体" w:eastAsia="宋体" w:cs="宋体"/>
          <w:sz w:val="24"/>
          <w:szCs w:val="24"/>
          <w:highlight w:val="none"/>
        </w:rPr>
      </w:pPr>
      <w:r>
        <w:rPr>
          <w:rFonts w:ascii="宋体" w:hAnsi="宋体" w:eastAsia="宋体" w:cs="宋体"/>
          <w:spacing w:val="-7"/>
          <w:sz w:val="24"/>
          <w:szCs w:val="24"/>
          <w:highlight w:val="none"/>
        </w:rPr>
        <w:t>（4）通用合同条款；</w:t>
      </w:r>
    </w:p>
    <w:p w14:paraId="4C7BD4EB">
      <w:pPr>
        <w:spacing w:before="179" w:line="220" w:lineRule="auto"/>
        <w:ind w:left="583"/>
        <w:rPr>
          <w:rFonts w:ascii="宋体" w:hAnsi="宋体" w:eastAsia="宋体" w:cs="宋体"/>
          <w:sz w:val="24"/>
          <w:szCs w:val="24"/>
          <w:highlight w:val="none"/>
        </w:rPr>
      </w:pPr>
      <w:r>
        <w:rPr>
          <w:rFonts w:ascii="宋体" w:hAnsi="宋体" w:eastAsia="宋体" w:cs="宋体"/>
          <w:spacing w:val="-6"/>
          <w:sz w:val="24"/>
          <w:szCs w:val="24"/>
          <w:highlight w:val="none"/>
        </w:rPr>
        <w:t>（5）技术标准和要求；</w:t>
      </w:r>
    </w:p>
    <w:p w14:paraId="0FB6BD70">
      <w:pPr>
        <w:spacing w:before="182" w:line="221" w:lineRule="auto"/>
        <w:ind w:left="583"/>
        <w:rPr>
          <w:rFonts w:ascii="宋体" w:hAnsi="宋体" w:eastAsia="宋体" w:cs="宋体"/>
          <w:sz w:val="24"/>
          <w:szCs w:val="24"/>
          <w:highlight w:val="none"/>
        </w:rPr>
      </w:pPr>
      <w:r>
        <w:rPr>
          <w:rFonts w:ascii="宋体" w:hAnsi="宋体" w:eastAsia="宋体" w:cs="宋体"/>
          <w:spacing w:val="-10"/>
          <w:sz w:val="24"/>
          <w:szCs w:val="24"/>
          <w:highlight w:val="none"/>
        </w:rPr>
        <w:t>（6）图纸；</w:t>
      </w:r>
    </w:p>
    <w:p w14:paraId="44D1F183">
      <w:pPr>
        <w:spacing w:before="178" w:line="218" w:lineRule="auto"/>
        <w:ind w:left="583"/>
        <w:rPr>
          <w:rFonts w:ascii="宋体" w:hAnsi="宋体" w:eastAsia="宋体" w:cs="宋体"/>
          <w:sz w:val="24"/>
          <w:szCs w:val="24"/>
          <w:highlight w:val="none"/>
        </w:rPr>
      </w:pPr>
      <w:r>
        <w:rPr>
          <w:rFonts w:ascii="宋体" w:hAnsi="宋体" w:eastAsia="宋体" w:cs="宋体"/>
          <w:spacing w:val="-5"/>
          <w:sz w:val="24"/>
          <w:szCs w:val="24"/>
          <w:highlight w:val="none"/>
        </w:rPr>
        <w:t>（7）已标价工程量清单或预算书；</w:t>
      </w:r>
    </w:p>
    <w:p w14:paraId="76B29DF9">
      <w:pPr>
        <w:spacing w:before="184" w:line="220" w:lineRule="auto"/>
        <w:ind w:left="583"/>
        <w:rPr>
          <w:rFonts w:ascii="宋体" w:hAnsi="宋体" w:eastAsia="宋体" w:cs="宋体"/>
          <w:sz w:val="24"/>
          <w:szCs w:val="24"/>
          <w:highlight w:val="none"/>
        </w:rPr>
      </w:pPr>
      <w:r>
        <w:rPr>
          <w:rFonts w:ascii="宋体" w:hAnsi="宋体" w:eastAsia="宋体" w:cs="宋体"/>
          <w:spacing w:val="-5"/>
          <w:sz w:val="24"/>
          <w:szCs w:val="24"/>
          <w:highlight w:val="none"/>
        </w:rPr>
        <w:t>（8）其他合同文件。</w:t>
      </w:r>
    </w:p>
    <w:p w14:paraId="2EDED926">
      <w:pPr>
        <w:spacing w:before="180" w:line="220" w:lineRule="auto"/>
        <w:ind w:left="575"/>
        <w:rPr>
          <w:rFonts w:ascii="宋体" w:hAnsi="宋体" w:eastAsia="宋体" w:cs="宋体"/>
          <w:sz w:val="24"/>
          <w:szCs w:val="24"/>
          <w:highlight w:val="none"/>
        </w:rPr>
      </w:pPr>
      <w:r>
        <w:rPr>
          <w:rFonts w:ascii="宋体" w:hAnsi="宋体" w:eastAsia="宋体" w:cs="宋体"/>
          <w:spacing w:val="-1"/>
          <w:sz w:val="24"/>
          <w:szCs w:val="24"/>
          <w:highlight w:val="none"/>
        </w:rPr>
        <w:t>在合同订立及履行过程中形成的与合同有关的文件均构成</w:t>
      </w:r>
      <w:r>
        <w:rPr>
          <w:rFonts w:ascii="宋体" w:hAnsi="宋体" w:eastAsia="宋体" w:cs="宋体"/>
          <w:spacing w:val="-2"/>
          <w:sz w:val="24"/>
          <w:szCs w:val="24"/>
          <w:highlight w:val="none"/>
        </w:rPr>
        <w:t>合同文件组成部分。</w:t>
      </w:r>
    </w:p>
    <w:p w14:paraId="627AC2A0">
      <w:pPr>
        <w:spacing w:before="182" w:line="359" w:lineRule="auto"/>
        <w:ind w:left="99" w:firstLine="478"/>
        <w:rPr>
          <w:rFonts w:ascii="宋体" w:hAnsi="宋体" w:eastAsia="宋体" w:cs="宋体"/>
          <w:sz w:val="24"/>
          <w:szCs w:val="24"/>
          <w:highlight w:val="none"/>
        </w:rPr>
      </w:pPr>
      <w:r>
        <w:rPr>
          <w:rFonts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w:t>
      </w:r>
      <w:r>
        <w:rPr>
          <w:rFonts w:ascii="宋体" w:hAnsi="宋体" w:eastAsia="宋体" w:cs="宋体"/>
          <w:spacing w:val="-9"/>
          <w:sz w:val="24"/>
          <w:szCs w:val="24"/>
          <w:highlight w:val="none"/>
        </w:rPr>
        <w:t>或盖章。</w:t>
      </w:r>
    </w:p>
    <w:p w14:paraId="197CC987">
      <w:pPr>
        <w:spacing w:before="1" w:line="219" w:lineRule="auto"/>
        <w:rPr>
          <w:rFonts w:ascii="宋体" w:hAnsi="宋体" w:eastAsia="宋体" w:cs="宋体"/>
          <w:sz w:val="24"/>
          <w:szCs w:val="24"/>
          <w:highlight w:val="none"/>
        </w:rPr>
      </w:pPr>
      <w:r>
        <w:rPr>
          <w:rFonts w:ascii="宋体" w:hAnsi="宋体" w:eastAsia="宋体" w:cs="宋体"/>
          <w:b/>
          <w:bCs/>
          <w:spacing w:val="-4"/>
          <w:sz w:val="24"/>
          <w:szCs w:val="24"/>
          <w:highlight w:val="none"/>
        </w:rPr>
        <w:t>七、承诺</w:t>
      </w:r>
    </w:p>
    <w:p w14:paraId="214503EB">
      <w:pPr>
        <w:spacing w:before="183" w:line="288" w:lineRule="auto"/>
        <w:ind w:left="102" w:firstLine="491"/>
        <w:rPr>
          <w:rFonts w:ascii="宋体" w:hAnsi="宋体" w:eastAsia="宋体" w:cs="宋体"/>
          <w:sz w:val="24"/>
          <w:szCs w:val="24"/>
          <w:highlight w:val="none"/>
        </w:rPr>
      </w:pPr>
      <w:r>
        <w:rPr>
          <w:rFonts w:ascii="宋体" w:hAnsi="宋体" w:eastAsia="宋体" w:cs="宋体"/>
          <w:sz w:val="24"/>
          <w:szCs w:val="24"/>
          <w:highlight w:val="none"/>
        </w:rPr>
        <w:t>1.发包人承诺按照法律规定履行项目审批手续、筹集工程建设资金并按照合同约</w:t>
      </w:r>
      <w:r>
        <w:rPr>
          <w:rFonts w:ascii="宋体" w:hAnsi="宋体" w:eastAsia="宋体" w:cs="宋体"/>
          <w:spacing w:val="-4"/>
          <w:sz w:val="24"/>
          <w:szCs w:val="24"/>
          <w:highlight w:val="none"/>
        </w:rPr>
        <w:t>定的期限和方式支付合同价款。</w:t>
      </w:r>
    </w:p>
    <w:p w14:paraId="4B11C15C">
      <w:pPr>
        <w:spacing w:before="182" w:line="313" w:lineRule="auto"/>
        <w:ind w:left="96" w:firstLine="483"/>
        <w:rPr>
          <w:rFonts w:ascii="宋体" w:hAnsi="宋体" w:eastAsia="宋体" w:cs="宋体"/>
          <w:sz w:val="24"/>
          <w:szCs w:val="24"/>
          <w:highlight w:val="none"/>
        </w:rPr>
      </w:pPr>
      <w:r>
        <w:rPr>
          <w:rFonts w:ascii="宋体" w:hAnsi="宋体" w:eastAsia="宋体" w:cs="宋体"/>
          <w:sz w:val="24"/>
          <w:szCs w:val="24"/>
          <w:highlight w:val="none"/>
        </w:rPr>
        <w:t>2.承包人承诺按照法律规定及合同约定组织完成工程设计、施工，确保工程质量和安全，不进行转包及违法分包，并在缺陷责任期及保修期内承担相应的工程维修责</w:t>
      </w:r>
      <w:r>
        <w:rPr>
          <w:rFonts w:ascii="宋体" w:hAnsi="宋体" w:eastAsia="宋体" w:cs="宋体"/>
          <w:spacing w:val="-11"/>
          <w:sz w:val="24"/>
          <w:szCs w:val="24"/>
          <w:highlight w:val="none"/>
        </w:rPr>
        <w:t>任。</w:t>
      </w:r>
    </w:p>
    <w:p w14:paraId="24ABC353">
      <w:pPr>
        <w:spacing w:before="183" w:line="289" w:lineRule="auto"/>
        <w:ind w:left="102" w:firstLine="478"/>
        <w:rPr>
          <w:rFonts w:ascii="宋体" w:hAnsi="宋体" w:eastAsia="宋体" w:cs="宋体"/>
          <w:sz w:val="24"/>
          <w:szCs w:val="24"/>
          <w:highlight w:val="none"/>
        </w:rPr>
      </w:pPr>
      <w:r>
        <w:rPr>
          <w:rFonts w:ascii="宋体" w:hAnsi="宋体" w:eastAsia="宋体" w:cs="宋体"/>
          <w:sz w:val="24"/>
          <w:szCs w:val="24"/>
          <w:highlight w:val="none"/>
        </w:rPr>
        <w:t>3.发包人和承包人通过招投标形式签订合同的，双方理解并承诺不再就同一工程</w:t>
      </w:r>
      <w:r>
        <w:rPr>
          <w:rFonts w:ascii="宋体" w:hAnsi="宋体" w:eastAsia="宋体" w:cs="宋体"/>
          <w:spacing w:val="-3"/>
          <w:sz w:val="24"/>
          <w:szCs w:val="24"/>
          <w:highlight w:val="none"/>
        </w:rPr>
        <w:t>另行签订与合同实质性内容相背离的协议。</w:t>
      </w:r>
    </w:p>
    <w:p w14:paraId="799E3010">
      <w:pPr>
        <w:spacing w:before="182" w:line="220" w:lineRule="auto"/>
        <w:ind w:left="4"/>
        <w:rPr>
          <w:rFonts w:ascii="宋体" w:hAnsi="宋体" w:eastAsia="宋体" w:cs="宋体"/>
          <w:sz w:val="24"/>
          <w:szCs w:val="24"/>
          <w:highlight w:val="none"/>
        </w:rPr>
      </w:pPr>
      <w:r>
        <w:rPr>
          <w:rFonts w:ascii="宋体" w:hAnsi="宋体" w:eastAsia="宋体" w:cs="宋体"/>
          <w:b/>
          <w:bCs/>
          <w:spacing w:val="-4"/>
          <w:sz w:val="24"/>
          <w:szCs w:val="24"/>
          <w:highlight w:val="none"/>
        </w:rPr>
        <w:t>八、词语含义</w:t>
      </w:r>
    </w:p>
    <w:p w14:paraId="045A1836">
      <w:pPr>
        <w:spacing w:before="180" w:line="219" w:lineRule="auto"/>
        <w:ind w:left="577"/>
        <w:rPr>
          <w:rFonts w:ascii="宋体" w:hAnsi="宋体" w:eastAsia="宋体" w:cs="宋体"/>
          <w:sz w:val="24"/>
          <w:szCs w:val="24"/>
          <w:highlight w:val="none"/>
        </w:rPr>
      </w:pPr>
      <w:r>
        <w:rPr>
          <w:rFonts w:ascii="宋体" w:hAnsi="宋体" w:eastAsia="宋体" w:cs="宋体"/>
          <w:spacing w:val="-1"/>
          <w:sz w:val="24"/>
          <w:szCs w:val="24"/>
          <w:highlight w:val="none"/>
        </w:rPr>
        <w:t>本协议书中词语含义与第二部分、第三部分通用合同</w:t>
      </w:r>
      <w:r>
        <w:rPr>
          <w:rFonts w:ascii="宋体" w:hAnsi="宋体" w:eastAsia="宋体" w:cs="宋体"/>
          <w:spacing w:val="-2"/>
          <w:sz w:val="24"/>
          <w:szCs w:val="24"/>
          <w:highlight w:val="none"/>
        </w:rPr>
        <w:t>条款中赋予的含义相同。</w:t>
      </w:r>
    </w:p>
    <w:p w14:paraId="1FA485B0">
      <w:pPr>
        <w:spacing w:before="183" w:line="222" w:lineRule="auto"/>
        <w:ind w:left="6"/>
        <w:rPr>
          <w:rFonts w:ascii="宋体" w:hAnsi="宋体" w:eastAsia="宋体" w:cs="宋体"/>
          <w:sz w:val="24"/>
          <w:szCs w:val="24"/>
          <w:highlight w:val="none"/>
        </w:rPr>
      </w:pPr>
      <w:r>
        <w:rPr>
          <w:rFonts w:ascii="宋体" w:hAnsi="宋体" w:eastAsia="宋体" w:cs="宋体"/>
          <w:b/>
          <w:bCs/>
          <w:spacing w:val="-5"/>
          <w:sz w:val="24"/>
          <w:szCs w:val="24"/>
          <w:highlight w:val="none"/>
        </w:rPr>
        <w:t>九、签订时间</w:t>
      </w:r>
    </w:p>
    <w:p w14:paraId="32941F59">
      <w:pPr>
        <w:spacing w:before="177" w:line="219" w:lineRule="auto"/>
        <w:ind w:left="577"/>
        <w:rPr>
          <w:rFonts w:ascii="宋体" w:hAnsi="宋体" w:eastAsia="宋体" w:cs="宋体"/>
          <w:sz w:val="24"/>
          <w:szCs w:val="24"/>
          <w:highlight w:val="none"/>
        </w:rPr>
      </w:pPr>
      <w:r>
        <w:rPr>
          <w:rFonts w:ascii="宋体" w:hAnsi="宋体" w:eastAsia="宋体" w:cs="宋体"/>
          <w:spacing w:val="-11"/>
          <w:sz w:val="24"/>
          <w:szCs w:val="24"/>
          <w:highlight w:val="none"/>
        </w:rPr>
        <w:t>本合同于</w:t>
      </w:r>
      <w:r>
        <w:rPr>
          <w:rFonts w:ascii="宋体" w:hAnsi="宋体" w:eastAsia="宋体" w:cs="宋体"/>
          <w:spacing w:val="3"/>
          <w:sz w:val="24"/>
          <w:szCs w:val="24"/>
          <w:highlight w:val="none"/>
          <w:u w:val="single" w:color="auto"/>
        </w:rPr>
        <w:t xml:space="preserve">   </w:t>
      </w:r>
      <w:r>
        <w:rPr>
          <w:rFonts w:ascii="宋体" w:hAnsi="宋体" w:eastAsia="宋体" w:cs="宋体"/>
          <w:spacing w:val="-11"/>
          <w:sz w:val="24"/>
          <w:szCs w:val="24"/>
          <w:highlight w:val="none"/>
          <w:u w:val="single" w:color="auto"/>
        </w:rPr>
        <w:t>年</w:t>
      </w:r>
      <w:r>
        <w:rPr>
          <w:rFonts w:ascii="宋体" w:hAnsi="宋体" w:eastAsia="宋体" w:cs="宋体"/>
          <w:spacing w:val="8"/>
          <w:sz w:val="24"/>
          <w:szCs w:val="24"/>
          <w:highlight w:val="none"/>
          <w:u w:val="single" w:color="auto"/>
        </w:rPr>
        <w:t xml:space="preserve">  </w:t>
      </w:r>
      <w:r>
        <w:rPr>
          <w:rFonts w:ascii="宋体" w:hAnsi="宋体" w:eastAsia="宋体" w:cs="宋体"/>
          <w:spacing w:val="-11"/>
          <w:sz w:val="24"/>
          <w:szCs w:val="24"/>
          <w:highlight w:val="none"/>
          <w:u w:val="single" w:color="auto"/>
        </w:rPr>
        <w:t>月</w:t>
      </w:r>
      <w:r>
        <w:rPr>
          <w:rFonts w:ascii="宋体" w:hAnsi="宋体" w:eastAsia="宋体" w:cs="宋体"/>
          <w:spacing w:val="25"/>
          <w:sz w:val="24"/>
          <w:szCs w:val="24"/>
          <w:highlight w:val="none"/>
          <w:u w:val="single" w:color="auto"/>
        </w:rPr>
        <w:t xml:space="preserve">  </w:t>
      </w:r>
      <w:r>
        <w:rPr>
          <w:rFonts w:ascii="宋体" w:hAnsi="宋体" w:eastAsia="宋体" w:cs="宋体"/>
          <w:spacing w:val="-11"/>
          <w:sz w:val="24"/>
          <w:szCs w:val="24"/>
          <w:highlight w:val="none"/>
          <w:u w:val="single" w:color="auto"/>
        </w:rPr>
        <w:t>日</w:t>
      </w:r>
      <w:r>
        <w:rPr>
          <w:rFonts w:ascii="宋体" w:hAnsi="宋体" w:eastAsia="宋体" w:cs="宋体"/>
          <w:spacing w:val="-11"/>
          <w:sz w:val="24"/>
          <w:szCs w:val="24"/>
          <w:highlight w:val="none"/>
        </w:rPr>
        <w:t>签订。</w:t>
      </w:r>
    </w:p>
    <w:p w14:paraId="29298287">
      <w:pPr>
        <w:spacing w:before="184" w:line="221" w:lineRule="auto"/>
        <w:ind w:left="1"/>
        <w:rPr>
          <w:rFonts w:ascii="宋体" w:hAnsi="宋体" w:eastAsia="宋体" w:cs="宋体"/>
          <w:sz w:val="24"/>
          <w:szCs w:val="24"/>
          <w:highlight w:val="none"/>
        </w:rPr>
      </w:pPr>
      <w:r>
        <w:rPr>
          <w:rFonts w:ascii="宋体" w:hAnsi="宋体" w:eastAsia="宋体" w:cs="宋体"/>
          <w:b/>
          <w:bCs/>
          <w:spacing w:val="-4"/>
          <w:sz w:val="24"/>
          <w:szCs w:val="24"/>
          <w:highlight w:val="none"/>
        </w:rPr>
        <w:t>十、签订地点</w:t>
      </w:r>
    </w:p>
    <w:p w14:paraId="0C62C29D">
      <w:pPr>
        <w:spacing w:before="178" w:line="219" w:lineRule="auto"/>
        <w:ind w:left="577"/>
        <w:rPr>
          <w:rFonts w:ascii="宋体" w:hAnsi="宋体" w:eastAsia="宋体" w:cs="宋体"/>
          <w:sz w:val="24"/>
          <w:szCs w:val="24"/>
          <w:highlight w:val="none"/>
        </w:rPr>
      </w:pPr>
      <w:r>
        <w:rPr>
          <w:rFonts w:ascii="宋体" w:hAnsi="宋体" w:eastAsia="宋体" w:cs="宋体"/>
          <w:spacing w:val="-6"/>
          <w:sz w:val="24"/>
          <w:szCs w:val="24"/>
          <w:highlight w:val="none"/>
        </w:rPr>
        <w:t>本合同在</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6"/>
          <w:sz w:val="24"/>
          <w:szCs w:val="24"/>
          <w:highlight w:val="none"/>
        </w:rPr>
        <w:t>签订。</w:t>
      </w:r>
    </w:p>
    <w:p w14:paraId="26FCA34F">
      <w:pPr>
        <w:spacing w:before="184" w:line="220" w:lineRule="auto"/>
        <w:ind w:left="1"/>
        <w:rPr>
          <w:rFonts w:ascii="宋体" w:hAnsi="宋体" w:eastAsia="宋体" w:cs="宋体"/>
          <w:sz w:val="24"/>
          <w:szCs w:val="24"/>
          <w:highlight w:val="none"/>
        </w:rPr>
      </w:pPr>
      <w:r>
        <w:rPr>
          <w:rFonts w:ascii="宋体" w:hAnsi="宋体" w:eastAsia="宋体" w:cs="宋体"/>
          <w:b/>
          <w:bCs/>
          <w:spacing w:val="-4"/>
          <w:sz w:val="24"/>
          <w:szCs w:val="24"/>
          <w:highlight w:val="none"/>
        </w:rPr>
        <w:t>十一、补充协议</w:t>
      </w:r>
    </w:p>
    <w:p w14:paraId="6272161D">
      <w:pPr>
        <w:spacing w:before="179" w:line="220" w:lineRule="auto"/>
        <w:ind w:left="577"/>
        <w:rPr>
          <w:rFonts w:ascii="宋体" w:hAnsi="宋体" w:eastAsia="宋体" w:cs="宋体"/>
          <w:sz w:val="24"/>
          <w:szCs w:val="24"/>
          <w:highlight w:val="none"/>
        </w:rPr>
      </w:pPr>
      <w:r>
        <w:rPr>
          <w:rFonts w:ascii="宋体" w:hAnsi="宋体" w:eastAsia="宋体" w:cs="宋体"/>
          <w:spacing w:val="-1"/>
          <w:sz w:val="24"/>
          <w:szCs w:val="24"/>
          <w:highlight w:val="none"/>
        </w:rPr>
        <w:t>合同未尽事宜，合同当事人另行签订补充协议，补充</w:t>
      </w:r>
      <w:r>
        <w:rPr>
          <w:rFonts w:ascii="宋体" w:hAnsi="宋体" w:eastAsia="宋体" w:cs="宋体"/>
          <w:spacing w:val="-2"/>
          <w:sz w:val="24"/>
          <w:szCs w:val="24"/>
          <w:highlight w:val="none"/>
        </w:rPr>
        <w:t>协议是合同的组成部分。</w:t>
      </w:r>
    </w:p>
    <w:p w14:paraId="2D7E70CB">
      <w:pPr>
        <w:spacing w:before="183" w:line="220" w:lineRule="auto"/>
        <w:ind w:left="1"/>
        <w:rPr>
          <w:rFonts w:ascii="宋体" w:hAnsi="宋体" w:eastAsia="宋体" w:cs="宋体"/>
          <w:sz w:val="24"/>
          <w:szCs w:val="24"/>
          <w:highlight w:val="none"/>
        </w:rPr>
      </w:pPr>
      <w:r>
        <w:rPr>
          <w:rFonts w:ascii="宋体" w:hAnsi="宋体" w:eastAsia="宋体" w:cs="宋体"/>
          <w:b/>
          <w:bCs/>
          <w:spacing w:val="-4"/>
          <w:sz w:val="24"/>
          <w:szCs w:val="24"/>
          <w:highlight w:val="none"/>
        </w:rPr>
        <w:t>十二、合同生效</w:t>
      </w:r>
    </w:p>
    <w:p w14:paraId="0EF7F7C7">
      <w:pPr>
        <w:spacing w:before="179" w:line="219" w:lineRule="auto"/>
        <w:ind w:left="577"/>
        <w:rPr>
          <w:rFonts w:ascii="宋体" w:hAnsi="宋体" w:eastAsia="宋体" w:cs="宋体"/>
          <w:sz w:val="24"/>
          <w:szCs w:val="24"/>
          <w:highlight w:val="none"/>
        </w:rPr>
      </w:pPr>
      <w:r>
        <w:rPr>
          <w:rFonts w:ascii="宋体" w:hAnsi="宋体" w:eastAsia="宋体" w:cs="宋体"/>
          <w:spacing w:val="-3"/>
          <w:sz w:val="24"/>
          <w:szCs w:val="24"/>
          <w:highlight w:val="none"/>
        </w:rPr>
        <w:t>本合同自发包人与承包人签字并盖章后生效。</w:t>
      </w:r>
    </w:p>
    <w:p w14:paraId="3CFF04E1">
      <w:pPr>
        <w:spacing w:before="183" w:line="220" w:lineRule="auto"/>
        <w:ind w:left="1"/>
        <w:rPr>
          <w:rFonts w:ascii="宋体" w:hAnsi="宋体" w:eastAsia="宋体" w:cs="宋体"/>
          <w:sz w:val="24"/>
          <w:szCs w:val="24"/>
          <w:highlight w:val="none"/>
        </w:rPr>
      </w:pPr>
      <w:r>
        <w:rPr>
          <w:rFonts w:ascii="宋体" w:hAnsi="宋体" w:eastAsia="宋体" w:cs="宋体"/>
          <w:b/>
          <w:bCs/>
          <w:spacing w:val="-4"/>
          <w:sz w:val="24"/>
          <w:szCs w:val="24"/>
          <w:highlight w:val="none"/>
        </w:rPr>
        <w:t>十三、合同份数</w:t>
      </w:r>
    </w:p>
    <w:p w14:paraId="0A64A659">
      <w:pPr>
        <w:spacing w:before="180" w:line="219" w:lineRule="auto"/>
        <w:ind w:left="577"/>
        <w:rPr>
          <w:rFonts w:ascii="宋体" w:hAnsi="宋体" w:eastAsia="宋体" w:cs="宋体"/>
          <w:sz w:val="24"/>
          <w:szCs w:val="24"/>
          <w:highlight w:val="none"/>
        </w:rPr>
      </w:pPr>
      <w:r>
        <w:rPr>
          <w:rFonts w:ascii="宋体" w:hAnsi="宋体" w:eastAsia="宋体" w:cs="宋体"/>
          <w:spacing w:val="-2"/>
          <w:sz w:val="24"/>
          <w:szCs w:val="24"/>
          <w:highlight w:val="none"/>
        </w:rPr>
        <w:t>本合同一式份，均具有同等法律效力，发包人执份，承包人执份。</w:t>
      </w:r>
    </w:p>
    <w:p w14:paraId="3335D297">
      <w:pPr>
        <w:spacing w:line="219" w:lineRule="auto"/>
        <w:rPr>
          <w:rFonts w:ascii="宋体" w:hAnsi="宋体" w:eastAsia="宋体" w:cs="宋体"/>
          <w:sz w:val="24"/>
          <w:szCs w:val="24"/>
          <w:highlight w:val="none"/>
        </w:rPr>
        <w:sectPr>
          <w:footerReference r:id="rId24" w:type="default"/>
          <w:pgSz w:w="11907" w:h="16839"/>
          <w:pgMar w:top="1425" w:right="1180" w:bottom="1199" w:left="1729" w:header="0" w:footer="968" w:gutter="0"/>
          <w:cols w:space="720" w:num="1"/>
        </w:sectPr>
      </w:pPr>
    </w:p>
    <w:p w14:paraId="533968FB">
      <w:pPr>
        <w:spacing w:before="47" w:line="219" w:lineRule="auto"/>
        <w:rPr>
          <w:rFonts w:ascii="宋体" w:hAnsi="宋体" w:eastAsia="宋体" w:cs="宋体"/>
          <w:spacing w:val="-9"/>
          <w:sz w:val="24"/>
          <w:szCs w:val="24"/>
          <w:highlight w:val="none"/>
        </w:rPr>
      </w:pPr>
    </w:p>
    <w:p w14:paraId="306CFC38">
      <w:pPr>
        <w:spacing w:before="47" w:line="219" w:lineRule="auto"/>
        <w:rPr>
          <w:rFonts w:ascii="宋体" w:hAnsi="宋体" w:eastAsia="宋体" w:cs="宋体"/>
          <w:spacing w:val="-9"/>
          <w:sz w:val="24"/>
          <w:szCs w:val="24"/>
          <w:highlight w:val="none"/>
        </w:rPr>
      </w:pPr>
    </w:p>
    <w:p w14:paraId="11A35828">
      <w:pPr>
        <w:spacing w:before="47" w:line="219" w:lineRule="auto"/>
        <w:rPr>
          <w:rFonts w:ascii="宋体" w:hAnsi="宋体" w:eastAsia="宋体" w:cs="宋体"/>
          <w:spacing w:val="-9"/>
          <w:sz w:val="24"/>
          <w:szCs w:val="24"/>
          <w:highlight w:val="none"/>
        </w:rPr>
      </w:pPr>
    </w:p>
    <w:p w14:paraId="48613FB7">
      <w:pPr>
        <w:spacing w:before="47" w:line="219" w:lineRule="auto"/>
        <w:rPr>
          <w:rFonts w:ascii="宋体" w:hAnsi="宋体" w:eastAsia="宋体" w:cs="宋体"/>
          <w:spacing w:val="-9"/>
          <w:sz w:val="24"/>
          <w:szCs w:val="24"/>
          <w:highlight w:val="none"/>
        </w:rPr>
      </w:pPr>
    </w:p>
    <w:p w14:paraId="7FE7E557">
      <w:pPr>
        <w:spacing w:before="47" w:line="219" w:lineRule="auto"/>
        <w:rPr>
          <w:rFonts w:ascii="宋体" w:hAnsi="宋体" w:eastAsia="宋体" w:cs="宋体"/>
          <w:spacing w:val="-9"/>
          <w:sz w:val="24"/>
          <w:szCs w:val="24"/>
          <w:highlight w:val="none"/>
        </w:rPr>
      </w:pPr>
    </w:p>
    <w:p w14:paraId="5A3B4FAF">
      <w:pPr>
        <w:spacing w:before="47" w:line="219" w:lineRule="auto"/>
        <w:rPr>
          <w:rFonts w:ascii="宋体" w:hAnsi="宋体" w:eastAsia="宋体" w:cs="宋体"/>
          <w:spacing w:val="-9"/>
          <w:sz w:val="24"/>
          <w:szCs w:val="24"/>
          <w:highlight w:val="none"/>
        </w:rPr>
      </w:pPr>
    </w:p>
    <w:p w14:paraId="310B27C4">
      <w:pPr>
        <w:spacing w:before="47" w:line="219" w:lineRule="auto"/>
        <w:rPr>
          <w:rFonts w:ascii="宋体" w:hAnsi="宋体" w:eastAsia="宋体" w:cs="宋体"/>
          <w:spacing w:val="-9"/>
          <w:sz w:val="24"/>
          <w:szCs w:val="24"/>
          <w:highlight w:val="none"/>
        </w:rPr>
      </w:pPr>
    </w:p>
    <w:p w14:paraId="53EADCAD">
      <w:pPr>
        <w:spacing w:before="47" w:line="219" w:lineRule="auto"/>
        <w:rPr>
          <w:rFonts w:ascii="宋体" w:hAnsi="宋体" w:eastAsia="宋体" w:cs="宋体"/>
          <w:spacing w:val="-9"/>
          <w:sz w:val="24"/>
          <w:szCs w:val="24"/>
          <w:highlight w:val="none"/>
        </w:rPr>
      </w:pPr>
    </w:p>
    <w:p w14:paraId="0129D673">
      <w:pPr>
        <w:spacing w:before="47" w:line="219" w:lineRule="auto"/>
        <w:rPr>
          <w:rFonts w:ascii="宋体" w:hAnsi="宋体" w:eastAsia="宋体" w:cs="宋体"/>
          <w:spacing w:val="-9"/>
          <w:sz w:val="24"/>
          <w:szCs w:val="24"/>
          <w:highlight w:val="none"/>
        </w:rPr>
      </w:pPr>
    </w:p>
    <w:p w14:paraId="565E82D2">
      <w:pPr>
        <w:spacing w:before="47" w:line="219" w:lineRule="auto"/>
        <w:rPr>
          <w:rFonts w:ascii="宋体" w:hAnsi="宋体" w:eastAsia="宋体" w:cs="宋体"/>
          <w:spacing w:val="-9"/>
          <w:sz w:val="24"/>
          <w:szCs w:val="24"/>
          <w:highlight w:val="none"/>
        </w:rPr>
      </w:pPr>
    </w:p>
    <w:p w14:paraId="3364DA6B">
      <w:pPr>
        <w:spacing w:before="47" w:line="219" w:lineRule="auto"/>
        <w:rPr>
          <w:rFonts w:ascii="宋体" w:hAnsi="宋体" w:eastAsia="宋体" w:cs="宋体"/>
          <w:spacing w:val="-9"/>
          <w:sz w:val="24"/>
          <w:szCs w:val="24"/>
          <w:highlight w:val="none"/>
        </w:rPr>
      </w:pPr>
    </w:p>
    <w:p w14:paraId="7CA0B40B">
      <w:pPr>
        <w:spacing w:before="47" w:line="219" w:lineRule="auto"/>
        <w:rPr>
          <w:rFonts w:ascii="宋体" w:hAnsi="宋体" w:eastAsia="宋体" w:cs="宋体"/>
          <w:sz w:val="24"/>
          <w:szCs w:val="24"/>
          <w:highlight w:val="none"/>
        </w:rPr>
      </w:pPr>
      <w:r>
        <w:rPr>
          <w:rFonts w:ascii="宋体" w:hAnsi="宋体" w:eastAsia="宋体" w:cs="宋体"/>
          <w:spacing w:val="-9"/>
          <w:sz w:val="24"/>
          <w:szCs w:val="24"/>
          <w:highlight w:val="none"/>
        </w:rPr>
        <w:t>发包人：</w:t>
      </w:r>
      <w:r>
        <w:rPr>
          <w:rFonts w:ascii="宋体" w:hAnsi="宋体" w:eastAsia="宋体" w:cs="宋体"/>
          <w:spacing w:val="-63"/>
          <w:sz w:val="24"/>
          <w:szCs w:val="24"/>
          <w:highlight w:val="none"/>
        </w:rPr>
        <w:t xml:space="preserve"> </w:t>
      </w:r>
      <w:r>
        <w:rPr>
          <w:rFonts w:ascii="宋体" w:hAnsi="宋体" w:eastAsia="宋体" w:cs="宋体"/>
          <w:spacing w:val="-9"/>
          <w:sz w:val="24"/>
          <w:szCs w:val="24"/>
          <w:highlight w:val="none"/>
        </w:rPr>
        <w:t>(公章)</w:t>
      </w:r>
    </w:p>
    <w:p w14:paraId="10297787">
      <w:pPr>
        <w:spacing w:before="183" w:line="359" w:lineRule="auto"/>
        <w:ind w:left="7" w:right="1806" w:hanging="5"/>
        <w:rPr>
          <w:rFonts w:ascii="宋体" w:hAnsi="宋体" w:eastAsia="宋体" w:cs="宋体"/>
          <w:sz w:val="24"/>
          <w:szCs w:val="24"/>
          <w:highlight w:val="none"/>
        </w:rPr>
      </w:pPr>
      <w:r>
        <w:rPr>
          <w:rFonts w:ascii="宋体" w:hAnsi="宋体" w:eastAsia="宋体" w:cs="宋体"/>
          <w:spacing w:val="-6"/>
          <w:sz w:val="24"/>
          <w:szCs w:val="24"/>
          <w:highlight w:val="none"/>
        </w:rPr>
        <w:t>法定代表人或其委托代理人：</w:t>
      </w:r>
      <w:r>
        <w:rPr>
          <w:rFonts w:ascii="宋体" w:hAnsi="宋体" w:eastAsia="宋体" w:cs="宋体"/>
          <w:spacing w:val="11"/>
          <w:sz w:val="24"/>
          <w:szCs w:val="24"/>
          <w:highlight w:val="none"/>
        </w:rPr>
        <w:t xml:space="preserve"> </w:t>
      </w:r>
      <w:r>
        <w:rPr>
          <w:rFonts w:ascii="宋体" w:hAnsi="宋体" w:eastAsia="宋体" w:cs="宋体"/>
          <w:spacing w:val="-6"/>
          <w:sz w:val="24"/>
          <w:szCs w:val="24"/>
          <w:highlight w:val="none"/>
        </w:rPr>
        <w:t>（签字）</w:t>
      </w:r>
    </w:p>
    <w:p w14:paraId="3F56379F">
      <w:pPr>
        <w:spacing w:before="1" w:line="218" w:lineRule="auto"/>
        <w:ind w:left="4"/>
        <w:rPr>
          <w:rFonts w:ascii="宋体" w:hAnsi="宋体" w:eastAsia="宋体" w:cs="宋体"/>
          <w:sz w:val="24"/>
          <w:szCs w:val="24"/>
          <w:highlight w:val="none"/>
        </w:rPr>
      </w:pPr>
      <w:r>
        <w:rPr>
          <w:rFonts w:ascii="宋体" w:hAnsi="宋体" w:eastAsia="宋体" w:cs="宋体"/>
          <w:spacing w:val="-9"/>
          <w:sz w:val="24"/>
          <w:szCs w:val="24"/>
          <w:highlight w:val="none"/>
        </w:rPr>
        <w:t>组织机构代码：</w:t>
      </w:r>
    </w:p>
    <w:p w14:paraId="6F0B3F0D">
      <w:pPr>
        <w:spacing w:before="181" w:line="229" w:lineRule="auto"/>
        <w:ind w:left="1"/>
        <w:rPr>
          <w:rFonts w:ascii="宋体" w:hAnsi="宋体" w:eastAsia="宋体" w:cs="宋体"/>
          <w:sz w:val="24"/>
          <w:szCs w:val="24"/>
          <w:highlight w:val="none"/>
        </w:rPr>
      </w:pPr>
      <w:r>
        <w:rPr>
          <w:rFonts w:ascii="宋体" w:hAnsi="宋体" w:eastAsia="宋体" w:cs="宋体"/>
          <w:spacing w:val="-15"/>
          <w:sz w:val="24"/>
          <w:szCs w:val="24"/>
          <w:highlight w:val="none"/>
        </w:rPr>
        <w:t>地址：</w:t>
      </w:r>
    </w:p>
    <w:p w14:paraId="01D54771">
      <w:pPr>
        <w:spacing w:before="169" w:line="220" w:lineRule="auto"/>
        <w:ind w:left="19"/>
        <w:rPr>
          <w:rFonts w:ascii="宋体" w:hAnsi="宋体" w:eastAsia="宋体" w:cs="宋体"/>
          <w:sz w:val="24"/>
          <w:szCs w:val="24"/>
          <w:highlight w:val="none"/>
        </w:rPr>
      </w:pPr>
      <w:r>
        <w:rPr>
          <w:rFonts w:ascii="宋体" w:hAnsi="宋体" w:eastAsia="宋体" w:cs="宋体"/>
          <w:spacing w:val="-14"/>
          <w:sz w:val="24"/>
          <w:szCs w:val="24"/>
          <w:highlight w:val="none"/>
        </w:rPr>
        <w:t>邮政编码：</w:t>
      </w:r>
    </w:p>
    <w:p w14:paraId="4BD8F72A">
      <w:pPr>
        <w:spacing w:before="180" w:line="220" w:lineRule="auto"/>
        <w:ind w:left="2"/>
        <w:rPr>
          <w:rFonts w:ascii="宋体" w:hAnsi="宋体" w:eastAsia="宋体" w:cs="宋体"/>
          <w:sz w:val="24"/>
          <w:szCs w:val="24"/>
          <w:highlight w:val="none"/>
        </w:rPr>
      </w:pPr>
      <w:r>
        <w:rPr>
          <w:rFonts w:ascii="宋体" w:hAnsi="宋体" w:eastAsia="宋体" w:cs="宋体"/>
          <w:spacing w:val="-10"/>
          <w:sz w:val="24"/>
          <w:szCs w:val="24"/>
          <w:highlight w:val="none"/>
        </w:rPr>
        <w:t>法定代表人：</w:t>
      </w:r>
    </w:p>
    <w:p w14:paraId="2FE5C74F">
      <w:pPr>
        <w:spacing w:before="182" w:line="220" w:lineRule="auto"/>
        <w:rPr>
          <w:rFonts w:ascii="宋体" w:hAnsi="宋体" w:eastAsia="宋体" w:cs="宋体"/>
          <w:sz w:val="24"/>
          <w:szCs w:val="24"/>
          <w:highlight w:val="none"/>
        </w:rPr>
      </w:pPr>
      <w:r>
        <w:rPr>
          <w:rFonts w:ascii="宋体" w:hAnsi="宋体" w:eastAsia="宋体" w:cs="宋体"/>
          <w:spacing w:val="-9"/>
          <w:sz w:val="24"/>
          <w:szCs w:val="24"/>
          <w:highlight w:val="none"/>
        </w:rPr>
        <w:t>委托代理人：</w:t>
      </w:r>
    </w:p>
    <w:p w14:paraId="295F60D2">
      <w:pPr>
        <w:spacing w:before="180" w:line="222" w:lineRule="auto"/>
        <w:ind w:left="30"/>
        <w:rPr>
          <w:rFonts w:ascii="宋体" w:hAnsi="宋体" w:eastAsia="宋体" w:cs="宋体"/>
          <w:sz w:val="24"/>
          <w:szCs w:val="24"/>
          <w:highlight w:val="none"/>
        </w:rPr>
      </w:pPr>
      <w:r>
        <w:rPr>
          <w:rFonts w:ascii="宋体" w:hAnsi="宋体" w:eastAsia="宋体" w:cs="宋体"/>
          <w:spacing w:val="-21"/>
          <w:sz w:val="24"/>
          <w:szCs w:val="24"/>
          <w:highlight w:val="none"/>
        </w:rPr>
        <w:t>电话：</w:t>
      </w:r>
    </w:p>
    <w:p w14:paraId="7237CB77">
      <w:pPr>
        <w:spacing w:before="180" w:line="219" w:lineRule="auto"/>
        <w:rPr>
          <w:rFonts w:ascii="宋体" w:hAnsi="宋体" w:eastAsia="宋体" w:cs="宋体"/>
          <w:sz w:val="24"/>
          <w:szCs w:val="24"/>
          <w:highlight w:val="none"/>
        </w:rPr>
      </w:pPr>
      <w:r>
        <w:rPr>
          <w:rFonts w:ascii="宋体" w:hAnsi="宋体" w:eastAsia="宋体" w:cs="宋体"/>
          <w:spacing w:val="-14"/>
          <w:sz w:val="24"/>
          <w:szCs w:val="24"/>
          <w:highlight w:val="none"/>
        </w:rPr>
        <w:t>传真：</w:t>
      </w:r>
    </w:p>
    <w:p w14:paraId="36CAB116">
      <w:pPr>
        <w:spacing w:before="180" w:line="220" w:lineRule="auto"/>
        <w:ind w:left="30"/>
        <w:rPr>
          <w:rFonts w:ascii="宋体" w:hAnsi="宋体" w:eastAsia="宋体" w:cs="宋体"/>
          <w:sz w:val="24"/>
          <w:szCs w:val="24"/>
          <w:highlight w:val="none"/>
        </w:rPr>
      </w:pPr>
      <w:r>
        <w:rPr>
          <w:rFonts w:ascii="宋体" w:hAnsi="宋体" w:eastAsia="宋体" w:cs="宋体"/>
          <w:spacing w:val="-15"/>
          <w:sz w:val="24"/>
          <w:szCs w:val="24"/>
          <w:highlight w:val="none"/>
        </w:rPr>
        <w:t>电子信箱：</w:t>
      </w:r>
    </w:p>
    <w:p w14:paraId="2B1F6C30">
      <w:pPr>
        <w:spacing w:before="183" w:line="220" w:lineRule="auto"/>
        <w:ind w:left="2"/>
        <w:rPr>
          <w:rFonts w:ascii="宋体" w:hAnsi="宋体" w:eastAsia="宋体" w:cs="宋体"/>
          <w:sz w:val="24"/>
          <w:szCs w:val="24"/>
          <w:highlight w:val="none"/>
        </w:rPr>
      </w:pPr>
      <w:r>
        <w:rPr>
          <w:rFonts w:ascii="宋体" w:hAnsi="宋体" w:eastAsia="宋体" w:cs="宋体"/>
          <w:spacing w:val="-11"/>
          <w:sz w:val="24"/>
          <w:szCs w:val="24"/>
          <w:highlight w:val="none"/>
        </w:rPr>
        <w:t>开户银行：</w:t>
      </w:r>
    </w:p>
    <w:p w14:paraId="4C05E31A">
      <w:pPr>
        <w:spacing w:before="179" w:line="185" w:lineRule="auto"/>
        <w:ind w:left="5"/>
        <w:rPr>
          <w:rFonts w:ascii="宋体" w:hAnsi="宋体" w:eastAsia="宋体" w:cs="宋体"/>
          <w:sz w:val="24"/>
          <w:szCs w:val="24"/>
          <w:highlight w:val="none"/>
        </w:rPr>
      </w:pPr>
      <w:r>
        <w:rPr>
          <w:rFonts w:ascii="宋体" w:hAnsi="宋体" w:eastAsia="宋体" w:cs="宋体"/>
          <w:spacing w:val="-16"/>
          <w:sz w:val="24"/>
          <w:szCs w:val="24"/>
          <w:highlight w:val="none"/>
        </w:rPr>
        <w:t>账号：</w:t>
      </w:r>
    </w:p>
    <w:p w14:paraId="3DB36516">
      <w:pPr>
        <w:pStyle w:val="3"/>
        <w:spacing w:line="14" w:lineRule="auto"/>
        <w:rPr>
          <w:sz w:val="2"/>
          <w:highlight w:val="none"/>
        </w:rPr>
      </w:pPr>
      <w:r>
        <w:rPr>
          <w:sz w:val="2"/>
          <w:szCs w:val="2"/>
          <w:highlight w:val="none"/>
        </w:rPr>
        <w:br w:type="column"/>
      </w:r>
    </w:p>
    <w:p w14:paraId="5BF1E935">
      <w:pPr>
        <w:spacing w:before="46" w:line="219" w:lineRule="auto"/>
        <w:rPr>
          <w:rFonts w:ascii="宋体" w:hAnsi="宋体" w:eastAsia="宋体" w:cs="宋体"/>
          <w:spacing w:val="-8"/>
          <w:sz w:val="24"/>
          <w:szCs w:val="24"/>
          <w:highlight w:val="none"/>
        </w:rPr>
      </w:pPr>
    </w:p>
    <w:p w14:paraId="097325D9">
      <w:pPr>
        <w:spacing w:before="46" w:line="219" w:lineRule="auto"/>
        <w:rPr>
          <w:rFonts w:ascii="宋体" w:hAnsi="宋体" w:eastAsia="宋体" w:cs="宋体"/>
          <w:spacing w:val="-8"/>
          <w:sz w:val="24"/>
          <w:szCs w:val="24"/>
          <w:highlight w:val="none"/>
        </w:rPr>
      </w:pPr>
    </w:p>
    <w:p w14:paraId="53347E91">
      <w:pPr>
        <w:spacing w:before="46" w:line="219" w:lineRule="auto"/>
        <w:rPr>
          <w:rFonts w:ascii="宋体" w:hAnsi="宋体" w:eastAsia="宋体" w:cs="宋体"/>
          <w:spacing w:val="-8"/>
          <w:sz w:val="24"/>
          <w:szCs w:val="24"/>
          <w:highlight w:val="none"/>
        </w:rPr>
      </w:pPr>
    </w:p>
    <w:p w14:paraId="720C9611">
      <w:pPr>
        <w:spacing w:before="46" w:line="219" w:lineRule="auto"/>
        <w:rPr>
          <w:rFonts w:ascii="宋体" w:hAnsi="宋体" w:eastAsia="宋体" w:cs="宋体"/>
          <w:spacing w:val="-8"/>
          <w:sz w:val="24"/>
          <w:szCs w:val="24"/>
          <w:highlight w:val="none"/>
        </w:rPr>
      </w:pPr>
    </w:p>
    <w:p w14:paraId="5CF6AB72">
      <w:pPr>
        <w:spacing w:before="46" w:line="219" w:lineRule="auto"/>
        <w:rPr>
          <w:rFonts w:ascii="宋体" w:hAnsi="宋体" w:eastAsia="宋体" w:cs="宋体"/>
          <w:spacing w:val="-8"/>
          <w:sz w:val="24"/>
          <w:szCs w:val="24"/>
          <w:highlight w:val="none"/>
        </w:rPr>
      </w:pPr>
    </w:p>
    <w:p w14:paraId="6F16DF42">
      <w:pPr>
        <w:spacing w:before="46" w:line="219" w:lineRule="auto"/>
        <w:rPr>
          <w:rFonts w:ascii="宋体" w:hAnsi="宋体" w:eastAsia="宋体" w:cs="宋体"/>
          <w:spacing w:val="-8"/>
          <w:sz w:val="24"/>
          <w:szCs w:val="24"/>
          <w:highlight w:val="none"/>
        </w:rPr>
      </w:pPr>
    </w:p>
    <w:p w14:paraId="223761CE">
      <w:pPr>
        <w:spacing w:before="46" w:line="219" w:lineRule="auto"/>
        <w:rPr>
          <w:rFonts w:ascii="宋体" w:hAnsi="宋体" w:eastAsia="宋体" w:cs="宋体"/>
          <w:spacing w:val="-8"/>
          <w:sz w:val="24"/>
          <w:szCs w:val="24"/>
          <w:highlight w:val="none"/>
        </w:rPr>
      </w:pPr>
    </w:p>
    <w:p w14:paraId="5495C295">
      <w:pPr>
        <w:spacing w:before="46" w:line="219" w:lineRule="auto"/>
        <w:rPr>
          <w:rFonts w:ascii="宋体" w:hAnsi="宋体" w:eastAsia="宋体" w:cs="宋体"/>
          <w:spacing w:val="-8"/>
          <w:sz w:val="24"/>
          <w:szCs w:val="24"/>
          <w:highlight w:val="none"/>
        </w:rPr>
      </w:pPr>
    </w:p>
    <w:p w14:paraId="4855946D">
      <w:pPr>
        <w:spacing w:before="46" w:line="219" w:lineRule="auto"/>
        <w:rPr>
          <w:rFonts w:ascii="宋体" w:hAnsi="宋体" w:eastAsia="宋体" w:cs="宋体"/>
          <w:spacing w:val="-8"/>
          <w:sz w:val="24"/>
          <w:szCs w:val="24"/>
          <w:highlight w:val="none"/>
        </w:rPr>
      </w:pPr>
    </w:p>
    <w:p w14:paraId="547D666F">
      <w:pPr>
        <w:spacing w:before="46" w:line="219" w:lineRule="auto"/>
        <w:rPr>
          <w:rFonts w:ascii="宋体" w:hAnsi="宋体" w:eastAsia="宋体" w:cs="宋体"/>
          <w:spacing w:val="-8"/>
          <w:sz w:val="24"/>
          <w:szCs w:val="24"/>
          <w:highlight w:val="none"/>
        </w:rPr>
      </w:pPr>
    </w:p>
    <w:p w14:paraId="6C0AAFDC">
      <w:pPr>
        <w:spacing w:before="46" w:line="219" w:lineRule="auto"/>
        <w:rPr>
          <w:rFonts w:ascii="宋体" w:hAnsi="宋体" w:eastAsia="宋体" w:cs="宋体"/>
          <w:spacing w:val="-8"/>
          <w:sz w:val="24"/>
          <w:szCs w:val="24"/>
          <w:highlight w:val="none"/>
        </w:rPr>
      </w:pPr>
    </w:p>
    <w:p w14:paraId="1E50BEDA">
      <w:pPr>
        <w:spacing w:before="46" w:line="219" w:lineRule="auto"/>
        <w:rPr>
          <w:rFonts w:ascii="宋体" w:hAnsi="宋体" w:eastAsia="宋体" w:cs="宋体"/>
          <w:sz w:val="24"/>
          <w:szCs w:val="24"/>
          <w:highlight w:val="none"/>
        </w:rPr>
      </w:pPr>
      <w:r>
        <w:rPr>
          <w:rFonts w:ascii="宋体" w:hAnsi="宋体" w:eastAsia="宋体" w:cs="宋体"/>
          <w:spacing w:val="-8"/>
          <w:sz w:val="24"/>
          <w:szCs w:val="24"/>
          <w:highlight w:val="none"/>
        </w:rPr>
        <w:t>承包人：</w:t>
      </w:r>
      <w:r>
        <w:rPr>
          <w:rFonts w:ascii="宋体" w:hAnsi="宋体" w:eastAsia="宋体" w:cs="宋体"/>
          <w:spacing w:val="-67"/>
          <w:sz w:val="24"/>
          <w:szCs w:val="24"/>
          <w:highlight w:val="none"/>
        </w:rPr>
        <w:t xml:space="preserve"> </w:t>
      </w:r>
      <w:r>
        <w:rPr>
          <w:rFonts w:ascii="宋体" w:hAnsi="宋体" w:eastAsia="宋体" w:cs="宋体"/>
          <w:spacing w:val="-8"/>
          <w:sz w:val="24"/>
          <w:szCs w:val="24"/>
          <w:highlight w:val="none"/>
        </w:rPr>
        <w:t>(公章)</w:t>
      </w:r>
    </w:p>
    <w:p w14:paraId="4849914B">
      <w:pPr>
        <w:spacing w:before="183" w:line="359" w:lineRule="auto"/>
        <w:ind w:left="68" w:right="471" w:hanging="5"/>
        <w:rPr>
          <w:rFonts w:ascii="宋体" w:hAnsi="宋体" w:eastAsia="宋体" w:cs="宋体"/>
          <w:sz w:val="24"/>
          <w:szCs w:val="24"/>
          <w:highlight w:val="none"/>
        </w:rPr>
      </w:pPr>
      <w:r>
        <w:rPr>
          <w:rFonts w:ascii="宋体" w:hAnsi="宋体" w:eastAsia="宋体" w:cs="宋体"/>
          <w:spacing w:val="-6"/>
          <w:sz w:val="24"/>
          <w:szCs w:val="24"/>
          <w:highlight w:val="none"/>
        </w:rPr>
        <w:t>法定代表人或其委托代理人：</w:t>
      </w:r>
      <w:r>
        <w:rPr>
          <w:rFonts w:ascii="宋体" w:hAnsi="宋体" w:eastAsia="宋体" w:cs="宋体"/>
          <w:spacing w:val="11"/>
          <w:sz w:val="24"/>
          <w:szCs w:val="24"/>
          <w:highlight w:val="none"/>
        </w:rPr>
        <w:t xml:space="preserve"> </w:t>
      </w:r>
      <w:r>
        <w:rPr>
          <w:rFonts w:ascii="宋体" w:hAnsi="宋体" w:eastAsia="宋体" w:cs="宋体"/>
          <w:spacing w:val="-6"/>
          <w:sz w:val="24"/>
          <w:szCs w:val="24"/>
          <w:highlight w:val="none"/>
        </w:rPr>
        <w:t>（签字）</w:t>
      </w:r>
    </w:p>
    <w:p w14:paraId="11DECA71">
      <w:pPr>
        <w:spacing w:before="1" w:line="218" w:lineRule="auto"/>
        <w:ind w:left="65"/>
        <w:rPr>
          <w:rFonts w:ascii="宋体" w:hAnsi="宋体" w:eastAsia="宋体" w:cs="宋体"/>
          <w:sz w:val="24"/>
          <w:szCs w:val="24"/>
          <w:highlight w:val="none"/>
        </w:rPr>
      </w:pPr>
      <w:r>
        <w:rPr>
          <w:rFonts w:ascii="宋体" w:hAnsi="宋体" w:eastAsia="宋体" w:cs="宋体"/>
          <w:spacing w:val="-9"/>
          <w:sz w:val="24"/>
          <w:szCs w:val="24"/>
          <w:highlight w:val="none"/>
        </w:rPr>
        <w:t>组织机构代码：</w:t>
      </w:r>
    </w:p>
    <w:p w14:paraId="28CFA8F3">
      <w:pPr>
        <w:spacing w:before="181" w:line="229" w:lineRule="auto"/>
        <w:ind w:left="62"/>
        <w:rPr>
          <w:rFonts w:ascii="宋体" w:hAnsi="宋体" w:eastAsia="宋体" w:cs="宋体"/>
          <w:sz w:val="24"/>
          <w:szCs w:val="24"/>
          <w:highlight w:val="none"/>
        </w:rPr>
      </w:pPr>
      <w:r>
        <w:rPr>
          <w:rFonts w:ascii="宋体" w:hAnsi="宋体" w:eastAsia="宋体" w:cs="宋体"/>
          <w:spacing w:val="-15"/>
          <w:sz w:val="24"/>
          <w:szCs w:val="24"/>
          <w:highlight w:val="none"/>
        </w:rPr>
        <w:t>地址：</w:t>
      </w:r>
    </w:p>
    <w:p w14:paraId="3296AA2E">
      <w:pPr>
        <w:spacing w:before="169" w:line="220" w:lineRule="auto"/>
        <w:ind w:left="80"/>
        <w:rPr>
          <w:rFonts w:ascii="宋体" w:hAnsi="宋体" w:eastAsia="宋体" w:cs="宋体"/>
          <w:sz w:val="24"/>
          <w:szCs w:val="24"/>
          <w:highlight w:val="none"/>
        </w:rPr>
      </w:pPr>
      <w:r>
        <w:rPr>
          <w:rFonts w:ascii="宋体" w:hAnsi="宋体" w:eastAsia="宋体" w:cs="宋体"/>
          <w:spacing w:val="-14"/>
          <w:sz w:val="24"/>
          <w:szCs w:val="24"/>
          <w:highlight w:val="none"/>
        </w:rPr>
        <w:t>邮政编码：</w:t>
      </w:r>
    </w:p>
    <w:p w14:paraId="600E8128">
      <w:pPr>
        <w:spacing w:before="180" w:line="220" w:lineRule="auto"/>
        <w:ind w:left="63"/>
        <w:rPr>
          <w:rFonts w:ascii="宋体" w:hAnsi="宋体" w:eastAsia="宋体" w:cs="宋体"/>
          <w:sz w:val="24"/>
          <w:szCs w:val="24"/>
          <w:highlight w:val="none"/>
        </w:rPr>
      </w:pPr>
      <w:r>
        <w:rPr>
          <w:rFonts w:ascii="宋体" w:hAnsi="宋体" w:eastAsia="宋体" w:cs="宋体"/>
          <w:spacing w:val="-10"/>
          <w:sz w:val="24"/>
          <w:szCs w:val="24"/>
          <w:highlight w:val="none"/>
        </w:rPr>
        <w:t>法定代表人：</w:t>
      </w:r>
    </w:p>
    <w:p w14:paraId="718AA8DD">
      <w:pPr>
        <w:spacing w:before="182" w:line="220" w:lineRule="auto"/>
        <w:ind w:left="61"/>
        <w:rPr>
          <w:rFonts w:ascii="宋体" w:hAnsi="宋体" w:eastAsia="宋体" w:cs="宋体"/>
          <w:sz w:val="24"/>
          <w:szCs w:val="24"/>
          <w:highlight w:val="none"/>
        </w:rPr>
      </w:pPr>
      <w:r>
        <w:rPr>
          <w:rFonts w:ascii="宋体" w:hAnsi="宋体" w:eastAsia="宋体" w:cs="宋体"/>
          <w:spacing w:val="-9"/>
          <w:sz w:val="24"/>
          <w:szCs w:val="24"/>
          <w:highlight w:val="none"/>
        </w:rPr>
        <w:t>委托代理人：</w:t>
      </w:r>
    </w:p>
    <w:p w14:paraId="7A2A88F5">
      <w:pPr>
        <w:spacing w:before="180" w:line="222" w:lineRule="auto"/>
        <w:ind w:left="90"/>
        <w:rPr>
          <w:rFonts w:ascii="宋体" w:hAnsi="宋体" w:eastAsia="宋体" w:cs="宋体"/>
          <w:sz w:val="24"/>
          <w:szCs w:val="24"/>
          <w:highlight w:val="none"/>
        </w:rPr>
      </w:pPr>
      <w:r>
        <w:rPr>
          <w:rFonts w:ascii="宋体" w:hAnsi="宋体" w:eastAsia="宋体" w:cs="宋体"/>
          <w:spacing w:val="-21"/>
          <w:sz w:val="24"/>
          <w:szCs w:val="24"/>
          <w:highlight w:val="none"/>
        </w:rPr>
        <w:t>电话：</w:t>
      </w:r>
    </w:p>
    <w:p w14:paraId="0F35AFE0">
      <w:pPr>
        <w:spacing w:before="179" w:line="219" w:lineRule="auto"/>
        <w:ind w:left="60"/>
        <w:rPr>
          <w:rFonts w:ascii="宋体" w:hAnsi="宋体" w:eastAsia="宋体" w:cs="宋体"/>
          <w:sz w:val="24"/>
          <w:szCs w:val="24"/>
          <w:highlight w:val="none"/>
        </w:rPr>
      </w:pPr>
      <w:r>
        <w:rPr>
          <w:rFonts w:ascii="宋体" w:hAnsi="宋体" w:eastAsia="宋体" w:cs="宋体"/>
          <w:spacing w:val="-14"/>
          <w:sz w:val="24"/>
          <w:szCs w:val="24"/>
          <w:highlight w:val="none"/>
        </w:rPr>
        <w:t>传真：</w:t>
      </w:r>
    </w:p>
    <w:p w14:paraId="6B29F95D">
      <w:pPr>
        <w:spacing w:before="181" w:line="220" w:lineRule="auto"/>
        <w:ind w:left="90"/>
        <w:rPr>
          <w:rFonts w:ascii="宋体" w:hAnsi="宋体" w:eastAsia="宋体" w:cs="宋体"/>
          <w:sz w:val="24"/>
          <w:szCs w:val="24"/>
          <w:highlight w:val="none"/>
        </w:rPr>
      </w:pPr>
      <w:r>
        <w:rPr>
          <w:rFonts w:ascii="宋体" w:hAnsi="宋体" w:eastAsia="宋体" w:cs="宋体"/>
          <w:spacing w:val="-15"/>
          <w:sz w:val="24"/>
          <w:szCs w:val="24"/>
          <w:highlight w:val="none"/>
        </w:rPr>
        <w:t>电子信箱：</w:t>
      </w:r>
    </w:p>
    <w:p w14:paraId="07C7364D">
      <w:pPr>
        <w:spacing w:before="183" w:line="220" w:lineRule="auto"/>
        <w:ind w:left="63"/>
        <w:rPr>
          <w:rFonts w:ascii="宋体" w:hAnsi="宋体" w:eastAsia="宋体" w:cs="宋体"/>
          <w:sz w:val="24"/>
          <w:szCs w:val="24"/>
          <w:highlight w:val="none"/>
        </w:rPr>
      </w:pPr>
      <w:r>
        <w:rPr>
          <w:rFonts w:ascii="宋体" w:hAnsi="宋体" w:eastAsia="宋体" w:cs="宋体"/>
          <w:spacing w:val="-11"/>
          <w:sz w:val="24"/>
          <w:szCs w:val="24"/>
          <w:highlight w:val="none"/>
        </w:rPr>
        <w:t>开户银行：</w:t>
      </w:r>
    </w:p>
    <w:p w14:paraId="62BF95AA">
      <w:pPr>
        <w:spacing w:before="178" w:line="185" w:lineRule="auto"/>
        <w:ind w:left="66"/>
        <w:rPr>
          <w:rFonts w:ascii="宋体" w:hAnsi="宋体" w:eastAsia="宋体" w:cs="宋体"/>
          <w:sz w:val="24"/>
          <w:szCs w:val="24"/>
          <w:highlight w:val="none"/>
        </w:rPr>
      </w:pPr>
      <w:r>
        <w:rPr>
          <w:rFonts w:ascii="宋体" w:hAnsi="宋体" w:eastAsia="宋体" w:cs="宋体"/>
          <w:spacing w:val="-16"/>
          <w:sz w:val="24"/>
          <w:szCs w:val="24"/>
          <w:highlight w:val="none"/>
        </w:rPr>
        <w:t>账号：</w:t>
      </w:r>
    </w:p>
    <w:p w14:paraId="400D1D32">
      <w:pPr>
        <w:spacing w:line="185" w:lineRule="auto"/>
        <w:rPr>
          <w:rFonts w:ascii="宋体" w:hAnsi="宋体" w:eastAsia="宋体" w:cs="宋体"/>
          <w:sz w:val="24"/>
          <w:szCs w:val="24"/>
          <w:highlight w:val="none"/>
        </w:rPr>
        <w:sectPr>
          <w:footerReference r:id="rId25" w:type="default"/>
          <w:type w:val="continuous"/>
          <w:pgSz w:w="11907" w:h="16839"/>
          <w:pgMar w:top="1431" w:right="1785" w:bottom="1199" w:left="1567" w:header="0" w:footer="968" w:gutter="0"/>
          <w:cols w:equalWidth="0" w:num="2">
            <w:col w:w="4864" w:space="100"/>
            <w:col w:w="3589"/>
          </w:cols>
        </w:sectPr>
      </w:pPr>
    </w:p>
    <w:p w14:paraId="6DAE2CA9">
      <w:pPr>
        <w:spacing w:before="255" w:line="220" w:lineRule="auto"/>
        <w:ind w:left="3345"/>
        <w:rPr>
          <w:rFonts w:ascii="宋体" w:hAnsi="宋体" w:eastAsia="宋体" w:cs="宋体"/>
          <w:sz w:val="36"/>
          <w:szCs w:val="36"/>
          <w:highlight w:val="none"/>
        </w:rPr>
      </w:pPr>
      <w:r>
        <w:rPr>
          <w:rFonts w:ascii="宋体" w:hAnsi="宋体" w:eastAsia="宋体" w:cs="宋体"/>
          <w:b/>
          <w:bCs/>
          <w:spacing w:val="-6"/>
          <w:sz w:val="36"/>
          <w:szCs w:val="36"/>
          <w:highlight w:val="none"/>
        </w:rPr>
        <w:t>第二部分设计合同</w:t>
      </w:r>
    </w:p>
    <w:p w14:paraId="3A1D3C75">
      <w:pPr>
        <w:pStyle w:val="3"/>
        <w:spacing w:line="291" w:lineRule="auto"/>
        <w:rPr>
          <w:highlight w:val="none"/>
        </w:rPr>
      </w:pPr>
    </w:p>
    <w:p w14:paraId="770C8DC2">
      <w:pPr>
        <w:spacing w:before="91" w:line="220" w:lineRule="auto"/>
        <w:ind w:left="3668"/>
        <w:rPr>
          <w:rFonts w:ascii="宋体" w:hAnsi="宋体" w:eastAsia="宋体" w:cs="宋体"/>
          <w:sz w:val="28"/>
          <w:szCs w:val="28"/>
          <w:highlight w:val="none"/>
        </w:rPr>
      </w:pPr>
      <w:r>
        <w:rPr>
          <w:rFonts w:ascii="宋体" w:hAnsi="宋体" w:eastAsia="宋体" w:cs="宋体"/>
          <w:b/>
          <w:bCs/>
          <w:spacing w:val="-6"/>
          <w:sz w:val="28"/>
          <w:szCs w:val="28"/>
          <w:highlight w:val="none"/>
        </w:rPr>
        <w:t>设计合同通用条件</w:t>
      </w:r>
    </w:p>
    <w:p w14:paraId="75F85B60">
      <w:pPr>
        <w:spacing w:before="17" w:line="220" w:lineRule="auto"/>
        <w:ind w:left="485"/>
        <w:rPr>
          <w:rFonts w:ascii="宋体" w:hAnsi="宋体" w:eastAsia="宋体" w:cs="宋体"/>
          <w:sz w:val="24"/>
          <w:szCs w:val="24"/>
          <w:highlight w:val="none"/>
        </w:rPr>
      </w:pPr>
      <w:r>
        <w:rPr>
          <w:rFonts w:ascii="宋体" w:hAnsi="宋体" w:eastAsia="宋体" w:cs="宋体"/>
          <w:b/>
          <w:bCs/>
          <w:spacing w:val="-3"/>
          <w:sz w:val="24"/>
          <w:szCs w:val="24"/>
          <w:highlight w:val="none"/>
        </w:rPr>
        <w:t>词语定义、适用语言和法律、法规</w:t>
      </w:r>
    </w:p>
    <w:p w14:paraId="10541EE9">
      <w:pPr>
        <w:spacing w:before="179" w:line="220"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第一条下列名词和用语，除上下文另有规定外具有如下含义：</w:t>
      </w:r>
    </w:p>
    <w:p w14:paraId="3E966F50">
      <w:pPr>
        <w:spacing w:before="182" w:line="289" w:lineRule="auto"/>
        <w:ind w:left="1" w:right="80" w:firstLine="497"/>
        <w:rPr>
          <w:rFonts w:ascii="宋体" w:hAnsi="宋体" w:eastAsia="宋体" w:cs="宋体"/>
          <w:sz w:val="24"/>
          <w:szCs w:val="24"/>
          <w:highlight w:val="none"/>
        </w:rPr>
      </w:pPr>
      <w:r>
        <w:rPr>
          <w:rFonts w:ascii="宋体" w:hAnsi="宋体" w:eastAsia="宋体" w:cs="宋体"/>
          <w:spacing w:val="1"/>
          <w:sz w:val="24"/>
          <w:szCs w:val="24"/>
          <w:highlight w:val="none"/>
        </w:rPr>
        <w:t>1、“委托人”是指委托建设工程设计咨询业务和聘用工程设计单位的一方，以及其合</w:t>
      </w:r>
      <w:r>
        <w:rPr>
          <w:rFonts w:ascii="宋体" w:hAnsi="宋体" w:eastAsia="宋体" w:cs="宋体"/>
          <w:spacing w:val="-8"/>
          <w:sz w:val="24"/>
          <w:szCs w:val="24"/>
          <w:highlight w:val="none"/>
        </w:rPr>
        <w:t>法继承人。</w:t>
      </w:r>
    </w:p>
    <w:p w14:paraId="4E751732">
      <w:pPr>
        <w:spacing w:before="183" w:line="289" w:lineRule="auto"/>
        <w:ind w:left="5" w:right="79" w:firstLine="478"/>
        <w:rPr>
          <w:rFonts w:ascii="宋体" w:hAnsi="宋体" w:eastAsia="宋体" w:cs="宋体"/>
          <w:sz w:val="24"/>
          <w:szCs w:val="24"/>
          <w:highlight w:val="none"/>
        </w:rPr>
      </w:pPr>
      <w:r>
        <w:rPr>
          <w:rFonts w:ascii="宋体" w:hAnsi="宋体" w:eastAsia="宋体" w:cs="宋体"/>
          <w:spacing w:val="2"/>
          <w:sz w:val="24"/>
          <w:szCs w:val="24"/>
          <w:highlight w:val="none"/>
        </w:rPr>
        <w:t>2、“设计人”是指承担建设工程设计、咨询业务和工程设计责</w:t>
      </w:r>
      <w:r>
        <w:rPr>
          <w:rFonts w:ascii="宋体" w:hAnsi="宋体" w:eastAsia="宋体" w:cs="宋体"/>
          <w:spacing w:val="1"/>
          <w:sz w:val="24"/>
          <w:szCs w:val="24"/>
          <w:highlight w:val="none"/>
        </w:rPr>
        <w:t>任的一方，以及其合法</w:t>
      </w:r>
      <w:r>
        <w:rPr>
          <w:rFonts w:ascii="宋体" w:hAnsi="宋体" w:eastAsia="宋体" w:cs="宋体"/>
          <w:spacing w:val="-10"/>
          <w:sz w:val="24"/>
          <w:szCs w:val="24"/>
          <w:highlight w:val="none"/>
        </w:rPr>
        <w:t>继承人。</w:t>
      </w:r>
    </w:p>
    <w:p w14:paraId="7912A13B">
      <w:pPr>
        <w:spacing w:before="182"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3、“第三人”是指除委托人、设计人以外与本设计业务有关的当事人。</w:t>
      </w:r>
    </w:p>
    <w:p w14:paraId="4B02419D">
      <w:pPr>
        <w:spacing w:before="183" w:line="220"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4、“日”是指任何一天零时至第二天零时的时间段。</w:t>
      </w:r>
    </w:p>
    <w:p w14:paraId="79A56FD3">
      <w:pPr>
        <w:spacing w:before="181" w:line="289" w:lineRule="auto"/>
        <w:ind w:left="3" w:firstLine="477"/>
        <w:rPr>
          <w:rFonts w:ascii="宋体" w:hAnsi="宋体" w:eastAsia="宋体" w:cs="宋体"/>
          <w:sz w:val="24"/>
          <w:szCs w:val="24"/>
          <w:highlight w:val="none"/>
        </w:rPr>
      </w:pPr>
      <w:r>
        <w:rPr>
          <w:rFonts w:ascii="宋体" w:hAnsi="宋体" w:eastAsia="宋体" w:cs="宋体"/>
          <w:spacing w:val="-5"/>
          <w:sz w:val="24"/>
          <w:szCs w:val="24"/>
          <w:highlight w:val="none"/>
        </w:rPr>
        <w:t>第二条建设工程设计合同适用的是中国的法律、法规</w:t>
      </w:r>
      <w:r>
        <w:rPr>
          <w:rFonts w:ascii="宋体" w:hAnsi="宋体" w:eastAsia="宋体" w:cs="宋体"/>
          <w:spacing w:val="-6"/>
          <w:sz w:val="24"/>
          <w:szCs w:val="24"/>
          <w:highlight w:val="none"/>
        </w:rPr>
        <w:t>，以及专用条件中议定的部门规章、</w:t>
      </w:r>
      <w:r>
        <w:rPr>
          <w:rFonts w:ascii="宋体" w:hAnsi="宋体" w:eastAsia="宋体" w:cs="宋体"/>
          <w:spacing w:val="-2"/>
          <w:sz w:val="24"/>
          <w:szCs w:val="24"/>
          <w:highlight w:val="none"/>
        </w:rPr>
        <w:t>工程设计有关规定或项目所在地的地方法规、地方规章等。</w:t>
      </w:r>
    </w:p>
    <w:p w14:paraId="699E392F">
      <w:pPr>
        <w:spacing w:before="181" w:line="220" w:lineRule="auto"/>
        <w:ind w:left="483"/>
        <w:rPr>
          <w:rFonts w:ascii="宋体" w:hAnsi="宋体" w:eastAsia="宋体" w:cs="宋体"/>
          <w:sz w:val="24"/>
          <w:szCs w:val="24"/>
          <w:highlight w:val="none"/>
        </w:rPr>
      </w:pPr>
      <w:r>
        <w:rPr>
          <w:rFonts w:ascii="宋体" w:hAnsi="宋体" w:eastAsia="宋体" w:cs="宋体"/>
          <w:b/>
          <w:bCs/>
          <w:spacing w:val="-3"/>
          <w:sz w:val="24"/>
          <w:szCs w:val="24"/>
          <w:highlight w:val="none"/>
        </w:rPr>
        <w:t>第三条合同文件的解释顺序</w:t>
      </w:r>
    </w:p>
    <w:p w14:paraId="52FE855E">
      <w:pPr>
        <w:spacing w:before="183" w:line="359" w:lineRule="auto"/>
        <w:ind w:right="82" w:firstLine="482"/>
        <w:rPr>
          <w:rFonts w:ascii="宋体" w:hAnsi="宋体" w:eastAsia="宋体" w:cs="宋体"/>
          <w:sz w:val="24"/>
          <w:szCs w:val="24"/>
          <w:highlight w:val="none"/>
        </w:rPr>
      </w:pPr>
      <w:r>
        <w:rPr>
          <w:rFonts w:ascii="宋体" w:hAnsi="宋体" w:eastAsia="宋体" w:cs="宋体"/>
          <w:spacing w:val="-6"/>
          <w:sz w:val="24"/>
          <w:szCs w:val="24"/>
          <w:highlight w:val="none"/>
        </w:rPr>
        <w:t>合同文件应能相互解释，互为说明。除专用条款另有约定外，组成本合同的文件及优先</w:t>
      </w:r>
      <w:r>
        <w:rPr>
          <w:rFonts w:ascii="宋体" w:hAnsi="宋体" w:eastAsia="宋体" w:cs="宋体"/>
          <w:spacing w:val="5"/>
          <w:sz w:val="24"/>
          <w:szCs w:val="24"/>
          <w:highlight w:val="none"/>
        </w:rPr>
        <w:t>解释顺序如下:</w:t>
      </w:r>
    </w:p>
    <w:p w14:paraId="73BCB790">
      <w:pPr>
        <w:spacing w:before="1" w:line="218" w:lineRule="auto"/>
        <w:ind w:left="499"/>
        <w:rPr>
          <w:rFonts w:ascii="宋体" w:hAnsi="宋体" w:eastAsia="宋体" w:cs="宋体"/>
          <w:sz w:val="24"/>
          <w:szCs w:val="24"/>
          <w:highlight w:val="none"/>
        </w:rPr>
      </w:pPr>
      <w:r>
        <w:rPr>
          <w:rFonts w:ascii="宋体" w:hAnsi="宋体" w:eastAsia="宋体" w:cs="宋体"/>
          <w:spacing w:val="-6"/>
          <w:sz w:val="24"/>
          <w:szCs w:val="24"/>
          <w:highlight w:val="none"/>
        </w:rPr>
        <w:t>1、本合同协议书</w:t>
      </w:r>
    </w:p>
    <w:p w14:paraId="6E6EAFC4">
      <w:pPr>
        <w:spacing w:before="181" w:line="219" w:lineRule="auto"/>
        <w:ind w:left="484"/>
        <w:rPr>
          <w:rFonts w:ascii="宋体" w:hAnsi="宋体" w:eastAsia="宋体" w:cs="宋体"/>
          <w:sz w:val="24"/>
          <w:szCs w:val="24"/>
          <w:highlight w:val="none"/>
        </w:rPr>
      </w:pPr>
      <w:r>
        <w:rPr>
          <w:rFonts w:ascii="宋体" w:hAnsi="宋体" w:eastAsia="宋体" w:cs="宋体"/>
          <w:spacing w:val="-4"/>
          <w:sz w:val="24"/>
          <w:szCs w:val="24"/>
          <w:highlight w:val="none"/>
        </w:rPr>
        <w:t>2、中标通知书</w:t>
      </w:r>
    </w:p>
    <w:p w14:paraId="21CB6036">
      <w:pPr>
        <w:spacing w:before="183" w:line="219"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3、本合同专用条款</w:t>
      </w:r>
    </w:p>
    <w:p w14:paraId="445ED9E7">
      <w:pPr>
        <w:spacing w:before="181"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4、本合同通用条款</w:t>
      </w:r>
    </w:p>
    <w:p w14:paraId="22BAF681">
      <w:pPr>
        <w:spacing w:before="183" w:line="220"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5、标准、规范及有关技术文件</w:t>
      </w:r>
    </w:p>
    <w:p w14:paraId="454F3EA7">
      <w:pPr>
        <w:spacing w:before="180" w:line="359" w:lineRule="auto"/>
        <w:ind w:left="1" w:right="82" w:firstLine="480"/>
        <w:rPr>
          <w:rFonts w:ascii="宋体" w:hAnsi="宋体" w:eastAsia="宋体" w:cs="宋体"/>
          <w:sz w:val="24"/>
          <w:szCs w:val="24"/>
          <w:highlight w:val="none"/>
        </w:rPr>
      </w:pPr>
      <w:r>
        <w:rPr>
          <w:rFonts w:ascii="宋体" w:hAnsi="宋体" w:eastAsia="宋体" w:cs="宋体"/>
          <w:spacing w:val="-1"/>
          <w:sz w:val="24"/>
          <w:szCs w:val="24"/>
          <w:highlight w:val="none"/>
        </w:rPr>
        <w:t>合同履行中，委托人、设计人有关工程的来往传</w:t>
      </w:r>
      <w:r>
        <w:rPr>
          <w:rFonts w:ascii="宋体" w:hAnsi="宋体" w:eastAsia="宋体" w:cs="宋体"/>
          <w:spacing w:val="-2"/>
          <w:sz w:val="24"/>
          <w:szCs w:val="24"/>
          <w:highlight w:val="none"/>
        </w:rPr>
        <w:t>真、洽商、电报、会议纪要、变更等书</w:t>
      </w:r>
      <w:r>
        <w:rPr>
          <w:rFonts w:ascii="宋体" w:hAnsi="宋体" w:eastAsia="宋体" w:cs="宋体"/>
          <w:spacing w:val="-3"/>
          <w:sz w:val="24"/>
          <w:szCs w:val="24"/>
          <w:highlight w:val="none"/>
        </w:rPr>
        <w:t>面协议或文件视为本合同的组成部分。</w:t>
      </w:r>
    </w:p>
    <w:p w14:paraId="01644D8C">
      <w:pPr>
        <w:spacing w:before="1" w:line="360" w:lineRule="auto"/>
        <w:ind w:left="2" w:right="82" w:firstLine="478"/>
        <w:rPr>
          <w:rFonts w:ascii="宋体" w:hAnsi="宋体" w:eastAsia="宋体" w:cs="宋体"/>
          <w:sz w:val="24"/>
          <w:szCs w:val="24"/>
          <w:highlight w:val="none"/>
        </w:rPr>
      </w:pPr>
      <w:r>
        <w:rPr>
          <w:rFonts w:ascii="宋体" w:hAnsi="宋体" w:eastAsia="宋体" w:cs="宋体"/>
          <w:spacing w:val="-7"/>
          <w:sz w:val="24"/>
          <w:szCs w:val="24"/>
          <w:highlight w:val="none"/>
        </w:rPr>
        <w:t>第四条建设工程设计合同的书写、解释和说明，</w:t>
      </w:r>
      <w:r>
        <w:rPr>
          <w:rFonts w:ascii="宋体" w:hAnsi="宋体" w:eastAsia="宋体" w:cs="宋体"/>
          <w:spacing w:val="92"/>
          <w:sz w:val="24"/>
          <w:szCs w:val="24"/>
          <w:highlight w:val="none"/>
        </w:rPr>
        <w:t xml:space="preserve"> </w:t>
      </w:r>
      <w:r>
        <w:rPr>
          <w:rFonts w:ascii="宋体" w:hAnsi="宋体" w:eastAsia="宋体" w:cs="宋体"/>
          <w:spacing w:val="-7"/>
          <w:sz w:val="24"/>
          <w:szCs w:val="24"/>
          <w:highlight w:val="none"/>
        </w:rPr>
        <w:t>以汉语为主导语言。当不同语言文本发</w:t>
      </w:r>
      <w:r>
        <w:rPr>
          <w:rFonts w:ascii="宋体" w:hAnsi="宋体" w:eastAsia="宋体" w:cs="宋体"/>
          <w:spacing w:val="-3"/>
          <w:sz w:val="24"/>
          <w:szCs w:val="24"/>
          <w:highlight w:val="none"/>
        </w:rPr>
        <w:t>生不同解释时，以汉语合同文本为准。</w:t>
      </w:r>
    </w:p>
    <w:p w14:paraId="7FC3BE12">
      <w:pPr>
        <w:spacing w:before="1" w:line="219" w:lineRule="auto"/>
        <w:ind w:left="487"/>
        <w:rPr>
          <w:rFonts w:ascii="宋体" w:hAnsi="宋体" w:eastAsia="宋体" w:cs="宋体"/>
          <w:sz w:val="24"/>
          <w:szCs w:val="24"/>
          <w:highlight w:val="none"/>
        </w:rPr>
      </w:pPr>
      <w:r>
        <w:rPr>
          <w:rFonts w:ascii="宋体" w:hAnsi="宋体" w:eastAsia="宋体" w:cs="宋体"/>
          <w:b/>
          <w:bCs/>
          <w:spacing w:val="-4"/>
          <w:sz w:val="24"/>
          <w:szCs w:val="24"/>
          <w:highlight w:val="none"/>
        </w:rPr>
        <w:t>设计人的义务</w:t>
      </w:r>
    </w:p>
    <w:p w14:paraId="24DD3FC1">
      <w:pPr>
        <w:spacing w:before="179" w:line="290" w:lineRule="auto"/>
        <w:ind w:left="30" w:right="85" w:firstLine="451"/>
        <w:rPr>
          <w:rFonts w:ascii="宋体" w:hAnsi="宋体" w:eastAsia="宋体" w:cs="宋体"/>
          <w:sz w:val="24"/>
          <w:szCs w:val="24"/>
          <w:highlight w:val="none"/>
        </w:rPr>
      </w:pPr>
      <w:r>
        <w:rPr>
          <w:rFonts w:ascii="宋体" w:hAnsi="宋体" w:eastAsia="宋体" w:cs="宋体"/>
          <w:spacing w:val="-1"/>
          <w:sz w:val="24"/>
          <w:szCs w:val="24"/>
          <w:highlight w:val="none"/>
        </w:rPr>
        <w:t>第五条在规定的时间内向委托人提供按国家规</w:t>
      </w:r>
      <w:r>
        <w:rPr>
          <w:rFonts w:ascii="宋体" w:hAnsi="宋体" w:eastAsia="宋体" w:cs="宋体"/>
          <w:spacing w:val="-2"/>
          <w:sz w:val="24"/>
          <w:szCs w:val="24"/>
          <w:highlight w:val="none"/>
        </w:rPr>
        <w:t>定和合同专用条件约定的工程规模、设计</w:t>
      </w:r>
      <w:r>
        <w:rPr>
          <w:rFonts w:ascii="宋体" w:hAnsi="宋体" w:eastAsia="宋体" w:cs="宋体"/>
          <w:spacing w:val="-3"/>
          <w:sz w:val="24"/>
          <w:szCs w:val="24"/>
          <w:highlight w:val="none"/>
        </w:rPr>
        <w:t>内容、技术规范、标准和设计阶段进行设计的设计成果。</w:t>
      </w:r>
    </w:p>
    <w:p w14:paraId="0C8D9D8E">
      <w:pPr>
        <w:spacing w:before="180" w:line="290" w:lineRule="auto"/>
        <w:ind w:right="82" w:firstLine="480"/>
        <w:rPr>
          <w:rFonts w:ascii="宋体" w:hAnsi="宋体" w:eastAsia="宋体" w:cs="宋体"/>
          <w:sz w:val="24"/>
          <w:szCs w:val="24"/>
          <w:highlight w:val="none"/>
        </w:rPr>
      </w:pPr>
      <w:r>
        <w:rPr>
          <w:rFonts w:ascii="宋体" w:hAnsi="宋体" w:eastAsia="宋体" w:cs="宋体"/>
          <w:spacing w:val="-1"/>
          <w:sz w:val="24"/>
          <w:szCs w:val="24"/>
          <w:highlight w:val="none"/>
        </w:rPr>
        <w:t>第六条设计人在履行本合同期间，向委托人提供的</w:t>
      </w:r>
      <w:r>
        <w:rPr>
          <w:rFonts w:ascii="宋体" w:hAnsi="宋体" w:eastAsia="宋体" w:cs="宋体"/>
          <w:spacing w:val="-2"/>
          <w:sz w:val="24"/>
          <w:szCs w:val="24"/>
          <w:highlight w:val="none"/>
        </w:rPr>
        <w:t>服务包括正常服务、附加服务和额外</w:t>
      </w:r>
      <w:r>
        <w:rPr>
          <w:rFonts w:ascii="宋体" w:hAnsi="宋体" w:eastAsia="宋体" w:cs="宋体"/>
          <w:spacing w:val="-10"/>
          <w:sz w:val="24"/>
          <w:szCs w:val="24"/>
          <w:highlight w:val="none"/>
        </w:rPr>
        <w:t>服务。</w:t>
      </w:r>
    </w:p>
    <w:p w14:paraId="24A41B1D">
      <w:pPr>
        <w:spacing w:line="290" w:lineRule="auto"/>
        <w:rPr>
          <w:rFonts w:ascii="宋体" w:hAnsi="宋体" w:eastAsia="宋体" w:cs="宋体"/>
          <w:sz w:val="24"/>
          <w:szCs w:val="24"/>
          <w:highlight w:val="none"/>
        </w:rPr>
        <w:sectPr>
          <w:footerReference r:id="rId26" w:type="default"/>
          <w:pgSz w:w="11907" w:h="16839"/>
          <w:pgMar w:top="1431" w:right="1090" w:bottom="1129" w:left="1184" w:header="0" w:footer="898" w:gutter="0"/>
          <w:cols w:space="720" w:num="1"/>
        </w:sectPr>
      </w:pPr>
    </w:p>
    <w:p w14:paraId="0CC0AF20">
      <w:pPr>
        <w:spacing w:before="47"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1、“正常服务”是指双方在专用条件中约定的工程设计、咨询工作；</w:t>
      </w:r>
    </w:p>
    <w:p w14:paraId="3F03EEEF">
      <w:pPr>
        <w:spacing w:before="182" w:line="219"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2、“附加服务”是指在“正常服务”以外，经双方书面协议确定的附加服务；</w:t>
      </w:r>
    </w:p>
    <w:p w14:paraId="41C1CDDF">
      <w:pPr>
        <w:spacing w:before="180" w:line="290" w:lineRule="auto"/>
        <w:ind w:right="96" w:firstLine="484"/>
        <w:rPr>
          <w:rFonts w:ascii="宋体" w:hAnsi="宋体" w:eastAsia="宋体" w:cs="宋体"/>
          <w:sz w:val="24"/>
          <w:szCs w:val="24"/>
          <w:highlight w:val="none"/>
        </w:rPr>
      </w:pPr>
      <w:r>
        <w:rPr>
          <w:rFonts w:ascii="宋体" w:hAnsi="宋体" w:eastAsia="宋体" w:cs="宋体"/>
          <w:spacing w:val="1"/>
          <w:sz w:val="24"/>
          <w:szCs w:val="24"/>
          <w:highlight w:val="none"/>
        </w:rPr>
        <w:t>3、“额外服务”是指不属于“正常服务”和“附加服务”，但根据合同标准条件第二</w:t>
      </w:r>
      <w:r>
        <w:rPr>
          <w:rFonts w:ascii="宋体" w:hAnsi="宋体" w:eastAsia="宋体" w:cs="宋体"/>
          <w:spacing w:val="-2"/>
          <w:sz w:val="24"/>
          <w:szCs w:val="24"/>
          <w:highlight w:val="none"/>
        </w:rPr>
        <w:t>十一条和二十三条的规定，设计人应增加的额外工作量。</w:t>
      </w:r>
    </w:p>
    <w:p w14:paraId="2B03A924">
      <w:pPr>
        <w:spacing w:before="180" w:line="359" w:lineRule="auto"/>
        <w:ind w:left="1" w:right="87" w:firstLine="478"/>
        <w:rPr>
          <w:rFonts w:ascii="宋体" w:hAnsi="宋体" w:eastAsia="宋体" w:cs="宋体"/>
          <w:sz w:val="24"/>
          <w:szCs w:val="24"/>
          <w:highlight w:val="none"/>
        </w:rPr>
      </w:pPr>
      <w:r>
        <w:rPr>
          <w:rFonts w:ascii="宋体" w:hAnsi="宋体" w:eastAsia="宋体" w:cs="宋体"/>
          <w:spacing w:val="-1"/>
          <w:sz w:val="24"/>
          <w:szCs w:val="24"/>
          <w:highlight w:val="none"/>
        </w:rPr>
        <w:t>第七条在履行合同期间或合同规定期限内，委</w:t>
      </w:r>
      <w:r>
        <w:rPr>
          <w:rFonts w:ascii="宋体" w:hAnsi="宋体" w:eastAsia="宋体" w:cs="宋体"/>
          <w:spacing w:val="-2"/>
          <w:sz w:val="24"/>
          <w:szCs w:val="24"/>
          <w:highlight w:val="none"/>
        </w:rPr>
        <w:t>托人和设计人均不得泄露与本合同规定业</w:t>
      </w:r>
      <w:r>
        <w:rPr>
          <w:rFonts w:ascii="宋体" w:hAnsi="宋体" w:eastAsia="宋体" w:cs="宋体"/>
          <w:spacing w:val="-4"/>
          <w:sz w:val="24"/>
          <w:szCs w:val="24"/>
          <w:highlight w:val="none"/>
        </w:rPr>
        <w:t>务活动有关的保密资料。</w:t>
      </w:r>
    </w:p>
    <w:p w14:paraId="76DA493F">
      <w:pPr>
        <w:spacing w:line="219" w:lineRule="auto"/>
        <w:ind w:left="481"/>
        <w:rPr>
          <w:rFonts w:ascii="宋体" w:hAnsi="宋体" w:eastAsia="宋体" w:cs="宋体"/>
          <w:sz w:val="24"/>
          <w:szCs w:val="24"/>
          <w:highlight w:val="none"/>
        </w:rPr>
      </w:pPr>
      <w:r>
        <w:rPr>
          <w:rFonts w:ascii="宋体" w:hAnsi="宋体" w:eastAsia="宋体" w:cs="宋体"/>
          <w:b/>
          <w:bCs/>
          <w:spacing w:val="-4"/>
          <w:sz w:val="24"/>
          <w:szCs w:val="24"/>
          <w:highlight w:val="none"/>
        </w:rPr>
        <w:t>委托人的义务</w:t>
      </w:r>
    </w:p>
    <w:p w14:paraId="031E6308">
      <w:pPr>
        <w:spacing w:before="183" w:line="289" w:lineRule="auto"/>
        <w:ind w:left="2" w:right="87" w:firstLine="477"/>
        <w:rPr>
          <w:rFonts w:ascii="宋体" w:hAnsi="宋体" w:eastAsia="宋体" w:cs="宋体"/>
          <w:sz w:val="24"/>
          <w:szCs w:val="24"/>
          <w:highlight w:val="none"/>
        </w:rPr>
      </w:pPr>
      <w:r>
        <w:rPr>
          <w:rFonts w:ascii="宋体" w:hAnsi="宋体" w:eastAsia="宋体" w:cs="宋体"/>
          <w:spacing w:val="-1"/>
          <w:sz w:val="24"/>
          <w:szCs w:val="24"/>
          <w:highlight w:val="none"/>
        </w:rPr>
        <w:t>第八条委托人应负责与本建设工程设计业务有</w:t>
      </w:r>
      <w:r>
        <w:rPr>
          <w:rFonts w:ascii="宋体" w:hAnsi="宋体" w:eastAsia="宋体" w:cs="宋体"/>
          <w:spacing w:val="-2"/>
          <w:sz w:val="24"/>
          <w:szCs w:val="24"/>
          <w:highlight w:val="none"/>
        </w:rPr>
        <w:t>关的第三人的协调，为设计人工作提供外</w:t>
      </w:r>
      <w:r>
        <w:rPr>
          <w:rFonts w:ascii="宋体" w:hAnsi="宋体" w:eastAsia="宋体" w:cs="宋体"/>
          <w:spacing w:val="-9"/>
          <w:sz w:val="24"/>
          <w:szCs w:val="24"/>
          <w:highlight w:val="none"/>
        </w:rPr>
        <w:t>部条件。</w:t>
      </w:r>
    </w:p>
    <w:p w14:paraId="083FACF2">
      <w:pPr>
        <w:spacing w:before="182"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第九条委托人应当在约定的时间内，向设计人提供与本项目设计</w:t>
      </w:r>
      <w:r>
        <w:rPr>
          <w:rFonts w:ascii="宋体" w:hAnsi="宋体" w:eastAsia="宋体" w:cs="宋体"/>
          <w:spacing w:val="-2"/>
          <w:sz w:val="24"/>
          <w:szCs w:val="24"/>
          <w:highlight w:val="none"/>
        </w:rPr>
        <w:t>业务有关的资料。</w:t>
      </w:r>
    </w:p>
    <w:p w14:paraId="327DE625">
      <w:pPr>
        <w:spacing w:before="182" w:line="290" w:lineRule="auto"/>
        <w:ind w:right="94" w:firstLine="480"/>
        <w:rPr>
          <w:rFonts w:ascii="宋体" w:hAnsi="宋体" w:eastAsia="宋体" w:cs="宋体"/>
          <w:sz w:val="24"/>
          <w:szCs w:val="24"/>
          <w:highlight w:val="none"/>
        </w:rPr>
      </w:pPr>
      <w:r>
        <w:rPr>
          <w:rFonts w:ascii="宋体" w:hAnsi="宋体" w:eastAsia="宋体" w:cs="宋体"/>
          <w:spacing w:val="5"/>
          <w:sz w:val="24"/>
          <w:szCs w:val="24"/>
          <w:highlight w:val="none"/>
        </w:rPr>
        <w:t>第十条委托人应当在约定的时间内就设计人书面提交并要求做出</w:t>
      </w:r>
      <w:r>
        <w:rPr>
          <w:rFonts w:ascii="宋体" w:hAnsi="宋体" w:eastAsia="宋体" w:cs="宋体"/>
          <w:spacing w:val="4"/>
          <w:sz w:val="24"/>
          <w:szCs w:val="24"/>
          <w:highlight w:val="none"/>
        </w:rPr>
        <w:t>答复的事宜做出书面</w:t>
      </w:r>
      <w:r>
        <w:rPr>
          <w:rFonts w:ascii="宋体" w:hAnsi="宋体" w:eastAsia="宋体" w:cs="宋体"/>
          <w:spacing w:val="-10"/>
          <w:sz w:val="24"/>
          <w:szCs w:val="24"/>
          <w:highlight w:val="none"/>
        </w:rPr>
        <w:t>答复。</w:t>
      </w:r>
    </w:p>
    <w:p w14:paraId="4DF47FEB">
      <w:pPr>
        <w:spacing w:before="180" w:line="290" w:lineRule="auto"/>
        <w:ind w:left="3" w:right="85" w:firstLine="476"/>
        <w:rPr>
          <w:rFonts w:ascii="宋体" w:hAnsi="宋体" w:eastAsia="宋体" w:cs="宋体"/>
          <w:sz w:val="24"/>
          <w:szCs w:val="24"/>
          <w:highlight w:val="none"/>
        </w:rPr>
      </w:pPr>
      <w:r>
        <w:rPr>
          <w:rFonts w:ascii="宋体" w:hAnsi="宋体" w:eastAsia="宋体" w:cs="宋体"/>
          <w:spacing w:val="-1"/>
          <w:sz w:val="24"/>
          <w:szCs w:val="24"/>
          <w:highlight w:val="none"/>
        </w:rPr>
        <w:t>第十一条委托人应当授权胜任本设计业务的代表，</w:t>
      </w:r>
      <w:r>
        <w:rPr>
          <w:rFonts w:ascii="宋体" w:hAnsi="宋体" w:eastAsia="宋体" w:cs="宋体"/>
          <w:spacing w:val="-2"/>
          <w:sz w:val="24"/>
          <w:szCs w:val="24"/>
          <w:highlight w:val="none"/>
        </w:rPr>
        <w:t>负责与设计人联系。委托人不得要求</w:t>
      </w:r>
      <w:r>
        <w:rPr>
          <w:rFonts w:ascii="宋体" w:hAnsi="宋体" w:eastAsia="宋体" w:cs="宋体"/>
          <w:spacing w:val="-3"/>
          <w:sz w:val="24"/>
          <w:szCs w:val="24"/>
          <w:highlight w:val="none"/>
        </w:rPr>
        <w:t>设计人违反国家有关标准进行设计。</w:t>
      </w:r>
    </w:p>
    <w:p w14:paraId="1446A2A0">
      <w:pPr>
        <w:spacing w:before="178" w:line="220" w:lineRule="auto"/>
        <w:ind w:left="486"/>
        <w:rPr>
          <w:rFonts w:ascii="宋体" w:hAnsi="宋体" w:eastAsia="宋体" w:cs="宋体"/>
          <w:sz w:val="24"/>
          <w:szCs w:val="24"/>
          <w:highlight w:val="none"/>
        </w:rPr>
      </w:pPr>
      <w:r>
        <w:rPr>
          <w:rFonts w:ascii="宋体" w:hAnsi="宋体" w:eastAsia="宋体" w:cs="宋体"/>
          <w:b/>
          <w:bCs/>
          <w:spacing w:val="-4"/>
          <w:sz w:val="24"/>
          <w:szCs w:val="24"/>
          <w:highlight w:val="none"/>
        </w:rPr>
        <w:t>设计人的权利</w:t>
      </w:r>
    </w:p>
    <w:p w14:paraId="4D32C1DB">
      <w:pPr>
        <w:spacing w:before="182" w:line="220"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第十二条委托人在委托的建设工程设计业务范围内，授予设计人以下权利：</w:t>
      </w:r>
    </w:p>
    <w:p w14:paraId="5FF7B46C">
      <w:pPr>
        <w:spacing w:before="183" w:line="218"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1、设计人在设计过程中，如委托人提供的资料不明确时可向委托人提出书面报告。</w:t>
      </w:r>
    </w:p>
    <w:p w14:paraId="21B63816">
      <w:pPr>
        <w:spacing w:before="182" w:line="290" w:lineRule="auto"/>
        <w:ind w:left="481" w:firstLine="1"/>
        <w:rPr>
          <w:rFonts w:ascii="宋体" w:hAnsi="宋体" w:eastAsia="宋体" w:cs="宋体"/>
          <w:sz w:val="24"/>
          <w:szCs w:val="24"/>
          <w:highlight w:val="none"/>
        </w:rPr>
      </w:pPr>
      <w:r>
        <w:rPr>
          <w:rFonts w:ascii="宋体" w:hAnsi="宋体" w:eastAsia="宋体" w:cs="宋体"/>
          <w:spacing w:val="-5"/>
          <w:sz w:val="24"/>
          <w:szCs w:val="24"/>
          <w:highlight w:val="none"/>
        </w:rPr>
        <w:t>2、设计人在设计过程中， 有权对第三人提出与本设计业务有</w:t>
      </w:r>
      <w:r>
        <w:rPr>
          <w:rFonts w:ascii="宋体" w:hAnsi="宋体" w:eastAsia="宋体" w:cs="宋体"/>
          <w:spacing w:val="-6"/>
          <w:sz w:val="24"/>
          <w:szCs w:val="24"/>
          <w:highlight w:val="none"/>
        </w:rPr>
        <w:t>关的问题进行核对或查问。</w:t>
      </w:r>
      <w:r>
        <w:rPr>
          <w:rFonts w:ascii="宋体" w:hAnsi="宋体" w:eastAsia="宋体" w:cs="宋体"/>
          <w:b/>
          <w:bCs/>
          <w:spacing w:val="-4"/>
          <w:sz w:val="24"/>
          <w:szCs w:val="24"/>
          <w:highlight w:val="none"/>
        </w:rPr>
        <w:t>委托人的权利</w:t>
      </w:r>
    </w:p>
    <w:p w14:paraId="5866D439">
      <w:pPr>
        <w:spacing w:before="179" w:line="220" w:lineRule="auto"/>
        <w:ind w:left="480"/>
        <w:rPr>
          <w:rFonts w:ascii="宋体" w:hAnsi="宋体" w:eastAsia="宋体" w:cs="宋体"/>
          <w:sz w:val="24"/>
          <w:szCs w:val="24"/>
          <w:highlight w:val="none"/>
        </w:rPr>
      </w:pPr>
      <w:r>
        <w:rPr>
          <w:rFonts w:ascii="宋体" w:hAnsi="宋体" w:eastAsia="宋体" w:cs="宋体"/>
          <w:spacing w:val="-5"/>
          <w:sz w:val="24"/>
          <w:szCs w:val="24"/>
          <w:highlight w:val="none"/>
        </w:rPr>
        <w:t>第十三条委托人有下列权利：</w:t>
      </w:r>
    </w:p>
    <w:p w14:paraId="401D1599">
      <w:pPr>
        <w:spacing w:before="182"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1、委托人有权向设计人询问工作进展情况及相关的内容。</w:t>
      </w:r>
    </w:p>
    <w:p w14:paraId="2E6F1022">
      <w:pPr>
        <w:spacing w:before="180" w:line="220"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2、委托人有权阐述对工程设计的要求、意见和建议。</w:t>
      </w:r>
    </w:p>
    <w:p w14:paraId="6A39A26D">
      <w:pPr>
        <w:spacing w:before="181" w:line="313" w:lineRule="auto"/>
        <w:ind w:right="85" w:firstLine="484"/>
        <w:rPr>
          <w:rFonts w:ascii="宋体" w:hAnsi="宋体" w:eastAsia="宋体" w:cs="宋体"/>
          <w:sz w:val="24"/>
          <w:szCs w:val="24"/>
          <w:highlight w:val="none"/>
        </w:rPr>
      </w:pPr>
      <w:r>
        <w:rPr>
          <w:rFonts w:ascii="宋体" w:hAnsi="宋体" w:eastAsia="宋体" w:cs="宋体"/>
          <w:spacing w:val="2"/>
          <w:sz w:val="24"/>
          <w:szCs w:val="24"/>
          <w:highlight w:val="none"/>
        </w:rPr>
        <w:t>3、当委托人认定设计专业人员不按合同履行其职责</w:t>
      </w:r>
      <w:r>
        <w:rPr>
          <w:rFonts w:ascii="宋体" w:hAnsi="宋体" w:eastAsia="宋体" w:cs="宋体"/>
          <w:spacing w:val="1"/>
          <w:sz w:val="24"/>
          <w:szCs w:val="24"/>
          <w:highlight w:val="none"/>
        </w:rPr>
        <w:t>，或与第三人串通给委托人造成经</w:t>
      </w:r>
      <w:r>
        <w:rPr>
          <w:rFonts w:ascii="宋体" w:hAnsi="宋体" w:eastAsia="宋体" w:cs="宋体"/>
          <w:spacing w:val="-1"/>
          <w:sz w:val="24"/>
          <w:szCs w:val="24"/>
          <w:highlight w:val="none"/>
        </w:rPr>
        <w:t>济损失的，委托人有权要求更换设计专业人员，直至终止</w:t>
      </w:r>
      <w:r>
        <w:rPr>
          <w:rFonts w:ascii="宋体" w:hAnsi="宋体" w:eastAsia="宋体" w:cs="宋体"/>
          <w:spacing w:val="-2"/>
          <w:sz w:val="24"/>
          <w:szCs w:val="24"/>
          <w:highlight w:val="none"/>
        </w:rPr>
        <w:t>合同并要求设计人承担相应的赔偿</w:t>
      </w:r>
      <w:r>
        <w:rPr>
          <w:rFonts w:ascii="宋体" w:hAnsi="宋体" w:eastAsia="宋体" w:cs="宋体"/>
          <w:spacing w:val="-11"/>
          <w:sz w:val="24"/>
          <w:szCs w:val="24"/>
          <w:highlight w:val="none"/>
        </w:rPr>
        <w:t>责任。</w:t>
      </w:r>
    </w:p>
    <w:p w14:paraId="214BAB4E">
      <w:pPr>
        <w:spacing w:before="180" w:line="220" w:lineRule="auto"/>
        <w:ind w:left="486"/>
        <w:rPr>
          <w:rFonts w:ascii="宋体" w:hAnsi="宋体" w:eastAsia="宋体" w:cs="宋体"/>
          <w:sz w:val="24"/>
          <w:szCs w:val="24"/>
          <w:highlight w:val="none"/>
        </w:rPr>
      </w:pPr>
      <w:r>
        <w:rPr>
          <w:rFonts w:ascii="宋体" w:hAnsi="宋体" w:eastAsia="宋体" w:cs="宋体"/>
          <w:b/>
          <w:bCs/>
          <w:spacing w:val="-4"/>
          <w:sz w:val="24"/>
          <w:szCs w:val="24"/>
          <w:highlight w:val="none"/>
        </w:rPr>
        <w:t>设计人的责任</w:t>
      </w:r>
    </w:p>
    <w:p w14:paraId="35EEA127">
      <w:pPr>
        <w:spacing w:before="182" w:line="289" w:lineRule="auto"/>
        <w:ind w:left="19" w:right="87" w:firstLine="460"/>
        <w:rPr>
          <w:rFonts w:ascii="宋体" w:hAnsi="宋体" w:eastAsia="宋体" w:cs="宋体"/>
          <w:sz w:val="24"/>
          <w:szCs w:val="24"/>
          <w:highlight w:val="none"/>
        </w:rPr>
      </w:pPr>
      <w:r>
        <w:rPr>
          <w:rFonts w:ascii="宋体" w:hAnsi="宋体" w:eastAsia="宋体" w:cs="宋体"/>
          <w:spacing w:val="-1"/>
          <w:sz w:val="24"/>
          <w:szCs w:val="24"/>
          <w:highlight w:val="none"/>
        </w:rPr>
        <w:t>第十四条设计人对提交的设计文件质量负责，</w:t>
      </w:r>
      <w:r>
        <w:rPr>
          <w:rFonts w:ascii="宋体" w:hAnsi="宋体" w:eastAsia="宋体" w:cs="宋体"/>
          <w:spacing w:val="-2"/>
          <w:sz w:val="24"/>
          <w:szCs w:val="24"/>
          <w:highlight w:val="none"/>
        </w:rPr>
        <w:t>如因设计人未按照合同要求按时提供合格</w:t>
      </w:r>
      <w:r>
        <w:rPr>
          <w:rFonts w:ascii="宋体" w:hAnsi="宋体" w:eastAsia="宋体" w:cs="宋体"/>
          <w:spacing w:val="-4"/>
          <w:sz w:val="24"/>
          <w:szCs w:val="24"/>
          <w:highlight w:val="none"/>
        </w:rPr>
        <w:t>的设计文件，造成损失的，由设计人负责。</w:t>
      </w:r>
    </w:p>
    <w:p w14:paraId="0018AD9C">
      <w:pPr>
        <w:spacing w:before="182" w:line="289" w:lineRule="auto"/>
        <w:ind w:right="85" w:firstLine="479"/>
        <w:rPr>
          <w:rFonts w:ascii="宋体" w:hAnsi="宋体" w:eastAsia="宋体" w:cs="宋体"/>
          <w:sz w:val="24"/>
          <w:szCs w:val="24"/>
          <w:highlight w:val="none"/>
        </w:rPr>
      </w:pPr>
      <w:r>
        <w:rPr>
          <w:rFonts w:ascii="宋体" w:hAnsi="宋体" w:eastAsia="宋体" w:cs="宋体"/>
          <w:spacing w:val="-1"/>
          <w:sz w:val="24"/>
          <w:szCs w:val="24"/>
          <w:highlight w:val="none"/>
        </w:rPr>
        <w:t>第十五条设计人责任期内，应当履行建设工程设计</w:t>
      </w:r>
      <w:r>
        <w:rPr>
          <w:rFonts w:ascii="宋体" w:hAnsi="宋体" w:eastAsia="宋体" w:cs="宋体"/>
          <w:spacing w:val="-2"/>
          <w:sz w:val="24"/>
          <w:szCs w:val="24"/>
          <w:highlight w:val="none"/>
        </w:rPr>
        <w:t>合同中约定的义务，因设计人的单方过失造成的经济损失，应当向委托人进行赔</w:t>
      </w:r>
      <w:r>
        <w:rPr>
          <w:rFonts w:ascii="宋体" w:hAnsi="宋体" w:eastAsia="宋体" w:cs="宋体"/>
          <w:spacing w:val="-3"/>
          <w:sz w:val="24"/>
          <w:szCs w:val="24"/>
          <w:highlight w:val="none"/>
        </w:rPr>
        <w:t>偿。</w:t>
      </w:r>
    </w:p>
    <w:p w14:paraId="12B5FE0D">
      <w:pPr>
        <w:spacing w:line="289" w:lineRule="auto"/>
        <w:rPr>
          <w:rFonts w:ascii="宋体" w:hAnsi="宋体" w:eastAsia="宋体" w:cs="宋体"/>
          <w:sz w:val="24"/>
          <w:szCs w:val="24"/>
          <w:highlight w:val="none"/>
        </w:rPr>
        <w:sectPr>
          <w:footerReference r:id="rId27" w:type="default"/>
          <w:pgSz w:w="11907" w:h="16839"/>
          <w:pgMar w:top="1425" w:right="1087" w:bottom="1129" w:left="1185" w:header="0" w:footer="898" w:gutter="0"/>
          <w:cols w:space="720" w:num="1"/>
        </w:sectPr>
      </w:pPr>
    </w:p>
    <w:p w14:paraId="74AF8F11">
      <w:pPr>
        <w:spacing w:before="47" w:line="290" w:lineRule="auto"/>
        <w:ind w:right="86" w:firstLine="481"/>
        <w:rPr>
          <w:rFonts w:ascii="宋体" w:hAnsi="宋体" w:eastAsia="宋体" w:cs="宋体"/>
          <w:sz w:val="24"/>
          <w:szCs w:val="24"/>
          <w:highlight w:val="none"/>
        </w:rPr>
      </w:pPr>
      <w:r>
        <w:rPr>
          <w:rFonts w:ascii="宋体" w:hAnsi="宋体" w:eastAsia="宋体" w:cs="宋体"/>
          <w:spacing w:val="-1"/>
          <w:sz w:val="24"/>
          <w:szCs w:val="24"/>
          <w:highlight w:val="none"/>
        </w:rPr>
        <w:t>第十六条设计人对委托人或第三人所提出的问</w:t>
      </w:r>
      <w:r>
        <w:rPr>
          <w:rFonts w:ascii="宋体" w:hAnsi="宋体" w:eastAsia="宋体" w:cs="宋体"/>
          <w:spacing w:val="-2"/>
          <w:sz w:val="24"/>
          <w:szCs w:val="24"/>
          <w:highlight w:val="none"/>
        </w:rPr>
        <w:t>题不能及时核对或答复，影响工程建设进</w:t>
      </w:r>
      <w:r>
        <w:rPr>
          <w:rFonts w:ascii="宋体" w:hAnsi="宋体" w:eastAsia="宋体" w:cs="宋体"/>
          <w:spacing w:val="-4"/>
          <w:sz w:val="24"/>
          <w:szCs w:val="24"/>
          <w:highlight w:val="none"/>
        </w:rPr>
        <w:t>度，设计人应承担责任。</w:t>
      </w:r>
    </w:p>
    <w:p w14:paraId="293FA859">
      <w:pPr>
        <w:spacing w:before="180" w:line="290" w:lineRule="auto"/>
        <w:ind w:left="7" w:right="87" w:firstLine="474"/>
        <w:rPr>
          <w:rFonts w:ascii="宋体" w:hAnsi="宋体" w:eastAsia="宋体" w:cs="宋体"/>
          <w:sz w:val="24"/>
          <w:szCs w:val="24"/>
          <w:highlight w:val="none"/>
        </w:rPr>
      </w:pPr>
      <w:r>
        <w:rPr>
          <w:rFonts w:ascii="宋体" w:hAnsi="宋体" w:eastAsia="宋体" w:cs="宋体"/>
          <w:spacing w:val="-1"/>
          <w:sz w:val="24"/>
          <w:szCs w:val="24"/>
          <w:highlight w:val="none"/>
        </w:rPr>
        <w:t>第十七条设计人向委托人提出赔偿要求不能成</w:t>
      </w:r>
      <w:r>
        <w:rPr>
          <w:rFonts w:ascii="宋体" w:hAnsi="宋体" w:eastAsia="宋体" w:cs="宋体"/>
          <w:spacing w:val="-2"/>
          <w:sz w:val="24"/>
          <w:szCs w:val="24"/>
          <w:highlight w:val="none"/>
        </w:rPr>
        <w:t>立时，则应补偿由于该赔偿或其他要求所</w:t>
      </w:r>
      <w:r>
        <w:rPr>
          <w:rFonts w:ascii="宋体" w:hAnsi="宋体" w:eastAsia="宋体" w:cs="宋体"/>
          <w:spacing w:val="-4"/>
          <w:sz w:val="24"/>
          <w:szCs w:val="24"/>
          <w:highlight w:val="none"/>
        </w:rPr>
        <w:t>导致委托人的各种费用的支出。</w:t>
      </w:r>
    </w:p>
    <w:p w14:paraId="19D96B25">
      <w:pPr>
        <w:spacing w:before="178" w:line="220" w:lineRule="auto"/>
        <w:ind w:left="482"/>
        <w:rPr>
          <w:rFonts w:ascii="宋体" w:hAnsi="宋体" w:eastAsia="宋体" w:cs="宋体"/>
          <w:sz w:val="24"/>
          <w:szCs w:val="24"/>
          <w:highlight w:val="none"/>
        </w:rPr>
      </w:pPr>
      <w:r>
        <w:rPr>
          <w:rFonts w:ascii="宋体" w:hAnsi="宋体" w:eastAsia="宋体" w:cs="宋体"/>
          <w:b/>
          <w:bCs/>
          <w:spacing w:val="-4"/>
          <w:sz w:val="24"/>
          <w:szCs w:val="24"/>
          <w:highlight w:val="none"/>
        </w:rPr>
        <w:t>委托人的责任</w:t>
      </w:r>
    </w:p>
    <w:p w14:paraId="66AACCC0">
      <w:pPr>
        <w:spacing w:before="182" w:line="359" w:lineRule="auto"/>
        <w:ind w:right="96" w:firstLine="481"/>
        <w:rPr>
          <w:rFonts w:ascii="宋体" w:hAnsi="宋体" w:eastAsia="宋体" w:cs="宋体"/>
          <w:sz w:val="24"/>
          <w:szCs w:val="24"/>
          <w:highlight w:val="none"/>
        </w:rPr>
      </w:pPr>
      <w:r>
        <w:rPr>
          <w:rFonts w:ascii="宋体" w:hAnsi="宋体" w:eastAsia="宋体" w:cs="宋体"/>
          <w:spacing w:val="5"/>
          <w:sz w:val="24"/>
          <w:szCs w:val="24"/>
          <w:highlight w:val="none"/>
        </w:rPr>
        <w:t>第十八条委托人应当履行建设工程设计合同约定的义务，如有</w:t>
      </w:r>
      <w:r>
        <w:rPr>
          <w:rFonts w:ascii="宋体" w:hAnsi="宋体" w:eastAsia="宋体" w:cs="宋体"/>
          <w:spacing w:val="4"/>
          <w:sz w:val="24"/>
          <w:szCs w:val="24"/>
          <w:highlight w:val="none"/>
        </w:rPr>
        <w:t>违反则应当承担违约责</w:t>
      </w:r>
      <w:r>
        <w:rPr>
          <w:rFonts w:ascii="宋体" w:hAnsi="宋体" w:eastAsia="宋体" w:cs="宋体"/>
          <w:spacing w:val="-3"/>
          <w:sz w:val="24"/>
          <w:szCs w:val="24"/>
          <w:highlight w:val="none"/>
        </w:rPr>
        <w:t>任，赔偿给设计人造成的损失。</w:t>
      </w:r>
    </w:p>
    <w:p w14:paraId="2408CFD6">
      <w:pPr>
        <w:spacing w:before="1" w:line="359" w:lineRule="auto"/>
        <w:ind w:left="20" w:right="87" w:firstLine="459"/>
        <w:rPr>
          <w:rFonts w:ascii="宋体" w:hAnsi="宋体" w:eastAsia="宋体" w:cs="宋体"/>
          <w:sz w:val="24"/>
          <w:szCs w:val="24"/>
          <w:highlight w:val="none"/>
        </w:rPr>
      </w:pPr>
      <w:r>
        <w:rPr>
          <w:rFonts w:ascii="宋体" w:hAnsi="宋体" w:eastAsia="宋体" w:cs="宋体"/>
          <w:spacing w:val="-1"/>
          <w:sz w:val="24"/>
          <w:szCs w:val="24"/>
          <w:highlight w:val="none"/>
        </w:rPr>
        <w:t>委托人应为设计人派驻现场的工作人员提供工</w:t>
      </w:r>
      <w:r>
        <w:rPr>
          <w:rFonts w:ascii="宋体" w:hAnsi="宋体" w:eastAsia="宋体" w:cs="宋体"/>
          <w:spacing w:val="-2"/>
          <w:sz w:val="24"/>
          <w:szCs w:val="24"/>
          <w:highlight w:val="none"/>
        </w:rPr>
        <w:t>作、生活及交通等方面的便利条件及必要</w:t>
      </w:r>
      <w:r>
        <w:rPr>
          <w:rFonts w:ascii="宋体" w:hAnsi="宋体" w:eastAsia="宋体" w:cs="宋体"/>
          <w:spacing w:val="-4"/>
          <w:sz w:val="24"/>
          <w:szCs w:val="24"/>
          <w:highlight w:val="none"/>
        </w:rPr>
        <w:t>的劳动保护装备，发生的费用由设计人承担。</w:t>
      </w:r>
    </w:p>
    <w:p w14:paraId="19C47E7D">
      <w:pPr>
        <w:spacing w:line="220" w:lineRule="auto"/>
        <w:ind w:left="484"/>
        <w:rPr>
          <w:rFonts w:ascii="宋体" w:hAnsi="宋体" w:eastAsia="宋体" w:cs="宋体"/>
          <w:sz w:val="24"/>
          <w:szCs w:val="24"/>
          <w:highlight w:val="none"/>
        </w:rPr>
      </w:pPr>
      <w:r>
        <w:rPr>
          <w:rFonts w:ascii="宋体" w:hAnsi="宋体" w:eastAsia="宋体" w:cs="宋体"/>
          <w:b/>
          <w:bCs/>
          <w:spacing w:val="-3"/>
          <w:sz w:val="24"/>
          <w:szCs w:val="24"/>
          <w:highlight w:val="none"/>
        </w:rPr>
        <w:t>合同生效、变更与终止</w:t>
      </w:r>
    </w:p>
    <w:p w14:paraId="73D39F36">
      <w:pPr>
        <w:spacing w:before="179" w:line="219"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第十九条本合同自双方签字盖章之日起生效。</w:t>
      </w:r>
    </w:p>
    <w:p w14:paraId="4B7327D5">
      <w:pPr>
        <w:spacing w:before="185" w:line="323" w:lineRule="auto"/>
        <w:ind w:left="7" w:right="19" w:firstLine="474"/>
        <w:rPr>
          <w:rFonts w:ascii="宋体" w:hAnsi="宋体" w:eastAsia="宋体" w:cs="宋体"/>
          <w:sz w:val="24"/>
          <w:szCs w:val="24"/>
          <w:highlight w:val="none"/>
        </w:rPr>
      </w:pPr>
      <w:r>
        <w:rPr>
          <w:rFonts w:ascii="宋体" w:hAnsi="宋体" w:eastAsia="宋体" w:cs="宋体"/>
          <w:spacing w:val="5"/>
          <w:sz w:val="24"/>
          <w:szCs w:val="24"/>
          <w:highlight w:val="none"/>
        </w:rPr>
        <w:t>第二十条由于第三人的原因使设计人工作受到阻碍或延误以致增加了工作量或</w:t>
      </w:r>
      <w:r>
        <w:rPr>
          <w:rFonts w:ascii="宋体" w:hAnsi="宋体" w:eastAsia="宋体" w:cs="宋体"/>
          <w:spacing w:val="4"/>
          <w:sz w:val="24"/>
          <w:szCs w:val="24"/>
          <w:highlight w:val="none"/>
        </w:rPr>
        <w:t>持续时</w:t>
      </w:r>
      <w:r>
        <w:rPr>
          <w:rFonts w:ascii="宋体" w:hAnsi="宋体" w:eastAsia="宋体" w:cs="宋体"/>
          <w:spacing w:val="-6"/>
          <w:sz w:val="24"/>
          <w:szCs w:val="24"/>
          <w:highlight w:val="none"/>
        </w:rPr>
        <w:t>间，则设计人应当将此情况与可能产生的影响及时书面通知委托人。经委托人核实并同意后，由此增加的工作量视为额外服务，完成建设工程设计、咨询工作的时间应当相应延长，并得</w:t>
      </w:r>
      <w:r>
        <w:rPr>
          <w:rFonts w:ascii="宋体" w:hAnsi="宋体" w:eastAsia="宋体" w:cs="宋体"/>
          <w:spacing w:val="-3"/>
          <w:sz w:val="24"/>
          <w:szCs w:val="24"/>
          <w:highlight w:val="none"/>
        </w:rPr>
        <w:t>到额外的酬金,具体额外的酬金双方另行协商。</w:t>
      </w:r>
    </w:p>
    <w:p w14:paraId="20E94E71">
      <w:pPr>
        <w:spacing w:before="186" w:line="290" w:lineRule="auto"/>
        <w:ind w:left="15" w:right="84" w:firstLine="466"/>
        <w:rPr>
          <w:rFonts w:ascii="宋体" w:hAnsi="宋体" w:eastAsia="宋体" w:cs="宋体"/>
          <w:sz w:val="24"/>
          <w:szCs w:val="24"/>
          <w:highlight w:val="none"/>
        </w:rPr>
      </w:pPr>
      <w:r>
        <w:rPr>
          <w:rFonts w:ascii="宋体" w:hAnsi="宋体" w:eastAsia="宋体" w:cs="宋体"/>
          <w:spacing w:val="-3"/>
          <w:sz w:val="24"/>
          <w:szCs w:val="24"/>
          <w:highlight w:val="none"/>
        </w:rPr>
        <w:t>第二十一条当事人一方要求变更或解除合同时，则应当在</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 xml:space="preserve">7 </w:t>
      </w:r>
      <w:r>
        <w:rPr>
          <w:rFonts w:ascii="宋体" w:hAnsi="宋体" w:eastAsia="宋体" w:cs="宋体"/>
          <w:spacing w:val="-4"/>
          <w:sz w:val="24"/>
          <w:szCs w:val="24"/>
          <w:highlight w:val="none"/>
        </w:rPr>
        <w:t>日前通知对方；因变更或解</w:t>
      </w:r>
      <w:r>
        <w:rPr>
          <w:rFonts w:ascii="宋体" w:hAnsi="宋体" w:eastAsia="宋体" w:cs="宋体"/>
          <w:spacing w:val="-3"/>
          <w:sz w:val="24"/>
          <w:szCs w:val="24"/>
          <w:highlight w:val="none"/>
        </w:rPr>
        <w:t>除合同使一方遭受损失的，应由责任方负责赔偿。</w:t>
      </w:r>
    </w:p>
    <w:p w14:paraId="61352751">
      <w:pPr>
        <w:spacing w:before="179" w:line="313" w:lineRule="auto"/>
        <w:ind w:left="7" w:right="85" w:firstLine="474"/>
        <w:rPr>
          <w:rFonts w:ascii="宋体" w:hAnsi="宋体" w:eastAsia="宋体" w:cs="宋体"/>
          <w:sz w:val="24"/>
          <w:szCs w:val="24"/>
          <w:highlight w:val="none"/>
        </w:rPr>
      </w:pPr>
      <w:r>
        <w:rPr>
          <w:rFonts w:ascii="宋体" w:hAnsi="宋体" w:eastAsia="宋体" w:cs="宋体"/>
          <w:spacing w:val="-1"/>
          <w:sz w:val="24"/>
          <w:szCs w:val="24"/>
          <w:highlight w:val="none"/>
        </w:rPr>
        <w:t>第二十二条设计人由于非自身原因暂停或终止</w:t>
      </w:r>
      <w:r>
        <w:rPr>
          <w:rFonts w:ascii="宋体" w:hAnsi="宋体" w:eastAsia="宋体" w:cs="宋体"/>
          <w:spacing w:val="-2"/>
          <w:sz w:val="24"/>
          <w:szCs w:val="24"/>
          <w:highlight w:val="none"/>
        </w:rPr>
        <w:t>执行建设工程设计业务，由此而增加的恢</w:t>
      </w:r>
      <w:r>
        <w:rPr>
          <w:rFonts w:ascii="宋体" w:hAnsi="宋体" w:eastAsia="宋体" w:cs="宋体"/>
          <w:spacing w:val="-1"/>
          <w:sz w:val="24"/>
          <w:szCs w:val="24"/>
          <w:highlight w:val="none"/>
        </w:rPr>
        <w:t>复执行建设工程设计业务的工作，应视为额</w:t>
      </w:r>
      <w:r>
        <w:rPr>
          <w:rFonts w:ascii="宋体" w:hAnsi="宋体" w:eastAsia="宋体" w:cs="宋体"/>
          <w:spacing w:val="-2"/>
          <w:sz w:val="24"/>
          <w:szCs w:val="24"/>
          <w:highlight w:val="none"/>
        </w:rPr>
        <w:t>外服务，有权得到额外的时间和酬金。具体额外</w:t>
      </w:r>
      <w:r>
        <w:rPr>
          <w:rFonts w:ascii="宋体" w:hAnsi="宋体" w:eastAsia="宋体" w:cs="宋体"/>
          <w:spacing w:val="-4"/>
          <w:sz w:val="24"/>
          <w:szCs w:val="24"/>
          <w:highlight w:val="none"/>
        </w:rPr>
        <w:t>的时间和酬金双方另行协商。</w:t>
      </w:r>
    </w:p>
    <w:p w14:paraId="32862E1A">
      <w:pPr>
        <w:spacing w:before="182" w:line="289" w:lineRule="auto"/>
        <w:ind w:left="1" w:right="85" w:firstLine="479"/>
        <w:rPr>
          <w:rFonts w:ascii="宋体" w:hAnsi="宋体" w:eastAsia="宋体" w:cs="宋体"/>
          <w:sz w:val="24"/>
          <w:szCs w:val="24"/>
          <w:highlight w:val="none"/>
        </w:rPr>
      </w:pPr>
      <w:r>
        <w:rPr>
          <w:rFonts w:ascii="宋体" w:hAnsi="宋体" w:eastAsia="宋体" w:cs="宋体"/>
          <w:spacing w:val="-1"/>
          <w:sz w:val="24"/>
          <w:szCs w:val="24"/>
          <w:highlight w:val="none"/>
        </w:rPr>
        <w:t>第二十三条变更或解除合同的通知或协议应当采取</w:t>
      </w:r>
      <w:r>
        <w:rPr>
          <w:rFonts w:ascii="宋体" w:hAnsi="宋体" w:eastAsia="宋体" w:cs="宋体"/>
          <w:spacing w:val="-2"/>
          <w:sz w:val="24"/>
          <w:szCs w:val="24"/>
          <w:highlight w:val="none"/>
        </w:rPr>
        <w:t>书面形式，新的协议未达成之前，原</w:t>
      </w:r>
      <w:r>
        <w:rPr>
          <w:rFonts w:ascii="宋体" w:hAnsi="宋体" w:eastAsia="宋体" w:cs="宋体"/>
          <w:spacing w:val="-6"/>
          <w:sz w:val="24"/>
          <w:szCs w:val="24"/>
          <w:highlight w:val="none"/>
        </w:rPr>
        <w:t>合同仍然有效。</w:t>
      </w:r>
    </w:p>
    <w:p w14:paraId="66B859A9">
      <w:pPr>
        <w:spacing w:before="182" w:line="220" w:lineRule="auto"/>
        <w:ind w:left="487"/>
        <w:rPr>
          <w:rFonts w:ascii="宋体" w:hAnsi="宋体" w:eastAsia="宋体" w:cs="宋体"/>
          <w:sz w:val="24"/>
          <w:szCs w:val="24"/>
          <w:highlight w:val="none"/>
        </w:rPr>
      </w:pPr>
      <w:r>
        <w:rPr>
          <w:rFonts w:ascii="宋体" w:hAnsi="宋体" w:eastAsia="宋体" w:cs="宋体"/>
          <w:b/>
          <w:bCs/>
          <w:spacing w:val="-4"/>
          <w:sz w:val="24"/>
          <w:szCs w:val="24"/>
          <w:highlight w:val="none"/>
        </w:rPr>
        <w:t>设计咨询业务的酬金</w:t>
      </w:r>
    </w:p>
    <w:p w14:paraId="4403F09A">
      <w:pPr>
        <w:spacing w:before="180" w:line="290" w:lineRule="auto"/>
        <w:ind w:left="1" w:right="85" w:firstLine="479"/>
        <w:rPr>
          <w:rFonts w:ascii="宋体" w:hAnsi="宋体" w:eastAsia="宋体" w:cs="宋体"/>
          <w:sz w:val="24"/>
          <w:szCs w:val="24"/>
          <w:highlight w:val="none"/>
        </w:rPr>
      </w:pPr>
      <w:r>
        <w:rPr>
          <w:rFonts w:ascii="宋体" w:hAnsi="宋体" w:eastAsia="宋体" w:cs="宋体"/>
          <w:spacing w:val="-1"/>
          <w:sz w:val="24"/>
          <w:szCs w:val="24"/>
          <w:highlight w:val="none"/>
        </w:rPr>
        <w:t>第二十四条正常的建设工程设计业务，附加工作和</w:t>
      </w:r>
      <w:r>
        <w:rPr>
          <w:rFonts w:ascii="宋体" w:hAnsi="宋体" w:eastAsia="宋体" w:cs="宋体"/>
          <w:spacing w:val="-2"/>
          <w:sz w:val="24"/>
          <w:szCs w:val="24"/>
          <w:highlight w:val="none"/>
        </w:rPr>
        <w:t>额外工作的酬金，按照建设工程设计合同专用条件约定的方法计取，并按约定的时间和数额支付。</w:t>
      </w:r>
    </w:p>
    <w:p w14:paraId="75C9F6A5">
      <w:pPr>
        <w:spacing w:before="179" w:line="313" w:lineRule="auto"/>
        <w:ind w:left="16" w:right="87" w:firstLine="465"/>
        <w:rPr>
          <w:rFonts w:ascii="宋体" w:hAnsi="宋体" w:eastAsia="宋体" w:cs="宋体"/>
          <w:sz w:val="24"/>
          <w:szCs w:val="24"/>
          <w:highlight w:val="none"/>
        </w:rPr>
      </w:pPr>
      <w:r>
        <w:rPr>
          <w:rFonts w:ascii="宋体" w:hAnsi="宋体" w:eastAsia="宋体" w:cs="宋体"/>
          <w:spacing w:val="-1"/>
          <w:sz w:val="24"/>
          <w:szCs w:val="24"/>
          <w:highlight w:val="none"/>
        </w:rPr>
        <w:t>第二十五条如果委托人对设计人提交的支付通</w:t>
      </w:r>
      <w:r>
        <w:rPr>
          <w:rFonts w:ascii="宋体" w:hAnsi="宋体" w:eastAsia="宋体" w:cs="宋体"/>
          <w:spacing w:val="-2"/>
          <w:sz w:val="24"/>
          <w:szCs w:val="24"/>
          <w:highlight w:val="none"/>
        </w:rPr>
        <w:t>知书中酬金或部分酬金项目提出异议，应当在收到支付通知书两日内向设计人发出异议的通知，但委托人不得拖延其无异议酬金项目</w:t>
      </w:r>
      <w:r>
        <w:rPr>
          <w:rFonts w:ascii="宋体" w:hAnsi="宋体" w:eastAsia="宋体" w:cs="宋体"/>
          <w:spacing w:val="-12"/>
          <w:sz w:val="24"/>
          <w:szCs w:val="24"/>
          <w:highlight w:val="none"/>
        </w:rPr>
        <w:t>的支付。</w:t>
      </w:r>
    </w:p>
    <w:p w14:paraId="75A01EF7">
      <w:pPr>
        <w:spacing w:before="182" w:line="219" w:lineRule="auto"/>
        <w:jc w:val="right"/>
        <w:rPr>
          <w:rFonts w:ascii="宋体" w:hAnsi="宋体" w:eastAsia="宋体" w:cs="宋体"/>
          <w:sz w:val="24"/>
          <w:szCs w:val="24"/>
          <w:highlight w:val="none"/>
        </w:rPr>
      </w:pPr>
      <w:r>
        <w:rPr>
          <w:rFonts w:ascii="宋体" w:hAnsi="宋体" w:eastAsia="宋体" w:cs="宋体"/>
          <w:spacing w:val="-5"/>
          <w:sz w:val="24"/>
          <w:szCs w:val="24"/>
          <w:highlight w:val="none"/>
        </w:rPr>
        <w:t>第二十六条支付建设工程设计、咨询酬金所采取的货币币</w:t>
      </w:r>
      <w:r>
        <w:rPr>
          <w:rFonts w:ascii="宋体" w:hAnsi="宋体" w:eastAsia="宋体" w:cs="宋体"/>
          <w:spacing w:val="-6"/>
          <w:sz w:val="24"/>
          <w:szCs w:val="24"/>
          <w:highlight w:val="none"/>
        </w:rPr>
        <w:t>种、汇率由合同专用条件约定。</w:t>
      </w:r>
    </w:p>
    <w:p w14:paraId="526948BD">
      <w:pPr>
        <w:spacing w:line="219" w:lineRule="auto"/>
        <w:rPr>
          <w:rFonts w:ascii="宋体" w:hAnsi="宋体" w:eastAsia="宋体" w:cs="宋体"/>
          <w:sz w:val="24"/>
          <w:szCs w:val="24"/>
          <w:highlight w:val="none"/>
        </w:rPr>
        <w:sectPr>
          <w:footerReference r:id="rId28" w:type="default"/>
          <w:pgSz w:w="11907" w:h="16839"/>
          <w:pgMar w:top="1425" w:right="1087" w:bottom="1129" w:left="1184" w:header="0" w:footer="898" w:gutter="0"/>
          <w:cols w:space="720" w:num="1"/>
        </w:sectPr>
      </w:pPr>
    </w:p>
    <w:p w14:paraId="1F76BC1C">
      <w:pPr>
        <w:spacing w:before="48" w:line="220" w:lineRule="auto"/>
        <w:ind w:left="484"/>
        <w:rPr>
          <w:rFonts w:ascii="宋体" w:hAnsi="宋体" w:eastAsia="宋体" w:cs="宋体"/>
          <w:sz w:val="24"/>
          <w:szCs w:val="24"/>
          <w:highlight w:val="none"/>
        </w:rPr>
      </w:pPr>
      <w:r>
        <w:rPr>
          <w:rFonts w:ascii="宋体" w:hAnsi="宋体" w:eastAsia="宋体" w:cs="宋体"/>
          <w:b/>
          <w:bCs/>
          <w:spacing w:val="-5"/>
          <w:sz w:val="24"/>
          <w:szCs w:val="24"/>
          <w:highlight w:val="none"/>
        </w:rPr>
        <w:t>其他</w:t>
      </w:r>
    </w:p>
    <w:p w14:paraId="79614EF5">
      <w:pPr>
        <w:spacing w:before="181" w:line="289" w:lineRule="auto"/>
        <w:ind w:left="7" w:firstLine="474"/>
        <w:rPr>
          <w:rFonts w:ascii="宋体" w:hAnsi="宋体" w:eastAsia="宋体" w:cs="宋体"/>
          <w:sz w:val="24"/>
          <w:szCs w:val="24"/>
          <w:highlight w:val="none"/>
        </w:rPr>
      </w:pPr>
      <w:r>
        <w:rPr>
          <w:rFonts w:ascii="宋体" w:hAnsi="宋体" w:eastAsia="宋体" w:cs="宋体"/>
          <w:spacing w:val="-1"/>
          <w:sz w:val="24"/>
          <w:szCs w:val="24"/>
          <w:highlight w:val="none"/>
        </w:rPr>
        <w:t>第二十七条因建设工程设计业务的需要，设计人在</w:t>
      </w:r>
      <w:r>
        <w:rPr>
          <w:rFonts w:ascii="宋体" w:hAnsi="宋体" w:eastAsia="宋体" w:cs="宋体"/>
          <w:spacing w:val="-2"/>
          <w:sz w:val="24"/>
          <w:szCs w:val="24"/>
          <w:highlight w:val="none"/>
        </w:rPr>
        <w:t>合同约定外的外出考察，经委托人同</w:t>
      </w:r>
      <w:r>
        <w:rPr>
          <w:rFonts w:ascii="宋体" w:hAnsi="宋体" w:eastAsia="宋体" w:cs="宋体"/>
          <w:spacing w:val="-4"/>
          <w:sz w:val="24"/>
          <w:szCs w:val="24"/>
          <w:highlight w:val="none"/>
        </w:rPr>
        <w:t>意，其所需费用由设计人负责。</w:t>
      </w:r>
    </w:p>
    <w:p w14:paraId="5DA9E9DC">
      <w:pPr>
        <w:spacing w:before="182" w:line="289" w:lineRule="auto"/>
        <w:ind w:left="2" w:right="2" w:firstLine="478"/>
        <w:rPr>
          <w:rFonts w:ascii="宋体" w:hAnsi="宋体" w:eastAsia="宋体" w:cs="宋体"/>
          <w:sz w:val="24"/>
          <w:szCs w:val="24"/>
          <w:highlight w:val="none"/>
        </w:rPr>
      </w:pPr>
      <w:r>
        <w:rPr>
          <w:rFonts w:ascii="宋体" w:hAnsi="宋体" w:eastAsia="宋体" w:cs="宋体"/>
          <w:spacing w:val="-1"/>
          <w:sz w:val="24"/>
          <w:szCs w:val="24"/>
          <w:highlight w:val="none"/>
        </w:rPr>
        <w:t>第二十八条设计人如需外聘专家协助，在委托</w:t>
      </w:r>
      <w:r>
        <w:rPr>
          <w:rFonts w:ascii="宋体" w:hAnsi="宋体" w:eastAsia="宋体" w:cs="宋体"/>
          <w:spacing w:val="-2"/>
          <w:sz w:val="24"/>
          <w:szCs w:val="24"/>
          <w:highlight w:val="none"/>
        </w:rPr>
        <w:t>的建设工程设计业务范围内其费用由设计</w:t>
      </w:r>
      <w:r>
        <w:rPr>
          <w:rFonts w:ascii="宋体" w:hAnsi="宋体" w:eastAsia="宋体" w:cs="宋体"/>
          <w:spacing w:val="-1"/>
          <w:sz w:val="24"/>
          <w:szCs w:val="24"/>
          <w:highlight w:val="none"/>
        </w:rPr>
        <w:t>人承担；在委托的建设工程设计、咨询业务范围以外经委托人认可其费用</w:t>
      </w:r>
      <w:r>
        <w:rPr>
          <w:rFonts w:ascii="宋体" w:hAnsi="宋体" w:eastAsia="宋体" w:cs="宋体"/>
          <w:spacing w:val="-2"/>
          <w:sz w:val="24"/>
          <w:szCs w:val="24"/>
          <w:highlight w:val="none"/>
        </w:rPr>
        <w:t>由委托人承担。</w:t>
      </w:r>
    </w:p>
    <w:p w14:paraId="10E690CC">
      <w:pPr>
        <w:spacing w:before="182"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第二十九条未经对方的书面同意，各方均不得转让</w:t>
      </w:r>
      <w:r>
        <w:rPr>
          <w:rFonts w:ascii="宋体" w:hAnsi="宋体" w:eastAsia="宋体" w:cs="宋体"/>
          <w:spacing w:val="-2"/>
          <w:sz w:val="24"/>
          <w:szCs w:val="24"/>
          <w:highlight w:val="none"/>
        </w:rPr>
        <w:t>合同约定的权利和义务。</w:t>
      </w:r>
    </w:p>
    <w:p w14:paraId="76AD9954">
      <w:pPr>
        <w:spacing w:before="180" w:line="290" w:lineRule="auto"/>
        <w:ind w:left="4" w:right="2" w:firstLine="476"/>
        <w:rPr>
          <w:rFonts w:ascii="宋体" w:hAnsi="宋体" w:eastAsia="宋体" w:cs="宋体"/>
          <w:sz w:val="24"/>
          <w:szCs w:val="24"/>
          <w:highlight w:val="none"/>
        </w:rPr>
      </w:pPr>
      <w:r>
        <w:rPr>
          <w:rFonts w:ascii="宋体" w:hAnsi="宋体" w:eastAsia="宋体" w:cs="宋体"/>
          <w:spacing w:val="-1"/>
          <w:sz w:val="24"/>
          <w:szCs w:val="24"/>
          <w:highlight w:val="none"/>
        </w:rPr>
        <w:t>第三十条除委托人书面同意外，设计人员不应</w:t>
      </w:r>
      <w:r>
        <w:rPr>
          <w:rFonts w:ascii="宋体" w:hAnsi="宋体" w:eastAsia="宋体" w:cs="宋体"/>
          <w:spacing w:val="-2"/>
          <w:sz w:val="24"/>
          <w:szCs w:val="24"/>
          <w:highlight w:val="none"/>
        </w:rPr>
        <w:t>接受建设工程设计合同约定以外的与工程</w:t>
      </w:r>
      <w:r>
        <w:rPr>
          <w:rFonts w:ascii="宋体" w:hAnsi="宋体" w:eastAsia="宋体" w:cs="宋体"/>
          <w:spacing w:val="-4"/>
          <w:sz w:val="24"/>
          <w:szCs w:val="24"/>
          <w:highlight w:val="none"/>
        </w:rPr>
        <w:t>设计项目有关的任何报酬。</w:t>
      </w:r>
    </w:p>
    <w:p w14:paraId="57F037A0">
      <w:pPr>
        <w:spacing w:before="180"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设计人不得参与可能与合同规定的与委托人利益相冲突的任何活动。</w:t>
      </w:r>
    </w:p>
    <w:p w14:paraId="44C79B85">
      <w:pPr>
        <w:spacing w:before="182" w:line="220" w:lineRule="auto"/>
        <w:ind w:left="484"/>
        <w:rPr>
          <w:rFonts w:ascii="宋体" w:hAnsi="宋体" w:eastAsia="宋体" w:cs="宋体"/>
          <w:sz w:val="24"/>
          <w:szCs w:val="24"/>
          <w:highlight w:val="none"/>
        </w:rPr>
      </w:pPr>
      <w:r>
        <w:rPr>
          <w:rFonts w:ascii="宋体" w:hAnsi="宋体" w:eastAsia="宋体" w:cs="宋体"/>
          <w:b/>
          <w:bCs/>
          <w:spacing w:val="-3"/>
          <w:sz w:val="24"/>
          <w:szCs w:val="24"/>
          <w:highlight w:val="none"/>
        </w:rPr>
        <w:t>合同争议的解决</w:t>
      </w:r>
    </w:p>
    <w:p w14:paraId="37443D9B">
      <w:pPr>
        <w:spacing w:before="181" w:line="312" w:lineRule="auto"/>
        <w:ind w:left="5" w:right="2" w:firstLine="475"/>
        <w:rPr>
          <w:rFonts w:ascii="宋体" w:hAnsi="宋体" w:eastAsia="宋体" w:cs="宋体"/>
          <w:sz w:val="24"/>
          <w:szCs w:val="24"/>
          <w:highlight w:val="none"/>
        </w:rPr>
      </w:pPr>
      <w:r>
        <w:rPr>
          <w:rFonts w:ascii="宋体" w:hAnsi="宋体" w:eastAsia="宋体" w:cs="宋体"/>
          <w:spacing w:val="-1"/>
          <w:sz w:val="24"/>
          <w:szCs w:val="24"/>
          <w:highlight w:val="none"/>
        </w:rPr>
        <w:t>第三十一条因违约或终止合同而引起的损失和</w:t>
      </w:r>
      <w:r>
        <w:rPr>
          <w:rFonts w:ascii="宋体" w:hAnsi="宋体" w:eastAsia="宋体" w:cs="宋体"/>
          <w:spacing w:val="-2"/>
          <w:sz w:val="24"/>
          <w:szCs w:val="24"/>
          <w:highlight w:val="none"/>
        </w:rPr>
        <w:t>损害的赔偿，委托人与设计人之间应当协商解决；如未能达成一致，可提交有关主管部门调解；协商或调解不成的，根据双方约定提</w:t>
      </w:r>
      <w:r>
        <w:rPr>
          <w:rFonts w:ascii="宋体" w:hAnsi="宋体" w:eastAsia="宋体" w:cs="宋体"/>
          <w:spacing w:val="-3"/>
          <w:sz w:val="24"/>
          <w:szCs w:val="24"/>
          <w:highlight w:val="none"/>
        </w:rPr>
        <w:t>交仲裁机关仲裁，或向人民法院提起诉讼。</w:t>
      </w:r>
    </w:p>
    <w:p w14:paraId="16936235">
      <w:pPr>
        <w:spacing w:before="183" w:line="313" w:lineRule="auto"/>
        <w:ind w:left="2" w:right="2" w:firstLine="478"/>
        <w:rPr>
          <w:rFonts w:ascii="宋体" w:hAnsi="宋体" w:eastAsia="宋体" w:cs="宋体"/>
          <w:sz w:val="24"/>
          <w:szCs w:val="24"/>
          <w:highlight w:val="none"/>
        </w:rPr>
      </w:pPr>
      <w:r>
        <w:rPr>
          <w:rFonts w:ascii="宋体" w:hAnsi="宋体" w:eastAsia="宋体" w:cs="宋体"/>
          <w:spacing w:val="-1"/>
          <w:sz w:val="24"/>
          <w:szCs w:val="24"/>
          <w:highlight w:val="none"/>
        </w:rPr>
        <w:t>第三十二条本合同生效后，按规定应到项目所</w:t>
      </w:r>
      <w:r>
        <w:rPr>
          <w:rFonts w:ascii="宋体" w:hAnsi="宋体" w:eastAsia="宋体" w:cs="宋体"/>
          <w:spacing w:val="-2"/>
          <w:sz w:val="24"/>
          <w:szCs w:val="24"/>
          <w:highlight w:val="none"/>
        </w:rPr>
        <w:t>在地建设行政主管部门规定的审查部门备</w:t>
      </w:r>
      <w:r>
        <w:rPr>
          <w:rFonts w:ascii="宋体" w:hAnsi="宋体" w:eastAsia="宋体" w:cs="宋体"/>
          <w:spacing w:val="-6"/>
          <w:sz w:val="24"/>
          <w:szCs w:val="24"/>
          <w:highlight w:val="none"/>
        </w:rPr>
        <w:t>案；双方认为必要时，到工商行政管理部门鉴证。双方履行完合同规定的义务后，</w:t>
      </w:r>
      <w:r>
        <w:rPr>
          <w:rFonts w:ascii="宋体" w:hAnsi="宋体" w:eastAsia="宋体" w:cs="宋体"/>
          <w:spacing w:val="62"/>
          <w:sz w:val="24"/>
          <w:szCs w:val="24"/>
          <w:highlight w:val="none"/>
        </w:rPr>
        <w:t xml:space="preserve"> </w:t>
      </w:r>
      <w:r>
        <w:rPr>
          <w:rFonts w:ascii="宋体" w:hAnsi="宋体" w:eastAsia="宋体" w:cs="宋体"/>
          <w:spacing w:val="-6"/>
          <w:sz w:val="24"/>
          <w:szCs w:val="24"/>
          <w:highlight w:val="none"/>
        </w:rPr>
        <w:t>本合同即</w:t>
      </w:r>
      <w:r>
        <w:rPr>
          <w:rFonts w:ascii="宋体" w:hAnsi="宋体" w:eastAsia="宋体" w:cs="宋体"/>
          <w:spacing w:val="-9"/>
          <w:sz w:val="24"/>
          <w:szCs w:val="24"/>
          <w:highlight w:val="none"/>
        </w:rPr>
        <w:t>行终止。</w:t>
      </w:r>
    </w:p>
    <w:p w14:paraId="457857FB">
      <w:pPr>
        <w:spacing w:before="298" w:line="220" w:lineRule="auto"/>
        <w:ind w:left="3668"/>
        <w:rPr>
          <w:rFonts w:ascii="宋体" w:hAnsi="宋体" w:eastAsia="宋体" w:cs="宋体"/>
          <w:sz w:val="28"/>
          <w:szCs w:val="28"/>
          <w:highlight w:val="none"/>
        </w:rPr>
      </w:pPr>
      <w:r>
        <w:rPr>
          <w:rFonts w:ascii="宋体" w:hAnsi="宋体" w:eastAsia="宋体" w:cs="宋体"/>
          <w:b/>
          <w:bCs/>
          <w:spacing w:val="-6"/>
          <w:sz w:val="28"/>
          <w:szCs w:val="28"/>
          <w:highlight w:val="none"/>
        </w:rPr>
        <w:t>设计合同专用条件</w:t>
      </w:r>
    </w:p>
    <w:p w14:paraId="12549EBE">
      <w:pPr>
        <w:spacing w:before="16" w:line="219"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第一条本合同适用的法律、法规及工程设计规定：</w:t>
      </w:r>
    </w:p>
    <w:p w14:paraId="5725C073">
      <w:pPr>
        <w:spacing w:before="183" w:line="220" w:lineRule="auto"/>
        <w:ind w:left="499"/>
        <w:rPr>
          <w:rFonts w:ascii="宋体" w:hAnsi="宋体" w:eastAsia="宋体" w:cs="宋体"/>
          <w:sz w:val="24"/>
          <w:szCs w:val="24"/>
          <w:highlight w:val="none"/>
        </w:rPr>
      </w:pPr>
      <w:r>
        <w:rPr>
          <w:rFonts w:ascii="宋体" w:hAnsi="宋体" w:eastAsia="宋体" w:cs="宋体"/>
          <w:spacing w:val="-3"/>
          <w:sz w:val="24"/>
          <w:szCs w:val="24"/>
          <w:highlight w:val="none"/>
        </w:rPr>
        <w:t>1、《中华人民共和国民法典》、《中华人民共和国建筑法》等；</w:t>
      </w:r>
    </w:p>
    <w:p w14:paraId="5C0537B3">
      <w:pPr>
        <w:spacing w:before="182"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2、国家及地方有关建设工程勘察设计管理法规、规章及规</w:t>
      </w:r>
      <w:r>
        <w:rPr>
          <w:rFonts w:ascii="宋体" w:hAnsi="宋体" w:eastAsia="宋体" w:cs="宋体"/>
          <w:spacing w:val="-3"/>
          <w:sz w:val="24"/>
          <w:szCs w:val="24"/>
          <w:highlight w:val="none"/>
        </w:rPr>
        <w:t>范性文件；</w:t>
      </w:r>
    </w:p>
    <w:p w14:paraId="03AA4018">
      <w:pPr>
        <w:spacing w:before="181" w:line="220" w:lineRule="auto"/>
        <w:ind w:left="486"/>
        <w:rPr>
          <w:rFonts w:ascii="宋体" w:hAnsi="宋体" w:eastAsia="宋体" w:cs="宋体"/>
          <w:sz w:val="24"/>
          <w:szCs w:val="24"/>
          <w:highlight w:val="none"/>
        </w:rPr>
      </w:pPr>
      <w:r>
        <w:rPr>
          <w:rFonts w:ascii="宋体" w:hAnsi="宋体" w:eastAsia="宋体" w:cs="宋体"/>
          <w:spacing w:val="-5"/>
          <w:sz w:val="24"/>
          <w:szCs w:val="24"/>
          <w:highlight w:val="none"/>
        </w:rPr>
        <w:t>3、建设工程批准文件。</w:t>
      </w:r>
    </w:p>
    <w:p w14:paraId="5BA45580">
      <w:pPr>
        <w:spacing w:before="182"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第二条建设工程设计业务范围</w:t>
      </w:r>
    </w:p>
    <w:p w14:paraId="34CA2A37">
      <w:pPr>
        <w:spacing w:before="180" w:line="219" w:lineRule="auto"/>
        <w:ind w:left="499"/>
        <w:rPr>
          <w:rFonts w:ascii="宋体" w:hAnsi="宋体" w:eastAsia="宋体" w:cs="宋体"/>
          <w:sz w:val="24"/>
          <w:szCs w:val="24"/>
          <w:highlight w:val="none"/>
        </w:rPr>
      </w:pPr>
      <w:r>
        <w:rPr>
          <w:rFonts w:ascii="宋体" w:hAnsi="宋体" w:eastAsia="宋体" w:cs="宋体"/>
          <w:spacing w:val="-9"/>
          <w:sz w:val="24"/>
          <w:szCs w:val="24"/>
          <w:highlight w:val="none"/>
        </w:rPr>
        <w:t>1、本次设计依据：</w:t>
      </w:r>
      <w:r>
        <w:rPr>
          <w:rFonts w:hint="eastAsia" w:ascii="宋体" w:hAnsi="宋体" w:eastAsia="宋体" w:cs="宋体"/>
          <w:spacing w:val="-6"/>
          <w:sz w:val="24"/>
          <w:szCs w:val="24"/>
          <w:highlight w:val="none"/>
          <w:u w:val="single"/>
          <w:lang w:val="en-US" w:eastAsia="zh-CN"/>
        </w:rPr>
        <w:t xml:space="preserve">                    </w:t>
      </w:r>
    </w:p>
    <w:p w14:paraId="7FB40D07">
      <w:pPr>
        <w:spacing w:before="183" w:line="220" w:lineRule="auto"/>
        <w:ind w:left="484"/>
        <w:rPr>
          <w:rFonts w:ascii="宋体" w:hAnsi="宋体" w:eastAsia="宋体" w:cs="宋体"/>
          <w:sz w:val="24"/>
          <w:szCs w:val="24"/>
          <w:highlight w:val="none"/>
        </w:rPr>
      </w:pPr>
      <w:r>
        <w:rPr>
          <w:rFonts w:ascii="宋体" w:hAnsi="宋体" w:eastAsia="宋体" w:cs="宋体"/>
          <w:spacing w:val="-7"/>
          <w:sz w:val="24"/>
          <w:szCs w:val="24"/>
          <w:highlight w:val="none"/>
        </w:rPr>
        <w:t>2、设计工程规模：</w:t>
      </w:r>
      <w:r>
        <w:rPr>
          <w:rFonts w:hint="eastAsia" w:ascii="宋体" w:hAnsi="宋体" w:eastAsia="宋体" w:cs="宋体"/>
          <w:spacing w:val="-6"/>
          <w:sz w:val="24"/>
          <w:szCs w:val="24"/>
          <w:highlight w:val="none"/>
          <w:u w:val="single"/>
          <w:lang w:val="en-US" w:eastAsia="zh-CN"/>
        </w:rPr>
        <w:t xml:space="preserve">                    </w:t>
      </w:r>
    </w:p>
    <w:p w14:paraId="6C2EC641">
      <w:pPr>
        <w:spacing w:before="180" w:line="220" w:lineRule="auto"/>
        <w:ind w:left="486"/>
        <w:rPr>
          <w:rFonts w:ascii="宋体" w:hAnsi="宋体" w:eastAsia="宋体" w:cs="宋体"/>
          <w:sz w:val="24"/>
          <w:szCs w:val="24"/>
          <w:highlight w:val="none"/>
        </w:rPr>
      </w:pPr>
      <w:r>
        <w:rPr>
          <w:rFonts w:ascii="宋体" w:hAnsi="宋体" w:eastAsia="宋体" w:cs="宋体"/>
          <w:spacing w:val="-9"/>
          <w:sz w:val="24"/>
          <w:szCs w:val="24"/>
          <w:highlight w:val="none"/>
        </w:rPr>
        <w:t>3、设计内容：</w:t>
      </w:r>
      <w:r>
        <w:rPr>
          <w:rFonts w:hint="eastAsia" w:ascii="宋体" w:hAnsi="宋体" w:eastAsia="宋体" w:cs="宋体"/>
          <w:spacing w:val="-6"/>
          <w:sz w:val="24"/>
          <w:szCs w:val="24"/>
          <w:highlight w:val="none"/>
          <w:u w:val="single"/>
          <w:lang w:val="en-US" w:eastAsia="zh-CN"/>
        </w:rPr>
        <w:t xml:space="preserve">                    </w:t>
      </w:r>
    </w:p>
    <w:p w14:paraId="460F97A1">
      <w:pPr>
        <w:spacing w:before="184" w:line="288" w:lineRule="auto"/>
        <w:ind w:right="9" w:firstLine="480"/>
        <w:rPr>
          <w:rFonts w:ascii="宋体" w:hAnsi="宋体" w:eastAsia="宋体" w:cs="宋体"/>
          <w:sz w:val="24"/>
          <w:szCs w:val="24"/>
          <w:highlight w:val="none"/>
        </w:rPr>
      </w:pPr>
      <w:r>
        <w:rPr>
          <w:rFonts w:ascii="宋体" w:hAnsi="宋体" w:eastAsia="宋体" w:cs="宋体"/>
          <w:spacing w:val="2"/>
          <w:sz w:val="24"/>
          <w:szCs w:val="24"/>
          <w:highlight w:val="none"/>
        </w:rPr>
        <w:t>4、设计的技术标准：符合现行国家、地方</w:t>
      </w:r>
      <w:r>
        <w:rPr>
          <w:rFonts w:ascii="宋体" w:hAnsi="宋体" w:eastAsia="宋体" w:cs="宋体"/>
          <w:spacing w:val="1"/>
          <w:sz w:val="24"/>
          <w:szCs w:val="24"/>
          <w:highlight w:val="none"/>
        </w:rPr>
        <w:t>及行业相关设计规范要求，通过施工图审查</w:t>
      </w:r>
      <w:r>
        <w:rPr>
          <w:rFonts w:ascii="宋体" w:hAnsi="宋体" w:eastAsia="宋体" w:cs="宋体"/>
          <w:spacing w:val="-4"/>
          <w:sz w:val="24"/>
          <w:szCs w:val="24"/>
          <w:highlight w:val="none"/>
        </w:rPr>
        <w:t>机构等有关部门的审查。</w:t>
      </w:r>
    </w:p>
    <w:p w14:paraId="721183B1">
      <w:pPr>
        <w:spacing w:before="183" w:line="221" w:lineRule="auto"/>
        <w:ind w:left="486"/>
        <w:rPr>
          <w:rFonts w:ascii="宋体" w:hAnsi="宋体" w:eastAsia="宋体" w:cs="宋体"/>
          <w:sz w:val="24"/>
          <w:szCs w:val="24"/>
          <w:highlight w:val="none"/>
        </w:rPr>
      </w:pPr>
      <w:r>
        <w:rPr>
          <w:rFonts w:ascii="宋体" w:hAnsi="宋体" w:eastAsia="宋体" w:cs="宋体"/>
          <w:spacing w:val="-9"/>
          <w:sz w:val="24"/>
          <w:szCs w:val="24"/>
          <w:highlight w:val="none"/>
        </w:rPr>
        <w:t>5、设计阶段：</w:t>
      </w:r>
      <w:r>
        <w:rPr>
          <w:rFonts w:hint="eastAsia" w:ascii="宋体" w:hAnsi="宋体" w:eastAsia="宋体" w:cs="宋体"/>
          <w:spacing w:val="-6"/>
          <w:sz w:val="24"/>
          <w:szCs w:val="24"/>
          <w:highlight w:val="none"/>
          <w:u w:val="single"/>
          <w:lang w:val="en-US" w:eastAsia="zh-CN"/>
        </w:rPr>
        <w:t xml:space="preserve">                    </w:t>
      </w:r>
    </w:p>
    <w:p w14:paraId="23F89CC6">
      <w:pPr>
        <w:spacing w:before="178" w:line="219"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第三条设计人向委托人提供的正常服务主要为：</w:t>
      </w:r>
    </w:p>
    <w:p w14:paraId="2779C7EF">
      <w:pPr>
        <w:spacing w:line="219" w:lineRule="auto"/>
        <w:rPr>
          <w:rFonts w:ascii="宋体" w:hAnsi="宋体" w:eastAsia="宋体" w:cs="宋体"/>
          <w:sz w:val="24"/>
          <w:szCs w:val="24"/>
          <w:highlight w:val="none"/>
        </w:rPr>
        <w:sectPr>
          <w:footerReference r:id="rId29" w:type="default"/>
          <w:pgSz w:w="11907" w:h="16839"/>
          <w:pgMar w:top="1425" w:right="1173" w:bottom="1129" w:left="1184" w:header="0" w:footer="898" w:gutter="0"/>
          <w:cols w:space="720" w:num="1"/>
        </w:sectPr>
      </w:pPr>
    </w:p>
    <w:p w14:paraId="1665EF68">
      <w:pPr>
        <w:spacing w:before="47" w:line="220" w:lineRule="auto"/>
        <w:ind w:left="499"/>
        <w:rPr>
          <w:rFonts w:ascii="宋体" w:hAnsi="宋体" w:eastAsia="宋体" w:cs="宋体"/>
          <w:sz w:val="24"/>
          <w:szCs w:val="24"/>
          <w:highlight w:val="none"/>
        </w:rPr>
      </w:pPr>
      <w:r>
        <w:rPr>
          <w:rFonts w:ascii="宋体" w:hAnsi="宋体" w:eastAsia="宋体" w:cs="宋体"/>
          <w:spacing w:val="-9"/>
          <w:sz w:val="24"/>
          <w:szCs w:val="24"/>
          <w:highlight w:val="none"/>
        </w:rPr>
        <w:t>1、设计成果份数：</w:t>
      </w:r>
    </w:p>
    <w:p w14:paraId="016D2C20">
      <w:pPr>
        <w:spacing w:line="149" w:lineRule="exact"/>
        <w:rPr>
          <w:highlight w:val="none"/>
        </w:rPr>
      </w:pPr>
    </w:p>
    <w:tbl>
      <w:tblPr>
        <w:tblStyle w:val="24"/>
        <w:tblW w:w="9219" w:type="dxa"/>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2260"/>
        <w:gridCol w:w="890"/>
        <w:gridCol w:w="1339"/>
        <w:gridCol w:w="3946"/>
      </w:tblGrid>
      <w:tr w14:paraId="15878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84" w:type="dxa"/>
            <w:vAlign w:val="top"/>
          </w:tcPr>
          <w:p w14:paraId="7D566D5C">
            <w:pPr>
              <w:spacing w:before="201" w:line="221" w:lineRule="auto"/>
              <w:ind w:left="128"/>
              <w:rPr>
                <w:rFonts w:ascii="宋体" w:hAnsi="宋体" w:eastAsia="宋体" w:cs="宋体"/>
                <w:sz w:val="24"/>
                <w:szCs w:val="24"/>
                <w:highlight w:val="none"/>
              </w:rPr>
            </w:pPr>
            <w:r>
              <w:rPr>
                <w:rFonts w:ascii="宋体" w:hAnsi="宋体" w:eastAsia="宋体" w:cs="宋体"/>
                <w:spacing w:val="-4"/>
                <w:sz w:val="24"/>
                <w:szCs w:val="24"/>
                <w:highlight w:val="none"/>
              </w:rPr>
              <w:t>序号</w:t>
            </w:r>
          </w:p>
        </w:tc>
        <w:tc>
          <w:tcPr>
            <w:tcW w:w="2260" w:type="dxa"/>
            <w:vAlign w:val="top"/>
          </w:tcPr>
          <w:p w14:paraId="7F135BAC">
            <w:pPr>
              <w:spacing w:before="198" w:line="220" w:lineRule="auto"/>
              <w:ind w:left="216"/>
              <w:rPr>
                <w:rFonts w:ascii="宋体" w:hAnsi="宋体" w:eastAsia="宋体" w:cs="宋体"/>
                <w:sz w:val="24"/>
                <w:szCs w:val="24"/>
                <w:highlight w:val="none"/>
              </w:rPr>
            </w:pPr>
            <w:r>
              <w:rPr>
                <w:rFonts w:ascii="宋体" w:hAnsi="宋体" w:eastAsia="宋体" w:cs="宋体"/>
                <w:spacing w:val="-7"/>
                <w:sz w:val="24"/>
                <w:szCs w:val="24"/>
                <w:highlight w:val="none"/>
              </w:rPr>
              <w:t>资料及文件名称</w:t>
            </w:r>
          </w:p>
        </w:tc>
        <w:tc>
          <w:tcPr>
            <w:tcW w:w="890" w:type="dxa"/>
            <w:vAlign w:val="top"/>
          </w:tcPr>
          <w:p w14:paraId="634908B1">
            <w:pPr>
              <w:spacing w:before="198" w:line="220" w:lineRule="auto"/>
              <w:ind w:left="176"/>
              <w:rPr>
                <w:rFonts w:ascii="宋体" w:hAnsi="宋体" w:eastAsia="宋体" w:cs="宋体"/>
                <w:sz w:val="24"/>
                <w:szCs w:val="24"/>
                <w:highlight w:val="none"/>
              </w:rPr>
            </w:pPr>
            <w:r>
              <w:rPr>
                <w:rFonts w:ascii="宋体" w:hAnsi="宋体" w:eastAsia="宋体" w:cs="宋体"/>
                <w:spacing w:val="-4"/>
                <w:sz w:val="24"/>
                <w:szCs w:val="24"/>
                <w:highlight w:val="none"/>
              </w:rPr>
              <w:t>份数</w:t>
            </w:r>
          </w:p>
        </w:tc>
        <w:tc>
          <w:tcPr>
            <w:tcW w:w="1339" w:type="dxa"/>
            <w:vAlign w:val="top"/>
          </w:tcPr>
          <w:p w14:paraId="0B362EB3">
            <w:pPr>
              <w:spacing w:before="199" w:line="220" w:lineRule="auto"/>
              <w:ind w:left="144"/>
              <w:rPr>
                <w:rFonts w:ascii="宋体" w:hAnsi="宋体" w:eastAsia="宋体" w:cs="宋体"/>
                <w:sz w:val="24"/>
                <w:szCs w:val="24"/>
                <w:highlight w:val="none"/>
              </w:rPr>
            </w:pPr>
            <w:r>
              <w:rPr>
                <w:rFonts w:ascii="宋体" w:hAnsi="宋体" w:eastAsia="宋体" w:cs="宋体"/>
                <w:spacing w:val="-5"/>
                <w:sz w:val="24"/>
                <w:szCs w:val="24"/>
                <w:highlight w:val="none"/>
              </w:rPr>
              <w:t>提交日期</w:t>
            </w:r>
          </w:p>
        </w:tc>
        <w:tc>
          <w:tcPr>
            <w:tcW w:w="3946" w:type="dxa"/>
            <w:vAlign w:val="top"/>
          </w:tcPr>
          <w:p w14:paraId="480CF109">
            <w:pPr>
              <w:spacing w:before="199" w:line="220" w:lineRule="auto"/>
              <w:ind w:left="1328"/>
              <w:rPr>
                <w:rFonts w:ascii="宋体" w:hAnsi="宋体" w:eastAsia="宋体" w:cs="宋体"/>
                <w:sz w:val="24"/>
                <w:szCs w:val="24"/>
                <w:highlight w:val="none"/>
              </w:rPr>
            </w:pPr>
            <w:r>
              <w:rPr>
                <w:rFonts w:ascii="宋体" w:hAnsi="宋体" w:eastAsia="宋体" w:cs="宋体"/>
                <w:spacing w:val="-5"/>
                <w:sz w:val="24"/>
                <w:szCs w:val="24"/>
                <w:highlight w:val="none"/>
              </w:rPr>
              <w:t>有关事宜</w:t>
            </w:r>
          </w:p>
        </w:tc>
      </w:tr>
      <w:tr w14:paraId="224C7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84" w:type="dxa"/>
            <w:vAlign w:val="top"/>
          </w:tcPr>
          <w:p w14:paraId="73B8A368">
            <w:pPr>
              <w:spacing w:before="178" w:line="241" w:lineRule="auto"/>
              <w:ind w:left="343"/>
              <w:rPr>
                <w:rFonts w:ascii="宋体" w:hAnsi="宋体" w:eastAsia="宋体" w:cs="宋体"/>
                <w:sz w:val="24"/>
                <w:szCs w:val="24"/>
                <w:highlight w:val="none"/>
              </w:rPr>
            </w:pPr>
            <w:r>
              <w:rPr>
                <w:rFonts w:ascii="宋体" w:hAnsi="宋体" w:eastAsia="宋体" w:cs="宋体"/>
                <w:sz w:val="24"/>
                <w:szCs w:val="24"/>
                <w:highlight w:val="none"/>
              </w:rPr>
              <w:t>1</w:t>
            </w:r>
          </w:p>
        </w:tc>
        <w:tc>
          <w:tcPr>
            <w:tcW w:w="2260" w:type="dxa"/>
            <w:vAlign w:val="top"/>
          </w:tcPr>
          <w:p w14:paraId="21ED2565">
            <w:pPr>
              <w:spacing w:before="175" w:line="220" w:lineRule="auto"/>
              <w:ind w:left="434"/>
              <w:rPr>
                <w:rFonts w:ascii="宋体" w:hAnsi="宋体" w:eastAsia="宋体" w:cs="宋体"/>
                <w:sz w:val="24"/>
                <w:szCs w:val="24"/>
                <w:highlight w:val="none"/>
              </w:rPr>
            </w:pPr>
            <w:r>
              <w:rPr>
                <w:rFonts w:ascii="宋体" w:hAnsi="宋体" w:eastAsia="宋体" w:cs="宋体"/>
                <w:spacing w:val="-3"/>
                <w:sz w:val="24"/>
                <w:szCs w:val="24"/>
                <w:highlight w:val="none"/>
              </w:rPr>
              <w:t>全部施工图</w:t>
            </w:r>
          </w:p>
        </w:tc>
        <w:tc>
          <w:tcPr>
            <w:tcW w:w="890" w:type="dxa"/>
            <w:vAlign w:val="top"/>
          </w:tcPr>
          <w:p w14:paraId="0EF064D1">
            <w:pPr>
              <w:spacing w:before="177"/>
              <w:ind w:left="357"/>
              <w:rPr>
                <w:rFonts w:ascii="宋体" w:hAnsi="宋体" w:eastAsia="宋体" w:cs="宋体"/>
                <w:sz w:val="24"/>
                <w:szCs w:val="24"/>
                <w:highlight w:val="none"/>
              </w:rPr>
            </w:pPr>
            <w:r>
              <w:rPr>
                <w:rFonts w:ascii="宋体" w:hAnsi="宋体" w:eastAsia="宋体" w:cs="宋体"/>
                <w:sz w:val="24"/>
                <w:szCs w:val="24"/>
                <w:highlight w:val="none"/>
              </w:rPr>
              <w:t>8</w:t>
            </w:r>
          </w:p>
        </w:tc>
        <w:tc>
          <w:tcPr>
            <w:tcW w:w="1339" w:type="dxa"/>
            <w:vAlign w:val="top"/>
          </w:tcPr>
          <w:p w14:paraId="630B388B">
            <w:pPr>
              <w:rPr>
                <w:rFonts w:ascii="Arial"/>
                <w:sz w:val="21"/>
                <w:highlight w:val="none"/>
              </w:rPr>
            </w:pPr>
          </w:p>
        </w:tc>
        <w:tc>
          <w:tcPr>
            <w:tcW w:w="3946" w:type="dxa"/>
            <w:vAlign w:val="top"/>
          </w:tcPr>
          <w:p w14:paraId="7922F395">
            <w:pPr>
              <w:rPr>
                <w:rFonts w:ascii="Arial"/>
                <w:sz w:val="21"/>
                <w:highlight w:val="none"/>
              </w:rPr>
            </w:pPr>
          </w:p>
        </w:tc>
      </w:tr>
    </w:tbl>
    <w:p w14:paraId="09D1E735">
      <w:pPr>
        <w:spacing w:before="34" w:line="359" w:lineRule="auto"/>
        <w:ind w:left="1" w:right="76" w:firstLine="482"/>
        <w:rPr>
          <w:rFonts w:ascii="宋体" w:hAnsi="宋体" w:eastAsia="宋体" w:cs="宋体"/>
          <w:sz w:val="24"/>
          <w:szCs w:val="24"/>
          <w:highlight w:val="none"/>
        </w:rPr>
      </w:pPr>
      <w:r>
        <w:rPr>
          <w:rFonts w:ascii="宋体" w:hAnsi="宋体" w:eastAsia="宋体" w:cs="宋体"/>
          <w:spacing w:val="1"/>
          <w:sz w:val="24"/>
          <w:szCs w:val="24"/>
          <w:highlight w:val="none"/>
        </w:rPr>
        <w:t>2、设计人需组成项目组常驻六安进行本项目设计工作，并在本项目施工各阶段期间派</w:t>
      </w:r>
      <w:r>
        <w:rPr>
          <w:rFonts w:ascii="宋体" w:hAnsi="宋体" w:eastAsia="宋体" w:cs="宋体"/>
          <w:spacing w:val="-4"/>
          <w:sz w:val="24"/>
          <w:szCs w:val="24"/>
          <w:highlight w:val="none"/>
        </w:rPr>
        <w:t>驻设计代表长期驻施工现场。</w:t>
      </w:r>
    </w:p>
    <w:p w14:paraId="2BFC88E2">
      <w:pPr>
        <w:spacing w:before="2" w:line="359" w:lineRule="auto"/>
        <w:ind w:left="4"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设计代表应随叫随到，及时配合解决有关问题，保障工程顺利进行。对于现场服务不及</w:t>
      </w:r>
      <w:r>
        <w:rPr>
          <w:rFonts w:ascii="宋体" w:hAnsi="宋体" w:eastAsia="宋体" w:cs="宋体"/>
          <w:spacing w:val="-8"/>
          <w:sz w:val="24"/>
          <w:szCs w:val="24"/>
          <w:highlight w:val="none"/>
        </w:rPr>
        <w:t>时，每发生一次设计人应向委托人支付设计费用的</w:t>
      </w:r>
      <w:r>
        <w:rPr>
          <w:rFonts w:ascii="宋体" w:hAnsi="宋体" w:eastAsia="宋体" w:cs="宋体"/>
          <w:spacing w:val="-32"/>
          <w:sz w:val="24"/>
          <w:szCs w:val="24"/>
          <w:highlight w:val="none"/>
        </w:rPr>
        <w:t xml:space="preserve"> </w:t>
      </w:r>
      <w:r>
        <w:rPr>
          <w:rFonts w:ascii="宋体" w:hAnsi="宋体" w:eastAsia="宋体" w:cs="宋体"/>
          <w:spacing w:val="-8"/>
          <w:sz w:val="24"/>
          <w:szCs w:val="24"/>
          <w:highlight w:val="none"/>
        </w:rPr>
        <w:t>1%作为违约金；发生</w:t>
      </w:r>
      <w:r>
        <w:rPr>
          <w:rFonts w:ascii="宋体" w:hAnsi="宋体" w:eastAsia="宋体" w:cs="宋体"/>
          <w:spacing w:val="-45"/>
          <w:sz w:val="24"/>
          <w:szCs w:val="24"/>
          <w:highlight w:val="none"/>
        </w:rPr>
        <w:t xml:space="preserve"> </w:t>
      </w:r>
      <w:r>
        <w:rPr>
          <w:rFonts w:ascii="宋体" w:hAnsi="宋体" w:eastAsia="宋体" w:cs="宋体"/>
          <w:spacing w:val="-9"/>
          <w:sz w:val="24"/>
          <w:szCs w:val="24"/>
          <w:highlight w:val="none"/>
        </w:rPr>
        <w:t>3</w:t>
      </w:r>
      <w:r>
        <w:rPr>
          <w:rFonts w:ascii="宋体" w:hAnsi="宋体" w:eastAsia="宋体" w:cs="宋体"/>
          <w:spacing w:val="-45"/>
          <w:sz w:val="24"/>
          <w:szCs w:val="24"/>
          <w:highlight w:val="none"/>
        </w:rPr>
        <w:t xml:space="preserve"> </w:t>
      </w:r>
      <w:r>
        <w:rPr>
          <w:rFonts w:ascii="宋体" w:hAnsi="宋体" w:eastAsia="宋体" w:cs="宋体"/>
          <w:spacing w:val="-9"/>
          <w:sz w:val="24"/>
          <w:szCs w:val="24"/>
          <w:highlight w:val="none"/>
        </w:rPr>
        <w:t>次（不含）以上的，</w:t>
      </w:r>
      <w:r>
        <w:rPr>
          <w:rFonts w:ascii="宋体" w:hAnsi="宋体" w:eastAsia="宋体" w:cs="宋体"/>
          <w:spacing w:val="-3"/>
          <w:sz w:val="24"/>
          <w:szCs w:val="24"/>
          <w:highlight w:val="none"/>
        </w:rPr>
        <w:t>设计人将被列入六安市建筑工程设计单位不良记录；</w:t>
      </w:r>
    </w:p>
    <w:p w14:paraId="7A08A6B0">
      <w:pPr>
        <w:spacing w:before="2" w:line="358" w:lineRule="auto"/>
        <w:ind w:right="72" w:firstLine="486"/>
        <w:jc w:val="both"/>
        <w:rPr>
          <w:rFonts w:ascii="宋体" w:hAnsi="宋体" w:eastAsia="宋体" w:cs="宋体"/>
          <w:sz w:val="24"/>
          <w:szCs w:val="24"/>
          <w:highlight w:val="none"/>
        </w:rPr>
      </w:pPr>
      <w:r>
        <w:rPr>
          <w:rFonts w:ascii="宋体" w:hAnsi="宋体" w:eastAsia="宋体" w:cs="宋体"/>
          <w:spacing w:val="2"/>
          <w:sz w:val="24"/>
          <w:szCs w:val="24"/>
          <w:highlight w:val="none"/>
        </w:rPr>
        <w:t>3、设计人交付设计文件后，按规定参加有关</w:t>
      </w:r>
      <w:r>
        <w:rPr>
          <w:rFonts w:ascii="宋体" w:hAnsi="宋体" w:eastAsia="宋体" w:cs="宋体"/>
          <w:spacing w:val="1"/>
          <w:sz w:val="24"/>
          <w:szCs w:val="24"/>
          <w:highlight w:val="none"/>
        </w:rPr>
        <w:t>上级的设计审查，并根据审查结论负责不</w:t>
      </w:r>
      <w:r>
        <w:rPr>
          <w:rFonts w:ascii="宋体" w:hAnsi="宋体" w:eastAsia="宋体" w:cs="宋体"/>
          <w:spacing w:val="-1"/>
          <w:sz w:val="24"/>
          <w:szCs w:val="24"/>
          <w:highlight w:val="none"/>
        </w:rPr>
        <w:t>超出原定范围的内容做必要调整补充。设计人按合同规定</w:t>
      </w:r>
      <w:r>
        <w:rPr>
          <w:rFonts w:ascii="宋体" w:hAnsi="宋体" w:eastAsia="宋体" w:cs="宋体"/>
          <w:spacing w:val="-2"/>
          <w:sz w:val="24"/>
          <w:szCs w:val="24"/>
          <w:highlight w:val="none"/>
        </w:rPr>
        <w:t>时限交付设计文件</w:t>
      </w:r>
      <w:r>
        <w:rPr>
          <w:rFonts w:hint="eastAsia" w:ascii="宋体" w:hAnsi="宋体" w:eastAsia="宋体" w:cs="宋体"/>
          <w:spacing w:val="-2"/>
          <w:sz w:val="24"/>
          <w:szCs w:val="24"/>
          <w:highlight w:val="none"/>
          <w:lang w:eastAsia="zh-CN"/>
        </w:rPr>
        <w:t>两年</w:t>
      </w:r>
      <w:r>
        <w:rPr>
          <w:rFonts w:ascii="宋体" w:hAnsi="宋体" w:eastAsia="宋体" w:cs="宋体"/>
          <w:spacing w:val="-2"/>
          <w:sz w:val="24"/>
          <w:szCs w:val="24"/>
          <w:highlight w:val="none"/>
        </w:rPr>
        <w:t>内项目开始</w:t>
      </w:r>
      <w:r>
        <w:rPr>
          <w:rFonts w:ascii="宋体" w:hAnsi="宋体" w:eastAsia="宋体" w:cs="宋体"/>
          <w:spacing w:val="-1"/>
          <w:sz w:val="24"/>
          <w:szCs w:val="24"/>
          <w:highlight w:val="none"/>
        </w:rPr>
        <w:t>施工，负责向发包人及施工单位进行设计交底、处理有关设计问题和</w:t>
      </w:r>
      <w:r>
        <w:rPr>
          <w:rFonts w:ascii="宋体" w:hAnsi="宋体" w:eastAsia="宋体" w:cs="宋体"/>
          <w:spacing w:val="-2"/>
          <w:sz w:val="24"/>
          <w:szCs w:val="24"/>
          <w:highlight w:val="none"/>
        </w:rPr>
        <w:t>参加竣工验收。</w:t>
      </w:r>
    </w:p>
    <w:p w14:paraId="2263E08C">
      <w:pPr>
        <w:spacing w:before="2" w:line="324" w:lineRule="auto"/>
        <w:ind w:right="70" w:firstLine="480"/>
        <w:rPr>
          <w:rFonts w:ascii="宋体" w:hAnsi="宋体" w:eastAsia="宋体" w:cs="宋体"/>
          <w:sz w:val="24"/>
          <w:szCs w:val="24"/>
          <w:highlight w:val="none"/>
        </w:rPr>
      </w:pPr>
      <w:r>
        <w:rPr>
          <w:rFonts w:ascii="宋体" w:hAnsi="宋体" w:eastAsia="宋体" w:cs="宋体"/>
          <w:spacing w:val="-1"/>
          <w:sz w:val="24"/>
          <w:szCs w:val="24"/>
          <w:highlight w:val="none"/>
        </w:rPr>
        <w:t>第四条双方约定不得泄漏与本合同规定业务活动</w:t>
      </w:r>
      <w:r>
        <w:rPr>
          <w:rFonts w:ascii="宋体" w:hAnsi="宋体" w:eastAsia="宋体" w:cs="宋体"/>
          <w:spacing w:val="-2"/>
          <w:sz w:val="24"/>
          <w:szCs w:val="24"/>
          <w:highlight w:val="none"/>
        </w:rPr>
        <w:t>有关的保密资料：双方均应保护对方的</w:t>
      </w:r>
      <w:r>
        <w:rPr>
          <w:rFonts w:ascii="宋体" w:hAnsi="宋体" w:eastAsia="宋体" w:cs="宋体"/>
          <w:spacing w:val="-1"/>
          <w:sz w:val="24"/>
          <w:szCs w:val="24"/>
          <w:highlight w:val="none"/>
        </w:rPr>
        <w:t>知识产权，未经对方同意，任何一方均不得对对方的资料及</w:t>
      </w:r>
      <w:r>
        <w:rPr>
          <w:rFonts w:ascii="宋体" w:hAnsi="宋体" w:eastAsia="宋体" w:cs="宋体"/>
          <w:spacing w:val="-2"/>
          <w:sz w:val="24"/>
          <w:szCs w:val="24"/>
          <w:highlight w:val="none"/>
        </w:rPr>
        <w:t>文件擅自修改、复制或向第三人</w:t>
      </w:r>
      <w:r>
        <w:rPr>
          <w:rFonts w:ascii="宋体" w:hAnsi="宋体" w:eastAsia="宋体" w:cs="宋体"/>
          <w:spacing w:val="-4"/>
          <w:sz w:val="24"/>
          <w:szCs w:val="24"/>
          <w:highlight w:val="none"/>
        </w:rPr>
        <w:t>转让或用于本合同项目外的项目。如发生以上情况， 泄密方承担一切</w:t>
      </w:r>
      <w:r>
        <w:rPr>
          <w:rFonts w:ascii="宋体" w:hAnsi="宋体" w:eastAsia="宋体" w:cs="宋体"/>
          <w:spacing w:val="-5"/>
          <w:sz w:val="24"/>
          <w:szCs w:val="24"/>
          <w:highlight w:val="none"/>
        </w:rPr>
        <w:t>由此引起的后果并承担</w:t>
      </w:r>
      <w:r>
        <w:rPr>
          <w:rFonts w:ascii="宋体" w:hAnsi="宋体" w:eastAsia="宋体" w:cs="宋体"/>
          <w:spacing w:val="-8"/>
          <w:sz w:val="24"/>
          <w:szCs w:val="24"/>
          <w:highlight w:val="none"/>
        </w:rPr>
        <w:t>赔偿责任。</w:t>
      </w:r>
    </w:p>
    <w:p w14:paraId="2DC664AA">
      <w:pPr>
        <w:spacing w:before="180" w:line="219"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第五条委托人应提供的建设工程设计咨询的相关资料为：</w:t>
      </w:r>
    </w:p>
    <w:p w14:paraId="5F910818">
      <w:pPr>
        <w:spacing w:before="184" w:line="359" w:lineRule="auto"/>
        <w:ind w:left="1" w:right="77" w:firstLine="497"/>
        <w:rPr>
          <w:rFonts w:ascii="宋体" w:hAnsi="宋体" w:eastAsia="宋体" w:cs="宋体"/>
          <w:sz w:val="24"/>
          <w:szCs w:val="24"/>
          <w:highlight w:val="none"/>
        </w:rPr>
      </w:pPr>
      <w:r>
        <w:rPr>
          <w:rFonts w:ascii="宋体" w:hAnsi="宋体" w:eastAsia="宋体" w:cs="宋体"/>
          <w:spacing w:val="1"/>
          <w:sz w:val="24"/>
          <w:szCs w:val="24"/>
          <w:highlight w:val="none"/>
        </w:rPr>
        <w:t>1、委托人按本合同规定的内容，在规定的时间内向设计人提交基础资料及文件，并对</w:t>
      </w:r>
      <w:r>
        <w:rPr>
          <w:rFonts w:ascii="宋体" w:hAnsi="宋体" w:eastAsia="宋体" w:cs="宋体"/>
          <w:spacing w:val="-1"/>
          <w:sz w:val="24"/>
          <w:szCs w:val="24"/>
          <w:highlight w:val="none"/>
        </w:rPr>
        <w:t>其完整性、正确性及时限负责；发包人提供的基础资料主要为：</w:t>
      </w:r>
      <w:r>
        <w:rPr>
          <w:rFonts w:ascii="宋体" w:hAnsi="宋体" w:eastAsia="宋体" w:cs="宋体"/>
          <w:spacing w:val="1"/>
          <w:sz w:val="24"/>
          <w:szCs w:val="24"/>
          <w:highlight w:val="none"/>
          <w:u w:val="single" w:color="auto"/>
        </w:rPr>
        <w:t xml:space="preserve">            </w:t>
      </w:r>
    </w:p>
    <w:p w14:paraId="5B65F33D">
      <w:pPr>
        <w:spacing w:before="1" w:line="359" w:lineRule="auto"/>
        <w:ind w:right="66" w:firstLine="479"/>
        <w:rPr>
          <w:rFonts w:ascii="宋体" w:hAnsi="宋体" w:eastAsia="宋体" w:cs="宋体"/>
          <w:sz w:val="24"/>
          <w:szCs w:val="24"/>
          <w:highlight w:val="none"/>
        </w:rPr>
      </w:pPr>
      <w:r>
        <w:rPr>
          <w:rFonts w:ascii="宋体" w:hAnsi="宋体" w:eastAsia="宋体" w:cs="宋体"/>
          <w:spacing w:val="1"/>
          <w:sz w:val="24"/>
          <w:szCs w:val="24"/>
          <w:highlight w:val="none"/>
        </w:rPr>
        <w:t>委托人提交上述资料及文件超过规定期限</w:t>
      </w:r>
      <w:r>
        <w:rPr>
          <w:rFonts w:ascii="宋体" w:hAnsi="宋体" w:eastAsia="宋体" w:cs="宋体"/>
          <w:spacing w:val="-114"/>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98"/>
          <w:sz w:val="24"/>
          <w:szCs w:val="24"/>
          <w:highlight w:val="none"/>
        </w:rPr>
        <w:t xml:space="preserve"> </w:t>
      </w:r>
      <w:r>
        <w:rPr>
          <w:rFonts w:ascii="宋体" w:hAnsi="宋体" w:eastAsia="宋体" w:cs="宋体"/>
          <w:spacing w:val="1"/>
          <w:sz w:val="24"/>
          <w:szCs w:val="24"/>
          <w:highlight w:val="none"/>
        </w:rPr>
        <w:t>天以内，设计人按本合</w:t>
      </w:r>
      <w:r>
        <w:rPr>
          <w:rFonts w:ascii="宋体" w:hAnsi="宋体" w:eastAsia="宋体" w:cs="宋体"/>
          <w:sz w:val="24"/>
          <w:szCs w:val="24"/>
          <w:highlight w:val="none"/>
        </w:rPr>
        <w:t>同第六条规</w:t>
      </w:r>
      <w:r>
        <w:rPr>
          <w:rFonts w:ascii="宋体" w:hAnsi="宋体" w:eastAsia="宋体" w:cs="宋体"/>
          <w:spacing w:val="1"/>
          <w:sz w:val="24"/>
          <w:szCs w:val="24"/>
          <w:highlight w:val="none"/>
        </w:rPr>
        <w:t>定的交付设计文件时间顺延；发包人交付上述资料及文件超过规定期限</w:t>
      </w:r>
      <w:r>
        <w:rPr>
          <w:rFonts w:ascii="宋体" w:hAnsi="宋体" w:eastAsia="宋体" w:cs="宋体"/>
          <w:spacing w:val="-112"/>
          <w:sz w:val="24"/>
          <w:szCs w:val="24"/>
          <w:highlight w:val="none"/>
        </w:rPr>
        <w:t xml:space="preserve"> </w:t>
      </w:r>
      <w:r>
        <w:rPr>
          <w:rFonts w:ascii="宋体" w:hAnsi="宋体" w:eastAsia="宋体" w:cs="宋体"/>
          <w:spacing w:val="2"/>
          <w:sz w:val="24"/>
          <w:szCs w:val="24"/>
          <w:highlight w:val="none"/>
          <w:u w:val="single" w:color="auto"/>
        </w:rPr>
        <w:t xml:space="preserve">     </w:t>
      </w:r>
      <w:r>
        <w:rPr>
          <w:rFonts w:ascii="宋体" w:hAnsi="宋体" w:eastAsia="宋体" w:cs="宋体"/>
          <w:spacing w:val="-106"/>
          <w:sz w:val="24"/>
          <w:szCs w:val="24"/>
          <w:highlight w:val="none"/>
        </w:rPr>
        <w:t xml:space="preserve"> </w:t>
      </w:r>
      <w:r>
        <w:rPr>
          <w:rFonts w:ascii="宋体" w:hAnsi="宋体" w:eastAsia="宋体" w:cs="宋体"/>
          <w:spacing w:val="1"/>
          <w:sz w:val="24"/>
          <w:szCs w:val="24"/>
          <w:highlight w:val="none"/>
        </w:rPr>
        <w:t>天以上时，设</w:t>
      </w:r>
      <w:r>
        <w:rPr>
          <w:rFonts w:ascii="宋体" w:hAnsi="宋体" w:eastAsia="宋体" w:cs="宋体"/>
          <w:spacing w:val="-3"/>
          <w:sz w:val="24"/>
          <w:szCs w:val="24"/>
          <w:highlight w:val="none"/>
        </w:rPr>
        <w:t>计人有权重新确定提交设计文件的时间。</w:t>
      </w:r>
    </w:p>
    <w:p w14:paraId="3F32A974">
      <w:pPr>
        <w:spacing w:before="1" w:line="359" w:lineRule="auto"/>
        <w:ind w:right="74" w:firstLine="483"/>
        <w:rPr>
          <w:rFonts w:ascii="宋体" w:hAnsi="宋体" w:eastAsia="宋体" w:cs="宋体"/>
          <w:sz w:val="24"/>
          <w:szCs w:val="24"/>
          <w:highlight w:val="none"/>
        </w:rPr>
      </w:pPr>
      <w:r>
        <w:rPr>
          <w:rFonts w:ascii="宋体" w:hAnsi="宋体" w:eastAsia="宋体" w:cs="宋体"/>
          <w:spacing w:val="2"/>
          <w:sz w:val="24"/>
          <w:szCs w:val="24"/>
          <w:highlight w:val="none"/>
        </w:rPr>
        <w:t>2、委托人变更委托设计项目、规模、条件或因</w:t>
      </w:r>
      <w:r>
        <w:rPr>
          <w:rFonts w:ascii="宋体" w:hAnsi="宋体" w:eastAsia="宋体" w:cs="宋体"/>
          <w:spacing w:val="1"/>
          <w:sz w:val="24"/>
          <w:szCs w:val="24"/>
          <w:highlight w:val="none"/>
        </w:rPr>
        <w:t>提交的资料错误，或所提交资料作较大</w:t>
      </w:r>
      <w:r>
        <w:rPr>
          <w:rFonts w:ascii="宋体" w:hAnsi="宋体" w:eastAsia="宋体" w:cs="宋体"/>
          <w:spacing w:val="-1"/>
          <w:sz w:val="24"/>
          <w:szCs w:val="24"/>
          <w:highlight w:val="none"/>
        </w:rPr>
        <w:t>修改，以致造成设计人重大设计返工时，双方按照六安市相关规</w:t>
      </w:r>
      <w:r>
        <w:rPr>
          <w:rFonts w:ascii="宋体" w:hAnsi="宋体" w:eastAsia="宋体" w:cs="宋体"/>
          <w:spacing w:val="-2"/>
          <w:sz w:val="24"/>
          <w:szCs w:val="24"/>
          <w:highlight w:val="none"/>
        </w:rPr>
        <w:t>定另行协商解决。</w:t>
      </w:r>
    </w:p>
    <w:p w14:paraId="001333F8">
      <w:pPr>
        <w:spacing w:line="359" w:lineRule="auto"/>
        <w:ind w:right="69" w:firstLine="479"/>
        <w:rPr>
          <w:rFonts w:ascii="宋体" w:hAnsi="宋体" w:eastAsia="宋体" w:cs="宋体"/>
          <w:sz w:val="24"/>
          <w:szCs w:val="24"/>
          <w:highlight w:val="none"/>
        </w:rPr>
      </w:pPr>
      <w:r>
        <w:rPr>
          <w:rFonts w:ascii="宋体" w:hAnsi="宋体" w:eastAsia="宋体" w:cs="宋体"/>
          <w:spacing w:val="-1"/>
          <w:sz w:val="24"/>
          <w:szCs w:val="24"/>
          <w:highlight w:val="none"/>
        </w:rPr>
        <w:t>在未签订合同前发包人已同意，设计人为发包人所做</w:t>
      </w:r>
      <w:r>
        <w:rPr>
          <w:rFonts w:ascii="宋体" w:hAnsi="宋体" w:eastAsia="宋体" w:cs="宋体"/>
          <w:spacing w:val="-2"/>
          <w:sz w:val="24"/>
          <w:szCs w:val="24"/>
          <w:highlight w:val="none"/>
        </w:rPr>
        <w:t>的各项设计工作，发包人应支付相</w:t>
      </w:r>
      <w:r>
        <w:rPr>
          <w:rFonts w:ascii="宋体" w:hAnsi="宋体" w:eastAsia="宋体" w:cs="宋体"/>
          <w:spacing w:val="-8"/>
          <w:sz w:val="24"/>
          <w:szCs w:val="24"/>
          <w:highlight w:val="none"/>
        </w:rPr>
        <w:t>应设计费。</w:t>
      </w:r>
    </w:p>
    <w:p w14:paraId="0BE2F73B">
      <w:pPr>
        <w:spacing w:before="1" w:line="218"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第六条委托人应在日内对设计人书面提交并要求做出答复的</w:t>
      </w:r>
      <w:r>
        <w:rPr>
          <w:rFonts w:ascii="宋体" w:hAnsi="宋体" w:eastAsia="宋体" w:cs="宋体"/>
          <w:spacing w:val="-2"/>
          <w:sz w:val="24"/>
          <w:szCs w:val="24"/>
          <w:highlight w:val="none"/>
        </w:rPr>
        <w:t>事宜做出书面答复。</w:t>
      </w:r>
    </w:p>
    <w:p w14:paraId="00037364">
      <w:pPr>
        <w:spacing w:before="181" w:line="290" w:lineRule="auto"/>
        <w:ind w:left="2" w:right="72" w:firstLine="478"/>
        <w:rPr>
          <w:rFonts w:ascii="宋体" w:hAnsi="宋体" w:eastAsia="宋体" w:cs="宋体"/>
          <w:sz w:val="24"/>
          <w:szCs w:val="24"/>
          <w:highlight w:val="none"/>
        </w:rPr>
      </w:pPr>
      <w:r>
        <w:rPr>
          <w:rFonts w:ascii="宋体" w:hAnsi="宋体" w:eastAsia="宋体" w:cs="宋体"/>
          <w:spacing w:val="-1"/>
          <w:sz w:val="24"/>
          <w:szCs w:val="24"/>
          <w:highlight w:val="none"/>
        </w:rPr>
        <w:t>第七条设计人不按设计合同履行其职责或与第</w:t>
      </w:r>
      <w:r>
        <w:rPr>
          <w:rFonts w:ascii="宋体" w:hAnsi="宋体" w:eastAsia="宋体" w:cs="宋体"/>
          <w:spacing w:val="-2"/>
          <w:sz w:val="24"/>
          <w:szCs w:val="24"/>
          <w:highlight w:val="none"/>
        </w:rPr>
        <w:t>三人串通给委托人造成经济损失的，设计人应赔偿经济损失，赔偿金额为委托人实际损失的</w:t>
      </w:r>
      <w:r>
        <w:rPr>
          <w:rFonts w:ascii="宋体" w:hAnsi="宋体" w:eastAsia="宋体" w:cs="宋体"/>
          <w:spacing w:val="-17"/>
          <w:sz w:val="24"/>
          <w:szCs w:val="24"/>
          <w:highlight w:val="none"/>
        </w:rPr>
        <w:t xml:space="preserve"> </w:t>
      </w:r>
      <w:r>
        <w:rPr>
          <w:rFonts w:ascii="宋体" w:hAnsi="宋体" w:eastAsia="宋体" w:cs="宋体"/>
          <w:spacing w:val="-2"/>
          <w:sz w:val="24"/>
          <w:szCs w:val="24"/>
          <w:highlight w:val="none"/>
        </w:rPr>
        <w:t>100%。</w:t>
      </w:r>
    </w:p>
    <w:p w14:paraId="064629C7">
      <w:pPr>
        <w:spacing w:before="179" w:line="220" w:lineRule="auto"/>
        <w:ind w:left="481"/>
        <w:rPr>
          <w:rFonts w:ascii="宋体" w:hAnsi="宋体" w:eastAsia="宋体" w:cs="宋体"/>
          <w:sz w:val="24"/>
          <w:szCs w:val="24"/>
          <w:highlight w:val="none"/>
        </w:rPr>
      </w:pPr>
      <w:r>
        <w:rPr>
          <w:rFonts w:ascii="宋体" w:hAnsi="宋体" w:eastAsia="宋体" w:cs="宋体"/>
          <w:spacing w:val="-4"/>
          <w:sz w:val="24"/>
          <w:szCs w:val="24"/>
          <w:highlight w:val="none"/>
        </w:rPr>
        <w:t>第八条设计人对提交的设计文件负责：</w:t>
      </w:r>
    </w:p>
    <w:p w14:paraId="0C325385">
      <w:pPr>
        <w:spacing w:line="220" w:lineRule="auto"/>
        <w:rPr>
          <w:rFonts w:ascii="宋体" w:hAnsi="宋体" w:eastAsia="宋体" w:cs="宋体"/>
          <w:sz w:val="24"/>
          <w:szCs w:val="24"/>
          <w:highlight w:val="none"/>
        </w:rPr>
        <w:sectPr>
          <w:footerReference r:id="rId30" w:type="default"/>
          <w:pgSz w:w="11907" w:h="16839"/>
          <w:pgMar w:top="1425" w:right="1103" w:bottom="1129" w:left="1184" w:header="0" w:footer="898" w:gutter="0"/>
          <w:cols w:space="720" w:num="1"/>
        </w:sectPr>
      </w:pPr>
    </w:p>
    <w:p w14:paraId="4ADB6F86">
      <w:pPr>
        <w:spacing w:before="47" w:line="290" w:lineRule="auto"/>
        <w:ind w:firstLine="498"/>
        <w:rPr>
          <w:rFonts w:ascii="宋体" w:hAnsi="宋体" w:eastAsia="宋体" w:cs="宋体"/>
          <w:sz w:val="24"/>
          <w:szCs w:val="24"/>
          <w:highlight w:val="none"/>
        </w:rPr>
      </w:pPr>
      <w:r>
        <w:rPr>
          <w:rFonts w:ascii="宋体" w:hAnsi="宋体" w:eastAsia="宋体" w:cs="宋体"/>
          <w:spacing w:val="-2"/>
          <w:sz w:val="24"/>
          <w:szCs w:val="24"/>
          <w:highlight w:val="none"/>
        </w:rPr>
        <w:t>1、设计文件合理使用年限为</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2"/>
          <w:sz w:val="24"/>
          <w:szCs w:val="24"/>
          <w:highlight w:val="none"/>
        </w:rPr>
        <w:t>年；设计文件中各类构</w:t>
      </w:r>
      <w:r>
        <w:rPr>
          <w:rFonts w:ascii="宋体" w:hAnsi="宋体" w:eastAsia="宋体" w:cs="宋体"/>
          <w:spacing w:val="-3"/>
          <w:sz w:val="24"/>
          <w:szCs w:val="24"/>
          <w:highlight w:val="none"/>
        </w:rPr>
        <w:t>筑物设计使用年限按照国家</w:t>
      </w:r>
      <w:r>
        <w:rPr>
          <w:rFonts w:ascii="宋体" w:hAnsi="宋体" w:eastAsia="宋体" w:cs="宋体"/>
          <w:spacing w:val="-9"/>
          <w:sz w:val="24"/>
          <w:szCs w:val="24"/>
          <w:highlight w:val="none"/>
        </w:rPr>
        <w:t>相关规定执行；</w:t>
      </w:r>
    </w:p>
    <w:p w14:paraId="589E42AC">
      <w:pPr>
        <w:spacing w:before="179"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2、负责对外商的设计资料进行审查，负责该合同项目设</w:t>
      </w:r>
      <w:r>
        <w:rPr>
          <w:rFonts w:ascii="宋体" w:hAnsi="宋体" w:eastAsia="宋体" w:cs="宋体"/>
          <w:spacing w:val="-3"/>
          <w:sz w:val="24"/>
          <w:szCs w:val="24"/>
          <w:highlight w:val="none"/>
        </w:rPr>
        <w:t>计联络工作；</w:t>
      </w:r>
    </w:p>
    <w:p w14:paraId="192D33FB">
      <w:pPr>
        <w:spacing w:before="182" w:line="331" w:lineRule="auto"/>
        <w:ind w:right="1" w:firstLine="485"/>
        <w:rPr>
          <w:rFonts w:ascii="宋体" w:hAnsi="宋体" w:eastAsia="宋体" w:cs="宋体"/>
          <w:sz w:val="24"/>
          <w:szCs w:val="24"/>
          <w:highlight w:val="none"/>
        </w:rPr>
      </w:pPr>
      <w:r>
        <w:rPr>
          <w:rFonts w:ascii="宋体" w:hAnsi="宋体" w:eastAsia="宋体" w:cs="宋体"/>
          <w:spacing w:val="-5"/>
          <w:sz w:val="24"/>
          <w:szCs w:val="24"/>
          <w:highlight w:val="none"/>
        </w:rPr>
        <w:t>3、设计人对设计文件出现的遗漏或错误负责修改或补充，</w:t>
      </w:r>
      <w:r>
        <w:rPr>
          <w:rFonts w:ascii="宋体" w:hAnsi="宋体" w:eastAsia="宋体" w:cs="宋体"/>
          <w:spacing w:val="-54"/>
          <w:sz w:val="24"/>
          <w:szCs w:val="24"/>
          <w:highlight w:val="none"/>
        </w:rPr>
        <w:t xml:space="preserve"> </w:t>
      </w:r>
      <w:r>
        <w:rPr>
          <w:rFonts w:ascii="宋体" w:hAnsi="宋体" w:eastAsia="宋体" w:cs="宋体"/>
          <w:spacing w:val="-5"/>
          <w:sz w:val="24"/>
          <w:szCs w:val="24"/>
          <w:highlight w:val="none"/>
        </w:rPr>
        <w:t>并按照变更工程量价款的</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20%</w:t>
      </w:r>
      <w:r>
        <w:rPr>
          <w:rFonts w:ascii="宋体" w:hAnsi="宋体" w:eastAsia="宋体" w:cs="宋体"/>
          <w:spacing w:val="-1"/>
          <w:sz w:val="24"/>
          <w:szCs w:val="24"/>
          <w:highlight w:val="none"/>
        </w:rPr>
        <w:t>向发包方支付赔偿金，赔偿金数额最高限额为设计费。设计</w:t>
      </w:r>
      <w:r>
        <w:rPr>
          <w:rFonts w:ascii="宋体" w:hAnsi="宋体" w:eastAsia="宋体" w:cs="宋体"/>
          <w:spacing w:val="-2"/>
          <w:sz w:val="24"/>
          <w:szCs w:val="24"/>
          <w:highlight w:val="none"/>
        </w:rPr>
        <w:t>人设计遗漏或错误导致施工过程</w:t>
      </w:r>
      <w:r>
        <w:rPr>
          <w:rFonts w:ascii="宋体" w:hAnsi="宋体" w:eastAsia="宋体" w:cs="宋体"/>
          <w:spacing w:val="-1"/>
          <w:sz w:val="24"/>
          <w:szCs w:val="24"/>
          <w:highlight w:val="none"/>
        </w:rPr>
        <w:t>中变更超过其合同价</w:t>
      </w:r>
      <w:r>
        <w:rPr>
          <w:rFonts w:ascii="宋体" w:hAnsi="宋体" w:eastAsia="宋体" w:cs="宋体"/>
          <w:spacing w:val="-26"/>
          <w:sz w:val="24"/>
          <w:szCs w:val="24"/>
          <w:highlight w:val="none"/>
        </w:rPr>
        <w:t xml:space="preserve"> </w:t>
      </w:r>
      <w:r>
        <w:rPr>
          <w:rFonts w:ascii="宋体" w:hAnsi="宋体" w:eastAsia="宋体" w:cs="宋体"/>
          <w:spacing w:val="-1"/>
          <w:sz w:val="24"/>
          <w:szCs w:val="24"/>
          <w:highlight w:val="none"/>
        </w:rPr>
        <w:t>5％的，对设计人和设计项目负责人记不良行为记录，委托人将设计人违约事实形成证据，提出给予成交人（设计人）投标</w:t>
      </w:r>
      <w:r>
        <w:rPr>
          <w:rFonts w:ascii="宋体" w:hAnsi="宋体" w:eastAsia="宋体" w:cs="宋体"/>
          <w:spacing w:val="-2"/>
          <w:sz w:val="24"/>
          <w:szCs w:val="24"/>
          <w:highlight w:val="none"/>
        </w:rPr>
        <w:t>资格限制的处理意见，报行业主管部门</w:t>
      </w:r>
      <w:r>
        <w:rPr>
          <w:rFonts w:ascii="宋体" w:hAnsi="宋体" w:eastAsia="宋体" w:cs="宋体"/>
          <w:spacing w:val="-3"/>
          <w:sz w:val="24"/>
          <w:szCs w:val="24"/>
          <w:highlight w:val="none"/>
        </w:rPr>
        <w:t>依据法律法规的规定进行查处。</w:t>
      </w:r>
    </w:p>
    <w:p w14:paraId="32E8CA22">
      <w:pPr>
        <w:spacing w:before="182" w:line="331" w:lineRule="auto"/>
        <w:ind w:left="1" w:right="1" w:firstLine="478"/>
        <w:rPr>
          <w:rFonts w:ascii="宋体" w:hAnsi="宋体" w:eastAsia="宋体" w:cs="宋体"/>
          <w:sz w:val="24"/>
          <w:szCs w:val="24"/>
          <w:highlight w:val="none"/>
        </w:rPr>
      </w:pPr>
      <w:r>
        <w:rPr>
          <w:rFonts w:ascii="宋体" w:hAnsi="宋体" w:eastAsia="宋体" w:cs="宋体"/>
          <w:spacing w:val="-1"/>
          <w:sz w:val="24"/>
          <w:szCs w:val="24"/>
          <w:highlight w:val="none"/>
        </w:rPr>
        <w:t>4、由于设计人原因，延误了设计文件交付时间，每延误一天，</w:t>
      </w:r>
      <w:r>
        <w:rPr>
          <w:rFonts w:ascii="宋体" w:hAnsi="宋体" w:eastAsia="宋体" w:cs="宋体"/>
          <w:spacing w:val="-2"/>
          <w:sz w:val="24"/>
          <w:szCs w:val="24"/>
          <w:highlight w:val="none"/>
        </w:rPr>
        <w:t>承包人支付发包人 1000</w:t>
      </w:r>
      <w:r>
        <w:rPr>
          <w:rFonts w:ascii="宋体" w:hAnsi="宋体" w:eastAsia="宋体" w:cs="宋体"/>
          <w:spacing w:val="-1"/>
          <w:sz w:val="24"/>
          <w:szCs w:val="24"/>
          <w:highlight w:val="none"/>
        </w:rPr>
        <w:t>元违约金；如影响工程开工建设的，如影响工</w:t>
      </w:r>
      <w:r>
        <w:rPr>
          <w:rFonts w:ascii="宋体" w:hAnsi="宋体" w:eastAsia="宋体" w:cs="宋体"/>
          <w:spacing w:val="-2"/>
          <w:sz w:val="24"/>
          <w:szCs w:val="24"/>
          <w:highlight w:val="none"/>
        </w:rPr>
        <w:t>程开工建设的，对于情节严重者，造成重大损</w:t>
      </w:r>
      <w:r>
        <w:rPr>
          <w:rFonts w:ascii="宋体" w:hAnsi="宋体" w:eastAsia="宋体" w:cs="宋体"/>
          <w:spacing w:val="-1"/>
          <w:sz w:val="24"/>
          <w:szCs w:val="24"/>
          <w:highlight w:val="none"/>
        </w:rPr>
        <w:t>失或不良社会影响的，按照国家有关规定进行</w:t>
      </w:r>
      <w:r>
        <w:rPr>
          <w:rFonts w:ascii="宋体" w:hAnsi="宋体" w:eastAsia="宋体" w:cs="宋体"/>
          <w:spacing w:val="-2"/>
          <w:sz w:val="24"/>
          <w:szCs w:val="24"/>
          <w:highlight w:val="none"/>
        </w:rPr>
        <w:t>处理，并列入设计招标“黑名单”，委托人将</w:t>
      </w:r>
      <w:r>
        <w:rPr>
          <w:rFonts w:ascii="宋体" w:hAnsi="宋体" w:eastAsia="宋体" w:cs="宋体"/>
          <w:spacing w:val="-1"/>
          <w:sz w:val="24"/>
          <w:szCs w:val="24"/>
          <w:highlight w:val="none"/>
        </w:rPr>
        <w:t>设计人违约事实形成证据，提出给予设计人投标资格限制</w:t>
      </w:r>
      <w:r>
        <w:rPr>
          <w:rFonts w:ascii="宋体" w:hAnsi="宋体" w:eastAsia="宋体" w:cs="宋体"/>
          <w:spacing w:val="-2"/>
          <w:sz w:val="24"/>
          <w:szCs w:val="24"/>
          <w:highlight w:val="none"/>
        </w:rPr>
        <w:t>的处理意见，报行业主管部门依据</w:t>
      </w:r>
      <w:r>
        <w:rPr>
          <w:rFonts w:ascii="宋体" w:hAnsi="宋体" w:eastAsia="宋体" w:cs="宋体"/>
          <w:spacing w:val="-4"/>
          <w:sz w:val="24"/>
          <w:szCs w:val="24"/>
          <w:highlight w:val="none"/>
        </w:rPr>
        <w:t>法律法规的规定进行查处。</w:t>
      </w:r>
    </w:p>
    <w:p w14:paraId="3FEF2E7D">
      <w:pPr>
        <w:spacing w:before="183" w:line="359" w:lineRule="auto"/>
        <w:ind w:left="6" w:right="3" w:firstLine="474"/>
        <w:rPr>
          <w:rFonts w:ascii="宋体" w:hAnsi="宋体" w:eastAsia="宋体" w:cs="宋体"/>
          <w:sz w:val="24"/>
          <w:szCs w:val="24"/>
          <w:highlight w:val="none"/>
        </w:rPr>
      </w:pPr>
      <w:r>
        <w:rPr>
          <w:rFonts w:ascii="宋体" w:hAnsi="宋体" w:eastAsia="宋体" w:cs="宋体"/>
          <w:spacing w:val="-1"/>
          <w:sz w:val="24"/>
          <w:szCs w:val="24"/>
          <w:highlight w:val="none"/>
        </w:rPr>
        <w:t>第九条设计人在其责任期内如果失职，同意按</w:t>
      </w:r>
      <w:r>
        <w:rPr>
          <w:rFonts w:ascii="宋体" w:hAnsi="宋体" w:eastAsia="宋体" w:cs="宋体"/>
          <w:spacing w:val="-2"/>
          <w:sz w:val="24"/>
          <w:szCs w:val="24"/>
          <w:highlight w:val="none"/>
        </w:rPr>
        <w:t>以下办法承担因单方责任而造成的经济损</w:t>
      </w:r>
      <w:r>
        <w:rPr>
          <w:rFonts w:ascii="宋体" w:hAnsi="宋体" w:eastAsia="宋体" w:cs="宋体"/>
          <w:spacing w:val="-13"/>
          <w:sz w:val="24"/>
          <w:szCs w:val="24"/>
          <w:highlight w:val="none"/>
        </w:rPr>
        <w:t>失。</w:t>
      </w:r>
    </w:p>
    <w:p w14:paraId="604386CF">
      <w:pPr>
        <w:spacing w:before="2" w:line="324" w:lineRule="auto"/>
        <w:ind w:right="1" w:firstLine="498"/>
        <w:rPr>
          <w:rFonts w:ascii="宋体" w:hAnsi="宋体" w:eastAsia="宋体" w:cs="宋体"/>
          <w:sz w:val="24"/>
          <w:szCs w:val="24"/>
          <w:highlight w:val="none"/>
        </w:rPr>
      </w:pPr>
      <w:r>
        <w:rPr>
          <w:rFonts w:ascii="宋体" w:hAnsi="宋体" w:eastAsia="宋体" w:cs="宋体"/>
          <w:spacing w:val="1"/>
          <w:sz w:val="24"/>
          <w:szCs w:val="24"/>
          <w:highlight w:val="none"/>
        </w:rPr>
        <w:t>1、由于设计人错误造成工程质量事故损失，设计人除负责采取补救措施外，应免收受</w:t>
      </w:r>
      <w:r>
        <w:rPr>
          <w:rFonts w:ascii="宋体" w:hAnsi="宋体" w:eastAsia="宋体" w:cs="宋体"/>
          <w:spacing w:val="-1"/>
          <w:sz w:val="24"/>
          <w:szCs w:val="24"/>
          <w:highlight w:val="none"/>
        </w:rPr>
        <w:t>损失部分的设计费，并根据损失程度向发包人支付赔偿金，</w:t>
      </w:r>
      <w:r>
        <w:rPr>
          <w:rFonts w:ascii="宋体" w:hAnsi="宋体" w:eastAsia="宋体" w:cs="宋体"/>
          <w:spacing w:val="-2"/>
          <w:sz w:val="24"/>
          <w:szCs w:val="24"/>
          <w:highlight w:val="none"/>
        </w:rPr>
        <w:t>对设计人和设计项目负责人记不</w:t>
      </w:r>
      <w:r>
        <w:rPr>
          <w:rFonts w:ascii="宋体" w:hAnsi="宋体" w:eastAsia="宋体" w:cs="宋体"/>
          <w:spacing w:val="-1"/>
          <w:sz w:val="24"/>
          <w:szCs w:val="24"/>
          <w:highlight w:val="none"/>
        </w:rPr>
        <w:t>良记录，发包人将设计人违约事实形成证据，提出给予设计</w:t>
      </w:r>
      <w:r>
        <w:rPr>
          <w:rFonts w:ascii="宋体" w:hAnsi="宋体" w:eastAsia="宋体" w:cs="宋体"/>
          <w:spacing w:val="-2"/>
          <w:sz w:val="24"/>
          <w:szCs w:val="24"/>
          <w:highlight w:val="none"/>
        </w:rPr>
        <w:t>人投标资格限制的处理意见，报</w:t>
      </w:r>
      <w:r>
        <w:rPr>
          <w:rFonts w:ascii="宋体" w:hAnsi="宋体" w:eastAsia="宋体" w:cs="宋体"/>
          <w:spacing w:val="-3"/>
          <w:sz w:val="24"/>
          <w:szCs w:val="24"/>
          <w:highlight w:val="none"/>
        </w:rPr>
        <w:t>行业主管部门依据法律法规的规定进行查处。</w:t>
      </w:r>
    </w:p>
    <w:p w14:paraId="23653CB8">
      <w:pPr>
        <w:spacing w:before="182" w:line="324" w:lineRule="auto"/>
        <w:ind w:firstLine="484"/>
        <w:rPr>
          <w:rFonts w:ascii="宋体" w:hAnsi="宋体" w:eastAsia="宋体" w:cs="宋体"/>
          <w:sz w:val="24"/>
          <w:szCs w:val="24"/>
          <w:highlight w:val="none"/>
        </w:rPr>
      </w:pPr>
      <w:r>
        <w:rPr>
          <w:rFonts w:ascii="宋体" w:hAnsi="宋体" w:eastAsia="宋体" w:cs="宋体"/>
          <w:spacing w:val="-1"/>
          <w:sz w:val="24"/>
          <w:szCs w:val="24"/>
          <w:highlight w:val="none"/>
        </w:rPr>
        <w:t>2、设计人对委托人或者第三人所提出的问题应在</w:t>
      </w:r>
      <w:r>
        <w:rPr>
          <w:rFonts w:ascii="宋体" w:hAnsi="宋体" w:eastAsia="宋体" w:cs="宋体"/>
          <w:spacing w:val="-2"/>
          <w:sz w:val="24"/>
          <w:szCs w:val="24"/>
          <w:highlight w:val="none"/>
        </w:rPr>
        <w:t xml:space="preserve"> 2 日内给予核对并答复，不能及时核</w:t>
      </w:r>
      <w:r>
        <w:rPr>
          <w:rFonts w:ascii="宋体" w:hAnsi="宋体" w:eastAsia="宋体" w:cs="宋体"/>
          <w:spacing w:val="-1"/>
          <w:sz w:val="24"/>
          <w:szCs w:val="24"/>
          <w:highlight w:val="none"/>
        </w:rPr>
        <w:t>对或答复，延误了设计文件交付时间，每延误一天，承包人支付发包人 100</w:t>
      </w:r>
      <w:r>
        <w:rPr>
          <w:rFonts w:ascii="宋体" w:hAnsi="宋体" w:eastAsia="宋体" w:cs="宋体"/>
          <w:spacing w:val="-2"/>
          <w:sz w:val="24"/>
          <w:szCs w:val="24"/>
          <w:highlight w:val="none"/>
        </w:rPr>
        <w:t>0 元违约金；严</w:t>
      </w:r>
      <w:r>
        <w:rPr>
          <w:rFonts w:ascii="宋体" w:hAnsi="宋体" w:eastAsia="宋体" w:cs="宋体"/>
          <w:spacing w:val="-1"/>
          <w:sz w:val="24"/>
          <w:szCs w:val="24"/>
          <w:highlight w:val="none"/>
        </w:rPr>
        <w:t>重影响整个工程建设进度或造成其它严重不良影响的，委</w:t>
      </w:r>
      <w:r>
        <w:rPr>
          <w:rFonts w:ascii="宋体" w:hAnsi="宋体" w:eastAsia="宋体" w:cs="宋体"/>
          <w:spacing w:val="-2"/>
          <w:sz w:val="24"/>
          <w:szCs w:val="24"/>
          <w:highlight w:val="none"/>
        </w:rPr>
        <w:t>托人将提出给予设计人投标资格限制的处理意见，报行业主管部门依据法律法规的规定进行查处。</w:t>
      </w:r>
    </w:p>
    <w:p w14:paraId="2B7B1E6A">
      <w:pPr>
        <w:spacing w:before="182" w:line="359" w:lineRule="auto"/>
        <w:ind w:left="6" w:right="1" w:firstLine="474"/>
        <w:rPr>
          <w:rFonts w:ascii="宋体" w:hAnsi="宋体" w:eastAsia="宋体" w:cs="宋体"/>
          <w:sz w:val="24"/>
          <w:szCs w:val="24"/>
          <w:highlight w:val="none"/>
        </w:rPr>
      </w:pPr>
      <w:r>
        <w:rPr>
          <w:rFonts w:ascii="宋体" w:hAnsi="宋体" w:eastAsia="宋体" w:cs="宋体"/>
          <w:spacing w:val="-1"/>
          <w:sz w:val="24"/>
          <w:szCs w:val="24"/>
          <w:highlight w:val="none"/>
        </w:rPr>
        <w:t>第十条委托人应当履行建设工程设计合同约定的义</w:t>
      </w:r>
      <w:r>
        <w:rPr>
          <w:rFonts w:ascii="宋体" w:hAnsi="宋体" w:eastAsia="宋体" w:cs="宋体"/>
          <w:spacing w:val="-2"/>
          <w:sz w:val="24"/>
          <w:szCs w:val="24"/>
          <w:highlight w:val="none"/>
        </w:rPr>
        <w:t>务，如有以下行为，应赔偿设计人损</w:t>
      </w:r>
      <w:r>
        <w:rPr>
          <w:rFonts w:ascii="宋体" w:hAnsi="宋体" w:eastAsia="宋体" w:cs="宋体"/>
          <w:spacing w:val="-18"/>
          <w:sz w:val="24"/>
          <w:szCs w:val="24"/>
          <w:highlight w:val="none"/>
        </w:rPr>
        <w:t>失：</w:t>
      </w:r>
    </w:p>
    <w:p w14:paraId="0560C6E7">
      <w:pPr>
        <w:spacing w:before="2" w:line="312" w:lineRule="auto"/>
        <w:ind w:right="1" w:firstLine="498"/>
        <w:rPr>
          <w:rFonts w:ascii="宋体" w:hAnsi="宋体" w:eastAsia="宋体" w:cs="宋体"/>
          <w:sz w:val="24"/>
          <w:szCs w:val="24"/>
          <w:highlight w:val="none"/>
        </w:rPr>
      </w:pPr>
      <w:r>
        <w:rPr>
          <w:rFonts w:ascii="宋体" w:hAnsi="宋体" w:eastAsia="宋体" w:cs="宋体"/>
          <w:sz w:val="24"/>
          <w:szCs w:val="24"/>
          <w:highlight w:val="none"/>
        </w:rPr>
        <w:t>1、在合同履行期间，</w:t>
      </w:r>
      <w:r>
        <w:rPr>
          <w:rFonts w:ascii="宋体" w:hAnsi="宋体" w:eastAsia="宋体" w:cs="宋体"/>
          <w:spacing w:val="-70"/>
          <w:sz w:val="24"/>
          <w:szCs w:val="24"/>
          <w:highlight w:val="none"/>
        </w:rPr>
        <w:t xml:space="preserve"> </w:t>
      </w:r>
      <w:r>
        <w:rPr>
          <w:rFonts w:ascii="宋体" w:hAnsi="宋体" w:eastAsia="宋体" w:cs="宋体"/>
          <w:sz w:val="24"/>
          <w:szCs w:val="24"/>
          <w:highlight w:val="none"/>
        </w:rPr>
        <w:t>因发包人原因，发包人要求终止或解除合同，设计人已开始</w:t>
      </w:r>
      <w:r>
        <w:rPr>
          <w:rFonts w:ascii="宋体" w:hAnsi="宋体" w:eastAsia="宋体" w:cs="宋体"/>
          <w:spacing w:val="-1"/>
          <w:sz w:val="24"/>
          <w:szCs w:val="24"/>
          <w:highlight w:val="none"/>
        </w:rPr>
        <w:t>设计工作的，发包人应根据设计人已进行的实际工作量，不足一</w:t>
      </w:r>
      <w:r>
        <w:rPr>
          <w:rFonts w:ascii="宋体" w:hAnsi="宋体" w:eastAsia="宋体" w:cs="宋体"/>
          <w:spacing w:val="-2"/>
          <w:sz w:val="24"/>
          <w:szCs w:val="24"/>
          <w:highlight w:val="none"/>
        </w:rPr>
        <w:t>半时，按该阶段设计费的一半支付；超过一半时，按该阶段设计费的全部支付。</w:t>
      </w:r>
    </w:p>
    <w:p w14:paraId="454581AC">
      <w:pPr>
        <w:spacing w:before="183" w:line="289" w:lineRule="auto"/>
        <w:ind w:left="1" w:right="13" w:firstLine="482"/>
        <w:rPr>
          <w:rFonts w:ascii="宋体" w:hAnsi="宋体" w:eastAsia="宋体" w:cs="宋体"/>
          <w:sz w:val="24"/>
          <w:szCs w:val="24"/>
          <w:highlight w:val="none"/>
        </w:rPr>
      </w:pPr>
      <w:r>
        <w:rPr>
          <w:rFonts w:ascii="宋体" w:hAnsi="宋体" w:eastAsia="宋体" w:cs="宋体"/>
          <w:spacing w:val="1"/>
          <w:sz w:val="24"/>
          <w:szCs w:val="24"/>
          <w:highlight w:val="none"/>
        </w:rPr>
        <w:t>2、委托人应按本合同约定按时向设计人支付设计费，但如因特殊情况逾期支付的不予</w:t>
      </w:r>
      <w:r>
        <w:rPr>
          <w:rFonts w:ascii="宋体" w:hAnsi="宋体" w:eastAsia="宋体" w:cs="宋体"/>
          <w:spacing w:val="-7"/>
          <w:sz w:val="24"/>
          <w:szCs w:val="24"/>
          <w:highlight w:val="none"/>
        </w:rPr>
        <w:t>支付违约金。</w:t>
      </w:r>
    </w:p>
    <w:p w14:paraId="3AEB0638">
      <w:pPr>
        <w:spacing w:line="289" w:lineRule="auto"/>
        <w:rPr>
          <w:rFonts w:ascii="宋体" w:hAnsi="宋体" w:eastAsia="宋体" w:cs="宋体"/>
          <w:sz w:val="24"/>
          <w:szCs w:val="24"/>
          <w:highlight w:val="none"/>
        </w:rPr>
        <w:sectPr>
          <w:footerReference r:id="rId31" w:type="default"/>
          <w:pgSz w:w="11907" w:h="16839"/>
          <w:pgMar w:top="1425" w:right="1171" w:bottom="1129" w:left="1184" w:header="0" w:footer="898" w:gutter="0"/>
          <w:cols w:space="720" w:num="1"/>
        </w:sectPr>
      </w:pPr>
    </w:p>
    <w:p w14:paraId="5B21A1A8">
      <w:pPr>
        <w:spacing w:before="48" w:line="359" w:lineRule="auto"/>
        <w:ind w:right="71" w:firstLine="484"/>
        <w:rPr>
          <w:rFonts w:ascii="宋体" w:hAnsi="宋体" w:eastAsia="宋体" w:cs="宋体"/>
          <w:sz w:val="24"/>
          <w:szCs w:val="24"/>
          <w:highlight w:val="none"/>
        </w:rPr>
      </w:pPr>
      <w:r>
        <w:rPr>
          <w:rFonts w:ascii="宋体" w:hAnsi="宋体" w:eastAsia="宋体" w:cs="宋体"/>
          <w:spacing w:val="1"/>
          <w:sz w:val="24"/>
          <w:szCs w:val="24"/>
          <w:highlight w:val="none"/>
        </w:rPr>
        <w:t>3、发包人要求设计人比合同规定时间提前交付设计文件时，须征得设计人同意，不得</w:t>
      </w:r>
      <w:r>
        <w:rPr>
          <w:rFonts w:ascii="宋体" w:hAnsi="宋体" w:eastAsia="宋体" w:cs="宋体"/>
          <w:spacing w:val="-2"/>
          <w:sz w:val="24"/>
          <w:szCs w:val="24"/>
          <w:highlight w:val="none"/>
        </w:rPr>
        <w:t>严重背离合理设计周期，且发包人应支付赶工费。</w:t>
      </w:r>
    </w:p>
    <w:p w14:paraId="4CCEFF70">
      <w:pPr>
        <w:spacing w:line="219" w:lineRule="auto"/>
        <w:jc w:val="right"/>
        <w:rPr>
          <w:rFonts w:ascii="宋体" w:hAnsi="宋体" w:eastAsia="宋体" w:cs="宋体"/>
          <w:sz w:val="24"/>
          <w:szCs w:val="24"/>
          <w:highlight w:val="none"/>
        </w:rPr>
      </w:pPr>
      <w:r>
        <w:rPr>
          <w:rFonts w:ascii="宋体" w:hAnsi="宋体" w:eastAsia="宋体" w:cs="宋体"/>
          <w:spacing w:val="-6"/>
          <w:sz w:val="24"/>
          <w:szCs w:val="24"/>
          <w:highlight w:val="none"/>
        </w:rPr>
        <w:t>第十一条委托人同意按以下的计算方法、支付时间与金额，支付设计人的正常服务酬金：</w:t>
      </w:r>
    </w:p>
    <w:p w14:paraId="11169937">
      <w:pPr>
        <w:spacing w:before="182" w:line="220" w:lineRule="auto"/>
        <w:ind w:left="498"/>
        <w:rPr>
          <w:rFonts w:ascii="宋体" w:hAnsi="宋体" w:eastAsia="宋体" w:cs="宋体"/>
          <w:sz w:val="24"/>
          <w:szCs w:val="24"/>
          <w:highlight w:val="none"/>
        </w:rPr>
      </w:pPr>
      <w:r>
        <w:rPr>
          <w:rFonts w:ascii="宋体" w:hAnsi="宋体" w:eastAsia="宋体" w:cs="宋体"/>
          <w:spacing w:val="-9"/>
          <w:sz w:val="24"/>
          <w:szCs w:val="24"/>
          <w:highlight w:val="none"/>
        </w:rPr>
        <w:t>1、设计费用</w:t>
      </w:r>
    </w:p>
    <w:p w14:paraId="0670EFAD">
      <w:pPr>
        <w:spacing w:before="179" w:line="218" w:lineRule="auto"/>
        <w:ind w:left="506"/>
        <w:rPr>
          <w:rFonts w:ascii="宋体" w:hAnsi="宋体" w:eastAsia="宋体" w:cs="宋体"/>
          <w:sz w:val="24"/>
          <w:szCs w:val="24"/>
          <w:highlight w:val="none"/>
        </w:rPr>
      </w:pPr>
      <w:r>
        <w:rPr>
          <w:rFonts w:ascii="宋体" w:hAnsi="宋体" w:eastAsia="宋体" w:cs="宋体"/>
          <w:spacing w:val="-3"/>
          <w:sz w:val="24"/>
          <w:szCs w:val="24"/>
          <w:highlight w:val="none"/>
        </w:rPr>
        <w:t>已综合考虑在建安工程费用中标价内，不另行计算支付。</w:t>
      </w:r>
    </w:p>
    <w:p w14:paraId="200E39D2">
      <w:pPr>
        <w:spacing w:before="184" w:line="220" w:lineRule="auto"/>
        <w:ind w:left="483"/>
        <w:rPr>
          <w:rFonts w:ascii="宋体" w:hAnsi="宋体" w:eastAsia="宋体" w:cs="宋体"/>
          <w:sz w:val="24"/>
          <w:szCs w:val="24"/>
          <w:highlight w:val="none"/>
        </w:rPr>
      </w:pPr>
      <w:r>
        <w:rPr>
          <w:rFonts w:ascii="宋体" w:hAnsi="宋体" w:eastAsia="宋体" w:cs="宋体"/>
          <w:spacing w:val="-4"/>
          <w:sz w:val="24"/>
          <w:szCs w:val="24"/>
          <w:highlight w:val="none"/>
        </w:rPr>
        <w:t>2、支付方式</w:t>
      </w:r>
    </w:p>
    <w:p w14:paraId="1C718C52">
      <w:pPr>
        <w:spacing w:before="180" w:line="225" w:lineRule="auto"/>
        <w:ind w:left="479"/>
        <w:rPr>
          <w:rFonts w:ascii="宋体" w:hAnsi="宋体" w:eastAsia="宋体" w:cs="宋体"/>
          <w:sz w:val="24"/>
          <w:szCs w:val="24"/>
          <w:highlight w:val="none"/>
        </w:rPr>
      </w:pPr>
      <w:r>
        <w:rPr>
          <w:rFonts w:ascii="宋体" w:hAnsi="宋体" w:eastAsia="宋体" w:cs="宋体"/>
          <w:spacing w:val="-5"/>
          <w:sz w:val="24"/>
          <w:szCs w:val="24"/>
          <w:highlight w:val="none"/>
        </w:rPr>
        <w:t>/。</w:t>
      </w:r>
    </w:p>
    <w:p w14:paraId="462B7C4A">
      <w:pPr>
        <w:spacing w:before="177" w:line="289" w:lineRule="auto"/>
        <w:ind w:left="13" w:right="61" w:firstLine="467"/>
        <w:rPr>
          <w:rFonts w:ascii="宋体" w:hAnsi="宋体" w:eastAsia="宋体" w:cs="宋体"/>
          <w:sz w:val="24"/>
          <w:szCs w:val="24"/>
          <w:highlight w:val="none"/>
        </w:rPr>
      </w:pPr>
      <w:r>
        <w:rPr>
          <w:rFonts w:ascii="宋体" w:hAnsi="宋体" w:eastAsia="宋体" w:cs="宋体"/>
          <w:spacing w:val="2"/>
          <w:sz w:val="24"/>
          <w:szCs w:val="24"/>
          <w:highlight w:val="none"/>
        </w:rPr>
        <w:t>第十二条委托人在收到设计人提交的支付通知书并确认无异议后，应在</w:t>
      </w:r>
      <w:r>
        <w:rPr>
          <w:rFonts w:ascii="宋体" w:hAnsi="宋体" w:eastAsia="宋体" w:cs="宋体"/>
          <w:spacing w:val="1"/>
          <w:sz w:val="24"/>
          <w:szCs w:val="24"/>
          <w:highlight w:val="none"/>
        </w:rPr>
        <w:t>/天内拨付设计</w:t>
      </w:r>
      <w:r>
        <w:rPr>
          <w:rFonts w:ascii="宋体" w:hAnsi="宋体" w:eastAsia="宋体" w:cs="宋体"/>
          <w:spacing w:val="-13"/>
          <w:sz w:val="24"/>
          <w:szCs w:val="24"/>
          <w:highlight w:val="none"/>
        </w:rPr>
        <w:t>费用。</w:t>
      </w:r>
    </w:p>
    <w:p w14:paraId="6ED04B64">
      <w:pPr>
        <w:spacing w:before="181" w:line="219" w:lineRule="auto"/>
        <w:ind w:left="480"/>
        <w:rPr>
          <w:rFonts w:ascii="宋体" w:hAnsi="宋体" w:eastAsia="宋体" w:cs="宋体"/>
          <w:sz w:val="24"/>
          <w:szCs w:val="24"/>
          <w:highlight w:val="none"/>
        </w:rPr>
      </w:pPr>
      <w:r>
        <w:rPr>
          <w:rFonts w:ascii="宋体" w:hAnsi="宋体" w:eastAsia="宋体" w:cs="宋体"/>
          <w:spacing w:val="-3"/>
          <w:sz w:val="24"/>
          <w:szCs w:val="24"/>
          <w:highlight w:val="none"/>
        </w:rPr>
        <w:t>第十三条双方同意用人民币支付酬金。</w:t>
      </w:r>
    </w:p>
    <w:p w14:paraId="28A63DD9">
      <w:pPr>
        <w:spacing w:before="183" w:line="324" w:lineRule="auto"/>
        <w:ind w:right="63" w:firstLine="480"/>
        <w:rPr>
          <w:rFonts w:ascii="宋体" w:hAnsi="宋体" w:eastAsia="宋体" w:cs="宋体"/>
          <w:sz w:val="24"/>
          <w:szCs w:val="24"/>
          <w:highlight w:val="none"/>
        </w:rPr>
      </w:pPr>
      <w:r>
        <w:rPr>
          <w:rFonts w:ascii="宋体" w:hAnsi="宋体" w:eastAsia="宋体" w:cs="宋体"/>
          <w:spacing w:val="-1"/>
          <w:sz w:val="24"/>
          <w:szCs w:val="24"/>
          <w:highlight w:val="none"/>
        </w:rPr>
        <w:t>第十四条委托人委托设计人配合引进项目的设计任务</w:t>
      </w:r>
      <w:r>
        <w:rPr>
          <w:rFonts w:ascii="宋体" w:hAnsi="宋体" w:eastAsia="宋体" w:cs="宋体"/>
          <w:spacing w:val="-2"/>
          <w:sz w:val="24"/>
          <w:szCs w:val="24"/>
          <w:highlight w:val="none"/>
        </w:rPr>
        <w:t>，从磋商、对外谈判、国内外技术</w:t>
      </w:r>
      <w:r>
        <w:rPr>
          <w:rFonts w:ascii="宋体" w:hAnsi="宋体" w:eastAsia="宋体" w:cs="宋体"/>
          <w:spacing w:val="-6"/>
          <w:sz w:val="24"/>
          <w:szCs w:val="24"/>
          <w:highlight w:val="none"/>
        </w:rPr>
        <w:t>考察至建成投产各个阶段，应吸收承担有关设计任务的设计人员参加。出国费用，</w:t>
      </w:r>
      <w:r>
        <w:rPr>
          <w:rFonts w:ascii="宋体" w:hAnsi="宋体" w:eastAsia="宋体" w:cs="宋体"/>
          <w:spacing w:val="66"/>
          <w:sz w:val="24"/>
          <w:szCs w:val="24"/>
          <w:highlight w:val="none"/>
        </w:rPr>
        <w:t xml:space="preserve"> </w:t>
      </w:r>
      <w:r>
        <w:rPr>
          <w:rFonts w:ascii="宋体" w:hAnsi="宋体" w:eastAsia="宋体" w:cs="宋体"/>
          <w:spacing w:val="-6"/>
          <w:sz w:val="24"/>
          <w:szCs w:val="24"/>
          <w:highlight w:val="none"/>
        </w:rPr>
        <w:t>除制装费</w:t>
      </w:r>
      <w:r>
        <w:rPr>
          <w:rFonts w:ascii="宋体" w:hAnsi="宋体" w:eastAsia="宋体" w:cs="宋体"/>
          <w:spacing w:val="2"/>
          <w:sz w:val="24"/>
          <w:szCs w:val="24"/>
          <w:highlight w:val="none"/>
        </w:rPr>
        <w:t>外，其他费用由发包人支付。委托人承担本项目外国专家来设计</w:t>
      </w:r>
      <w:r>
        <w:rPr>
          <w:rFonts w:ascii="宋体" w:hAnsi="宋体" w:eastAsia="宋体" w:cs="宋体"/>
          <w:spacing w:val="1"/>
          <w:sz w:val="24"/>
          <w:szCs w:val="24"/>
          <w:highlight w:val="none"/>
        </w:rPr>
        <w:t>人办公室工作的接待费(包</w:t>
      </w:r>
      <w:r>
        <w:rPr>
          <w:rFonts w:ascii="宋体" w:hAnsi="宋体" w:eastAsia="宋体" w:cs="宋体"/>
          <w:spacing w:val="-1"/>
          <w:sz w:val="24"/>
          <w:szCs w:val="24"/>
          <w:highlight w:val="none"/>
        </w:rPr>
        <w:t>括传真、电话、复印、办公等费用)。</w:t>
      </w:r>
    </w:p>
    <w:p w14:paraId="19E777D5">
      <w:pPr>
        <w:spacing w:before="181" w:line="340" w:lineRule="auto"/>
        <w:ind w:right="56" w:firstLine="480"/>
        <w:rPr>
          <w:rFonts w:ascii="宋体" w:hAnsi="宋体" w:eastAsia="宋体" w:cs="宋体"/>
          <w:sz w:val="24"/>
          <w:szCs w:val="24"/>
          <w:highlight w:val="none"/>
        </w:rPr>
      </w:pPr>
      <w:r>
        <w:rPr>
          <w:rFonts w:ascii="宋体" w:hAnsi="宋体" w:eastAsia="宋体" w:cs="宋体"/>
          <w:spacing w:val="-1"/>
          <w:sz w:val="24"/>
          <w:szCs w:val="24"/>
          <w:highlight w:val="none"/>
        </w:rPr>
        <w:t>第十五条设计人以及设计人投标文件所列设计</w:t>
      </w:r>
      <w:r>
        <w:rPr>
          <w:rFonts w:ascii="宋体" w:hAnsi="宋体" w:eastAsia="宋体" w:cs="宋体"/>
          <w:spacing w:val="-2"/>
          <w:sz w:val="24"/>
          <w:szCs w:val="24"/>
          <w:highlight w:val="none"/>
        </w:rPr>
        <w:t>项目负责人和项目班子成员，在综合评分</w:t>
      </w:r>
      <w:r>
        <w:rPr>
          <w:rFonts w:ascii="宋体" w:hAnsi="宋体" w:eastAsia="宋体" w:cs="宋体"/>
          <w:spacing w:val="-6"/>
          <w:sz w:val="24"/>
          <w:szCs w:val="24"/>
          <w:highlight w:val="none"/>
        </w:rPr>
        <w:t>中，享受了资质（资格）等级、业绩、奖项等方面的加分待遇，</w:t>
      </w:r>
      <w:r>
        <w:rPr>
          <w:rFonts w:ascii="宋体" w:hAnsi="宋体" w:eastAsia="宋体" w:cs="宋体"/>
          <w:spacing w:val="66"/>
          <w:sz w:val="24"/>
          <w:szCs w:val="24"/>
          <w:highlight w:val="none"/>
        </w:rPr>
        <w:t xml:space="preserve"> </w:t>
      </w:r>
      <w:r>
        <w:rPr>
          <w:rFonts w:ascii="宋体" w:hAnsi="宋体" w:eastAsia="宋体" w:cs="宋体"/>
          <w:spacing w:val="-6"/>
          <w:sz w:val="24"/>
          <w:szCs w:val="24"/>
          <w:highlight w:val="none"/>
        </w:rPr>
        <w:t>享受加分的相关人员必须到</w:t>
      </w:r>
      <w:r>
        <w:rPr>
          <w:rFonts w:ascii="宋体" w:hAnsi="宋体" w:eastAsia="宋体" w:cs="宋体"/>
          <w:spacing w:val="-1"/>
          <w:sz w:val="24"/>
          <w:szCs w:val="24"/>
          <w:highlight w:val="none"/>
        </w:rPr>
        <w:t>位参加设计且不得更换（经发包人即委托人同意且其更换后的人员的资质资格</w:t>
      </w:r>
      <w:r>
        <w:rPr>
          <w:rFonts w:ascii="宋体" w:hAnsi="宋体" w:eastAsia="宋体" w:cs="宋体"/>
          <w:spacing w:val="-2"/>
          <w:sz w:val="24"/>
          <w:szCs w:val="24"/>
          <w:highlight w:val="none"/>
        </w:rPr>
        <w:t>等级、业绩、</w:t>
      </w:r>
      <w:r>
        <w:rPr>
          <w:rFonts w:ascii="宋体" w:hAnsi="宋体" w:eastAsia="宋体" w:cs="宋体"/>
          <w:spacing w:val="-7"/>
          <w:sz w:val="24"/>
          <w:szCs w:val="24"/>
          <w:highlight w:val="none"/>
        </w:rPr>
        <w:t>奖项优于原人员的除外）。发生更换的，不论什么理由都视为违约，每发生</w:t>
      </w:r>
      <w:r>
        <w:rPr>
          <w:rFonts w:ascii="宋体" w:hAnsi="宋体" w:eastAsia="宋体" w:cs="宋体"/>
          <w:spacing w:val="-31"/>
          <w:sz w:val="24"/>
          <w:szCs w:val="24"/>
          <w:highlight w:val="none"/>
        </w:rPr>
        <w:t xml:space="preserve"> </w:t>
      </w:r>
      <w:r>
        <w:rPr>
          <w:rFonts w:ascii="宋体" w:hAnsi="宋体" w:eastAsia="宋体" w:cs="宋体"/>
          <w:spacing w:val="-7"/>
          <w:sz w:val="24"/>
          <w:szCs w:val="24"/>
          <w:highlight w:val="none"/>
        </w:rPr>
        <w:t>1</w:t>
      </w:r>
      <w:r>
        <w:rPr>
          <w:rFonts w:ascii="宋体" w:hAnsi="宋体" w:eastAsia="宋体" w:cs="宋体"/>
          <w:spacing w:val="-48"/>
          <w:sz w:val="24"/>
          <w:szCs w:val="24"/>
          <w:highlight w:val="none"/>
        </w:rPr>
        <w:t xml:space="preserve"> </w:t>
      </w:r>
      <w:r>
        <w:rPr>
          <w:rFonts w:ascii="宋体" w:hAnsi="宋体" w:eastAsia="宋体" w:cs="宋体"/>
          <w:spacing w:val="-7"/>
          <w:sz w:val="24"/>
          <w:szCs w:val="24"/>
          <w:highlight w:val="none"/>
        </w:rPr>
        <w:t>人更换，由设</w:t>
      </w:r>
      <w:r>
        <w:rPr>
          <w:rFonts w:ascii="宋体" w:hAnsi="宋体" w:eastAsia="宋体" w:cs="宋体"/>
          <w:spacing w:val="-1"/>
          <w:sz w:val="24"/>
          <w:szCs w:val="24"/>
          <w:highlight w:val="none"/>
        </w:rPr>
        <w:t>计人按中标价的</w:t>
      </w:r>
      <w:r>
        <w:rPr>
          <w:rFonts w:ascii="宋体" w:hAnsi="宋体" w:eastAsia="宋体" w:cs="宋体"/>
          <w:spacing w:val="-15"/>
          <w:sz w:val="24"/>
          <w:szCs w:val="24"/>
          <w:highlight w:val="none"/>
        </w:rPr>
        <w:t xml:space="preserve"> </w:t>
      </w:r>
      <w:r>
        <w:rPr>
          <w:rFonts w:ascii="宋体" w:hAnsi="宋体" w:eastAsia="宋体" w:cs="宋体"/>
          <w:spacing w:val="-1"/>
          <w:sz w:val="24"/>
          <w:szCs w:val="24"/>
          <w:highlight w:val="none"/>
        </w:rPr>
        <w:t>20%向发包人支付违约金，记不良行为记录，发包人将设计人违约事实形成证据，提出给予设计人投标资格限制的处理意见，报行业主管</w:t>
      </w:r>
      <w:r>
        <w:rPr>
          <w:rFonts w:ascii="宋体" w:hAnsi="宋体" w:eastAsia="宋体" w:cs="宋体"/>
          <w:spacing w:val="-2"/>
          <w:sz w:val="24"/>
          <w:szCs w:val="24"/>
          <w:highlight w:val="none"/>
        </w:rPr>
        <w:t>部门依据法律法规的规定进行</w:t>
      </w:r>
      <w:r>
        <w:rPr>
          <w:rFonts w:ascii="宋体" w:hAnsi="宋体" w:eastAsia="宋体" w:cs="宋体"/>
          <w:spacing w:val="-10"/>
          <w:sz w:val="24"/>
          <w:szCs w:val="24"/>
          <w:highlight w:val="none"/>
        </w:rPr>
        <w:t>查处。</w:t>
      </w:r>
    </w:p>
    <w:p w14:paraId="4E2FDAAB">
      <w:pPr>
        <w:spacing w:before="173" w:line="313" w:lineRule="auto"/>
        <w:ind w:right="67" w:firstLine="480"/>
        <w:rPr>
          <w:rFonts w:ascii="宋体" w:hAnsi="宋体" w:eastAsia="宋体" w:cs="宋体"/>
          <w:sz w:val="24"/>
          <w:szCs w:val="24"/>
          <w:highlight w:val="none"/>
        </w:rPr>
      </w:pPr>
      <w:r>
        <w:rPr>
          <w:rFonts w:ascii="宋体" w:hAnsi="宋体" w:eastAsia="宋体" w:cs="宋体"/>
          <w:spacing w:val="-1"/>
          <w:sz w:val="24"/>
          <w:szCs w:val="24"/>
          <w:highlight w:val="none"/>
        </w:rPr>
        <w:t>第十六条依照本合同条款的约定，发生应当</w:t>
      </w:r>
      <w:r>
        <w:rPr>
          <w:rFonts w:ascii="宋体" w:hAnsi="宋体" w:eastAsia="宋体" w:cs="宋体"/>
          <w:spacing w:val="-2"/>
          <w:sz w:val="24"/>
          <w:szCs w:val="24"/>
          <w:highlight w:val="none"/>
        </w:rPr>
        <w:t>由设计人（成交人）支付违约金、损失赔偿</w:t>
      </w:r>
      <w:r>
        <w:rPr>
          <w:rFonts w:ascii="宋体" w:hAnsi="宋体" w:eastAsia="宋体" w:cs="宋体"/>
          <w:spacing w:val="-6"/>
          <w:sz w:val="24"/>
          <w:szCs w:val="24"/>
          <w:highlight w:val="none"/>
        </w:rPr>
        <w:t>情形的，经双方确认并报备案后，其违约金、损失赔偿金从设计费中扣除，不足部分设计单</w:t>
      </w:r>
      <w:r>
        <w:rPr>
          <w:rFonts w:ascii="宋体" w:hAnsi="宋体" w:eastAsia="宋体" w:cs="宋体"/>
          <w:spacing w:val="-7"/>
          <w:sz w:val="24"/>
          <w:szCs w:val="24"/>
          <w:highlight w:val="none"/>
        </w:rPr>
        <w:t>位足额补偿。</w:t>
      </w:r>
    </w:p>
    <w:p w14:paraId="5994143E">
      <w:pPr>
        <w:spacing w:before="183" w:line="289" w:lineRule="auto"/>
        <w:ind w:right="67" w:firstLine="480"/>
        <w:rPr>
          <w:rFonts w:ascii="宋体" w:hAnsi="宋体" w:eastAsia="宋体" w:cs="宋体"/>
          <w:sz w:val="24"/>
          <w:szCs w:val="24"/>
          <w:highlight w:val="none"/>
        </w:rPr>
      </w:pPr>
      <w:r>
        <w:rPr>
          <w:rFonts w:ascii="宋体" w:hAnsi="宋体" w:eastAsia="宋体" w:cs="宋体"/>
          <w:spacing w:val="-1"/>
          <w:sz w:val="24"/>
          <w:szCs w:val="24"/>
          <w:highlight w:val="none"/>
        </w:rPr>
        <w:t>第十七条发生应当由发包人（委托人）支付</w:t>
      </w:r>
      <w:r>
        <w:rPr>
          <w:rFonts w:ascii="宋体" w:hAnsi="宋体" w:eastAsia="宋体" w:cs="宋体"/>
          <w:spacing w:val="-2"/>
          <w:sz w:val="24"/>
          <w:szCs w:val="24"/>
          <w:highlight w:val="none"/>
        </w:rPr>
        <w:t>违约金情形的，经双方确认并报备案后，其违约金由委托人在支付工程款时一并支付。</w:t>
      </w:r>
    </w:p>
    <w:p w14:paraId="5243D79C">
      <w:pPr>
        <w:spacing w:before="181" w:line="324" w:lineRule="auto"/>
        <w:ind w:right="65" w:firstLine="479"/>
        <w:rPr>
          <w:rFonts w:ascii="宋体" w:hAnsi="宋体" w:eastAsia="宋体" w:cs="宋体"/>
          <w:sz w:val="24"/>
          <w:szCs w:val="24"/>
          <w:highlight w:val="none"/>
        </w:rPr>
      </w:pPr>
      <w:r>
        <w:rPr>
          <w:rFonts w:ascii="宋体" w:hAnsi="宋体" w:eastAsia="宋体" w:cs="宋体"/>
          <w:spacing w:val="-1"/>
          <w:sz w:val="24"/>
          <w:szCs w:val="24"/>
          <w:highlight w:val="none"/>
        </w:rPr>
        <w:t>第十八条发包人（委托人）与成交人（设计人）</w:t>
      </w:r>
      <w:r>
        <w:rPr>
          <w:rFonts w:ascii="宋体" w:hAnsi="宋体" w:eastAsia="宋体" w:cs="宋体"/>
          <w:spacing w:val="-2"/>
          <w:sz w:val="24"/>
          <w:szCs w:val="24"/>
          <w:highlight w:val="none"/>
        </w:rPr>
        <w:t>签订的合同，必须与本招标文件的合同</w:t>
      </w:r>
      <w:r>
        <w:rPr>
          <w:rFonts w:ascii="宋体" w:hAnsi="宋体" w:eastAsia="宋体" w:cs="宋体"/>
          <w:spacing w:val="-1"/>
          <w:sz w:val="24"/>
          <w:szCs w:val="24"/>
          <w:highlight w:val="none"/>
        </w:rPr>
        <w:t>条款一致，政府投资项目合同签订后即报招投标监督管理</w:t>
      </w:r>
      <w:r>
        <w:rPr>
          <w:rFonts w:ascii="宋体" w:hAnsi="宋体" w:eastAsia="宋体" w:cs="宋体"/>
          <w:spacing w:val="-2"/>
          <w:sz w:val="24"/>
          <w:szCs w:val="24"/>
          <w:highlight w:val="none"/>
        </w:rPr>
        <w:t>部门和行业主管部门备案，接受监</w:t>
      </w:r>
      <w:r>
        <w:rPr>
          <w:rFonts w:ascii="宋体" w:hAnsi="宋体" w:eastAsia="宋体" w:cs="宋体"/>
          <w:spacing w:val="-10"/>
          <w:sz w:val="24"/>
          <w:szCs w:val="24"/>
          <w:highlight w:val="none"/>
        </w:rPr>
        <w:t>督。除经政府审定同意的外，</w:t>
      </w:r>
      <w:r>
        <w:rPr>
          <w:rFonts w:ascii="宋体" w:hAnsi="宋体" w:eastAsia="宋体" w:cs="宋体"/>
          <w:spacing w:val="54"/>
          <w:sz w:val="24"/>
          <w:szCs w:val="24"/>
          <w:highlight w:val="none"/>
        </w:rPr>
        <w:t xml:space="preserve"> </w:t>
      </w:r>
      <w:r>
        <w:rPr>
          <w:rFonts w:ascii="宋体" w:hAnsi="宋体" w:eastAsia="宋体" w:cs="宋体"/>
          <w:spacing w:val="-10"/>
          <w:sz w:val="24"/>
          <w:szCs w:val="24"/>
          <w:highlight w:val="none"/>
        </w:rPr>
        <w:t>发包人与成交人签订的合同包括补充合同</w:t>
      </w:r>
      <w:r>
        <w:rPr>
          <w:rFonts w:ascii="宋体" w:hAnsi="宋体" w:eastAsia="宋体" w:cs="宋体"/>
          <w:spacing w:val="-11"/>
          <w:sz w:val="24"/>
          <w:szCs w:val="24"/>
          <w:highlight w:val="none"/>
        </w:rPr>
        <w:t>、补充协议，</w:t>
      </w:r>
      <w:r>
        <w:rPr>
          <w:rFonts w:ascii="宋体" w:hAnsi="宋体" w:eastAsia="宋体" w:cs="宋体"/>
          <w:spacing w:val="56"/>
          <w:sz w:val="24"/>
          <w:szCs w:val="24"/>
          <w:highlight w:val="none"/>
        </w:rPr>
        <w:t xml:space="preserve"> </w:t>
      </w:r>
      <w:r>
        <w:rPr>
          <w:rFonts w:ascii="宋体" w:hAnsi="宋体" w:eastAsia="宋体" w:cs="宋体"/>
          <w:spacing w:val="-11"/>
          <w:sz w:val="24"/>
          <w:szCs w:val="24"/>
          <w:highlight w:val="none"/>
        </w:rPr>
        <w:t>与本招</w:t>
      </w:r>
      <w:r>
        <w:rPr>
          <w:rFonts w:ascii="宋体" w:hAnsi="宋体" w:eastAsia="宋体" w:cs="宋体"/>
          <w:spacing w:val="-1"/>
          <w:sz w:val="24"/>
          <w:szCs w:val="24"/>
          <w:highlight w:val="none"/>
        </w:rPr>
        <w:t>标文件所附合同的条款不一致的，一律以本招</w:t>
      </w:r>
      <w:r>
        <w:rPr>
          <w:rFonts w:ascii="宋体" w:hAnsi="宋体" w:eastAsia="宋体" w:cs="宋体"/>
          <w:spacing w:val="-2"/>
          <w:sz w:val="24"/>
          <w:szCs w:val="24"/>
          <w:highlight w:val="none"/>
        </w:rPr>
        <w:t>标文件所附合同条款为准。</w:t>
      </w:r>
    </w:p>
    <w:p w14:paraId="20D8BABA">
      <w:pPr>
        <w:spacing w:line="324" w:lineRule="auto"/>
        <w:rPr>
          <w:rFonts w:ascii="宋体" w:hAnsi="宋体" w:eastAsia="宋体" w:cs="宋体"/>
          <w:sz w:val="24"/>
          <w:szCs w:val="24"/>
          <w:highlight w:val="none"/>
        </w:rPr>
        <w:sectPr>
          <w:footerReference r:id="rId32" w:type="default"/>
          <w:pgSz w:w="11907" w:h="16839"/>
          <w:pgMar w:top="1425" w:right="1108" w:bottom="1129" w:left="1185" w:header="0" w:footer="898" w:gutter="0"/>
          <w:cols w:space="720" w:num="1"/>
        </w:sectPr>
      </w:pPr>
    </w:p>
    <w:p w14:paraId="458D80A0">
      <w:pPr>
        <w:spacing w:before="48" w:line="359" w:lineRule="auto"/>
        <w:ind w:firstLine="480"/>
        <w:rPr>
          <w:rFonts w:ascii="宋体" w:hAnsi="宋体" w:eastAsia="宋体" w:cs="宋体"/>
          <w:sz w:val="24"/>
          <w:szCs w:val="24"/>
          <w:highlight w:val="none"/>
        </w:rPr>
      </w:pPr>
      <w:r>
        <w:rPr>
          <w:rFonts w:ascii="宋体" w:hAnsi="宋体" w:eastAsia="宋体" w:cs="宋体"/>
          <w:spacing w:val="-1"/>
          <w:sz w:val="24"/>
          <w:szCs w:val="24"/>
          <w:highlight w:val="none"/>
        </w:rPr>
        <w:t>第十九条在履行合同过程中发生争议，委托人与设</w:t>
      </w:r>
      <w:r>
        <w:rPr>
          <w:rFonts w:ascii="宋体" w:hAnsi="宋体" w:eastAsia="宋体" w:cs="宋体"/>
          <w:spacing w:val="-2"/>
          <w:sz w:val="24"/>
          <w:szCs w:val="24"/>
          <w:highlight w:val="none"/>
        </w:rPr>
        <w:t>计人应及时协商解决；如未能达成一致，可提交有关主管部门调解；协商或调解不成的，按下列第（二）方式解决：</w:t>
      </w:r>
    </w:p>
    <w:p w14:paraId="7CAB8C5F">
      <w:pPr>
        <w:spacing w:before="1" w:line="218"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（一）提交甲乙双方协商一致的仲裁委员会仲裁；</w:t>
      </w:r>
    </w:p>
    <w:p w14:paraId="276F479F">
      <w:pPr>
        <w:spacing w:before="183" w:line="219"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（二）依法向工程所在地人民法院起诉。</w:t>
      </w:r>
    </w:p>
    <w:p w14:paraId="7893A03E">
      <w:pPr>
        <w:spacing w:line="219" w:lineRule="auto"/>
        <w:rPr>
          <w:rFonts w:ascii="宋体" w:hAnsi="宋体" w:eastAsia="宋体" w:cs="宋体"/>
          <w:sz w:val="24"/>
          <w:szCs w:val="24"/>
          <w:highlight w:val="none"/>
        </w:rPr>
        <w:sectPr>
          <w:footerReference r:id="rId33" w:type="default"/>
          <w:pgSz w:w="11907" w:h="16839"/>
          <w:pgMar w:top="1425" w:right="1173" w:bottom="1129" w:left="1185" w:header="0" w:footer="898" w:gutter="0"/>
          <w:cols w:space="720" w:num="1"/>
        </w:sectPr>
      </w:pPr>
    </w:p>
    <w:p w14:paraId="2BFA9FEA">
      <w:pPr>
        <w:spacing w:before="71" w:line="220" w:lineRule="auto"/>
        <w:ind w:left="3422"/>
        <w:rPr>
          <w:rFonts w:ascii="宋体" w:hAnsi="宋体" w:eastAsia="宋体" w:cs="宋体"/>
          <w:sz w:val="36"/>
          <w:szCs w:val="36"/>
          <w:highlight w:val="none"/>
        </w:rPr>
      </w:pPr>
      <w:r>
        <w:rPr>
          <w:rFonts w:ascii="宋体" w:hAnsi="宋体" w:eastAsia="宋体" w:cs="宋体"/>
          <w:b/>
          <w:bCs/>
          <w:spacing w:val="-6"/>
          <w:sz w:val="36"/>
          <w:szCs w:val="36"/>
          <w:highlight w:val="none"/>
        </w:rPr>
        <w:t>第</w:t>
      </w:r>
      <w:r>
        <w:rPr>
          <w:rFonts w:ascii="仿宋" w:hAnsi="仿宋" w:eastAsia="仿宋" w:cs="仿宋"/>
          <w:b/>
          <w:bCs/>
          <w:spacing w:val="-6"/>
          <w:sz w:val="36"/>
          <w:szCs w:val="36"/>
          <w:highlight w:val="none"/>
        </w:rPr>
        <w:t>三</w:t>
      </w:r>
      <w:r>
        <w:rPr>
          <w:rFonts w:ascii="宋体" w:hAnsi="宋体" w:eastAsia="宋体" w:cs="宋体"/>
          <w:b/>
          <w:bCs/>
          <w:spacing w:val="-6"/>
          <w:sz w:val="36"/>
          <w:szCs w:val="36"/>
          <w:highlight w:val="none"/>
        </w:rPr>
        <w:t>部分施工合同</w:t>
      </w:r>
    </w:p>
    <w:p w14:paraId="10D7FF48">
      <w:pPr>
        <w:pStyle w:val="3"/>
        <w:spacing w:line="397" w:lineRule="auto"/>
        <w:rPr>
          <w:highlight w:val="none"/>
        </w:rPr>
      </w:pPr>
    </w:p>
    <w:p w14:paraId="2274EC57">
      <w:pPr>
        <w:spacing w:before="78" w:line="427" w:lineRule="auto"/>
        <w:ind w:left="3787" w:right="239" w:hanging="2970"/>
        <w:rPr>
          <w:rFonts w:ascii="宋体" w:hAnsi="宋体" w:eastAsia="宋体" w:cs="宋体"/>
          <w:sz w:val="36"/>
          <w:szCs w:val="36"/>
          <w:highlight w:val="none"/>
        </w:rPr>
      </w:pPr>
      <w:r>
        <w:rPr>
          <w:rFonts w:ascii="宋体" w:hAnsi="宋体" w:eastAsia="宋体" w:cs="宋体"/>
          <w:spacing w:val="1"/>
          <w:sz w:val="24"/>
          <w:szCs w:val="24"/>
          <w:highlight w:val="none"/>
        </w:rPr>
        <w:t>通用合同条款内容详见《建设工程施工合同》（</w:t>
      </w:r>
      <w:r>
        <w:rPr>
          <w:rFonts w:ascii="宋体" w:hAnsi="宋体" w:eastAsia="宋体" w:cs="宋体"/>
          <w:sz w:val="24"/>
          <w:szCs w:val="24"/>
          <w:highlight w:val="none"/>
        </w:rPr>
        <w:t>GF</w:t>
      </w:r>
      <w:r>
        <w:rPr>
          <w:rFonts w:ascii="宋体" w:hAnsi="宋体" w:eastAsia="宋体" w:cs="宋体"/>
          <w:spacing w:val="1"/>
          <w:sz w:val="24"/>
          <w:szCs w:val="24"/>
          <w:highlight w:val="none"/>
        </w:rPr>
        <w:t>—2017—0201示范文</w:t>
      </w:r>
      <w:r>
        <w:rPr>
          <w:rFonts w:ascii="宋体" w:hAnsi="宋体" w:eastAsia="宋体" w:cs="宋体"/>
          <w:sz w:val="24"/>
          <w:szCs w:val="24"/>
          <w:highlight w:val="none"/>
        </w:rPr>
        <w:t>本）</w:t>
      </w:r>
      <w:r>
        <w:rPr>
          <w:rFonts w:ascii="宋体" w:hAnsi="宋体" w:eastAsia="宋体" w:cs="宋体"/>
          <w:spacing w:val="-4"/>
          <w:sz w:val="36"/>
          <w:szCs w:val="36"/>
          <w:highlight w:val="none"/>
        </w:rPr>
        <w:t>专用合同条款</w:t>
      </w:r>
    </w:p>
    <w:p w14:paraId="514E1043">
      <w:pPr>
        <w:spacing w:before="178" w:line="220" w:lineRule="auto"/>
        <w:rPr>
          <w:rFonts w:ascii="宋体" w:hAnsi="宋体" w:eastAsia="宋体" w:cs="宋体"/>
          <w:sz w:val="24"/>
          <w:szCs w:val="24"/>
          <w:highlight w:val="none"/>
        </w:rPr>
      </w:pPr>
      <w:r>
        <w:rPr>
          <w:rFonts w:ascii="宋体" w:hAnsi="宋体" w:eastAsia="宋体" w:cs="宋体"/>
          <w:spacing w:val="-5"/>
          <w:sz w:val="24"/>
          <w:szCs w:val="24"/>
          <w:highlight w:val="none"/>
        </w:rPr>
        <w:t>1.一般约定</w:t>
      </w:r>
    </w:p>
    <w:p w14:paraId="1AAB335C">
      <w:pPr>
        <w:spacing w:before="179" w:line="220" w:lineRule="auto"/>
        <w:ind w:left="576"/>
        <w:rPr>
          <w:rFonts w:ascii="宋体" w:hAnsi="宋体" w:eastAsia="宋体" w:cs="宋体"/>
          <w:sz w:val="24"/>
          <w:szCs w:val="24"/>
          <w:highlight w:val="none"/>
        </w:rPr>
      </w:pPr>
      <w:r>
        <w:rPr>
          <w:rFonts w:ascii="宋体" w:hAnsi="宋体" w:eastAsia="宋体" w:cs="宋体"/>
          <w:spacing w:val="-6"/>
          <w:sz w:val="24"/>
          <w:szCs w:val="24"/>
          <w:highlight w:val="none"/>
        </w:rPr>
        <w:t>1.1</w:t>
      </w:r>
      <w:r>
        <w:rPr>
          <w:rFonts w:ascii="宋体" w:hAnsi="宋体" w:eastAsia="宋体" w:cs="宋体"/>
          <w:spacing w:val="-47"/>
          <w:sz w:val="24"/>
          <w:szCs w:val="24"/>
          <w:highlight w:val="none"/>
        </w:rPr>
        <w:t xml:space="preserve"> </w:t>
      </w:r>
      <w:r>
        <w:rPr>
          <w:rFonts w:ascii="宋体" w:hAnsi="宋体" w:eastAsia="宋体" w:cs="宋体"/>
          <w:spacing w:val="-6"/>
          <w:sz w:val="24"/>
          <w:szCs w:val="24"/>
          <w:highlight w:val="none"/>
        </w:rPr>
        <w:t>词语定义</w:t>
      </w:r>
    </w:p>
    <w:p w14:paraId="79FF13F3">
      <w:pPr>
        <w:spacing w:before="181" w:line="222" w:lineRule="auto"/>
        <w:ind w:left="576"/>
        <w:rPr>
          <w:rFonts w:ascii="宋体" w:hAnsi="宋体" w:eastAsia="宋体" w:cs="宋体"/>
          <w:sz w:val="24"/>
          <w:szCs w:val="24"/>
          <w:highlight w:val="none"/>
        </w:rPr>
      </w:pPr>
      <w:r>
        <w:rPr>
          <w:rFonts w:ascii="宋体" w:hAnsi="宋体" w:eastAsia="宋体" w:cs="宋体"/>
          <w:spacing w:val="-5"/>
          <w:sz w:val="24"/>
          <w:szCs w:val="24"/>
          <w:highlight w:val="none"/>
        </w:rPr>
        <w:t>1.1.1</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合同</w:t>
      </w:r>
    </w:p>
    <w:p w14:paraId="574F43F7">
      <w:pPr>
        <w:spacing w:before="178" w:line="212" w:lineRule="auto"/>
        <w:ind w:left="576"/>
        <w:rPr>
          <w:rFonts w:ascii="宋体" w:hAnsi="宋体" w:eastAsia="宋体" w:cs="宋体"/>
          <w:sz w:val="24"/>
          <w:szCs w:val="24"/>
          <w:highlight w:val="none"/>
        </w:rPr>
      </w:pPr>
      <w:r>
        <w:rPr>
          <w:highlight w:val="none"/>
        </w:rPr>
        <w:fldChar w:fldCharType="begin"/>
      </w:r>
      <w:r>
        <w:rPr>
          <w:highlight w:val="none"/>
        </w:rPr>
        <w:instrText xml:space="preserve"> HYPERLINK "1.1.1.1" </w:instrText>
      </w:r>
      <w:r>
        <w:rPr>
          <w:highlight w:val="none"/>
        </w:rPr>
        <w:fldChar w:fldCharType="separate"/>
      </w:r>
      <w:r>
        <w:rPr>
          <w:rFonts w:ascii="宋体" w:hAnsi="宋体" w:eastAsia="宋体" w:cs="宋体"/>
          <w:spacing w:val="1"/>
          <w:sz w:val="24"/>
          <w:szCs w:val="24"/>
          <w:highlight w:val="none"/>
        </w:rPr>
        <w:t>1.1.1.1</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其他合同文件包括：</w:t>
      </w:r>
      <w:r>
        <w:rPr>
          <w:rFonts w:ascii="宋体" w:hAnsi="宋体" w:eastAsia="宋体" w:cs="宋体"/>
          <w:spacing w:val="1"/>
          <w:sz w:val="24"/>
          <w:szCs w:val="24"/>
          <w:highlight w:val="none"/>
          <w:u w:val="single" w:color="auto"/>
        </w:rPr>
        <w:t>工程签证、设计变更、会议纪要等相</w:t>
      </w:r>
      <w:r>
        <w:rPr>
          <w:rFonts w:ascii="宋体" w:hAnsi="宋体" w:eastAsia="宋体" w:cs="宋体"/>
          <w:sz w:val="24"/>
          <w:szCs w:val="24"/>
          <w:highlight w:val="none"/>
          <w:u w:val="single" w:color="auto"/>
        </w:rPr>
        <w:t>关文件</w:t>
      </w:r>
      <w:r>
        <w:rPr>
          <w:rFonts w:ascii="宋体" w:hAnsi="宋体" w:eastAsia="宋体" w:cs="宋体"/>
          <w:sz w:val="24"/>
          <w:szCs w:val="24"/>
          <w:highlight w:val="none"/>
        </w:rPr>
        <w:t>。</w:t>
      </w:r>
    </w:p>
    <w:p w14:paraId="55BD804D">
      <w:pPr>
        <w:spacing w:before="192" w:line="220" w:lineRule="auto"/>
        <w:ind w:left="576"/>
        <w:rPr>
          <w:rFonts w:ascii="宋体" w:hAnsi="宋体" w:eastAsia="宋体" w:cs="宋体"/>
          <w:sz w:val="24"/>
          <w:szCs w:val="24"/>
          <w:highlight w:val="none"/>
        </w:rPr>
      </w:pPr>
      <w:r>
        <w:rPr>
          <w:rFonts w:ascii="宋体" w:hAnsi="宋体" w:eastAsia="宋体" w:cs="宋体"/>
          <w:spacing w:val="-3"/>
          <w:sz w:val="24"/>
          <w:szCs w:val="24"/>
          <w:highlight w:val="none"/>
        </w:rPr>
        <w:t>1.1.2</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合同当事人及其他相关方</w:t>
      </w:r>
    </w:p>
    <w:p w14:paraId="290D5A31">
      <w:pPr>
        <w:spacing w:before="180" w:line="212" w:lineRule="auto"/>
        <w:ind w:left="576"/>
        <w:rPr>
          <w:rFonts w:ascii="宋体" w:hAnsi="宋体" w:eastAsia="宋体" w:cs="宋体"/>
          <w:sz w:val="24"/>
          <w:szCs w:val="24"/>
          <w:highlight w:val="none"/>
        </w:rPr>
      </w:pPr>
      <w:r>
        <w:rPr>
          <w:highlight w:val="none"/>
        </w:rPr>
        <w:fldChar w:fldCharType="begin"/>
      </w:r>
      <w:r>
        <w:rPr>
          <w:highlight w:val="none"/>
        </w:rPr>
        <w:instrText xml:space="preserve"> HYPERLINK "1.1.2.1" </w:instrText>
      </w:r>
      <w:r>
        <w:rPr>
          <w:highlight w:val="none"/>
        </w:rPr>
        <w:fldChar w:fldCharType="separate"/>
      </w:r>
      <w:r>
        <w:rPr>
          <w:rFonts w:ascii="宋体" w:hAnsi="宋体" w:eastAsia="宋体" w:cs="宋体"/>
          <w:spacing w:val="-1"/>
          <w:sz w:val="24"/>
          <w:szCs w:val="24"/>
          <w:highlight w:val="none"/>
        </w:rPr>
        <w:t>1.1.2.1</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监理人：</w:t>
      </w:r>
    </w:p>
    <w:p w14:paraId="67AF3378">
      <w:pPr>
        <w:spacing w:before="192" w:line="222" w:lineRule="auto"/>
        <w:ind w:left="561"/>
        <w:rPr>
          <w:rFonts w:ascii="宋体" w:hAnsi="宋体" w:eastAsia="宋体" w:cs="宋体"/>
          <w:sz w:val="24"/>
          <w:szCs w:val="24"/>
          <w:highlight w:val="none"/>
        </w:rPr>
      </w:pPr>
      <w:r>
        <w:rPr>
          <w:rFonts w:ascii="宋体" w:hAnsi="宋体" w:eastAsia="宋体" w:cs="宋体"/>
          <w:spacing w:val="-18"/>
          <w:sz w:val="24"/>
          <w:szCs w:val="24"/>
          <w:highlight w:val="none"/>
        </w:rPr>
        <w:t>名称</w:t>
      </w:r>
      <w:r>
        <w:rPr>
          <w:rFonts w:ascii="宋体" w:hAnsi="宋体" w:eastAsia="宋体" w:cs="宋体"/>
          <w:spacing w:val="-9"/>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9"/>
          <w:sz w:val="24"/>
          <w:szCs w:val="24"/>
          <w:highlight w:val="none"/>
        </w:rPr>
        <w:t>；</w:t>
      </w:r>
    </w:p>
    <w:p w14:paraId="044CDD43">
      <w:pPr>
        <w:spacing w:before="177" w:line="220" w:lineRule="auto"/>
        <w:ind w:left="569"/>
        <w:rPr>
          <w:rFonts w:ascii="宋体" w:hAnsi="宋体" w:eastAsia="宋体" w:cs="宋体"/>
          <w:sz w:val="24"/>
          <w:szCs w:val="24"/>
          <w:highlight w:val="none"/>
        </w:rPr>
      </w:pPr>
      <w:r>
        <w:rPr>
          <w:rFonts w:ascii="宋体" w:hAnsi="宋体" w:eastAsia="宋体" w:cs="宋体"/>
          <w:spacing w:val="-9"/>
          <w:sz w:val="24"/>
          <w:szCs w:val="24"/>
          <w:highlight w:val="none"/>
        </w:rPr>
        <w:t>资质类别和等级</w:t>
      </w:r>
      <w:r>
        <w:rPr>
          <w:rFonts w:ascii="宋体" w:hAnsi="宋体" w:eastAsia="宋体" w:cs="宋体"/>
          <w:spacing w:val="-3"/>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3"/>
          <w:sz w:val="24"/>
          <w:szCs w:val="24"/>
          <w:highlight w:val="none"/>
        </w:rPr>
        <w:t>；</w:t>
      </w:r>
    </w:p>
    <w:p w14:paraId="7EFEF32C">
      <w:pPr>
        <w:spacing w:before="182" w:line="222" w:lineRule="auto"/>
        <w:ind w:left="559"/>
        <w:rPr>
          <w:rFonts w:ascii="宋体" w:hAnsi="宋体" w:eastAsia="宋体" w:cs="宋体"/>
          <w:sz w:val="24"/>
          <w:szCs w:val="24"/>
          <w:highlight w:val="none"/>
        </w:rPr>
      </w:pPr>
      <w:r>
        <w:rPr>
          <w:rFonts w:ascii="宋体" w:hAnsi="宋体" w:eastAsia="宋体" w:cs="宋体"/>
          <w:spacing w:val="-12"/>
          <w:sz w:val="24"/>
          <w:szCs w:val="24"/>
          <w:highlight w:val="none"/>
        </w:rPr>
        <w:t>联系电话</w:t>
      </w:r>
      <w:r>
        <w:rPr>
          <w:rFonts w:ascii="宋体" w:hAnsi="宋体" w:eastAsia="宋体" w:cs="宋体"/>
          <w:spacing w:val="-5"/>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5"/>
          <w:sz w:val="24"/>
          <w:szCs w:val="24"/>
          <w:highlight w:val="none"/>
        </w:rPr>
        <w:t>；</w:t>
      </w:r>
    </w:p>
    <w:p w14:paraId="3505BFCA">
      <w:pPr>
        <w:spacing w:before="177" w:line="220" w:lineRule="auto"/>
        <w:ind w:left="586"/>
        <w:rPr>
          <w:rFonts w:ascii="宋体" w:hAnsi="宋体" w:eastAsia="宋体" w:cs="宋体"/>
          <w:sz w:val="24"/>
          <w:szCs w:val="24"/>
          <w:highlight w:val="none"/>
        </w:rPr>
      </w:pPr>
      <w:r>
        <w:rPr>
          <w:rFonts w:ascii="宋体" w:hAnsi="宋体" w:eastAsia="宋体" w:cs="宋体"/>
          <w:spacing w:val="-8"/>
          <w:sz w:val="24"/>
          <w:szCs w:val="24"/>
          <w:highlight w:val="none"/>
        </w:rPr>
        <w:t>电子信箱</w:t>
      </w:r>
      <w:r>
        <w:rPr>
          <w:rFonts w:ascii="宋体" w:hAnsi="宋体" w:eastAsia="宋体" w:cs="宋体"/>
          <w:spacing w:val="-4"/>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4"/>
          <w:sz w:val="24"/>
          <w:szCs w:val="24"/>
          <w:highlight w:val="none"/>
        </w:rPr>
        <w:t>；</w:t>
      </w:r>
    </w:p>
    <w:p w14:paraId="54547A5A">
      <w:pPr>
        <w:spacing w:before="182" w:line="220" w:lineRule="auto"/>
        <w:ind w:left="558"/>
        <w:rPr>
          <w:rFonts w:ascii="宋体" w:hAnsi="宋体" w:eastAsia="宋体" w:cs="宋体"/>
          <w:sz w:val="24"/>
          <w:szCs w:val="24"/>
          <w:highlight w:val="none"/>
        </w:rPr>
      </w:pPr>
      <w:r>
        <w:rPr>
          <w:rFonts w:ascii="宋体" w:hAnsi="宋体" w:eastAsia="宋体" w:cs="宋体"/>
          <w:spacing w:val="-2"/>
          <w:sz w:val="24"/>
          <w:szCs w:val="24"/>
          <w:highlight w:val="none"/>
        </w:rPr>
        <w:t>通信地址：</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w:t>
      </w:r>
    </w:p>
    <w:p w14:paraId="7E3E12F9">
      <w:pPr>
        <w:spacing w:before="180" w:line="212" w:lineRule="auto"/>
        <w:ind w:left="576"/>
        <w:rPr>
          <w:rFonts w:ascii="宋体" w:hAnsi="宋体" w:eastAsia="宋体" w:cs="宋体"/>
          <w:sz w:val="24"/>
          <w:szCs w:val="24"/>
          <w:highlight w:val="none"/>
        </w:rPr>
      </w:pPr>
      <w:r>
        <w:rPr>
          <w:highlight w:val="none"/>
        </w:rPr>
        <w:fldChar w:fldCharType="begin"/>
      </w:r>
      <w:r>
        <w:rPr>
          <w:highlight w:val="none"/>
        </w:rPr>
        <w:instrText xml:space="preserve"> HYPERLINK "1.1.2.2" </w:instrText>
      </w:r>
      <w:r>
        <w:rPr>
          <w:highlight w:val="none"/>
        </w:rPr>
        <w:fldChar w:fldCharType="separate"/>
      </w:r>
      <w:r>
        <w:rPr>
          <w:rFonts w:ascii="宋体" w:hAnsi="宋体" w:eastAsia="宋体" w:cs="宋体"/>
          <w:spacing w:val="-1"/>
          <w:sz w:val="24"/>
          <w:szCs w:val="24"/>
          <w:highlight w:val="none"/>
        </w:rPr>
        <w:t>1.1.2.2</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设计人：</w:t>
      </w:r>
      <w:r>
        <w:rPr>
          <w:rFonts w:hint="eastAsia" w:ascii="宋体" w:hAnsi="宋体" w:eastAsia="宋体" w:cs="宋体"/>
          <w:spacing w:val="-6"/>
          <w:sz w:val="24"/>
          <w:szCs w:val="24"/>
          <w:highlight w:val="none"/>
          <w:u w:val="single"/>
          <w:lang w:val="en-US" w:eastAsia="zh-CN"/>
        </w:rPr>
        <w:t xml:space="preserve">                    </w:t>
      </w:r>
    </w:p>
    <w:p w14:paraId="52CD8EC1">
      <w:pPr>
        <w:spacing w:before="192" w:line="222" w:lineRule="auto"/>
        <w:ind w:left="561"/>
        <w:rPr>
          <w:rFonts w:ascii="宋体" w:hAnsi="宋体" w:eastAsia="宋体" w:cs="宋体"/>
          <w:sz w:val="24"/>
          <w:szCs w:val="24"/>
          <w:highlight w:val="none"/>
        </w:rPr>
      </w:pPr>
      <w:r>
        <w:rPr>
          <w:rFonts w:ascii="宋体" w:hAnsi="宋体" w:eastAsia="宋体" w:cs="宋体"/>
          <w:spacing w:val="-5"/>
          <w:sz w:val="24"/>
          <w:szCs w:val="24"/>
          <w:highlight w:val="none"/>
        </w:rPr>
        <w:t>名称</w:t>
      </w:r>
      <w:r>
        <w:rPr>
          <w:rFonts w:ascii="宋体" w:hAnsi="宋体" w:eastAsia="宋体" w:cs="宋体"/>
          <w:spacing w:val="-2"/>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w:t>
      </w:r>
    </w:p>
    <w:p w14:paraId="298676D8">
      <w:pPr>
        <w:spacing w:before="177" w:line="220" w:lineRule="auto"/>
        <w:ind w:left="569"/>
        <w:rPr>
          <w:rFonts w:ascii="宋体" w:hAnsi="宋体" w:eastAsia="宋体" w:cs="宋体"/>
          <w:sz w:val="24"/>
          <w:szCs w:val="24"/>
          <w:highlight w:val="none"/>
        </w:rPr>
      </w:pPr>
      <w:r>
        <w:rPr>
          <w:rFonts w:ascii="宋体" w:hAnsi="宋体" w:eastAsia="宋体" w:cs="宋体"/>
          <w:spacing w:val="-9"/>
          <w:sz w:val="24"/>
          <w:szCs w:val="24"/>
          <w:highlight w:val="none"/>
        </w:rPr>
        <w:t>资质类别和等级</w:t>
      </w:r>
      <w:r>
        <w:rPr>
          <w:rFonts w:ascii="宋体" w:hAnsi="宋体" w:eastAsia="宋体" w:cs="宋体"/>
          <w:spacing w:val="-3"/>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3"/>
          <w:sz w:val="24"/>
          <w:szCs w:val="24"/>
          <w:highlight w:val="none"/>
        </w:rPr>
        <w:t>；</w:t>
      </w:r>
    </w:p>
    <w:p w14:paraId="2108D4AA">
      <w:pPr>
        <w:spacing w:before="182" w:line="222" w:lineRule="auto"/>
        <w:ind w:left="559"/>
        <w:rPr>
          <w:rFonts w:ascii="宋体" w:hAnsi="宋体" w:eastAsia="宋体" w:cs="宋体"/>
          <w:sz w:val="24"/>
          <w:szCs w:val="24"/>
          <w:highlight w:val="none"/>
        </w:rPr>
      </w:pPr>
      <w:r>
        <w:rPr>
          <w:rFonts w:ascii="宋体" w:hAnsi="宋体" w:eastAsia="宋体" w:cs="宋体"/>
          <w:spacing w:val="-3"/>
          <w:sz w:val="24"/>
          <w:szCs w:val="24"/>
          <w:highlight w:val="none"/>
        </w:rPr>
        <w:t>联系电话</w:t>
      </w:r>
      <w:r>
        <w:rPr>
          <w:rFonts w:ascii="宋体" w:hAnsi="宋体" w:eastAsia="宋体" w:cs="宋体"/>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z w:val="24"/>
          <w:szCs w:val="24"/>
          <w:highlight w:val="none"/>
        </w:rPr>
        <w:t>；</w:t>
      </w:r>
    </w:p>
    <w:p w14:paraId="05ABA8BA">
      <w:pPr>
        <w:spacing w:before="177" w:line="220" w:lineRule="auto"/>
        <w:ind w:left="586"/>
        <w:rPr>
          <w:rFonts w:ascii="宋体" w:hAnsi="宋体" w:eastAsia="宋体" w:cs="宋体"/>
          <w:sz w:val="24"/>
          <w:szCs w:val="24"/>
          <w:highlight w:val="none"/>
        </w:rPr>
      </w:pPr>
      <w:r>
        <w:rPr>
          <w:rFonts w:ascii="宋体" w:hAnsi="宋体" w:eastAsia="宋体" w:cs="宋体"/>
          <w:spacing w:val="-8"/>
          <w:sz w:val="24"/>
          <w:szCs w:val="24"/>
          <w:highlight w:val="none"/>
        </w:rPr>
        <w:t>电子信箱</w:t>
      </w:r>
      <w:r>
        <w:rPr>
          <w:rFonts w:ascii="宋体" w:hAnsi="宋体" w:eastAsia="宋体" w:cs="宋体"/>
          <w:spacing w:val="-4"/>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4"/>
          <w:sz w:val="24"/>
          <w:szCs w:val="24"/>
          <w:highlight w:val="none"/>
        </w:rPr>
        <w:t>；</w:t>
      </w:r>
    </w:p>
    <w:p w14:paraId="78EC5E49">
      <w:pPr>
        <w:spacing w:before="182" w:line="220" w:lineRule="auto"/>
        <w:ind w:left="558"/>
        <w:rPr>
          <w:rFonts w:ascii="宋体" w:hAnsi="宋体" w:eastAsia="宋体" w:cs="宋体"/>
          <w:sz w:val="24"/>
          <w:szCs w:val="24"/>
          <w:highlight w:val="none"/>
        </w:rPr>
      </w:pPr>
      <w:r>
        <w:rPr>
          <w:rFonts w:ascii="宋体" w:hAnsi="宋体" w:eastAsia="宋体" w:cs="宋体"/>
          <w:spacing w:val="-2"/>
          <w:sz w:val="24"/>
          <w:szCs w:val="24"/>
          <w:highlight w:val="none"/>
        </w:rPr>
        <w:t>通信地址：</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82"/>
          <w:sz w:val="24"/>
          <w:szCs w:val="24"/>
          <w:highlight w:val="none"/>
          <w:u w:val="single" w:color="auto"/>
        </w:rPr>
        <w:t xml:space="preserve"> </w:t>
      </w:r>
      <w:r>
        <w:rPr>
          <w:rFonts w:ascii="宋体" w:hAnsi="宋体" w:eastAsia="宋体" w:cs="宋体"/>
          <w:spacing w:val="-2"/>
          <w:sz w:val="24"/>
          <w:szCs w:val="24"/>
          <w:highlight w:val="none"/>
          <w:u w:val="single" w:color="auto"/>
        </w:rPr>
        <w:t>。</w:t>
      </w:r>
    </w:p>
    <w:p w14:paraId="0B243B35">
      <w:pPr>
        <w:spacing w:before="183" w:line="220" w:lineRule="auto"/>
        <w:ind w:left="576"/>
        <w:rPr>
          <w:rFonts w:ascii="宋体" w:hAnsi="宋体" w:eastAsia="宋体" w:cs="宋体"/>
          <w:sz w:val="24"/>
          <w:szCs w:val="24"/>
          <w:highlight w:val="none"/>
        </w:rPr>
      </w:pPr>
      <w:r>
        <w:rPr>
          <w:rFonts w:ascii="宋体" w:hAnsi="宋体" w:eastAsia="宋体" w:cs="宋体"/>
          <w:spacing w:val="-4"/>
          <w:sz w:val="24"/>
          <w:szCs w:val="24"/>
          <w:highlight w:val="none"/>
        </w:rPr>
        <w:t>1.1.3</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工程和设备</w:t>
      </w:r>
    </w:p>
    <w:p w14:paraId="7F7C8B58">
      <w:pPr>
        <w:spacing w:before="179" w:line="185" w:lineRule="auto"/>
        <w:ind w:left="576"/>
        <w:rPr>
          <w:rFonts w:ascii="宋体" w:hAnsi="宋体" w:eastAsia="宋体" w:cs="宋体"/>
          <w:sz w:val="24"/>
          <w:szCs w:val="24"/>
          <w:highlight w:val="none"/>
        </w:rPr>
      </w:pPr>
      <w:r>
        <w:rPr>
          <w:highlight w:val="none"/>
        </w:rPr>
        <w:fldChar w:fldCharType="begin"/>
      </w:r>
      <w:r>
        <w:rPr>
          <w:highlight w:val="none"/>
        </w:rPr>
        <w:instrText xml:space="preserve"> HYPERLINK "1.1.3.1" </w:instrText>
      </w:r>
      <w:r>
        <w:rPr>
          <w:highlight w:val="none"/>
        </w:rPr>
        <w:fldChar w:fldCharType="separate"/>
      </w:r>
      <w:r>
        <w:rPr>
          <w:rFonts w:ascii="宋体" w:hAnsi="宋体" w:eastAsia="宋体" w:cs="宋体"/>
          <w:spacing w:val="1"/>
          <w:sz w:val="24"/>
          <w:szCs w:val="24"/>
          <w:highlight w:val="none"/>
        </w:rPr>
        <w:t>1.1.3.1</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作为施工现场组成部分的其他场所包括：</w:t>
      </w:r>
      <w:r>
        <w:rPr>
          <w:rFonts w:ascii="宋体" w:hAnsi="宋体" w:eastAsia="宋体" w:cs="宋体"/>
          <w:spacing w:val="1"/>
          <w:sz w:val="24"/>
          <w:szCs w:val="24"/>
          <w:highlight w:val="none"/>
          <w:u w:val="single" w:color="auto"/>
        </w:rPr>
        <w:t>用地红线范围内</w:t>
      </w:r>
      <w:r>
        <w:rPr>
          <w:rFonts w:ascii="宋体" w:hAnsi="宋体" w:eastAsia="宋体" w:cs="宋体"/>
          <w:spacing w:val="1"/>
          <w:sz w:val="24"/>
          <w:szCs w:val="24"/>
          <w:highlight w:val="none"/>
        </w:rPr>
        <w:t>。</w:t>
      </w:r>
    </w:p>
    <w:p w14:paraId="20B998F1">
      <w:pPr>
        <w:spacing w:before="228" w:line="185" w:lineRule="auto"/>
        <w:ind w:left="576"/>
        <w:rPr>
          <w:rFonts w:ascii="宋体" w:hAnsi="宋体" w:eastAsia="宋体" w:cs="宋体"/>
          <w:sz w:val="24"/>
          <w:szCs w:val="24"/>
          <w:highlight w:val="none"/>
        </w:rPr>
      </w:pPr>
      <w:r>
        <w:rPr>
          <w:highlight w:val="none"/>
        </w:rPr>
        <w:fldChar w:fldCharType="begin"/>
      </w:r>
      <w:r>
        <w:rPr>
          <w:highlight w:val="none"/>
        </w:rPr>
        <w:instrText xml:space="preserve"> HYPERLINK "1.1.3.2" </w:instrText>
      </w:r>
      <w:r>
        <w:rPr>
          <w:highlight w:val="none"/>
        </w:rPr>
        <w:fldChar w:fldCharType="separate"/>
      </w:r>
      <w:r>
        <w:rPr>
          <w:rFonts w:ascii="宋体" w:hAnsi="宋体" w:eastAsia="宋体" w:cs="宋体"/>
          <w:spacing w:val="1"/>
          <w:sz w:val="24"/>
          <w:szCs w:val="24"/>
          <w:highlight w:val="none"/>
        </w:rPr>
        <w:t>1.1.3.2</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永久占地包括：</w:t>
      </w:r>
      <w:r>
        <w:rPr>
          <w:rFonts w:ascii="宋体" w:hAnsi="宋体" w:eastAsia="宋体" w:cs="宋体"/>
          <w:spacing w:val="1"/>
          <w:sz w:val="24"/>
          <w:szCs w:val="24"/>
          <w:highlight w:val="none"/>
          <w:u w:val="single" w:color="auto"/>
        </w:rPr>
        <w:t>用地红线范围内</w:t>
      </w:r>
      <w:r>
        <w:rPr>
          <w:rFonts w:ascii="宋体" w:hAnsi="宋体" w:eastAsia="宋体" w:cs="宋体"/>
          <w:spacing w:val="1"/>
          <w:sz w:val="24"/>
          <w:szCs w:val="24"/>
          <w:highlight w:val="none"/>
        </w:rPr>
        <w:t>。</w:t>
      </w:r>
    </w:p>
    <w:p w14:paraId="00C07E98">
      <w:pPr>
        <w:spacing w:before="225" w:line="220" w:lineRule="auto"/>
        <w:ind w:left="576"/>
        <w:rPr>
          <w:rFonts w:ascii="宋体" w:hAnsi="宋体" w:eastAsia="宋体" w:cs="宋体"/>
          <w:sz w:val="24"/>
          <w:szCs w:val="24"/>
          <w:highlight w:val="none"/>
        </w:rPr>
      </w:pPr>
      <w:r>
        <w:rPr>
          <w:highlight w:val="none"/>
        </w:rPr>
        <w:fldChar w:fldCharType="begin"/>
      </w:r>
      <w:r>
        <w:rPr>
          <w:highlight w:val="none"/>
        </w:rPr>
        <w:instrText xml:space="preserve"> HYPERLINK "1.1.3.3" </w:instrText>
      </w:r>
      <w:r>
        <w:rPr>
          <w:highlight w:val="none"/>
        </w:rPr>
        <w:fldChar w:fldCharType="separate"/>
      </w:r>
      <w:r>
        <w:rPr>
          <w:rFonts w:ascii="宋体" w:hAnsi="宋体" w:eastAsia="宋体" w:cs="宋体"/>
          <w:spacing w:val="1"/>
          <w:sz w:val="24"/>
          <w:szCs w:val="24"/>
          <w:highlight w:val="none"/>
        </w:rPr>
        <w:t>1.1.3.3</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临时占地包括：</w:t>
      </w:r>
      <w:r>
        <w:rPr>
          <w:rFonts w:ascii="宋体" w:hAnsi="宋体" w:eastAsia="宋体" w:cs="宋体"/>
          <w:spacing w:val="1"/>
          <w:sz w:val="24"/>
          <w:szCs w:val="24"/>
          <w:highlight w:val="none"/>
          <w:u w:val="single" w:color="auto"/>
        </w:rPr>
        <w:t>用地红线范围内</w:t>
      </w:r>
      <w:r>
        <w:rPr>
          <w:rFonts w:ascii="宋体" w:hAnsi="宋体" w:eastAsia="宋体" w:cs="宋体"/>
          <w:spacing w:val="1"/>
          <w:sz w:val="24"/>
          <w:szCs w:val="24"/>
          <w:highlight w:val="none"/>
        </w:rPr>
        <w:t>。</w:t>
      </w:r>
    </w:p>
    <w:p w14:paraId="229ECB22">
      <w:pPr>
        <w:spacing w:before="182" w:line="220" w:lineRule="auto"/>
        <w:ind w:left="576"/>
        <w:rPr>
          <w:rFonts w:ascii="宋体" w:hAnsi="宋体" w:eastAsia="宋体" w:cs="宋体"/>
          <w:sz w:val="24"/>
          <w:szCs w:val="24"/>
          <w:highlight w:val="none"/>
        </w:rPr>
      </w:pPr>
      <w:r>
        <w:rPr>
          <w:rFonts w:ascii="宋体" w:hAnsi="宋体" w:eastAsia="宋体" w:cs="宋体"/>
          <w:spacing w:val="-7"/>
          <w:sz w:val="24"/>
          <w:szCs w:val="24"/>
          <w:highlight w:val="none"/>
        </w:rPr>
        <w:t>1.3</w:t>
      </w:r>
      <w:r>
        <w:rPr>
          <w:rFonts w:ascii="宋体" w:hAnsi="宋体" w:eastAsia="宋体" w:cs="宋体"/>
          <w:spacing w:val="-49"/>
          <w:sz w:val="24"/>
          <w:szCs w:val="24"/>
          <w:highlight w:val="none"/>
        </w:rPr>
        <w:t xml:space="preserve"> </w:t>
      </w:r>
      <w:r>
        <w:rPr>
          <w:rFonts w:ascii="宋体" w:hAnsi="宋体" w:eastAsia="宋体" w:cs="宋体"/>
          <w:spacing w:val="-7"/>
          <w:sz w:val="24"/>
          <w:szCs w:val="24"/>
          <w:highlight w:val="none"/>
        </w:rPr>
        <w:t>法律</w:t>
      </w:r>
    </w:p>
    <w:p w14:paraId="1994A45B">
      <w:pPr>
        <w:spacing w:before="179" w:line="220" w:lineRule="auto"/>
        <w:ind w:left="558"/>
        <w:rPr>
          <w:rFonts w:ascii="宋体" w:hAnsi="宋体" w:eastAsia="宋体" w:cs="宋体"/>
          <w:sz w:val="24"/>
          <w:szCs w:val="24"/>
          <w:highlight w:val="none"/>
        </w:rPr>
      </w:pPr>
      <w:r>
        <w:rPr>
          <w:rFonts w:ascii="宋体" w:hAnsi="宋体" w:eastAsia="宋体" w:cs="宋体"/>
          <w:sz w:val="24"/>
          <w:szCs w:val="24"/>
          <w:highlight w:val="none"/>
        </w:rPr>
        <w:t>适用于合同的其他规范性文件：</w:t>
      </w:r>
      <w:r>
        <w:rPr>
          <w:rFonts w:ascii="宋体" w:hAnsi="宋体" w:eastAsia="宋体" w:cs="宋体"/>
          <w:sz w:val="24"/>
          <w:szCs w:val="24"/>
          <w:highlight w:val="none"/>
          <w:u w:val="single" w:color="auto"/>
        </w:rPr>
        <w:t>六安市及霍邱</w:t>
      </w:r>
      <w:r>
        <w:rPr>
          <w:rFonts w:ascii="宋体" w:hAnsi="宋体" w:eastAsia="宋体" w:cs="宋体"/>
          <w:spacing w:val="-1"/>
          <w:sz w:val="24"/>
          <w:szCs w:val="24"/>
          <w:highlight w:val="none"/>
          <w:u w:val="single" w:color="auto"/>
        </w:rPr>
        <w:t>县相关部门有关规定</w:t>
      </w:r>
      <w:r>
        <w:rPr>
          <w:rFonts w:ascii="宋体" w:hAnsi="宋体" w:eastAsia="宋体" w:cs="宋体"/>
          <w:spacing w:val="-1"/>
          <w:sz w:val="24"/>
          <w:szCs w:val="24"/>
          <w:highlight w:val="none"/>
        </w:rPr>
        <w:t>。</w:t>
      </w:r>
    </w:p>
    <w:p w14:paraId="70193658">
      <w:pPr>
        <w:spacing w:before="183" w:line="220" w:lineRule="auto"/>
        <w:ind w:left="576"/>
        <w:rPr>
          <w:rFonts w:ascii="宋体" w:hAnsi="宋体" w:eastAsia="宋体" w:cs="宋体"/>
          <w:sz w:val="24"/>
          <w:szCs w:val="24"/>
          <w:highlight w:val="none"/>
        </w:rPr>
      </w:pPr>
      <w:r>
        <w:rPr>
          <w:rFonts w:ascii="宋体" w:hAnsi="宋体" w:eastAsia="宋体" w:cs="宋体"/>
          <w:spacing w:val="-5"/>
          <w:sz w:val="24"/>
          <w:szCs w:val="24"/>
          <w:highlight w:val="none"/>
        </w:rPr>
        <w:t>1.4</w:t>
      </w:r>
      <w:r>
        <w:rPr>
          <w:rFonts w:ascii="宋体" w:hAnsi="宋体" w:eastAsia="宋体" w:cs="宋体"/>
          <w:spacing w:val="-47"/>
          <w:sz w:val="24"/>
          <w:szCs w:val="24"/>
          <w:highlight w:val="none"/>
        </w:rPr>
        <w:t xml:space="preserve"> </w:t>
      </w:r>
      <w:r>
        <w:rPr>
          <w:rFonts w:ascii="宋体" w:hAnsi="宋体" w:eastAsia="宋体" w:cs="宋体"/>
          <w:spacing w:val="-5"/>
          <w:sz w:val="24"/>
          <w:szCs w:val="24"/>
          <w:highlight w:val="none"/>
        </w:rPr>
        <w:t>标准和规范</w:t>
      </w:r>
    </w:p>
    <w:p w14:paraId="4DDE964E">
      <w:pPr>
        <w:spacing w:line="220" w:lineRule="auto"/>
        <w:rPr>
          <w:rFonts w:ascii="宋体" w:hAnsi="宋体" w:eastAsia="宋体" w:cs="宋体"/>
          <w:sz w:val="24"/>
          <w:szCs w:val="24"/>
          <w:highlight w:val="none"/>
        </w:rPr>
        <w:sectPr>
          <w:footerReference r:id="rId34" w:type="default"/>
          <w:pgSz w:w="11907" w:h="16839"/>
          <w:pgMar w:top="1389" w:right="1785" w:bottom="1129" w:left="1107" w:header="0" w:footer="898" w:gutter="0"/>
          <w:cols w:space="720" w:num="1"/>
        </w:sectPr>
      </w:pPr>
    </w:p>
    <w:p w14:paraId="6B59DF0F">
      <w:pPr>
        <w:spacing w:before="48" w:line="218" w:lineRule="auto"/>
        <w:jc w:val="right"/>
        <w:rPr>
          <w:rFonts w:ascii="宋体" w:hAnsi="宋体" w:eastAsia="宋体" w:cs="宋体"/>
          <w:sz w:val="24"/>
          <w:szCs w:val="24"/>
          <w:highlight w:val="none"/>
        </w:rPr>
      </w:pPr>
      <w:r>
        <w:rPr>
          <w:rFonts w:ascii="宋体" w:hAnsi="宋体" w:eastAsia="宋体" w:cs="宋体"/>
          <w:spacing w:val="-4"/>
          <w:sz w:val="24"/>
          <w:szCs w:val="24"/>
          <w:highlight w:val="none"/>
        </w:rPr>
        <w:t>1.4.1</w:t>
      </w:r>
      <w:r>
        <w:rPr>
          <w:rFonts w:ascii="宋体" w:hAnsi="宋体" w:eastAsia="宋体" w:cs="宋体"/>
          <w:spacing w:val="-50"/>
          <w:sz w:val="24"/>
          <w:szCs w:val="24"/>
          <w:highlight w:val="none"/>
        </w:rPr>
        <w:t xml:space="preserve"> </w:t>
      </w:r>
      <w:r>
        <w:rPr>
          <w:rFonts w:ascii="宋体" w:hAnsi="宋体" w:eastAsia="宋体" w:cs="宋体"/>
          <w:spacing w:val="-4"/>
          <w:sz w:val="24"/>
          <w:szCs w:val="24"/>
          <w:highlight w:val="none"/>
        </w:rPr>
        <w:t>适用于工程的标准规范包括：</w:t>
      </w:r>
      <w:r>
        <w:rPr>
          <w:rFonts w:ascii="宋体" w:hAnsi="宋体" w:eastAsia="宋体" w:cs="宋体"/>
          <w:spacing w:val="-4"/>
          <w:sz w:val="24"/>
          <w:szCs w:val="24"/>
          <w:highlight w:val="none"/>
          <w:u w:val="single" w:color="auto"/>
        </w:rPr>
        <w:t>现行的国家及行业建</w:t>
      </w:r>
      <w:r>
        <w:rPr>
          <w:rFonts w:ascii="宋体" w:hAnsi="宋体" w:eastAsia="宋体" w:cs="宋体"/>
          <w:spacing w:val="-5"/>
          <w:sz w:val="24"/>
          <w:szCs w:val="24"/>
          <w:highlight w:val="none"/>
          <w:u w:val="single" w:color="auto"/>
        </w:rPr>
        <w:t>设施工、验收及清单计价规范。</w:t>
      </w:r>
    </w:p>
    <w:p w14:paraId="3D7DBDF3">
      <w:pPr>
        <w:spacing w:before="184" w:line="219" w:lineRule="auto"/>
        <w:ind w:left="499"/>
        <w:rPr>
          <w:rFonts w:ascii="宋体" w:hAnsi="宋体" w:eastAsia="宋体" w:cs="宋体"/>
          <w:sz w:val="24"/>
          <w:szCs w:val="24"/>
          <w:highlight w:val="none"/>
        </w:rPr>
      </w:pPr>
      <w:r>
        <w:rPr>
          <w:rFonts w:ascii="宋体" w:hAnsi="宋体" w:eastAsia="宋体" w:cs="宋体"/>
          <w:spacing w:val="-2"/>
          <w:sz w:val="24"/>
          <w:szCs w:val="24"/>
          <w:highlight w:val="none"/>
        </w:rPr>
        <w:t>1.4.2</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发包人提供国外标准、规范的名称：</w:t>
      </w:r>
      <w:r>
        <w:rPr>
          <w:rFonts w:ascii="宋体" w:hAnsi="宋体" w:eastAsia="宋体" w:cs="宋体"/>
          <w:spacing w:val="-2"/>
          <w:sz w:val="24"/>
          <w:szCs w:val="24"/>
          <w:highlight w:val="none"/>
          <w:u w:val="single" w:color="auto"/>
        </w:rPr>
        <w:t>/；</w:t>
      </w:r>
    </w:p>
    <w:p w14:paraId="1E618FE7">
      <w:pPr>
        <w:spacing w:before="180"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发包人提供国外标准、规范的份数：</w:t>
      </w:r>
      <w:r>
        <w:rPr>
          <w:rFonts w:ascii="宋体" w:hAnsi="宋体" w:eastAsia="宋体" w:cs="宋体"/>
          <w:spacing w:val="-1"/>
          <w:sz w:val="24"/>
          <w:szCs w:val="24"/>
          <w:highlight w:val="none"/>
          <w:u w:val="single" w:color="auto"/>
        </w:rPr>
        <w:t>/；</w:t>
      </w:r>
    </w:p>
    <w:p w14:paraId="73606562">
      <w:pPr>
        <w:spacing w:before="183"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发包人提供国外标准、规范的名称：</w:t>
      </w:r>
      <w:r>
        <w:rPr>
          <w:rFonts w:ascii="宋体" w:hAnsi="宋体" w:eastAsia="宋体" w:cs="宋体"/>
          <w:spacing w:val="1"/>
          <w:sz w:val="24"/>
          <w:szCs w:val="24"/>
          <w:highlight w:val="none"/>
          <w:u w:val="single" w:color="auto"/>
        </w:rPr>
        <w:t>/。</w:t>
      </w:r>
    </w:p>
    <w:p w14:paraId="0A899E67">
      <w:pPr>
        <w:spacing w:before="180" w:line="220" w:lineRule="auto"/>
        <w:ind w:left="499"/>
        <w:rPr>
          <w:rFonts w:ascii="宋体" w:hAnsi="宋体" w:eastAsia="宋体" w:cs="宋体"/>
          <w:sz w:val="24"/>
          <w:szCs w:val="24"/>
          <w:highlight w:val="none"/>
        </w:rPr>
      </w:pPr>
      <w:r>
        <w:rPr>
          <w:rFonts w:ascii="宋体" w:hAnsi="宋体" w:eastAsia="宋体" w:cs="宋体"/>
          <w:sz w:val="24"/>
          <w:szCs w:val="24"/>
          <w:highlight w:val="none"/>
        </w:rPr>
        <w:t>1.4.3</w:t>
      </w:r>
      <w:r>
        <w:rPr>
          <w:rFonts w:ascii="宋体" w:hAnsi="宋体" w:eastAsia="宋体" w:cs="宋体"/>
          <w:spacing w:val="-47"/>
          <w:sz w:val="24"/>
          <w:szCs w:val="24"/>
          <w:highlight w:val="none"/>
        </w:rPr>
        <w:t xml:space="preserve"> </w:t>
      </w:r>
      <w:r>
        <w:rPr>
          <w:rFonts w:ascii="宋体" w:hAnsi="宋体" w:eastAsia="宋体" w:cs="宋体"/>
          <w:sz w:val="24"/>
          <w:szCs w:val="24"/>
          <w:highlight w:val="none"/>
        </w:rPr>
        <w:t>发包人对工程的技术标准和功能要求</w:t>
      </w:r>
      <w:r>
        <w:rPr>
          <w:rFonts w:ascii="宋体" w:hAnsi="宋体" w:eastAsia="宋体" w:cs="宋体"/>
          <w:spacing w:val="-1"/>
          <w:sz w:val="24"/>
          <w:szCs w:val="24"/>
          <w:highlight w:val="none"/>
        </w:rPr>
        <w:t>的特殊要求：</w:t>
      </w:r>
      <w:r>
        <w:rPr>
          <w:rFonts w:ascii="宋体" w:hAnsi="宋体" w:eastAsia="宋体" w:cs="宋体"/>
          <w:spacing w:val="-1"/>
          <w:sz w:val="24"/>
          <w:szCs w:val="24"/>
          <w:highlight w:val="none"/>
          <w:u w:val="single" w:color="auto"/>
        </w:rPr>
        <w:t>/。</w:t>
      </w:r>
    </w:p>
    <w:p w14:paraId="1D49502C">
      <w:pPr>
        <w:spacing w:before="182" w:line="220"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1.5</w:t>
      </w:r>
      <w:r>
        <w:rPr>
          <w:rFonts w:ascii="宋体" w:hAnsi="宋体" w:eastAsia="宋体" w:cs="宋体"/>
          <w:spacing w:val="-40"/>
          <w:sz w:val="24"/>
          <w:szCs w:val="24"/>
          <w:highlight w:val="none"/>
        </w:rPr>
        <w:t xml:space="preserve"> </w:t>
      </w:r>
      <w:r>
        <w:rPr>
          <w:rFonts w:ascii="宋体" w:hAnsi="宋体" w:eastAsia="宋体" w:cs="宋体"/>
          <w:spacing w:val="-4"/>
          <w:sz w:val="24"/>
          <w:szCs w:val="24"/>
          <w:highlight w:val="none"/>
        </w:rPr>
        <w:t>合同文件的优先顺序</w:t>
      </w:r>
    </w:p>
    <w:p w14:paraId="137E31A3">
      <w:pPr>
        <w:spacing w:before="180"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合同文件组成及优先顺序为：执行通用条款。</w:t>
      </w:r>
    </w:p>
    <w:p w14:paraId="430FACA2">
      <w:pPr>
        <w:spacing w:before="183" w:line="359" w:lineRule="auto"/>
        <w:ind w:left="3" w:right="85" w:firstLine="479"/>
        <w:rPr>
          <w:rFonts w:ascii="宋体" w:hAnsi="宋体" w:eastAsia="宋体" w:cs="宋体"/>
          <w:sz w:val="24"/>
          <w:szCs w:val="24"/>
          <w:highlight w:val="none"/>
        </w:rPr>
      </w:pPr>
      <w:r>
        <w:rPr>
          <w:rFonts w:ascii="宋体" w:hAnsi="宋体" w:eastAsia="宋体" w:cs="宋体"/>
          <w:spacing w:val="-2"/>
          <w:sz w:val="24"/>
          <w:szCs w:val="24"/>
          <w:highlight w:val="none"/>
        </w:rPr>
        <w:t>上述各项合同文件包括合同当事人就该项合同文件所作出的补充和修改，属于同一类内</w:t>
      </w:r>
      <w:r>
        <w:rPr>
          <w:rFonts w:ascii="宋体" w:hAnsi="宋体" w:eastAsia="宋体" w:cs="宋体"/>
          <w:spacing w:val="-3"/>
          <w:sz w:val="24"/>
          <w:szCs w:val="24"/>
          <w:highlight w:val="none"/>
        </w:rPr>
        <w:t>容的文件，应以最新签署的为准。</w:t>
      </w:r>
    </w:p>
    <w:p w14:paraId="61BE644F">
      <w:pPr>
        <w:spacing w:before="1" w:line="219" w:lineRule="auto"/>
        <w:ind w:left="499"/>
        <w:rPr>
          <w:rFonts w:ascii="宋体" w:hAnsi="宋体" w:eastAsia="宋体" w:cs="宋体"/>
          <w:sz w:val="24"/>
          <w:szCs w:val="24"/>
          <w:highlight w:val="none"/>
        </w:rPr>
      </w:pPr>
      <w:r>
        <w:rPr>
          <w:rFonts w:ascii="宋体" w:hAnsi="宋体" w:eastAsia="宋体" w:cs="宋体"/>
          <w:spacing w:val="-6"/>
          <w:sz w:val="24"/>
          <w:szCs w:val="24"/>
          <w:highlight w:val="none"/>
        </w:rPr>
        <w:t>1.6</w:t>
      </w:r>
      <w:r>
        <w:rPr>
          <w:rFonts w:ascii="宋体" w:hAnsi="宋体" w:eastAsia="宋体" w:cs="宋体"/>
          <w:spacing w:val="-19"/>
          <w:sz w:val="24"/>
          <w:szCs w:val="24"/>
          <w:highlight w:val="none"/>
        </w:rPr>
        <w:t xml:space="preserve"> </w:t>
      </w:r>
      <w:r>
        <w:rPr>
          <w:rFonts w:ascii="宋体" w:hAnsi="宋体" w:eastAsia="宋体" w:cs="宋体"/>
          <w:spacing w:val="-6"/>
          <w:sz w:val="24"/>
          <w:szCs w:val="24"/>
          <w:highlight w:val="none"/>
        </w:rPr>
        <w:t>图纸和承包人文件</w:t>
      </w:r>
    </w:p>
    <w:p w14:paraId="5B89BE81">
      <w:pPr>
        <w:spacing w:before="180" w:line="219" w:lineRule="auto"/>
        <w:ind w:left="499"/>
        <w:rPr>
          <w:rFonts w:ascii="宋体" w:hAnsi="宋体" w:eastAsia="宋体" w:cs="宋体"/>
          <w:sz w:val="24"/>
          <w:szCs w:val="24"/>
          <w:highlight w:val="none"/>
        </w:rPr>
      </w:pPr>
      <w:r>
        <w:rPr>
          <w:rFonts w:ascii="宋体" w:hAnsi="宋体" w:eastAsia="宋体" w:cs="宋体"/>
          <w:spacing w:val="-6"/>
          <w:sz w:val="24"/>
          <w:szCs w:val="24"/>
          <w:highlight w:val="none"/>
        </w:rPr>
        <w:t>1.6.1</w:t>
      </w:r>
      <w:r>
        <w:rPr>
          <w:rFonts w:ascii="宋体" w:hAnsi="宋体" w:eastAsia="宋体" w:cs="宋体"/>
          <w:spacing w:val="-22"/>
          <w:sz w:val="24"/>
          <w:szCs w:val="24"/>
          <w:highlight w:val="none"/>
        </w:rPr>
        <w:t xml:space="preserve"> </w:t>
      </w:r>
      <w:r>
        <w:rPr>
          <w:rFonts w:ascii="宋体" w:hAnsi="宋体" w:eastAsia="宋体" w:cs="宋体"/>
          <w:spacing w:val="-6"/>
          <w:sz w:val="24"/>
          <w:szCs w:val="24"/>
          <w:highlight w:val="none"/>
        </w:rPr>
        <w:t>图纸的提供</w:t>
      </w:r>
    </w:p>
    <w:p w14:paraId="4398D574">
      <w:pPr>
        <w:spacing w:before="183"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发包人向承包人提供图纸的期限：开工日期前</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天；</w:t>
      </w:r>
    </w:p>
    <w:p w14:paraId="2602ACCC">
      <w:pPr>
        <w:spacing w:before="181"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发包人向承包人提供图纸的数量</w:t>
      </w:r>
      <w:r>
        <w:rPr>
          <w:rFonts w:ascii="宋体" w:hAnsi="宋体" w:eastAsia="宋体" w:cs="宋体"/>
          <w:spacing w:val="-14"/>
          <w:sz w:val="24"/>
          <w:szCs w:val="24"/>
          <w:highlight w:val="none"/>
          <w:u w:val="single" w:color="auto"/>
        </w:rPr>
        <w:t>：</w:t>
      </w:r>
      <w:r>
        <w:rPr>
          <w:rFonts w:ascii="宋体" w:hAnsi="宋体" w:eastAsia="宋体" w:cs="宋体"/>
          <w:spacing w:val="30"/>
          <w:sz w:val="24"/>
          <w:szCs w:val="24"/>
          <w:highlight w:val="none"/>
          <w:u w:val="single" w:color="auto"/>
        </w:rPr>
        <w:t xml:space="preserve">    </w:t>
      </w:r>
      <w:r>
        <w:rPr>
          <w:rFonts w:ascii="宋体" w:hAnsi="宋体" w:eastAsia="宋体" w:cs="宋体"/>
          <w:spacing w:val="-14"/>
          <w:sz w:val="24"/>
          <w:szCs w:val="24"/>
          <w:highlight w:val="none"/>
        </w:rPr>
        <w:t>；</w:t>
      </w:r>
    </w:p>
    <w:p w14:paraId="791A3F9F">
      <w:pPr>
        <w:spacing w:before="183"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发包人向承包人提供图纸的内容</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w:t>
      </w:r>
    </w:p>
    <w:p w14:paraId="329BD9B9">
      <w:pPr>
        <w:spacing w:before="181" w:line="220"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1.6.4</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承包人文件</w:t>
      </w:r>
    </w:p>
    <w:p w14:paraId="2E5BD4EE">
      <w:pPr>
        <w:spacing w:before="183" w:line="359" w:lineRule="auto"/>
        <w:ind w:left="5" w:right="84" w:firstLine="488"/>
        <w:rPr>
          <w:rFonts w:ascii="宋体" w:hAnsi="宋体" w:eastAsia="宋体" w:cs="宋体"/>
          <w:sz w:val="24"/>
          <w:szCs w:val="24"/>
          <w:highlight w:val="none"/>
        </w:rPr>
      </w:pPr>
      <w:r>
        <w:rPr>
          <w:rFonts w:ascii="宋体" w:hAnsi="宋体" w:eastAsia="宋体" w:cs="宋体"/>
          <w:spacing w:val="-5"/>
          <w:sz w:val="24"/>
          <w:szCs w:val="24"/>
          <w:highlight w:val="none"/>
        </w:rPr>
        <w:t>需要由承包人提供的文件，包括：</w:t>
      </w:r>
      <w:r>
        <w:rPr>
          <w:rFonts w:ascii="宋体" w:hAnsi="宋体" w:eastAsia="宋体" w:cs="宋体"/>
          <w:spacing w:val="-5"/>
          <w:sz w:val="24"/>
          <w:szCs w:val="24"/>
          <w:highlight w:val="none"/>
          <w:u w:val="single" w:color="auto"/>
        </w:rPr>
        <w:t>施工组织设计及专项施工方案、项目安全风险评估(含</w:t>
      </w:r>
      <w:r>
        <w:rPr>
          <w:rFonts w:ascii="宋体" w:hAnsi="宋体" w:eastAsia="宋体" w:cs="宋体"/>
          <w:sz w:val="24"/>
          <w:szCs w:val="24"/>
          <w:highlight w:val="none"/>
          <w:u w:val="single" w:color="auto"/>
        </w:rPr>
        <w:t>安全方案，如有）、施工过程管控资料及相</w:t>
      </w:r>
      <w:r>
        <w:rPr>
          <w:rFonts w:ascii="宋体" w:hAnsi="宋体" w:eastAsia="宋体" w:cs="宋体"/>
          <w:spacing w:val="-1"/>
          <w:sz w:val="24"/>
          <w:szCs w:val="24"/>
          <w:highlight w:val="none"/>
          <w:u w:val="single" w:color="auto"/>
        </w:rPr>
        <w:t>关会议纪要、联系函等文件；</w:t>
      </w:r>
    </w:p>
    <w:p w14:paraId="33C818D1">
      <w:pPr>
        <w:spacing w:before="1" w:line="218"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所有与工程施工有关建设标准和规范（包括图集）由承包人自行</w:t>
      </w:r>
      <w:r>
        <w:rPr>
          <w:rFonts w:ascii="宋体" w:hAnsi="宋体" w:eastAsia="宋体" w:cs="宋体"/>
          <w:spacing w:val="-3"/>
          <w:sz w:val="24"/>
          <w:szCs w:val="24"/>
          <w:highlight w:val="none"/>
        </w:rPr>
        <w:t>采购；</w:t>
      </w:r>
    </w:p>
    <w:p w14:paraId="7CDC22ED">
      <w:pPr>
        <w:spacing w:before="184" w:line="359" w:lineRule="auto"/>
        <w:ind w:right="82" w:firstLine="481"/>
        <w:rPr>
          <w:rFonts w:ascii="宋体" w:hAnsi="宋体" w:eastAsia="宋体" w:cs="宋体"/>
          <w:sz w:val="24"/>
          <w:szCs w:val="24"/>
          <w:highlight w:val="none"/>
        </w:rPr>
      </w:pPr>
      <w:r>
        <w:rPr>
          <w:rFonts w:ascii="宋体" w:hAnsi="宋体" w:eastAsia="宋体" w:cs="宋体"/>
          <w:spacing w:val="-3"/>
          <w:sz w:val="24"/>
          <w:szCs w:val="24"/>
          <w:highlight w:val="none"/>
        </w:rPr>
        <w:t>承包人提供的文件的期限为：</w:t>
      </w:r>
      <w:r>
        <w:rPr>
          <w:rFonts w:ascii="宋体" w:hAnsi="宋体" w:eastAsia="宋体" w:cs="宋体"/>
          <w:spacing w:val="-3"/>
          <w:sz w:val="24"/>
          <w:szCs w:val="24"/>
          <w:highlight w:val="none"/>
          <w:u w:val="single" w:color="auto"/>
        </w:rPr>
        <w:t>施工组织设计于开工前</w:t>
      </w:r>
      <w:r>
        <w:rPr>
          <w:rFonts w:ascii="宋体" w:hAnsi="宋体" w:eastAsia="宋体" w:cs="宋体"/>
          <w:spacing w:val="-44"/>
          <w:sz w:val="24"/>
          <w:szCs w:val="24"/>
          <w:highlight w:val="none"/>
          <w:u w:val="single" w:color="auto"/>
        </w:rPr>
        <w:t xml:space="preserve"> </w:t>
      </w:r>
      <w:r>
        <w:rPr>
          <w:rFonts w:ascii="宋体" w:hAnsi="宋体" w:eastAsia="宋体" w:cs="宋体"/>
          <w:spacing w:val="-3"/>
          <w:sz w:val="24"/>
          <w:szCs w:val="24"/>
          <w:highlight w:val="none"/>
          <w:u w:val="single" w:color="auto"/>
        </w:rPr>
        <w:t>7 日内</w:t>
      </w:r>
      <w:r>
        <w:rPr>
          <w:rFonts w:ascii="宋体" w:hAnsi="宋体" w:eastAsia="宋体" w:cs="宋体"/>
          <w:spacing w:val="-4"/>
          <w:sz w:val="24"/>
          <w:szCs w:val="24"/>
          <w:highlight w:val="none"/>
          <w:u w:val="single" w:color="auto"/>
        </w:rPr>
        <w:t>提交；专项施工方案于专项</w:t>
      </w:r>
      <w:r>
        <w:rPr>
          <w:rFonts w:ascii="宋体" w:hAnsi="宋体" w:eastAsia="宋体" w:cs="宋体"/>
          <w:spacing w:val="-7"/>
          <w:sz w:val="24"/>
          <w:szCs w:val="24"/>
          <w:highlight w:val="none"/>
          <w:u w:val="single" w:color="auto"/>
        </w:rPr>
        <w:t>施工开工前</w:t>
      </w:r>
      <w:r>
        <w:rPr>
          <w:rFonts w:ascii="宋体" w:hAnsi="宋体" w:eastAsia="宋体" w:cs="宋体"/>
          <w:spacing w:val="-35"/>
          <w:sz w:val="24"/>
          <w:szCs w:val="24"/>
          <w:highlight w:val="none"/>
          <w:u w:val="single" w:color="auto"/>
        </w:rPr>
        <w:t xml:space="preserve"> </w:t>
      </w:r>
      <w:r>
        <w:rPr>
          <w:rFonts w:ascii="宋体" w:hAnsi="宋体" w:eastAsia="宋体" w:cs="宋体"/>
          <w:spacing w:val="-7"/>
          <w:sz w:val="24"/>
          <w:szCs w:val="24"/>
          <w:highlight w:val="none"/>
          <w:u w:val="single" w:color="auto"/>
        </w:rPr>
        <w:t>7 日内提交；</w:t>
      </w:r>
    </w:p>
    <w:p w14:paraId="636C16C0">
      <w:pPr>
        <w:spacing w:before="1" w:line="218"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承包人提供的文件的数量为：</w:t>
      </w:r>
      <w:r>
        <w:rPr>
          <w:rFonts w:ascii="宋体" w:hAnsi="宋体" w:eastAsia="宋体" w:cs="宋体"/>
          <w:spacing w:val="-1"/>
          <w:sz w:val="24"/>
          <w:szCs w:val="24"/>
          <w:highlight w:val="none"/>
          <w:u w:val="single" w:color="auto"/>
        </w:rPr>
        <w:t>叁套；</w:t>
      </w:r>
    </w:p>
    <w:p w14:paraId="1EC115AA">
      <w:pPr>
        <w:spacing w:before="181"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承包人提供的文件的形式为：</w:t>
      </w:r>
      <w:r>
        <w:rPr>
          <w:rFonts w:ascii="宋体" w:hAnsi="宋体" w:eastAsia="宋体" w:cs="宋体"/>
          <w:spacing w:val="-1"/>
          <w:sz w:val="24"/>
          <w:szCs w:val="24"/>
          <w:highlight w:val="none"/>
          <w:u w:val="single" w:color="auto"/>
        </w:rPr>
        <w:t>纸质和电子版；</w:t>
      </w:r>
    </w:p>
    <w:p w14:paraId="31B2E82A">
      <w:pPr>
        <w:spacing w:before="183" w:line="220"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发包人审批承包人文件的期限：</w:t>
      </w:r>
      <w:r>
        <w:rPr>
          <w:rFonts w:ascii="宋体" w:hAnsi="宋体" w:eastAsia="宋体" w:cs="宋体"/>
          <w:spacing w:val="-3"/>
          <w:sz w:val="24"/>
          <w:szCs w:val="24"/>
          <w:highlight w:val="none"/>
          <w:u w:val="single" w:color="auto"/>
        </w:rPr>
        <w:t>收到提交文件后</w:t>
      </w:r>
      <w:r>
        <w:rPr>
          <w:rFonts w:ascii="宋体" w:hAnsi="宋体" w:eastAsia="宋体" w:cs="宋体"/>
          <w:spacing w:val="-39"/>
          <w:sz w:val="24"/>
          <w:szCs w:val="24"/>
          <w:highlight w:val="none"/>
          <w:u w:val="single" w:color="auto"/>
        </w:rPr>
        <w:t xml:space="preserve"> </w:t>
      </w:r>
      <w:r>
        <w:rPr>
          <w:rFonts w:ascii="宋体" w:hAnsi="宋体" w:eastAsia="宋体" w:cs="宋体"/>
          <w:spacing w:val="-3"/>
          <w:sz w:val="24"/>
          <w:szCs w:val="24"/>
          <w:highlight w:val="none"/>
          <w:u w:val="single" w:color="auto"/>
        </w:rPr>
        <w:t>7 日内。</w:t>
      </w:r>
    </w:p>
    <w:p w14:paraId="4990CF80">
      <w:pPr>
        <w:spacing w:before="180" w:line="220"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1.6.5</w:t>
      </w:r>
      <w:r>
        <w:rPr>
          <w:rFonts w:ascii="宋体" w:hAnsi="宋体" w:eastAsia="宋体" w:cs="宋体"/>
          <w:spacing w:val="-43"/>
          <w:sz w:val="24"/>
          <w:szCs w:val="24"/>
          <w:highlight w:val="none"/>
        </w:rPr>
        <w:t xml:space="preserve"> </w:t>
      </w:r>
      <w:r>
        <w:rPr>
          <w:rFonts w:ascii="宋体" w:hAnsi="宋体" w:eastAsia="宋体" w:cs="宋体"/>
          <w:spacing w:val="-4"/>
          <w:sz w:val="24"/>
          <w:szCs w:val="24"/>
          <w:highlight w:val="none"/>
        </w:rPr>
        <w:t>现场图纸准备</w:t>
      </w:r>
    </w:p>
    <w:p w14:paraId="165EA91C">
      <w:pPr>
        <w:spacing w:before="182" w:line="359" w:lineRule="auto"/>
        <w:ind w:right="82" w:firstLine="484"/>
        <w:rPr>
          <w:rFonts w:ascii="宋体" w:hAnsi="宋体" w:eastAsia="宋体" w:cs="宋体"/>
          <w:sz w:val="24"/>
          <w:szCs w:val="24"/>
          <w:highlight w:val="none"/>
        </w:rPr>
      </w:pPr>
      <w:r>
        <w:rPr>
          <w:rFonts w:ascii="宋体" w:hAnsi="宋体" w:eastAsia="宋体" w:cs="宋体"/>
          <w:spacing w:val="-6"/>
          <w:sz w:val="24"/>
          <w:szCs w:val="24"/>
          <w:highlight w:val="none"/>
        </w:rPr>
        <w:t>关于现场图纸准备的约定：</w:t>
      </w:r>
      <w:r>
        <w:rPr>
          <w:rFonts w:ascii="宋体" w:hAnsi="宋体" w:eastAsia="宋体" w:cs="宋体"/>
          <w:spacing w:val="-6"/>
          <w:sz w:val="24"/>
          <w:szCs w:val="24"/>
          <w:highlight w:val="none"/>
          <w:u w:val="single" w:color="auto"/>
        </w:rPr>
        <w:t>承包人应在施工现场另外保存一套完整的图纸、图集，供发</w:t>
      </w:r>
      <w:r>
        <w:rPr>
          <w:rFonts w:ascii="宋体" w:hAnsi="宋体" w:eastAsia="宋体" w:cs="宋体"/>
          <w:spacing w:val="-1"/>
          <w:sz w:val="24"/>
          <w:szCs w:val="24"/>
          <w:highlight w:val="none"/>
          <w:u w:val="single" w:color="auto"/>
        </w:rPr>
        <w:t>包人、监理人、跟踪审计单位及有关咨询单位和政府主</w:t>
      </w:r>
      <w:r>
        <w:rPr>
          <w:rFonts w:ascii="宋体" w:hAnsi="宋体" w:eastAsia="宋体" w:cs="宋体"/>
          <w:spacing w:val="-2"/>
          <w:sz w:val="24"/>
          <w:szCs w:val="24"/>
          <w:highlight w:val="none"/>
          <w:u w:val="single" w:color="auto"/>
        </w:rPr>
        <w:t>管部门等有关单位进行工程检查时使</w:t>
      </w:r>
      <w:r>
        <w:rPr>
          <w:rFonts w:ascii="宋体" w:hAnsi="宋体" w:eastAsia="宋体" w:cs="宋体"/>
          <w:spacing w:val="-5"/>
          <w:sz w:val="24"/>
          <w:szCs w:val="24"/>
          <w:highlight w:val="none"/>
          <w:u w:val="single" w:color="auto"/>
        </w:rPr>
        <w:t>用</w:t>
      </w:r>
      <w:r>
        <w:rPr>
          <w:rFonts w:ascii="宋体" w:hAnsi="宋体" w:eastAsia="宋体" w:cs="宋体"/>
          <w:spacing w:val="-5"/>
          <w:sz w:val="24"/>
          <w:szCs w:val="24"/>
          <w:highlight w:val="none"/>
        </w:rPr>
        <w:t>。</w:t>
      </w:r>
    </w:p>
    <w:p w14:paraId="15EEF159">
      <w:pPr>
        <w:spacing w:line="221" w:lineRule="auto"/>
        <w:ind w:left="499"/>
        <w:rPr>
          <w:rFonts w:ascii="宋体" w:hAnsi="宋体" w:eastAsia="宋体" w:cs="宋体"/>
          <w:sz w:val="24"/>
          <w:szCs w:val="24"/>
          <w:highlight w:val="none"/>
        </w:rPr>
      </w:pPr>
      <w:r>
        <w:rPr>
          <w:rFonts w:ascii="宋体" w:hAnsi="宋体" w:eastAsia="宋体" w:cs="宋体"/>
          <w:spacing w:val="-7"/>
          <w:sz w:val="24"/>
          <w:szCs w:val="24"/>
          <w:highlight w:val="none"/>
        </w:rPr>
        <w:t>1.7</w:t>
      </w:r>
      <w:r>
        <w:rPr>
          <w:rFonts w:ascii="宋体" w:hAnsi="宋体" w:eastAsia="宋体" w:cs="宋体"/>
          <w:spacing w:val="-49"/>
          <w:sz w:val="24"/>
          <w:szCs w:val="24"/>
          <w:highlight w:val="none"/>
        </w:rPr>
        <w:t xml:space="preserve"> </w:t>
      </w:r>
      <w:r>
        <w:rPr>
          <w:rFonts w:ascii="宋体" w:hAnsi="宋体" w:eastAsia="宋体" w:cs="宋体"/>
          <w:spacing w:val="-7"/>
          <w:sz w:val="24"/>
          <w:szCs w:val="24"/>
          <w:highlight w:val="none"/>
        </w:rPr>
        <w:t>联络</w:t>
      </w:r>
    </w:p>
    <w:p w14:paraId="70B75A1C">
      <w:pPr>
        <w:spacing w:before="180" w:line="360" w:lineRule="auto"/>
        <w:ind w:left="3" w:right="119" w:firstLine="495"/>
        <w:rPr>
          <w:rFonts w:ascii="宋体" w:hAnsi="宋体" w:eastAsia="宋体" w:cs="宋体"/>
          <w:sz w:val="24"/>
          <w:szCs w:val="24"/>
          <w:highlight w:val="none"/>
        </w:rPr>
      </w:pPr>
      <w:r>
        <w:rPr>
          <w:rFonts w:ascii="宋体" w:hAnsi="宋体" w:eastAsia="宋体" w:cs="宋体"/>
          <w:spacing w:val="-3"/>
          <w:sz w:val="24"/>
          <w:szCs w:val="24"/>
          <w:highlight w:val="none"/>
        </w:rPr>
        <w:t>1.7.1</w:t>
      </w:r>
      <w:r>
        <w:rPr>
          <w:rFonts w:ascii="宋体" w:hAnsi="宋体" w:eastAsia="宋体" w:cs="宋体"/>
          <w:spacing w:val="-27"/>
          <w:sz w:val="24"/>
          <w:szCs w:val="24"/>
          <w:highlight w:val="none"/>
        </w:rPr>
        <w:t xml:space="preserve"> </w:t>
      </w:r>
      <w:r>
        <w:rPr>
          <w:rFonts w:ascii="宋体" w:hAnsi="宋体" w:eastAsia="宋体" w:cs="宋体"/>
          <w:spacing w:val="-3"/>
          <w:sz w:val="24"/>
          <w:szCs w:val="24"/>
          <w:highlight w:val="none"/>
        </w:rPr>
        <w:t>发包人和承包人应当在</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3</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天内将与合同有关的通知、批准、证明、证书、指示、</w:t>
      </w:r>
      <w:r>
        <w:rPr>
          <w:rFonts w:ascii="宋体" w:hAnsi="宋体" w:eastAsia="宋体" w:cs="宋体"/>
          <w:spacing w:val="-1"/>
          <w:sz w:val="24"/>
          <w:szCs w:val="24"/>
          <w:highlight w:val="none"/>
        </w:rPr>
        <w:t>指令、要求、请求、同意、意见、确定和决</w:t>
      </w:r>
      <w:r>
        <w:rPr>
          <w:rFonts w:ascii="宋体" w:hAnsi="宋体" w:eastAsia="宋体" w:cs="宋体"/>
          <w:spacing w:val="-2"/>
          <w:sz w:val="24"/>
          <w:szCs w:val="24"/>
          <w:highlight w:val="none"/>
        </w:rPr>
        <w:t>定等书面函件送达对方当事人。</w:t>
      </w:r>
    </w:p>
    <w:p w14:paraId="10A28A8E">
      <w:pPr>
        <w:spacing w:line="360" w:lineRule="auto"/>
        <w:rPr>
          <w:rFonts w:ascii="宋体" w:hAnsi="宋体" w:eastAsia="宋体" w:cs="宋体"/>
          <w:sz w:val="24"/>
          <w:szCs w:val="24"/>
          <w:highlight w:val="none"/>
        </w:rPr>
        <w:sectPr>
          <w:footerReference r:id="rId35" w:type="default"/>
          <w:pgSz w:w="11907" w:h="16839"/>
          <w:pgMar w:top="1425" w:right="1089" w:bottom="1129" w:left="1184" w:header="0" w:footer="898" w:gutter="0"/>
          <w:cols w:space="720" w:num="1"/>
        </w:sectPr>
      </w:pPr>
    </w:p>
    <w:p w14:paraId="022CEA2B">
      <w:pPr>
        <w:spacing w:before="47" w:line="220"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1.7.2</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发包人接收文件的地点：工程现场；</w:t>
      </w:r>
    </w:p>
    <w:p w14:paraId="33567F2B">
      <w:pPr>
        <w:spacing w:before="182" w:line="220"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发包人指定的接收人为：</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u w:val="single" w:color="auto"/>
        </w:rPr>
        <w:t>。</w:t>
      </w:r>
    </w:p>
    <w:p w14:paraId="7FE1C154">
      <w:pPr>
        <w:spacing w:before="179" w:line="220" w:lineRule="auto"/>
        <w:ind w:left="480"/>
        <w:rPr>
          <w:rFonts w:ascii="宋体" w:hAnsi="宋体" w:eastAsia="宋体" w:cs="宋体"/>
          <w:sz w:val="24"/>
          <w:szCs w:val="24"/>
          <w:highlight w:val="none"/>
        </w:rPr>
      </w:pPr>
      <w:r>
        <w:rPr>
          <w:rFonts w:ascii="宋体" w:hAnsi="宋体" w:eastAsia="宋体" w:cs="宋体"/>
          <w:spacing w:val="-4"/>
          <w:sz w:val="24"/>
          <w:szCs w:val="24"/>
          <w:highlight w:val="none"/>
        </w:rPr>
        <w:t>承包人接收文件的地点：工程现场；</w:t>
      </w:r>
    </w:p>
    <w:p w14:paraId="2B9FC76E">
      <w:pPr>
        <w:spacing w:before="182" w:line="220"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承包人指定的接收人为：</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w:t>
      </w:r>
    </w:p>
    <w:p w14:paraId="53FA9BE3">
      <w:pPr>
        <w:spacing w:before="179" w:line="220" w:lineRule="auto"/>
        <w:ind w:left="481"/>
        <w:rPr>
          <w:rFonts w:ascii="宋体" w:hAnsi="宋体" w:eastAsia="宋体" w:cs="宋体"/>
          <w:sz w:val="24"/>
          <w:szCs w:val="24"/>
          <w:highlight w:val="none"/>
        </w:rPr>
      </w:pPr>
      <w:r>
        <w:rPr>
          <w:rFonts w:ascii="宋体" w:hAnsi="宋体" w:eastAsia="宋体" w:cs="宋体"/>
          <w:spacing w:val="-4"/>
          <w:sz w:val="24"/>
          <w:szCs w:val="24"/>
          <w:highlight w:val="none"/>
        </w:rPr>
        <w:t>监理人接收文件的地点：工程现场；</w:t>
      </w:r>
    </w:p>
    <w:p w14:paraId="707066C3">
      <w:pPr>
        <w:spacing w:before="182"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监理人指定的接收人为：</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u w:val="single" w:color="auto"/>
        </w:rPr>
        <w:t>。</w:t>
      </w:r>
    </w:p>
    <w:p w14:paraId="086A19E0">
      <w:pPr>
        <w:spacing w:before="179" w:line="220"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1.10</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交通运输</w:t>
      </w:r>
    </w:p>
    <w:p w14:paraId="02786EED">
      <w:pPr>
        <w:spacing w:before="182" w:line="220"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1.10.1</w:t>
      </w:r>
      <w:r>
        <w:rPr>
          <w:rFonts w:ascii="宋体" w:hAnsi="宋体" w:eastAsia="宋体" w:cs="宋体"/>
          <w:spacing w:val="-24"/>
          <w:sz w:val="24"/>
          <w:szCs w:val="24"/>
          <w:highlight w:val="none"/>
        </w:rPr>
        <w:t xml:space="preserve"> </w:t>
      </w:r>
      <w:r>
        <w:rPr>
          <w:rFonts w:ascii="宋体" w:hAnsi="宋体" w:eastAsia="宋体" w:cs="宋体"/>
          <w:spacing w:val="-5"/>
          <w:sz w:val="24"/>
          <w:szCs w:val="24"/>
          <w:highlight w:val="none"/>
        </w:rPr>
        <w:t>出入现场的权利</w:t>
      </w:r>
    </w:p>
    <w:p w14:paraId="1E4ACEBB">
      <w:pPr>
        <w:spacing w:before="181" w:line="359" w:lineRule="auto"/>
        <w:ind w:right="47" w:firstLine="484"/>
        <w:rPr>
          <w:rFonts w:ascii="宋体" w:hAnsi="宋体" w:eastAsia="宋体" w:cs="宋体"/>
          <w:sz w:val="24"/>
          <w:szCs w:val="24"/>
          <w:highlight w:val="none"/>
        </w:rPr>
      </w:pPr>
      <w:r>
        <w:rPr>
          <w:rFonts w:ascii="宋体" w:hAnsi="宋体" w:eastAsia="宋体" w:cs="宋体"/>
          <w:spacing w:val="-1"/>
          <w:sz w:val="24"/>
          <w:szCs w:val="24"/>
          <w:highlight w:val="none"/>
        </w:rPr>
        <w:t>关于出入现场的权利的约定：</w:t>
      </w:r>
      <w:r>
        <w:rPr>
          <w:rFonts w:ascii="宋体" w:hAnsi="宋体" w:eastAsia="宋体" w:cs="宋体"/>
          <w:spacing w:val="-1"/>
          <w:sz w:val="24"/>
          <w:szCs w:val="24"/>
          <w:highlight w:val="none"/>
          <w:u w:val="single" w:color="auto"/>
        </w:rPr>
        <w:t>一切出入现场</w:t>
      </w:r>
      <w:r>
        <w:rPr>
          <w:rFonts w:ascii="宋体" w:hAnsi="宋体" w:eastAsia="宋体" w:cs="宋体"/>
          <w:spacing w:val="-2"/>
          <w:sz w:val="24"/>
          <w:szCs w:val="24"/>
          <w:highlight w:val="none"/>
          <w:u w:val="single" w:color="auto"/>
        </w:rPr>
        <w:t>的相关手续和费用由承包人承担，发包人协助办理。</w:t>
      </w:r>
    </w:p>
    <w:p w14:paraId="35A4C88A">
      <w:pPr>
        <w:spacing w:before="1"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1.10.3</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场内交通</w:t>
      </w:r>
    </w:p>
    <w:p w14:paraId="05ADB4CA">
      <w:pPr>
        <w:spacing w:before="183" w:line="359" w:lineRule="auto"/>
        <w:ind w:right="48" w:firstLine="484"/>
        <w:rPr>
          <w:rFonts w:ascii="宋体" w:hAnsi="宋体" w:eastAsia="宋体" w:cs="宋体"/>
          <w:sz w:val="24"/>
          <w:szCs w:val="24"/>
          <w:highlight w:val="none"/>
        </w:rPr>
      </w:pPr>
      <w:r>
        <w:rPr>
          <w:rFonts w:ascii="宋体" w:hAnsi="宋体" w:eastAsia="宋体" w:cs="宋体"/>
          <w:spacing w:val="-2"/>
          <w:sz w:val="24"/>
          <w:szCs w:val="24"/>
          <w:highlight w:val="none"/>
        </w:rPr>
        <w:t>关于场外交通和场内交通的边界的约定：承包人必须根据发包人的要求采取切实可行的</w:t>
      </w:r>
      <w:r>
        <w:rPr>
          <w:rFonts w:ascii="宋体" w:hAnsi="宋体" w:eastAsia="宋体" w:cs="宋体"/>
          <w:spacing w:val="-1"/>
          <w:sz w:val="24"/>
          <w:szCs w:val="24"/>
          <w:highlight w:val="none"/>
        </w:rPr>
        <w:t>措施并确保施工现场周边的交通畅通和安全，确保各种管线</w:t>
      </w:r>
      <w:r>
        <w:rPr>
          <w:rFonts w:ascii="宋体" w:hAnsi="宋体" w:eastAsia="宋体" w:cs="宋体"/>
          <w:spacing w:val="-2"/>
          <w:sz w:val="24"/>
          <w:szCs w:val="24"/>
          <w:highlight w:val="none"/>
        </w:rPr>
        <w:t>安全运营，确保沿线居民出行方</w:t>
      </w:r>
      <w:r>
        <w:rPr>
          <w:rFonts w:ascii="宋体" w:hAnsi="宋体" w:eastAsia="宋体" w:cs="宋体"/>
          <w:spacing w:val="-1"/>
          <w:sz w:val="24"/>
          <w:szCs w:val="24"/>
          <w:highlight w:val="none"/>
        </w:rPr>
        <w:t>便，确保周边水系畅通，将施工给群众带来的干扰降至最低</w:t>
      </w:r>
      <w:r>
        <w:rPr>
          <w:rFonts w:ascii="宋体" w:hAnsi="宋体" w:eastAsia="宋体" w:cs="宋体"/>
          <w:spacing w:val="-2"/>
          <w:sz w:val="24"/>
          <w:szCs w:val="24"/>
          <w:highlight w:val="none"/>
        </w:rPr>
        <w:t>限度，否则由此造成的一切后果</w:t>
      </w:r>
      <w:r>
        <w:rPr>
          <w:rFonts w:ascii="宋体" w:hAnsi="宋体" w:eastAsia="宋体" w:cs="宋体"/>
          <w:spacing w:val="-3"/>
          <w:sz w:val="24"/>
          <w:szCs w:val="24"/>
          <w:highlight w:val="none"/>
        </w:rPr>
        <w:t>由承包人承担，对承包人处以完成该项工作</w:t>
      </w:r>
      <w:r>
        <w:rPr>
          <w:rFonts w:ascii="宋体" w:hAnsi="宋体" w:eastAsia="宋体" w:cs="宋体"/>
          <w:spacing w:val="-29"/>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倍的违约金。</w:t>
      </w:r>
    </w:p>
    <w:p w14:paraId="05A1F615">
      <w:pPr>
        <w:spacing w:line="359" w:lineRule="auto"/>
        <w:ind w:left="5" w:right="50" w:firstLine="478"/>
        <w:rPr>
          <w:rFonts w:ascii="宋体" w:hAnsi="宋体" w:eastAsia="宋体" w:cs="宋体"/>
          <w:sz w:val="24"/>
          <w:szCs w:val="24"/>
          <w:highlight w:val="none"/>
        </w:rPr>
      </w:pPr>
      <w:r>
        <w:rPr>
          <w:rFonts w:ascii="宋体" w:hAnsi="宋体" w:eastAsia="宋体" w:cs="宋体"/>
          <w:spacing w:val="-2"/>
          <w:sz w:val="24"/>
          <w:szCs w:val="24"/>
          <w:highlight w:val="none"/>
        </w:rPr>
        <w:t>关于发包人向承包人免费提供满足工程施工需要的场内道路和交通设施的约定：发包人</w:t>
      </w:r>
      <w:r>
        <w:rPr>
          <w:rFonts w:ascii="宋体" w:hAnsi="宋体" w:eastAsia="宋体" w:cs="宋体"/>
          <w:spacing w:val="-3"/>
          <w:sz w:val="24"/>
          <w:szCs w:val="24"/>
          <w:highlight w:val="none"/>
        </w:rPr>
        <w:t>免费提供场内道路用地，承包人负责道路畅通。</w:t>
      </w:r>
    </w:p>
    <w:p w14:paraId="00473F36">
      <w:pPr>
        <w:spacing w:before="1"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1.10.4</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超大件和超重件的运输</w:t>
      </w:r>
    </w:p>
    <w:p w14:paraId="019FB47B">
      <w:pPr>
        <w:spacing w:before="183" w:line="359" w:lineRule="auto"/>
        <w:ind w:right="49" w:firstLine="479"/>
        <w:rPr>
          <w:rFonts w:ascii="宋体" w:hAnsi="宋体" w:eastAsia="宋体" w:cs="宋体"/>
          <w:sz w:val="24"/>
          <w:szCs w:val="24"/>
          <w:highlight w:val="none"/>
        </w:rPr>
      </w:pPr>
      <w:r>
        <w:rPr>
          <w:rFonts w:ascii="宋体" w:hAnsi="宋体" w:eastAsia="宋体" w:cs="宋体"/>
          <w:spacing w:val="4"/>
          <w:sz w:val="24"/>
          <w:szCs w:val="24"/>
          <w:highlight w:val="none"/>
        </w:rPr>
        <w:t>运输超大件或超重件所需的道路和桥梁临时加固</w:t>
      </w:r>
      <w:r>
        <w:rPr>
          <w:rFonts w:ascii="宋体" w:hAnsi="宋体" w:eastAsia="宋体" w:cs="宋体"/>
          <w:spacing w:val="3"/>
          <w:sz w:val="24"/>
          <w:szCs w:val="24"/>
          <w:highlight w:val="none"/>
        </w:rPr>
        <w:t>改造费用和其他有关费用</w:t>
      </w:r>
      <w:r>
        <w:rPr>
          <w:rFonts w:ascii="宋体" w:hAnsi="宋体" w:eastAsia="宋体" w:cs="宋体"/>
          <w:spacing w:val="-68"/>
          <w:sz w:val="24"/>
          <w:szCs w:val="24"/>
          <w:highlight w:val="none"/>
          <w:u w:val="single" w:color="auto"/>
        </w:rPr>
        <w:t xml:space="preserve"> </w:t>
      </w:r>
      <w:r>
        <w:rPr>
          <w:rFonts w:ascii="宋体" w:hAnsi="宋体" w:eastAsia="宋体" w:cs="宋体"/>
          <w:spacing w:val="3"/>
          <w:sz w:val="24"/>
          <w:szCs w:val="24"/>
          <w:highlight w:val="none"/>
          <w:u w:val="single" w:color="auto"/>
        </w:rPr>
        <w:t>由承包人承</w:t>
      </w:r>
      <w:r>
        <w:rPr>
          <w:rFonts w:ascii="宋体" w:hAnsi="宋体" w:eastAsia="宋体" w:cs="宋体"/>
          <w:spacing w:val="-3"/>
          <w:sz w:val="24"/>
          <w:szCs w:val="24"/>
          <w:highlight w:val="none"/>
          <w:u w:val="single" w:color="auto"/>
        </w:rPr>
        <w:t>担。</w:t>
      </w:r>
    </w:p>
    <w:p w14:paraId="38298301">
      <w:pPr>
        <w:spacing w:before="1"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1.11</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知识产权</w:t>
      </w:r>
    </w:p>
    <w:p w14:paraId="0D8ADA24">
      <w:pPr>
        <w:spacing w:before="180" w:line="359" w:lineRule="auto"/>
        <w:ind w:right="50" w:firstLine="497"/>
        <w:rPr>
          <w:rFonts w:ascii="宋体" w:hAnsi="宋体" w:eastAsia="宋体" w:cs="宋体"/>
          <w:sz w:val="24"/>
          <w:szCs w:val="24"/>
          <w:highlight w:val="none"/>
        </w:rPr>
      </w:pPr>
      <w:r>
        <w:rPr>
          <w:rFonts w:ascii="宋体" w:hAnsi="宋体" w:eastAsia="宋体" w:cs="宋体"/>
          <w:spacing w:val="-4"/>
          <w:sz w:val="24"/>
          <w:szCs w:val="24"/>
          <w:highlight w:val="none"/>
        </w:rPr>
        <w:t>1.11.1</w:t>
      </w:r>
      <w:r>
        <w:rPr>
          <w:rFonts w:ascii="宋体" w:hAnsi="宋体" w:eastAsia="宋体" w:cs="宋体"/>
          <w:spacing w:val="-30"/>
          <w:sz w:val="24"/>
          <w:szCs w:val="24"/>
          <w:highlight w:val="none"/>
        </w:rPr>
        <w:t xml:space="preserve"> </w:t>
      </w:r>
      <w:r>
        <w:rPr>
          <w:rFonts w:ascii="宋体" w:hAnsi="宋体" w:eastAsia="宋体" w:cs="宋体"/>
          <w:spacing w:val="-4"/>
          <w:sz w:val="24"/>
          <w:szCs w:val="24"/>
          <w:highlight w:val="none"/>
        </w:rPr>
        <w:t>关于发包人提供给承包人的图纸、发包人为实施工程自行编制或委托编制的技术</w:t>
      </w:r>
      <w:r>
        <w:rPr>
          <w:rFonts w:ascii="宋体" w:hAnsi="宋体" w:eastAsia="宋体" w:cs="宋体"/>
          <w:sz w:val="24"/>
          <w:szCs w:val="24"/>
          <w:highlight w:val="none"/>
        </w:rPr>
        <w:t>规范以及反映发包人关于合同要求或其他类似性质的文件的著作权的</w:t>
      </w:r>
      <w:r>
        <w:rPr>
          <w:rFonts w:ascii="宋体" w:hAnsi="宋体" w:eastAsia="宋体" w:cs="宋体"/>
          <w:spacing w:val="-1"/>
          <w:sz w:val="24"/>
          <w:szCs w:val="24"/>
          <w:highlight w:val="none"/>
        </w:rPr>
        <w:t>归属：</w:t>
      </w:r>
      <w:r>
        <w:rPr>
          <w:rFonts w:ascii="宋体" w:hAnsi="宋体" w:eastAsia="宋体" w:cs="宋体"/>
          <w:spacing w:val="-1"/>
          <w:sz w:val="24"/>
          <w:szCs w:val="24"/>
          <w:highlight w:val="none"/>
          <w:u w:val="single" w:color="auto"/>
        </w:rPr>
        <w:t>发包人。</w:t>
      </w:r>
    </w:p>
    <w:p w14:paraId="581D7C3D">
      <w:pPr>
        <w:spacing w:before="1" w:line="218"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关于发包人提供的上述文件的使用限制的要求：</w:t>
      </w:r>
      <w:r>
        <w:rPr>
          <w:rFonts w:ascii="宋体" w:hAnsi="宋体" w:eastAsia="宋体" w:cs="宋体"/>
          <w:spacing w:val="-1"/>
          <w:sz w:val="24"/>
          <w:szCs w:val="24"/>
          <w:highlight w:val="none"/>
          <w:u w:val="single" w:color="auto"/>
        </w:rPr>
        <w:t>执行通用条款。</w:t>
      </w:r>
    </w:p>
    <w:p w14:paraId="66C5D366">
      <w:pPr>
        <w:spacing w:before="184" w:line="220"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1.11.2</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关于承包人为实施工程所编制文件的著作权的归属：</w:t>
      </w:r>
      <w:r>
        <w:rPr>
          <w:rFonts w:ascii="宋体" w:hAnsi="宋体" w:eastAsia="宋体" w:cs="宋体"/>
          <w:spacing w:val="-2"/>
          <w:sz w:val="24"/>
          <w:szCs w:val="24"/>
          <w:highlight w:val="none"/>
          <w:u w:val="single" w:color="auto"/>
        </w:rPr>
        <w:t>发包人。</w:t>
      </w:r>
    </w:p>
    <w:p w14:paraId="11C8DFAF">
      <w:pPr>
        <w:spacing w:before="180"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关于承包人提供的上述文件的使用限制的要求：</w:t>
      </w:r>
      <w:r>
        <w:rPr>
          <w:rFonts w:ascii="宋体" w:hAnsi="宋体" w:eastAsia="宋体" w:cs="宋体"/>
          <w:spacing w:val="-1"/>
          <w:sz w:val="24"/>
          <w:szCs w:val="24"/>
          <w:highlight w:val="none"/>
          <w:u w:val="single" w:color="auto"/>
        </w:rPr>
        <w:t>执行通用条款。</w:t>
      </w:r>
    </w:p>
    <w:p w14:paraId="7BBA64FC">
      <w:pPr>
        <w:spacing w:before="183" w:line="289" w:lineRule="auto"/>
        <w:ind w:left="29" w:firstLine="469"/>
        <w:rPr>
          <w:rFonts w:ascii="宋体" w:hAnsi="宋体" w:eastAsia="宋体" w:cs="宋体"/>
          <w:sz w:val="24"/>
          <w:szCs w:val="24"/>
          <w:highlight w:val="none"/>
        </w:rPr>
      </w:pPr>
      <w:r>
        <w:rPr>
          <w:rFonts w:ascii="宋体" w:hAnsi="宋体" w:eastAsia="宋体" w:cs="宋体"/>
          <w:spacing w:val="-2"/>
          <w:sz w:val="24"/>
          <w:szCs w:val="24"/>
          <w:highlight w:val="none"/>
        </w:rPr>
        <w:t>1.11.3</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承包人在施工过程中所采用的专利、专有技术、技术秘</w:t>
      </w:r>
      <w:r>
        <w:rPr>
          <w:rFonts w:ascii="宋体" w:hAnsi="宋体" w:eastAsia="宋体" w:cs="宋体"/>
          <w:spacing w:val="-3"/>
          <w:sz w:val="24"/>
          <w:szCs w:val="24"/>
          <w:highlight w:val="none"/>
        </w:rPr>
        <w:t>密的使用费的承担方式：</w:t>
      </w:r>
      <w:r>
        <w:rPr>
          <w:rFonts w:ascii="宋体" w:hAnsi="宋体" w:eastAsia="宋体" w:cs="宋体"/>
          <w:spacing w:val="-4"/>
          <w:sz w:val="24"/>
          <w:szCs w:val="24"/>
          <w:highlight w:val="none"/>
          <w:u w:val="single" w:color="auto"/>
        </w:rPr>
        <w:t>由承包人自行承担。</w:t>
      </w:r>
    </w:p>
    <w:p w14:paraId="70B8219C">
      <w:pPr>
        <w:spacing w:before="182"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1.11.4</w:t>
      </w:r>
      <w:r>
        <w:rPr>
          <w:rFonts w:ascii="宋体" w:hAnsi="宋体" w:eastAsia="宋体" w:cs="宋体"/>
          <w:spacing w:val="-39"/>
          <w:sz w:val="24"/>
          <w:szCs w:val="24"/>
          <w:highlight w:val="none"/>
        </w:rPr>
        <w:t xml:space="preserve"> </w:t>
      </w:r>
      <w:r>
        <w:rPr>
          <w:rFonts w:ascii="宋体" w:hAnsi="宋体" w:eastAsia="宋体" w:cs="宋体"/>
          <w:spacing w:val="-3"/>
          <w:sz w:val="24"/>
          <w:szCs w:val="24"/>
          <w:highlight w:val="none"/>
        </w:rPr>
        <w:t>工程量清单错误的修正</w:t>
      </w:r>
    </w:p>
    <w:p w14:paraId="16B073BB">
      <w:pPr>
        <w:spacing w:before="180" w:line="218" w:lineRule="auto"/>
        <w:ind w:left="501"/>
        <w:rPr>
          <w:rFonts w:ascii="宋体" w:hAnsi="宋体" w:eastAsia="宋体" w:cs="宋体"/>
          <w:sz w:val="24"/>
          <w:szCs w:val="24"/>
          <w:highlight w:val="none"/>
        </w:rPr>
      </w:pPr>
      <w:r>
        <w:rPr>
          <w:rFonts w:ascii="宋体" w:hAnsi="宋体" w:eastAsia="宋体" w:cs="宋体"/>
          <w:spacing w:val="-3"/>
          <w:sz w:val="24"/>
          <w:szCs w:val="24"/>
          <w:highlight w:val="none"/>
        </w:rPr>
        <w:t>出现工程量清单错误时，是否调整合同价格：可以调整。</w:t>
      </w:r>
    </w:p>
    <w:p w14:paraId="0F2BD52F">
      <w:pPr>
        <w:spacing w:line="218" w:lineRule="auto"/>
        <w:rPr>
          <w:rFonts w:ascii="宋体" w:hAnsi="宋体" w:eastAsia="宋体" w:cs="宋体"/>
          <w:sz w:val="24"/>
          <w:szCs w:val="24"/>
          <w:highlight w:val="none"/>
        </w:rPr>
        <w:sectPr>
          <w:footerReference r:id="rId36" w:type="default"/>
          <w:pgSz w:w="11907" w:h="16839"/>
          <w:pgMar w:top="1425" w:right="1125" w:bottom="1129" w:left="1185" w:header="0" w:footer="898" w:gutter="0"/>
          <w:cols w:space="720" w:num="1"/>
        </w:sectPr>
      </w:pPr>
    </w:p>
    <w:p w14:paraId="570D1032">
      <w:pPr>
        <w:spacing w:before="48" w:line="359" w:lineRule="auto"/>
        <w:ind w:left="95" w:right="3" w:firstLine="485"/>
        <w:rPr>
          <w:rFonts w:ascii="宋体" w:hAnsi="宋体" w:eastAsia="宋体" w:cs="宋体"/>
          <w:sz w:val="24"/>
          <w:szCs w:val="24"/>
          <w:highlight w:val="none"/>
        </w:rPr>
      </w:pPr>
      <w:r>
        <w:rPr>
          <w:rFonts w:ascii="宋体" w:hAnsi="宋体" w:eastAsia="宋体" w:cs="宋体"/>
          <w:spacing w:val="5"/>
          <w:sz w:val="24"/>
          <w:szCs w:val="24"/>
          <w:highlight w:val="none"/>
        </w:rPr>
        <w:t>允许调整合同价格的工程量偏差范围：只调整单项子目</w:t>
      </w:r>
      <w:r>
        <w:rPr>
          <w:rFonts w:ascii="宋体" w:hAnsi="宋体" w:eastAsia="宋体" w:cs="宋体"/>
          <w:spacing w:val="4"/>
          <w:sz w:val="24"/>
          <w:szCs w:val="24"/>
          <w:highlight w:val="none"/>
        </w:rPr>
        <w:t>工程量误差超出±3%以外的部</w:t>
      </w:r>
      <w:r>
        <w:rPr>
          <w:rFonts w:ascii="宋体" w:hAnsi="宋体" w:eastAsia="宋体" w:cs="宋体"/>
          <w:spacing w:val="-12"/>
          <w:sz w:val="24"/>
          <w:szCs w:val="24"/>
          <w:highlight w:val="none"/>
        </w:rPr>
        <w:t>分。</w:t>
      </w:r>
    </w:p>
    <w:p w14:paraId="6FB94064">
      <w:pPr>
        <w:spacing w:line="220" w:lineRule="auto"/>
        <w:rPr>
          <w:rFonts w:ascii="宋体" w:hAnsi="宋体" w:eastAsia="宋体" w:cs="宋体"/>
          <w:sz w:val="24"/>
          <w:szCs w:val="24"/>
          <w:highlight w:val="none"/>
        </w:rPr>
      </w:pPr>
      <w:r>
        <w:rPr>
          <w:rFonts w:ascii="宋体" w:hAnsi="宋体" w:eastAsia="宋体" w:cs="宋体"/>
          <w:spacing w:val="-3"/>
          <w:sz w:val="24"/>
          <w:szCs w:val="24"/>
          <w:highlight w:val="none"/>
        </w:rPr>
        <w:t>2.发包人</w:t>
      </w:r>
    </w:p>
    <w:p w14:paraId="4A619E78">
      <w:pPr>
        <w:spacing w:before="181" w:line="220" w:lineRule="auto"/>
        <w:ind w:left="576"/>
        <w:rPr>
          <w:rFonts w:ascii="宋体" w:hAnsi="宋体" w:eastAsia="宋体" w:cs="宋体"/>
          <w:sz w:val="24"/>
          <w:szCs w:val="24"/>
          <w:highlight w:val="none"/>
        </w:rPr>
      </w:pPr>
      <w:r>
        <w:rPr>
          <w:rFonts w:ascii="宋体" w:hAnsi="宋体" w:eastAsia="宋体" w:cs="宋体"/>
          <w:spacing w:val="-3"/>
          <w:sz w:val="24"/>
          <w:szCs w:val="24"/>
          <w:highlight w:val="none"/>
        </w:rPr>
        <w:t>2.2</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发包人代表</w:t>
      </w:r>
    </w:p>
    <w:p w14:paraId="1C8329BE">
      <w:pPr>
        <w:spacing w:before="179" w:line="220" w:lineRule="auto"/>
        <w:ind w:left="577"/>
        <w:rPr>
          <w:rFonts w:ascii="宋体" w:hAnsi="宋体" w:eastAsia="宋体" w:cs="宋体"/>
          <w:sz w:val="24"/>
          <w:szCs w:val="24"/>
          <w:highlight w:val="none"/>
        </w:rPr>
      </w:pPr>
      <w:r>
        <w:rPr>
          <w:rFonts w:ascii="宋体" w:hAnsi="宋体" w:eastAsia="宋体" w:cs="宋体"/>
          <w:spacing w:val="3"/>
          <w:sz w:val="24"/>
          <w:szCs w:val="24"/>
          <w:highlight w:val="none"/>
        </w:rPr>
        <w:t>发包人代表</w:t>
      </w:r>
      <w:r>
        <w:rPr>
          <w:rFonts w:ascii="宋体" w:hAnsi="宋体" w:eastAsia="宋体" w:cs="宋体"/>
          <w:spacing w:val="-15"/>
          <w:sz w:val="24"/>
          <w:szCs w:val="24"/>
          <w:highlight w:val="none"/>
          <w:u w:val="single" w:color="auto"/>
        </w:rPr>
        <w:t>：</w:t>
      </w:r>
      <w:r>
        <w:rPr>
          <w:rFonts w:ascii="宋体" w:hAnsi="宋体" w:eastAsia="宋体" w:cs="宋体"/>
          <w:sz w:val="24"/>
          <w:szCs w:val="24"/>
          <w:highlight w:val="none"/>
          <w:u w:val="single" w:color="auto"/>
        </w:rPr>
        <w:t xml:space="preserve">          </w:t>
      </w:r>
      <w:r>
        <w:rPr>
          <w:rFonts w:ascii="宋体" w:hAnsi="宋体" w:eastAsia="宋体" w:cs="宋体"/>
          <w:spacing w:val="-15"/>
          <w:sz w:val="24"/>
          <w:szCs w:val="24"/>
          <w:highlight w:val="none"/>
        </w:rPr>
        <w:t>；</w:t>
      </w:r>
    </w:p>
    <w:p w14:paraId="04446B48">
      <w:pPr>
        <w:spacing w:before="182" w:line="220" w:lineRule="auto"/>
        <w:ind w:left="573"/>
        <w:rPr>
          <w:rFonts w:ascii="宋体" w:hAnsi="宋体" w:eastAsia="宋体" w:cs="宋体"/>
          <w:sz w:val="24"/>
          <w:szCs w:val="24"/>
          <w:highlight w:val="none"/>
        </w:rPr>
      </w:pPr>
      <w:r>
        <w:rPr>
          <w:rFonts w:ascii="宋体" w:hAnsi="宋体" w:eastAsia="宋体" w:cs="宋体"/>
          <w:spacing w:val="10"/>
          <w:sz w:val="24"/>
          <w:szCs w:val="24"/>
          <w:highlight w:val="none"/>
        </w:rPr>
        <w:t>姓名</w:t>
      </w:r>
      <w:r>
        <w:rPr>
          <w:rFonts w:ascii="宋体" w:hAnsi="宋体" w:eastAsia="宋体" w:cs="宋体"/>
          <w:spacing w:val="-15"/>
          <w:sz w:val="24"/>
          <w:szCs w:val="24"/>
          <w:highlight w:val="none"/>
          <w:u w:val="single" w:color="auto"/>
        </w:rPr>
        <w:t>：</w:t>
      </w:r>
      <w:r>
        <w:rPr>
          <w:rFonts w:ascii="宋体" w:hAnsi="宋体" w:eastAsia="宋体" w:cs="宋体"/>
          <w:spacing w:val="17"/>
          <w:sz w:val="24"/>
          <w:szCs w:val="24"/>
          <w:highlight w:val="none"/>
          <w:u w:val="single" w:color="auto"/>
        </w:rPr>
        <w:t xml:space="preserve">       </w:t>
      </w:r>
      <w:r>
        <w:rPr>
          <w:rFonts w:ascii="宋体" w:hAnsi="宋体" w:eastAsia="宋体" w:cs="宋体"/>
          <w:spacing w:val="-15"/>
          <w:sz w:val="24"/>
          <w:szCs w:val="24"/>
          <w:highlight w:val="none"/>
        </w:rPr>
        <w:t>；</w:t>
      </w:r>
    </w:p>
    <w:p w14:paraId="78282D86">
      <w:pPr>
        <w:spacing w:before="179" w:line="220" w:lineRule="auto"/>
        <w:ind w:left="580"/>
        <w:rPr>
          <w:rFonts w:ascii="宋体" w:hAnsi="宋体" w:eastAsia="宋体" w:cs="宋体"/>
          <w:sz w:val="24"/>
          <w:szCs w:val="24"/>
          <w:highlight w:val="none"/>
        </w:rPr>
      </w:pPr>
      <w:r>
        <w:rPr>
          <w:rFonts w:ascii="宋体" w:hAnsi="宋体" w:eastAsia="宋体" w:cs="宋体"/>
          <w:spacing w:val="3"/>
          <w:sz w:val="24"/>
          <w:szCs w:val="24"/>
          <w:highlight w:val="none"/>
        </w:rPr>
        <w:t>身份证号</w:t>
      </w:r>
      <w:r>
        <w:rPr>
          <w:rFonts w:ascii="宋体" w:hAnsi="宋体" w:eastAsia="宋体" w:cs="宋体"/>
          <w:spacing w:val="-15"/>
          <w:sz w:val="24"/>
          <w:szCs w:val="24"/>
          <w:highlight w:val="none"/>
          <w:u w:val="single" w:color="auto"/>
        </w:rPr>
        <w:t>：</w:t>
      </w:r>
      <w:r>
        <w:rPr>
          <w:rFonts w:ascii="宋体" w:hAnsi="宋体" w:eastAsia="宋体" w:cs="宋体"/>
          <w:spacing w:val="24"/>
          <w:sz w:val="24"/>
          <w:szCs w:val="24"/>
          <w:highlight w:val="none"/>
          <w:u w:val="single" w:color="auto"/>
        </w:rPr>
        <w:t xml:space="preserve">     </w:t>
      </w:r>
      <w:r>
        <w:rPr>
          <w:rFonts w:ascii="宋体" w:hAnsi="宋体" w:eastAsia="宋体" w:cs="宋体"/>
          <w:spacing w:val="-15"/>
          <w:sz w:val="24"/>
          <w:szCs w:val="24"/>
          <w:highlight w:val="none"/>
        </w:rPr>
        <w:t>；</w:t>
      </w:r>
    </w:p>
    <w:p w14:paraId="72A142E0">
      <w:pPr>
        <w:spacing w:before="182" w:line="220" w:lineRule="auto"/>
        <w:ind w:left="574"/>
        <w:rPr>
          <w:rFonts w:ascii="宋体" w:hAnsi="宋体" w:eastAsia="宋体" w:cs="宋体"/>
          <w:sz w:val="24"/>
          <w:szCs w:val="24"/>
          <w:highlight w:val="none"/>
        </w:rPr>
      </w:pPr>
      <w:r>
        <w:rPr>
          <w:rFonts w:ascii="宋体" w:hAnsi="宋体" w:eastAsia="宋体" w:cs="宋体"/>
          <w:spacing w:val="9"/>
          <w:sz w:val="24"/>
          <w:szCs w:val="24"/>
          <w:highlight w:val="none"/>
        </w:rPr>
        <w:t>职务</w:t>
      </w:r>
      <w:r>
        <w:rPr>
          <w:rFonts w:ascii="宋体" w:hAnsi="宋体" w:eastAsia="宋体" w:cs="宋体"/>
          <w:spacing w:val="-15"/>
          <w:sz w:val="24"/>
          <w:szCs w:val="24"/>
          <w:highlight w:val="none"/>
          <w:u w:val="single" w:color="auto"/>
        </w:rPr>
        <w:t>：</w:t>
      </w:r>
      <w:r>
        <w:rPr>
          <w:rFonts w:ascii="宋体" w:hAnsi="宋体" w:eastAsia="宋体" w:cs="宋体"/>
          <w:spacing w:val="24"/>
          <w:sz w:val="24"/>
          <w:szCs w:val="24"/>
          <w:highlight w:val="none"/>
          <w:u w:val="single" w:color="auto"/>
        </w:rPr>
        <w:t xml:space="preserve">     </w:t>
      </w:r>
      <w:r>
        <w:rPr>
          <w:rFonts w:ascii="宋体" w:hAnsi="宋体" w:eastAsia="宋体" w:cs="宋体"/>
          <w:spacing w:val="-15"/>
          <w:sz w:val="24"/>
          <w:szCs w:val="24"/>
          <w:highlight w:val="none"/>
        </w:rPr>
        <w:t>；</w:t>
      </w:r>
    </w:p>
    <w:p w14:paraId="45FAE21E">
      <w:pPr>
        <w:spacing w:before="180" w:line="222" w:lineRule="auto"/>
        <w:ind w:left="574"/>
        <w:rPr>
          <w:rFonts w:ascii="宋体" w:hAnsi="宋体" w:eastAsia="宋体" w:cs="宋体"/>
          <w:sz w:val="24"/>
          <w:szCs w:val="24"/>
          <w:highlight w:val="none"/>
        </w:rPr>
      </w:pPr>
      <w:r>
        <w:rPr>
          <w:rFonts w:ascii="宋体" w:hAnsi="宋体" w:eastAsia="宋体" w:cs="宋体"/>
          <w:spacing w:val="4"/>
          <w:sz w:val="24"/>
          <w:szCs w:val="24"/>
          <w:highlight w:val="none"/>
        </w:rPr>
        <w:t>联系电话</w:t>
      </w:r>
      <w:r>
        <w:rPr>
          <w:rFonts w:ascii="宋体" w:hAnsi="宋体" w:eastAsia="宋体" w:cs="宋体"/>
          <w:spacing w:val="-14"/>
          <w:sz w:val="24"/>
          <w:szCs w:val="24"/>
          <w:highlight w:val="none"/>
          <w:u w:val="single" w:color="auto"/>
        </w:rPr>
        <w:t>：</w:t>
      </w:r>
      <w:r>
        <w:rPr>
          <w:rFonts w:ascii="宋体" w:hAnsi="宋体" w:eastAsia="宋体" w:cs="宋体"/>
          <w:spacing w:val="24"/>
          <w:sz w:val="24"/>
          <w:szCs w:val="24"/>
          <w:highlight w:val="none"/>
          <w:u w:val="single" w:color="auto"/>
        </w:rPr>
        <w:t xml:space="preserve">     </w:t>
      </w:r>
      <w:r>
        <w:rPr>
          <w:rFonts w:ascii="宋体" w:hAnsi="宋体" w:eastAsia="宋体" w:cs="宋体"/>
          <w:spacing w:val="-14"/>
          <w:sz w:val="24"/>
          <w:szCs w:val="24"/>
          <w:highlight w:val="none"/>
        </w:rPr>
        <w:t>；</w:t>
      </w:r>
    </w:p>
    <w:p w14:paraId="7B40FB59">
      <w:pPr>
        <w:spacing w:before="179" w:line="220" w:lineRule="auto"/>
        <w:ind w:left="601"/>
        <w:rPr>
          <w:rFonts w:ascii="宋体" w:hAnsi="宋体" w:eastAsia="宋体" w:cs="宋体"/>
          <w:sz w:val="24"/>
          <w:szCs w:val="24"/>
          <w:highlight w:val="none"/>
        </w:rPr>
      </w:pPr>
      <w:r>
        <w:rPr>
          <w:rFonts w:ascii="宋体" w:hAnsi="宋体" w:eastAsia="宋体" w:cs="宋体"/>
          <w:spacing w:val="-2"/>
          <w:sz w:val="24"/>
          <w:szCs w:val="24"/>
          <w:highlight w:val="none"/>
        </w:rPr>
        <w:t>电子信箱</w:t>
      </w:r>
      <w:r>
        <w:rPr>
          <w:rFonts w:ascii="宋体" w:hAnsi="宋体" w:eastAsia="宋体" w:cs="宋体"/>
          <w:spacing w:val="-15"/>
          <w:sz w:val="24"/>
          <w:szCs w:val="24"/>
          <w:highlight w:val="none"/>
          <w:u w:val="single" w:color="auto"/>
        </w:rPr>
        <w:t>：</w:t>
      </w:r>
      <w:r>
        <w:rPr>
          <w:rFonts w:ascii="宋体" w:hAnsi="宋体" w:eastAsia="宋体" w:cs="宋体"/>
          <w:spacing w:val="23"/>
          <w:sz w:val="24"/>
          <w:szCs w:val="24"/>
          <w:highlight w:val="none"/>
          <w:u w:val="single" w:color="auto"/>
        </w:rPr>
        <w:t xml:space="preserve">     </w:t>
      </w:r>
      <w:r>
        <w:rPr>
          <w:rFonts w:ascii="宋体" w:hAnsi="宋体" w:eastAsia="宋体" w:cs="宋体"/>
          <w:spacing w:val="-15"/>
          <w:sz w:val="24"/>
          <w:szCs w:val="24"/>
          <w:highlight w:val="none"/>
        </w:rPr>
        <w:t>；</w:t>
      </w:r>
    </w:p>
    <w:p w14:paraId="1D9933BD">
      <w:pPr>
        <w:spacing w:before="180" w:line="220" w:lineRule="auto"/>
        <w:ind w:left="573"/>
        <w:rPr>
          <w:rFonts w:ascii="宋体" w:hAnsi="宋体" w:eastAsia="宋体" w:cs="宋体"/>
          <w:sz w:val="24"/>
          <w:szCs w:val="24"/>
          <w:highlight w:val="none"/>
        </w:rPr>
      </w:pPr>
      <w:r>
        <w:rPr>
          <w:rFonts w:ascii="宋体" w:hAnsi="宋体" w:eastAsia="宋体" w:cs="宋体"/>
          <w:spacing w:val="-1"/>
          <w:sz w:val="24"/>
          <w:szCs w:val="24"/>
          <w:highlight w:val="none"/>
        </w:rPr>
        <w:t>通信地址</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w:t>
      </w:r>
    </w:p>
    <w:p w14:paraId="4AB4200C">
      <w:pPr>
        <w:spacing w:before="182" w:line="220" w:lineRule="auto"/>
        <w:ind w:left="577"/>
        <w:rPr>
          <w:rFonts w:ascii="宋体" w:hAnsi="宋体" w:eastAsia="宋体" w:cs="宋体"/>
          <w:sz w:val="24"/>
          <w:szCs w:val="24"/>
          <w:highlight w:val="none"/>
        </w:rPr>
      </w:pPr>
      <w:r>
        <w:rPr>
          <w:rFonts w:ascii="宋体" w:hAnsi="宋体" w:eastAsia="宋体" w:cs="宋体"/>
          <w:spacing w:val="-3"/>
          <w:sz w:val="24"/>
          <w:szCs w:val="24"/>
          <w:highlight w:val="none"/>
        </w:rPr>
        <w:t>发包人对发包人代表的授权范围如下：</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3"/>
          <w:sz w:val="24"/>
          <w:szCs w:val="24"/>
          <w:highlight w:val="none"/>
        </w:rPr>
        <w:t>。</w:t>
      </w:r>
    </w:p>
    <w:p w14:paraId="6FDD7294">
      <w:pPr>
        <w:spacing w:before="180" w:line="219" w:lineRule="auto"/>
        <w:ind w:left="576"/>
        <w:rPr>
          <w:rFonts w:ascii="宋体" w:hAnsi="宋体" w:eastAsia="宋体" w:cs="宋体"/>
          <w:sz w:val="24"/>
          <w:szCs w:val="24"/>
          <w:highlight w:val="none"/>
        </w:rPr>
      </w:pPr>
      <w:r>
        <w:rPr>
          <w:rFonts w:ascii="宋体" w:hAnsi="宋体" w:eastAsia="宋体" w:cs="宋体"/>
          <w:spacing w:val="-2"/>
          <w:sz w:val="24"/>
          <w:szCs w:val="24"/>
          <w:highlight w:val="none"/>
        </w:rPr>
        <w:t>2.4</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施工现场、施工条件和基础资料的提供</w:t>
      </w:r>
    </w:p>
    <w:p w14:paraId="3C9F6128">
      <w:pPr>
        <w:spacing w:before="183" w:line="219" w:lineRule="auto"/>
        <w:ind w:left="576"/>
        <w:rPr>
          <w:rFonts w:ascii="宋体" w:hAnsi="宋体" w:eastAsia="宋体" w:cs="宋体"/>
          <w:sz w:val="24"/>
          <w:szCs w:val="24"/>
          <w:highlight w:val="none"/>
        </w:rPr>
      </w:pPr>
      <w:r>
        <w:rPr>
          <w:rFonts w:ascii="宋体" w:hAnsi="宋体" w:eastAsia="宋体" w:cs="宋体"/>
          <w:spacing w:val="-2"/>
          <w:sz w:val="24"/>
          <w:szCs w:val="24"/>
          <w:highlight w:val="none"/>
        </w:rPr>
        <w:t>2.4.1</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提供施工现场</w:t>
      </w:r>
    </w:p>
    <w:p w14:paraId="73AC7CB1">
      <w:pPr>
        <w:spacing w:before="181" w:line="220" w:lineRule="auto"/>
        <w:ind w:left="536"/>
        <w:rPr>
          <w:rFonts w:ascii="宋体" w:hAnsi="宋体" w:eastAsia="宋体" w:cs="宋体"/>
          <w:sz w:val="24"/>
          <w:szCs w:val="24"/>
          <w:highlight w:val="none"/>
        </w:rPr>
      </w:pPr>
      <w:r>
        <w:rPr>
          <w:rFonts w:ascii="宋体" w:hAnsi="宋体" w:eastAsia="宋体" w:cs="宋体"/>
          <w:spacing w:val="-19"/>
          <w:sz w:val="24"/>
          <w:szCs w:val="24"/>
          <w:highlight w:val="none"/>
        </w:rPr>
        <w:t>关于发包人移交施工现场的期限要求：</w:t>
      </w:r>
      <w:r>
        <w:rPr>
          <w:rFonts w:ascii="宋体" w:hAnsi="宋体" w:eastAsia="宋体" w:cs="宋体"/>
          <w:spacing w:val="-19"/>
          <w:sz w:val="24"/>
          <w:szCs w:val="24"/>
          <w:highlight w:val="none"/>
          <w:u w:val="single" w:color="auto"/>
        </w:rPr>
        <w:t>执行通用条款。</w:t>
      </w:r>
    </w:p>
    <w:p w14:paraId="09A07899">
      <w:pPr>
        <w:spacing w:before="182" w:line="219" w:lineRule="auto"/>
        <w:ind w:left="576"/>
        <w:rPr>
          <w:rFonts w:ascii="宋体" w:hAnsi="宋体" w:eastAsia="宋体" w:cs="宋体"/>
          <w:sz w:val="24"/>
          <w:szCs w:val="24"/>
          <w:highlight w:val="none"/>
        </w:rPr>
      </w:pPr>
      <w:r>
        <w:rPr>
          <w:rFonts w:ascii="宋体" w:hAnsi="宋体" w:eastAsia="宋体" w:cs="宋体"/>
          <w:spacing w:val="-2"/>
          <w:sz w:val="24"/>
          <w:szCs w:val="24"/>
          <w:highlight w:val="none"/>
        </w:rPr>
        <w:t>2.4.2</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提供施工条件</w:t>
      </w:r>
    </w:p>
    <w:p w14:paraId="4F9D887D">
      <w:pPr>
        <w:spacing w:before="184" w:line="219" w:lineRule="auto"/>
        <w:ind w:left="577"/>
        <w:rPr>
          <w:rFonts w:ascii="宋体" w:hAnsi="宋体" w:eastAsia="宋体" w:cs="宋体"/>
          <w:sz w:val="24"/>
          <w:szCs w:val="24"/>
          <w:highlight w:val="none"/>
        </w:rPr>
      </w:pPr>
      <w:r>
        <w:rPr>
          <w:rFonts w:ascii="宋体" w:hAnsi="宋体" w:eastAsia="宋体" w:cs="宋体"/>
          <w:spacing w:val="-3"/>
          <w:sz w:val="24"/>
          <w:szCs w:val="24"/>
          <w:highlight w:val="none"/>
        </w:rPr>
        <w:t>关于发包人应负责提供施工所需要的条件，包括：</w:t>
      </w:r>
    </w:p>
    <w:p w14:paraId="0575050B">
      <w:pPr>
        <w:spacing w:before="181" w:line="219" w:lineRule="auto"/>
        <w:ind w:left="580"/>
        <w:rPr>
          <w:rFonts w:ascii="宋体" w:hAnsi="宋体" w:eastAsia="宋体" w:cs="宋体"/>
          <w:sz w:val="24"/>
          <w:szCs w:val="24"/>
          <w:highlight w:val="none"/>
        </w:rPr>
      </w:pPr>
      <w:r>
        <w:rPr>
          <w:rFonts w:ascii="宋体" w:hAnsi="宋体" w:eastAsia="宋体" w:cs="宋体"/>
          <w:spacing w:val="-2"/>
          <w:sz w:val="24"/>
          <w:szCs w:val="24"/>
          <w:highlight w:val="none"/>
        </w:rPr>
        <w:t>（1）协调有关单位提供施工用水、电力、通讯线路等施工所必需条件的接入点；</w:t>
      </w:r>
    </w:p>
    <w:p w14:paraId="3218C096">
      <w:pPr>
        <w:spacing w:before="183" w:line="220" w:lineRule="auto"/>
        <w:ind w:left="580"/>
        <w:rPr>
          <w:rFonts w:ascii="宋体" w:hAnsi="宋体" w:eastAsia="宋体" w:cs="宋体"/>
          <w:sz w:val="24"/>
          <w:szCs w:val="24"/>
          <w:highlight w:val="none"/>
        </w:rPr>
      </w:pPr>
      <w:r>
        <w:rPr>
          <w:rFonts w:ascii="宋体" w:hAnsi="宋体" w:eastAsia="宋体" w:cs="宋体"/>
          <w:spacing w:val="-3"/>
          <w:sz w:val="24"/>
          <w:szCs w:val="24"/>
          <w:highlight w:val="none"/>
        </w:rPr>
        <w:t>（2）协调承包人获取正常施工所需要的进入施工现场的交通条件；</w:t>
      </w:r>
    </w:p>
    <w:p w14:paraId="3A2B6E59">
      <w:pPr>
        <w:spacing w:before="182" w:line="324" w:lineRule="auto"/>
        <w:ind w:left="92" w:right="3" w:firstLine="487"/>
        <w:rPr>
          <w:rFonts w:ascii="宋体" w:hAnsi="宋体" w:eastAsia="宋体" w:cs="宋体"/>
          <w:sz w:val="24"/>
          <w:szCs w:val="24"/>
          <w:highlight w:val="none"/>
        </w:rPr>
      </w:pPr>
      <w:r>
        <w:rPr>
          <w:rFonts w:ascii="宋体" w:hAnsi="宋体" w:eastAsia="宋体" w:cs="宋体"/>
          <w:spacing w:val="2"/>
          <w:sz w:val="24"/>
          <w:szCs w:val="24"/>
          <w:highlight w:val="none"/>
        </w:rPr>
        <w:t>（3）协调处理施工现场周围地下管线和邻近</w:t>
      </w:r>
      <w:r>
        <w:rPr>
          <w:rFonts w:ascii="宋体" w:hAnsi="宋体" w:eastAsia="宋体" w:cs="宋体"/>
          <w:spacing w:val="1"/>
          <w:sz w:val="24"/>
          <w:szCs w:val="24"/>
          <w:highlight w:val="none"/>
        </w:rPr>
        <w:t>建筑物、构筑物、古树名木的保护工作，</w:t>
      </w:r>
      <w:r>
        <w:rPr>
          <w:rFonts w:ascii="宋体" w:hAnsi="宋体" w:eastAsia="宋体" w:cs="宋体"/>
          <w:spacing w:val="-1"/>
          <w:sz w:val="24"/>
          <w:szCs w:val="24"/>
          <w:highlight w:val="none"/>
        </w:rPr>
        <w:t>相关费用包含在承包人有关投标报价中，由承包人</w:t>
      </w:r>
      <w:r>
        <w:rPr>
          <w:rFonts w:ascii="宋体" w:hAnsi="宋体" w:eastAsia="宋体" w:cs="宋体"/>
          <w:spacing w:val="-2"/>
          <w:sz w:val="24"/>
          <w:szCs w:val="24"/>
          <w:highlight w:val="none"/>
        </w:rPr>
        <w:t>支付；承包人按照水、电、气、通讯及其</w:t>
      </w:r>
      <w:r>
        <w:rPr>
          <w:rFonts w:ascii="宋体" w:hAnsi="宋体" w:eastAsia="宋体" w:cs="宋体"/>
          <w:spacing w:val="-1"/>
          <w:sz w:val="24"/>
          <w:szCs w:val="24"/>
          <w:highlight w:val="none"/>
        </w:rPr>
        <w:t>他公用设施单位提供的接入点，应当自费并自担风险地提供</w:t>
      </w:r>
      <w:r>
        <w:rPr>
          <w:rFonts w:ascii="宋体" w:hAnsi="宋体" w:eastAsia="宋体" w:cs="宋体"/>
          <w:spacing w:val="-2"/>
          <w:sz w:val="24"/>
          <w:szCs w:val="24"/>
          <w:highlight w:val="none"/>
        </w:rPr>
        <w:t>或建设为使用这些服务所需的设</w:t>
      </w:r>
      <w:r>
        <w:rPr>
          <w:rFonts w:ascii="宋体" w:hAnsi="宋体" w:eastAsia="宋体" w:cs="宋体"/>
          <w:spacing w:val="-1"/>
          <w:sz w:val="24"/>
          <w:szCs w:val="24"/>
          <w:highlight w:val="none"/>
        </w:rPr>
        <w:t>施，并自行承担使用这些水、电、气、通讯及其他公</w:t>
      </w:r>
      <w:r>
        <w:rPr>
          <w:rFonts w:ascii="宋体" w:hAnsi="宋体" w:eastAsia="宋体" w:cs="宋体"/>
          <w:spacing w:val="-2"/>
          <w:sz w:val="24"/>
          <w:szCs w:val="24"/>
          <w:highlight w:val="none"/>
        </w:rPr>
        <w:t>用设施和服务的费用。</w:t>
      </w:r>
    </w:p>
    <w:p w14:paraId="5F6FD995">
      <w:pPr>
        <w:spacing w:before="180" w:line="219" w:lineRule="auto"/>
        <w:ind w:left="576"/>
        <w:rPr>
          <w:rFonts w:ascii="宋体" w:hAnsi="宋体" w:eastAsia="宋体" w:cs="宋体"/>
          <w:sz w:val="24"/>
          <w:szCs w:val="24"/>
          <w:highlight w:val="none"/>
        </w:rPr>
      </w:pPr>
      <w:r>
        <w:rPr>
          <w:rFonts w:ascii="宋体" w:hAnsi="宋体" w:eastAsia="宋体" w:cs="宋体"/>
          <w:spacing w:val="-2"/>
          <w:sz w:val="24"/>
          <w:szCs w:val="24"/>
          <w:highlight w:val="none"/>
        </w:rPr>
        <w:t>2.4.3</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提供基础资料</w:t>
      </w:r>
    </w:p>
    <w:p w14:paraId="634398D0">
      <w:pPr>
        <w:spacing w:before="185" w:line="359" w:lineRule="auto"/>
        <w:ind w:left="92" w:right="1" w:firstLine="485"/>
        <w:rPr>
          <w:rFonts w:ascii="宋体" w:hAnsi="宋体" w:eastAsia="宋体" w:cs="宋体"/>
          <w:sz w:val="24"/>
          <w:szCs w:val="24"/>
          <w:highlight w:val="none"/>
        </w:rPr>
      </w:pPr>
      <w:r>
        <w:rPr>
          <w:rFonts w:ascii="宋体" w:hAnsi="宋体" w:eastAsia="宋体" w:cs="宋体"/>
          <w:spacing w:val="-2"/>
          <w:sz w:val="24"/>
          <w:szCs w:val="24"/>
          <w:highlight w:val="none"/>
        </w:rPr>
        <w:t>发包人应当在移交施工现场前尽可能完整地向承包人提供施工所需要的资料，该行为不</w:t>
      </w:r>
      <w:r>
        <w:rPr>
          <w:rFonts w:ascii="宋体" w:hAnsi="宋体" w:eastAsia="宋体" w:cs="宋体"/>
          <w:spacing w:val="-1"/>
          <w:sz w:val="24"/>
          <w:szCs w:val="24"/>
          <w:highlight w:val="none"/>
        </w:rPr>
        <w:t>代表承包人没有自行收集并了解现场情况的义务，也不</w:t>
      </w:r>
      <w:r>
        <w:rPr>
          <w:rFonts w:ascii="宋体" w:hAnsi="宋体" w:eastAsia="宋体" w:cs="宋体"/>
          <w:spacing w:val="-2"/>
          <w:sz w:val="24"/>
          <w:szCs w:val="24"/>
          <w:highlight w:val="none"/>
        </w:rPr>
        <w:t>免除承包人对现场及周边环境设施的</w:t>
      </w:r>
      <w:r>
        <w:rPr>
          <w:rFonts w:ascii="宋体" w:hAnsi="宋体" w:eastAsia="宋体" w:cs="宋体"/>
          <w:spacing w:val="-6"/>
          <w:sz w:val="24"/>
          <w:szCs w:val="24"/>
          <w:highlight w:val="none"/>
        </w:rPr>
        <w:t>保护义务。承包商应当核实这些资料，</w:t>
      </w:r>
      <w:r>
        <w:rPr>
          <w:rFonts w:ascii="宋体" w:hAnsi="宋体" w:eastAsia="宋体" w:cs="宋体"/>
          <w:spacing w:val="67"/>
          <w:sz w:val="24"/>
          <w:szCs w:val="24"/>
          <w:highlight w:val="none"/>
        </w:rPr>
        <w:t xml:space="preserve"> </w:t>
      </w:r>
      <w:r>
        <w:rPr>
          <w:rFonts w:ascii="宋体" w:hAnsi="宋体" w:eastAsia="宋体" w:cs="宋体"/>
          <w:spacing w:val="-6"/>
          <w:sz w:val="24"/>
          <w:szCs w:val="24"/>
          <w:highlight w:val="none"/>
        </w:rPr>
        <w:t>并保证已经检查、完全理解发包人的所有文件和资料</w:t>
      </w:r>
      <w:r>
        <w:rPr>
          <w:rFonts w:ascii="宋体" w:hAnsi="宋体" w:eastAsia="宋体" w:cs="宋体"/>
          <w:spacing w:val="-2"/>
          <w:sz w:val="24"/>
          <w:szCs w:val="24"/>
          <w:highlight w:val="none"/>
        </w:rPr>
        <w:t>的内容，包括但不限于现场资料和现场勘测报告等。</w:t>
      </w:r>
    </w:p>
    <w:p w14:paraId="4F1F4FA0">
      <w:pPr>
        <w:spacing w:line="219" w:lineRule="auto"/>
        <w:ind w:left="576"/>
        <w:rPr>
          <w:rFonts w:ascii="宋体" w:hAnsi="宋体" w:eastAsia="宋体" w:cs="宋体"/>
          <w:sz w:val="24"/>
          <w:szCs w:val="24"/>
          <w:highlight w:val="none"/>
        </w:rPr>
      </w:pPr>
      <w:r>
        <w:rPr>
          <w:rFonts w:ascii="宋体" w:hAnsi="宋体" w:eastAsia="宋体" w:cs="宋体"/>
          <w:spacing w:val="-3"/>
          <w:sz w:val="24"/>
          <w:szCs w:val="24"/>
          <w:highlight w:val="none"/>
        </w:rPr>
        <w:t>2.5</w:t>
      </w:r>
      <w:r>
        <w:rPr>
          <w:rFonts w:ascii="宋体" w:hAnsi="宋体" w:eastAsia="宋体" w:cs="宋体"/>
          <w:spacing w:val="-30"/>
          <w:sz w:val="24"/>
          <w:szCs w:val="24"/>
          <w:highlight w:val="none"/>
        </w:rPr>
        <w:t xml:space="preserve"> </w:t>
      </w:r>
      <w:r>
        <w:rPr>
          <w:rFonts w:ascii="宋体" w:hAnsi="宋体" w:eastAsia="宋体" w:cs="宋体"/>
          <w:spacing w:val="-3"/>
          <w:sz w:val="24"/>
          <w:szCs w:val="24"/>
          <w:highlight w:val="none"/>
        </w:rPr>
        <w:t>资金来源证明及支付担保</w:t>
      </w:r>
    </w:p>
    <w:p w14:paraId="2ABC7182">
      <w:pPr>
        <w:spacing w:before="180" w:line="219"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发包人提供资金来源证明的期限要求:</w:t>
      </w:r>
      <w:r>
        <w:rPr>
          <w:rFonts w:ascii="宋体" w:hAnsi="宋体" w:eastAsia="宋体" w:cs="宋体"/>
          <w:spacing w:val="-1"/>
          <w:sz w:val="24"/>
          <w:szCs w:val="24"/>
          <w:highlight w:val="none"/>
          <w:u w:val="single" w:color="auto"/>
        </w:rPr>
        <w:t>建设单位在取得</w:t>
      </w:r>
      <w:r>
        <w:rPr>
          <w:rFonts w:ascii="宋体" w:hAnsi="宋体" w:eastAsia="宋体" w:cs="宋体"/>
          <w:spacing w:val="-2"/>
          <w:sz w:val="24"/>
          <w:szCs w:val="24"/>
          <w:highlight w:val="none"/>
          <w:u w:val="single" w:color="auto"/>
        </w:rPr>
        <w:t>施工许可证 3 个月内办理施工合</w:t>
      </w:r>
    </w:p>
    <w:p w14:paraId="70D34649">
      <w:pPr>
        <w:spacing w:line="219" w:lineRule="auto"/>
        <w:rPr>
          <w:rFonts w:ascii="宋体" w:hAnsi="宋体" w:eastAsia="宋体" w:cs="宋体"/>
          <w:sz w:val="24"/>
          <w:szCs w:val="24"/>
          <w:highlight w:val="none"/>
        </w:rPr>
        <w:sectPr>
          <w:footerReference r:id="rId37" w:type="default"/>
          <w:pgSz w:w="11907" w:h="16839"/>
          <w:pgMar w:top="1425" w:right="1171" w:bottom="1129" w:left="1092" w:header="0" w:footer="898" w:gutter="0"/>
          <w:cols w:space="720" w:num="1"/>
        </w:sectPr>
      </w:pPr>
    </w:p>
    <w:p w14:paraId="1025EBC0">
      <w:pPr>
        <w:spacing w:before="49" w:line="359" w:lineRule="auto"/>
        <w:ind w:left="91" w:right="101" w:firstLine="23"/>
        <w:jc w:val="both"/>
        <w:rPr>
          <w:rFonts w:ascii="宋体" w:hAnsi="宋体" w:eastAsia="宋体" w:cs="宋体"/>
          <w:sz w:val="24"/>
          <w:szCs w:val="24"/>
          <w:highlight w:val="none"/>
        </w:rPr>
      </w:pPr>
      <w:r>
        <w:rPr>
          <w:rFonts w:ascii="宋体" w:hAnsi="宋体" w:eastAsia="宋体" w:cs="宋体"/>
          <w:spacing w:val="-5"/>
          <w:sz w:val="24"/>
          <w:szCs w:val="24"/>
          <w:highlight w:val="none"/>
          <w:u w:val="single" w:color="auto"/>
        </w:rPr>
        <w:t>同额</w:t>
      </w:r>
      <w:r>
        <w:rPr>
          <w:rFonts w:ascii="宋体" w:hAnsi="宋体" w:eastAsia="宋体" w:cs="宋体"/>
          <w:spacing w:val="-50"/>
          <w:sz w:val="24"/>
          <w:szCs w:val="24"/>
          <w:highlight w:val="none"/>
          <w:u w:val="single" w:color="auto"/>
        </w:rPr>
        <w:t xml:space="preserve"> </w:t>
      </w:r>
      <w:r>
        <w:rPr>
          <w:rFonts w:ascii="宋体" w:hAnsi="宋体" w:eastAsia="宋体" w:cs="宋体"/>
          <w:spacing w:val="-5"/>
          <w:sz w:val="24"/>
          <w:szCs w:val="24"/>
          <w:highlight w:val="none"/>
          <w:u w:val="single" w:color="auto"/>
        </w:rPr>
        <w:t>8%的工程款支付担保，施工单位在收到工程款支付担保后</w:t>
      </w:r>
      <w:r>
        <w:rPr>
          <w:rFonts w:ascii="宋体" w:hAnsi="宋体" w:eastAsia="宋体" w:cs="宋体"/>
          <w:spacing w:val="-45"/>
          <w:sz w:val="24"/>
          <w:szCs w:val="24"/>
          <w:highlight w:val="none"/>
          <w:u w:val="single" w:color="auto"/>
        </w:rPr>
        <w:t xml:space="preserve"> </w:t>
      </w:r>
      <w:r>
        <w:rPr>
          <w:rFonts w:ascii="宋体" w:hAnsi="宋体" w:eastAsia="宋体" w:cs="宋体"/>
          <w:spacing w:val="-6"/>
          <w:sz w:val="24"/>
          <w:szCs w:val="24"/>
          <w:highlight w:val="none"/>
          <w:u w:val="single" w:color="auto"/>
        </w:rPr>
        <w:t>3 日内将相关资料上传至项目</w:t>
      </w:r>
      <w:r>
        <w:rPr>
          <w:rFonts w:ascii="宋体" w:hAnsi="宋体" w:eastAsia="宋体" w:cs="宋体"/>
          <w:spacing w:val="-1"/>
          <w:sz w:val="24"/>
          <w:szCs w:val="24"/>
          <w:highlight w:val="none"/>
          <w:u w:val="single" w:color="auto"/>
        </w:rPr>
        <w:t>所在地农民工工资支付监管平台，未按时按承诺提交工程款</w:t>
      </w:r>
      <w:r>
        <w:rPr>
          <w:rFonts w:ascii="宋体" w:hAnsi="宋体" w:eastAsia="宋体" w:cs="宋体"/>
          <w:spacing w:val="-2"/>
          <w:sz w:val="24"/>
          <w:szCs w:val="24"/>
          <w:highlight w:val="none"/>
          <w:u w:val="single" w:color="auto"/>
        </w:rPr>
        <w:t>支付担保的工程建设项目，将视作建设资金未落实。工程款支付担保保证期限原则上应与施工合同约定的期限保持一致（采</w:t>
      </w:r>
      <w:r>
        <w:rPr>
          <w:rFonts w:ascii="宋体" w:hAnsi="宋体" w:eastAsia="宋体" w:cs="宋体"/>
          <w:spacing w:val="-1"/>
          <w:sz w:val="24"/>
          <w:szCs w:val="24"/>
          <w:highlight w:val="none"/>
          <w:u w:val="single" w:color="auto"/>
        </w:rPr>
        <w:t>用分阶段担保的，建设单位支付相应的工程款后，当期工程</w:t>
      </w:r>
      <w:r>
        <w:rPr>
          <w:rFonts w:ascii="宋体" w:hAnsi="宋体" w:eastAsia="宋体" w:cs="宋体"/>
          <w:spacing w:val="-2"/>
          <w:sz w:val="24"/>
          <w:szCs w:val="24"/>
          <w:highlight w:val="none"/>
          <w:u w:val="single" w:color="auto"/>
        </w:rPr>
        <w:t>款支付担保解除，进入下一阶段</w:t>
      </w:r>
      <w:r>
        <w:rPr>
          <w:rFonts w:ascii="宋体" w:hAnsi="宋体" w:eastAsia="宋体" w:cs="宋体"/>
          <w:spacing w:val="-1"/>
          <w:sz w:val="24"/>
          <w:szCs w:val="24"/>
          <w:highlight w:val="none"/>
          <w:u w:val="single" w:color="auto"/>
        </w:rPr>
        <w:t>工程款支付担保）。施工工期延期的，建设单位应在保证期限到期</w:t>
      </w:r>
      <w:r>
        <w:rPr>
          <w:rFonts w:ascii="宋体" w:hAnsi="宋体" w:eastAsia="宋体" w:cs="宋体"/>
          <w:spacing w:val="-2"/>
          <w:sz w:val="24"/>
          <w:szCs w:val="24"/>
          <w:highlight w:val="none"/>
          <w:u w:val="single" w:color="auto"/>
        </w:rPr>
        <w:t>前 30 天，办理保函、保</w:t>
      </w:r>
      <w:r>
        <w:rPr>
          <w:rFonts w:ascii="宋体" w:hAnsi="宋体" w:eastAsia="宋体" w:cs="宋体"/>
          <w:spacing w:val="-1"/>
          <w:sz w:val="24"/>
          <w:szCs w:val="24"/>
          <w:highlight w:val="none"/>
          <w:u w:val="single" w:color="auto"/>
        </w:rPr>
        <w:t>证保险、担保保单延期手续。</w:t>
      </w:r>
    </w:p>
    <w:p w14:paraId="58F363B8">
      <w:pPr>
        <w:spacing w:line="359" w:lineRule="auto"/>
        <w:ind w:left="93"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工程款支付担保保证有效期内，建设单位未按照规定向农民工工资专用账户拨付工资性</w:t>
      </w:r>
      <w:r>
        <w:rPr>
          <w:rFonts w:ascii="宋体" w:hAnsi="宋体" w:eastAsia="宋体" w:cs="宋体"/>
          <w:spacing w:val="-5"/>
          <w:sz w:val="24"/>
          <w:szCs w:val="24"/>
          <w:highlight w:val="none"/>
        </w:rPr>
        <w:t>工程款或者未按照合同约定支付施工进度款的，施工总承包企业（包括专业承包企业，下同）</w:t>
      </w:r>
      <w:r>
        <w:rPr>
          <w:rFonts w:ascii="宋体" w:hAnsi="宋体" w:eastAsia="宋体" w:cs="宋体"/>
          <w:spacing w:val="-1"/>
          <w:sz w:val="24"/>
          <w:szCs w:val="24"/>
          <w:highlight w:val="none"/>
        </w:rPr>
        <w:t>可以要求保证人履行保证责任，同时将拖欠信息报</w:t>
      </w:r>
      <w:r>
        <w:rPr>
          <w:rFonts w:ascii="宋体" w:hAnsi="宋体" w:eastAsia="宋体" w:cs="宋体"/>
          <w:spacing w:val="-2"/>
          <w:sz w:val="24"/>
          <w:szCs w:val="24"/>
          <w:highlight w:val="none"/>
        </w:rPr>
        <w:t>送工程所在地住房城乡建设主管部门和人</w:t>
      </w:r>
      <w:r>
        <w:rPr>
          <w:rFonts w:ascii="宋体" w:hAnsi="宋体" w:eastAsia="宋体" w:cs="宋体"/>
          <w:spacing w:val="-4"/>
          <w:sz w:val="24"/>
          <w:szCs w:val="24"/>
          <w:highlight w:val="none"/>
        </w:rPr>
        <w:t>力资源社会保障主管部门。</w:t>
      </w:r>
    </w:p>
    <w:p w14:paraId="3BF0385E">
      <w:pPr>
        <w:spacing w:before="1" w:line="218" w:lineRule="auto"/>
        <w:ind w:left="575"/>
        <w:rPr>
          <w:rFonts w:ascii="宋体" w:hAnsi="宋体" w:eastAsia="宋体" w:cs="宋体"/>
          <w:sz w:val="24"/>
          <w:szCs w:val="24"/>
          <w:highlight w:val="none"/>
        </w:rPr>
      </w:pPr>
      <w:r>
        <w:rPr>
          <w:rFonts w:ascii="宋体" w:hAnsi="宋体" w:eastAsia="宋体" w:cs="宋体"/>
          <w:spacing w:val="-1"/>
          <w:sz w:val="24"/>
          <w:szCs w:val="24"/>
          <w:highlight w:val="none"/>
        </w:rPr>
        <w:t>发包人是否提供支付担保：</w:t>
      </w:r>
      <w:r>
        <w:rPr>
          <w:rFonts w:ascii="宋体" w:hAnsi="宋体" w:eastAsia="宋体" w:cs="宋体"/>
          <w:spacing w:val="-1"/>
          <w:sz w:val="24"/>
          <w:szCs w:val="24"/>
          <w:highlight w:val="none"/>
          <w:u w:val="single" w:color="auto"/>
        </w:rPr>
        <w:t>是。</w:t>
      </w:r>
    </w:p>
    <w:p w14:paraId="15C636AA">
      <w:pPr>
        <w:spacing w:before="183" w:line="359" w:lineRule="auto"/>
        <w:ind w:left="92" w:right="100" w:firstLine="483"/>
        <w:rPr>
          <w:rFonts w:ascii="宋体" w:hAnsi="宋体" w:eastAsia="宋体" w:cs="宋体"/>
          <w:sz w:val="24"/>
          <w:szCs w:val="24"/>
          <w:highlight w:val="none"/>
        </w:rPr>
      </w:pPr>
      <w:r>
        <w:rPr>
          <w:rFonts w:ascii="宋体" w:hAnsi="宋体" w:eastAsia="宋体" w:cs="宋体"/>
          <w:spacing w:val="-1"/>
          <w:sz w:val="24"/>
          <w:szCs w:val="24"/>
          <w:highlight w:val="none"/>
        </w:rPr>
        <w:t>发包人提供支付担保的形式：</w:t>
      </w:r>
      <w:r>
        <w:rPr>
          <w:rFonts w:ascii="宋体" w:hAnsi="宋体" w:eastAsia="宋体" w:cs="宋体"/>
          <w:spacing w:val="-1"/>
          <w:sz w:val="24"/>
          <w:szCs w:val="24"/>
          <w:highlight w:val="none"/>
          <w:u w:val="single" w:color="auto"/>
        </w:rPr>
        <w:t>工程款支付担</w:t>
      </w:r>
      <w:r>
        <w:rPr>
          <w:rFonts w:ascii="宋体" w:hAnsi="宋体" w:eastAsia="宋体" w:cs="宋体"/>
          <w:spacing w:val="-2"/>
          <w:sz w:val="24"/>
          <w:szCs w:val="24"/>
          <w:highlight w:val="none"/>
          <w:u w:val="single" w:color="auto"/>
        </w:rPr>
        <w:t>保可以采用银行保函、担保公司担保、第三</w:t>
      </w:r>
      <w:r>
        <w:rPr>
          <w:rFonts w:ascii="宋体" w:hAnsi="宋体" w:eastAsia="宋体" w:cs="宋体"/>
          <w:spacing w:val="-1"/>
          <w:sz w:val="24"/>
          <w:szCs w:val="24"/>
          <w:highlight w:val="none"/>
          <w:u w:val="single" w:color="auto"/>
        </w:rPr>
        <w:t>方担保等方式，也可以用工程款支付保证保险替代。</w:t>
      </w:r>
    </w:p>
    <w:p w14:paraId="4697024C">
      <w:pPr>
        <w:spacing w:line="359" w:lineRule="auto"/>
        <w:ind w:left="103" w:right="103" w:firstLine="467"/>
        <w:rPr>
          <w:rFonts w:ascii="宋体" w:hAnsi="宋体" w:eastAsia="宋体" w:cs="宋体"/>
          <w:sz w:val="24"/>
          <w:szCs w:val="24"/>
          <w:highlight w:val="none"/>
        </w:rPr>
      </w:pPr>
      <w:r>
        <w:rPr>
          <w:rFonts w:ascii="宋体" w:hAnsi="宋体" w:eastAsia="宋体" w:cs="宋体"/>
          <w:spacing w:val="-1"/>
          <w:sz w:val="24"/>
          <w:szCs w:val="24"/>
          <w:highlight w:val="none"/>
        </w:rPr>
        <w:t>对于政府投资的工程建设项目，发包人可以根据</w:t>
      </w:r>
      <w:r>
        <w:rPr>
          <w:rFonts w:ascii="宋体" w:hAnsi="宋体" w:eastAsia="宋体" w:cs="宋体"/>
          <w:spacing w:val="-2"/>
          <w:sz w:val="24"/>
          <w:szCs w:val="24"/>
          <w:highlight w:val="none"/>
        </w:rPr>
        <w:t>合同约定将有权部门出具的相应资金保</w:t>
      </w:r>
      <w:r>
        <w:rPr>
          <w:rFonts w:ascii="宋体" w:hAnsi="宋体" w:eastAsia="宋体" w:cs="宋体"/>
          <w:spacing w:val="-4"/>
          <w:sz w:val="24"/>
          <w:szCs w:val="24"/>
          <w:highlight w:val="none"/>
        </w:rPr>
        <w:t>障证明，作为工程款支付担保凭证。</w:t>
      </w:r>
    </w:p>
    <w:p w14:paraId="34B6019C">
      <w:pPr>
        <w:spacing w:line="219" w:lineRule="auto"/>
        <w:rPr>
          <w:rFonts w:ascii="宋体" w:hAnsi="宋体" w:eastAsia="宋体" w:cs="宋体"/>
          <w:sz w:val="24"/>
          <w:szCs w:val="24"/>
          <w:highlight w:val="none"/>
        </w:rPr>
      </w:pPr>
      <w:r>
        <w:rPr>
          <w:rFonts w:ascii="宋体" w:hAnsi="宋体" w:eastAsia="宋体" w:cs="宋体"/>
          <w:spacing w:val="-3"/>
          <w:sz w:val="24"/>
          <w:szCs w:val="24"/>
          <w:highlight w:val="none"/>
        </w:rPr>
        <w:t>3.承包人</w:t>
      </w:r>
    </w:p>
    <w:p w14:paraId="085C8120">
      <w:pPr>
        <w:spacing w:before="183" w:line="220" w:lineRule="auto"/>
        <w:ind w:left="576"/>
        <w:rPr>
          <w:rFonts w:ascii="宋体" w:hAnsi="宋体" w:eastAsia="宋体" w:cs="宋体"/>
          <w:sz w:val="24"/>
          <w:szCs w:val="24"/>
          <w:highlight w:val="none"/>
        </w:rPr>
      </w:pPr>
      <w:r>
        <w:rPr>
          <w:rFonts w:ascii="宋体" w:hAnsi="宋体" w:eastAsia="宋体" w:cs="宋体"/>
          <w:spacing w:val="-3"/>
          <w:sz w:val="24"/>
          <w:szCs w:val="24"/>
          <w:highlight w:val="none"/>
        </w:rPr>
        <w:t>3.1</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承包人的一般义务</w:t>
      </w:r>
    </w:p>
    <w:p w14:paraId="6AC7623F">
      <w:pPr>
        <w:spacing w:before="180" w:line="359" w:lineRule="auto"/>
        <w:ind w:left="91" w:right="98" w:firstLine="486"/>
        <w:rPr>
          <w:rFonts w:ascii="宋体" w:hAnsi="宋体" w:eastAsia="宋体" w:cs="宋体"/>
          <w:sz w:val="24"/>
          <w:szCs w:val="24"/>
          <w:highlight w:val="none"/>
        </w:rPr>
      </w:pPr>
      <w:r>
        <w:rPr>
          <w:rFonts w:ascii="宋体" w:hAnsi="宋体" w:eastAsia="宋体" w:cs="宋体"/>
          <w:spacing w:val="2"/>
          <w:sz w:val="24"/>
          <w:szCs w:val="24"/>
          <w:highlight w:val="none"/>
        </w:rPr>
        <w:t>（9）承包人提交的竣工资料的内容：竣工验收报告、</w:t>
      </w:r>
      <w:r>
        <w:rPr>
          <w:rFonts w:ascii="宋体" w:hAnsi="宋体" w:eastAsia="宋体" w:cs="宋体"/>
          <w:spacing w:val="1"/>
          <w:sz w:val="24"/>
          <w:szCs w:val="24"/>
          <w:highlight w:val="none"/>
        </w:rPr>
        <w:t>备案表、施工总结、施工质量评</w:t>
      </w:r>
      <w:r>
        <w:rPr>
          <w:rFonts w:ascii="宋体" w:hAnsi="宋体" w:eastAsia="宋体" w:cs="宋体"/>
          <w:spacing w:val="-2"/>
          <w:sz w:val="24"/>
          <w:szCs w:val="24"/>
          <w:highlight w:val="none"/>
        </w:rPr>
        <w:t>估报告、质保资料、原材料报验资料及竣工图等原件。</w:t>
      </w:r>
    </w:p>
    <w:p w14:paraId="445B34EC">
      <w:pPr>
        <w:spacing w:before="1" w:line="219" w:lineRule="auto"/>
        <w:ind w:left="571"/>
        <w:rPr>
          <w:rFonts w:ascii="宋体" w:hAnsi="宋体" w:eastAsia="宋体" w:cs="宋体"/>
          <w:sz w:val="24"/>
          <w:szCs w:val="24"/>
          <w:highlight w:val="none"/>
        </w:rPr>
      </w:pPr>
      <w:r>
        <w:rPr>
          <w:rFonts w:ascii="宋体" w:hAnsi="宋体" w:eastAsia="宋体" w:cs="宋体"/>
          <w:spacing w:val="-3"/>
          <w:sz w:val="24"/>
          <w:szCs w:val="24"/>
          <w:highlight w:val="none"/>
        </w:rPr>
        <w:t>承包人需要提交的竣工资料套数：叁套。</w:t>
      </w:r>
    </w:p>
    <w:p w14:paraId="779C619D">
      <w:pPr>
        <w:spacing w:before="182" w:line="220" w:lineRule="auto"/>
        <w:ind w:left="571"/>
        <w:rPr>
          <w:rFonts w:ascii="宋体" w:hAnsi="宋体" w:eastAsia="宋体" w:cs="宋体"/>
          <w:sz w:val="24"/>
          <w:szCs w:val="24"/>
          <w:highlight w:val="none"/>
        </w:rPr>
      </w:pPr>
      <w:r>
        <w:rPr>
          <w:rFonts w:ascii="宋体" w:hAnsi="宋体" w:eastAsia="宋体" w:cs="宋体"/>
          <w:spacing w:val="-2"/>
          <w:sz w:val="24"/>
          <w:szCs w:val="24"/>
          <w:highlight w:val="none"/>
        </w:rPr>
        <w:t>承包人提交的竣工资料的费用承担：自行承担。</w:t>
      </w:r>
    </w:p>
    <w:p w14:paraId="68B75C24">
      <w:pPr>
        <w:spacing w:before="179" w:line="220" w:lineRule="auto"/>
        <w:ind w:left="571"/>
        <w:rPr>
          <w:rFonts w:ascii="宋体" w:hAnsi="宋体" w:eastAsia="宋体" w:cs="宋体"/>
          <w:sz w:val="24"/>
          <w:szCs w:val="24"/>
          <w:highlight w:val="none"/>
        </w:rPr>
      </w:pPr>
      <w:r>
        <w:rPr>
          <w:rFonts w:ascii="宋体" w:hAnsi="宋体" w:eastAsia="宋体" w:cs="宋体"/>
          <w:spacing w:val="-3"/>
          <w:sz w:val="24"/>
          <w:szCs w:val="24"/>
          <w:highlight w:val="none"/>
        </w:rPr>
        <w:t>承包人提交的竣工资料移交时间：竣工验收后</w:t>
      </w:r>
      <w:r>
        <w:rPr>
          <w:rFonts w:ascii="宋体" w:hAnsi="宋体" w:eastAsia="宋体" w:cs="宋体"/>
          <w:spacing w:val="-28"/>
          <w:sz w:val="24"/>
          <w:szCs w:val="24"/>
          <w:highlight w:val="none"/>
        </w:rPr>
        <w:t xml:space="preserve"> </w:t>
      </w:r>
      <w:r>
        <w:rPr>
          <w:rFonts w:ascii="宋体" w:hAnsi="宋体" w:eastAsia="宋体" w:cs="宋体"/>
          <w:spacing w:val="-3"/>
          <w:sz w:val="24"/>
          <w:szCs w:val="24"/>
          <w:highlight w:val="none"/>
        </w:rPr>
        <w:t>28</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天内。</w:t>
      </w:r>
    </w:p>
    <w:p w14:paraId="74441939">
      <w:pPr>
        <w:spacing w:before="184" w:line="359" w:lineRule="auto"/>
        <w:ind w:left="92" w:right="103" w:firstLine="479"/>
        <w:rPr>
          <w:rFonts w:ascii="宋体" w:hAnsi="宋体" w:eastAsia="宋体" w:cs="宋体"/>
          <w:sz w:val="24"/>
          <w:szCs w:val="24"/>
          <w:highlight w:val="none"/>
        </w:rPr>
      </w:pPr>
      <w:r>
        <w:rPr>
          <w:rFonts w:ascii="宋体" w:hAnsi="宋体" w:eastAsia="宋体" w:cs="宋体"/>
          <w:spacing w:val="-1"/>
          <w:sz w:val="24"/>
          <w:szCs w:val="24"/>
          <w:highlight w:val="none"/>
        </w:rPr>
        <w:t>承包人提交的竣工资料形式要求：符合档案管</w:t>
      </w:r>
      <w:r>
        <w:rPr>
          <w:rFonts w:ascii="宋体" w:hAnsi="宋体" w:eastAsia="宋体" w:cs="宋体"/>
          <w:spacing w:val="-2"/>
          <w:sz w:val="24"/>
          <w:szCs w:val="24"/>
          <w:highlight w:val="none"/>
        </w:rPr>
        <w:t>理部门要求的装订成册的纸质版资料和电</w:t>
      </w:r>
      <w:r>
        <w:rPr>
          <w:rFonts w:ascii="宋体" w:hAnsi="宋体" w:eastAsia="宋体" w:cs="宋体"/>
          <w:spacing w:val="-8"/>
          <w:sz w:val="24"/>
          <w:szCs w:val="24"/>
          <w:highlight w:val="none"/>
        </w:rPr>
        <w:t>子版文件。</w:t>
      </w:r>
    </w:p>
    <w:p w14:paraId="366BAF55">
      <w:pPr>
        <w:spacing w:line="359" w:lineRule="auto"/>
        <w:ind w:left="91" w:right="92" w:firstLine="486"/>
        <w:rPr>
          <w:rFonts w:ascii="宋体" w:hAnsi="宋体" w:eastAsia="宋体" w:cs="宋体"/>
          <w:sz w:val="24"/>
          <w:szCs w:val="24"/>
          <w:highlight w:val="none"/>
        </w:rPr>
      </w:pPr>
      <w:r>
        <w:rPr>
          <w:rFonts w:ascii="宋体" w:hAnsi="宋体" w:eastAsia="宋体" w:cs="宋体"/>
          <w:spacing w:val="-1"/>
          <w:sz w:val="24"/>
          <w:szCs w:val="24"/>
          <w:highlight w:val="none"/>
        </w:rPr>
        <w:t>（10）承包人应履行的其他义务：承包人施工时必须主动</w:t>
      </w:r>
      <w:r>
        <w:rPr>
          <w:rFonts w:ascii="宋体" w:hAnsi="宋体" w:eastAsia="宋体" w:cs="宋体"/>
          <w:spacing w:val="-2"/>
          <w:sz w:val="24"/>
          <w:szCs w:val="24"/>
          <w:highlight w:val="none"/>
        </w:rPr>
        <w:t>与规划、电力、电信、网络、</w:t>
      </w:r>
      <w:r>
        <w:rPr>
          <w:rFonts w:ascii="宋体" w:hAnsi="宋体" w:eastAsia="宋体" w:cs="宋体"/>
          <w:spacing w:val="-1"/>
          <w:sz w:val="24"/>
          <w:szCs w:val="24"/>
          <w:highlight w:val="none"/>
        </w:rPr>
        <w:t>供水、市政、消防等有关部门密切配合，保质</w:t>
      </w:r>
      <w:r>
        <w:rPr>
          <w:rFonts w:ascii="宋体" w:hAnsi="宋体" w:eastAsia="宋体" w:cs="宋体"/>
          <w:spacing w:val="-2"/>
          <w:sz w:val="24"/>
          <w:szCs w:val="24"/>
          <w:highlight w:val="none"/>
        </w:rPr>
        <w:t>保量安全地完成施工任务。</w:t>
      </w:r>
    </w:p>
    <w:p w14:paraId="7CC28EC1">
      <w:pPr>
        <w:spacing w:before="4" w:line="359" w:lineRule="auto"/>
        <w:ind w:left="91" w:right="17" w:firstLine="481"/>
        <w:jc w:val="both"/>
        <w:rPr>
          <w:rFonts w:ascii="宋体" w:hAnsi="宋体" w:eastAsia="宋体" w:cs="宋体"/>
          <w:sz w:val="24"/>
          <w:szCs w:val="24"/>
          <w:highlight w:val="none"/>
        </w:rPr>
      </w:pPr>
      <w:r>
        <w:rPr>
          <w:rFonts w:ascii="宋体" w:hAnsi="宋体" w:eastAsia="宋体" w:cs="宋体"/>
          <w:spacing w:val="-8"/>
          <w:sz w:val="24"/>
          <w:szCs w:val="24"/>
          <w:highlight w:val="none"/>
        </w:rPr>
        <w:t>规划放线（含开工前测量放线、规划验收测量）、不动产测绘（</w:t>
      </w:r>
      <w:r>
        <w:rPr>
          <w:rFonts w:ascii="宋体" w:hAnsi="宋体" w:eastAsia="宋体" w:cs="宋体"/>
          <w:spacing w:val="-9"/>
          <w:sz w:val="24"/>
          <w:szCs w:val="24"/>
          <w:highlight w:val="none"/>
        </w:rPr>
        <w:t>房产测绘、地籍测绘） 、</w:t>
      </w:r>
      <w:r>
        <w:rPr>
          <w:rFonts w:ascii="宋体" w:hAnsi="宋体" w:eastAsia="宋体" w:cs="宋体"/>
          <w:sz w:val="24"/>
          <w:szCs w:val="24"/>
          <w:highlight w:val="none"/>
        </w:rPr>
        <w:t>环境监测、防雷检测、节能系统检测等由承包人负责按规定程序办理并提供相关成果资料，</w:t>
      </w:r>
      <w:r>
        <w:rPr>
          <w:rFonts w:ascii="宋体" w:hAnsi="宋体" w:eastAsia="宋体" w:cs="宋体"/>
          <w:spacing w:val="-1"/>
          <w:sz w:val="24"/>
          <w:szCs w:val="24"/>
          <w:highlight w:val="none"/>
        </w:rPr>
        <w:t>发包人予以协调配合，完成上述工作所发生的费用包含在承</w:t>
      </w:r>
      <w:r>
        <w:rPr>
          <w:rFonts w:ascii="宋体" w:hAnsi="宋体" w:eastAsia="宋体" w:cs="宋体"/>
          <w:spacing w:val="-2"/>
          <w:sz w:val="24"/>
          <w:szCs w:val="24"/>
          <w:highlight w:val="none"/>
        </w:rPr>
        <w:t>包人投标报价总价中，发包人不</w:t>
      </w:r>
      <w:r>
        <w:rPr>
          <w:rFonts w:ascii="宋体" w:hAnsi="宋体" w:eastAsia="宋体" w:cs="宋体"/>
          <w:spacing w:val="-8"/>
          <w:sz w:val="24"/>
          <w:szCs w:val="24"/>
          <w:highlight w:val="none"/>
        </w:rPr>
        <w:t>另行支付。</w:t>
      </w:r>
    </w:p>
    <w:p w14:paraId="7A25EE8E">
      <w:pPr>
        <w:spacing w:line="359" w:lineRule="auto"/>
        <w:rPr>
          <w:rFonts w:ascii="宋体" w:hAnsi="宋体" w:eastAsia="宋体" w:cs="宋体"/>
          <w:sz w:val="24"/>
          <w:szCs w:val="24"/>
          <w:highlight w:val="none"/>
        </w:rPr>
        <w:sectPr>
          <w:footerReference r:id="rId38" w:type="default"/>
          <w:pgSz w:w="11907" w:h="16839"/>
          <w:pgMar w:top="1425" w:right="1071" w:bottom="1129" w:left="1094" w:header="0" w:footer="898" w:gutter="0"/>
          <w:cols w:space="720" w:num="1"/>
        </w:sectPr>
      </w:pPr>
    </w:p>
    <w:p w14:paraId="6DA7C928">
      <w:pPr>
        <w:spacing w:before="48" w:line="220" w:lineRule="auto"/>
        <w:ind w:left="486"/>
        <w:rPr>
          <w:rFonts w:ascii="宋体" w:hAnsi="宋体" w:eastAsia="宋体" w:cs="宋体"/>
          <w:sz w:val="24"/>
          <w:szCs w:val="24"/>
          <w:highlight w:val="none"/>
        </w:rPr>
      </w:pPr>
      <w:r>
        <w:rPr>
          <w:rFonts w:ascii="宋体" w:hAnsi="宋体" w:eastAsia="宋体" w:cs="宋体"/>
          <w:spacing w:val="-4"/>
          <w:sz w:val="24"/>
          <w:szCs w:val="24"/>
          <w:highlight w:val="none"/>
        </w:rPr>
        <w:t>3.2</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rPr>
        <w:t>项目经理</w:t>
      </w:r>
    </w:p>
    <w:p w14:paraId="29D7B3B7">
      <w:pPr>
        <w:spacing w:before="182" w:line="220" w:lineRule="auto"/>
        <w:ind w:left="486"/>
        <w:rPr>
          <w:rFonts w:ascii="宋体" w:hAnsi="宋体" w:eastAsia="宋体" w:cs="宋体"/>
          <w:sz w:val="24"/>
          <w:szCs w:val="24"/>
          <w:highlight w:val="none"/>
        </w:rPr>
      </w:pPr>
      <w:r>
        <w:rPr>
          <w:rFonts w:ascii="宋体" w:hAnsi="宋体" w:eastAsia="宋体" w:cs="宋体"/>
          <w:spacing w:val="-7"/>
          <w:sz w:val="24"/>
          <w:szCs w:val="24"/>
          <w:highlight w:val="none"/>
        </w:rPr>
        <w:t>3.2.1</w:t>
      </w:r>
      <w:r>
        <w:rPr>
          <w:rFonts w:ascii="宋体" w:hAnsi="宋体" w:eastAsia="宋体" w:cs="宋体"/>
          <w:spacing w:val="-47"/>
          <w:sz w:val="24"/>
          <w:szCs w:val="24"/>
          <w:highlight w:val="none"/>
        </w:rPr>
        <w:t xml:space="preserve"> </w:t>
      </w:r>
      <w:r>
        <w:rPr>
          <w:rFonts w:ascii="宋体" w:hAnsi="宋体" w:eastAsia="宋体" w:cs="宋体"/>
          <w:spacing w:val="-7"/>
          <w:sz w:val="24"/>
          <w:szCs w:val="24"/>
          <w:highlight w:val="none"/>
        </w:rPr>
        <w:t>项目经理：</w:t>
      </w:r>
    </w:p>
    <w:p w14:paraId="56AD3435">
      <w:pPr>
        <w:spacing w:before="178" w:line="220" w:lineRule="auto"/>
        <w:ind w:left="481"/>
        <w:rPr>
          <w:rFonts w:ascii="宋体" w:hAnsi="宋体" w:eastAsia="宋体" w:cs="宋体"/>
          <w:sz w:val="24"/>
          <w:szCs w:val="24"/>
          <w:highlight w:val="none"/>
        </w:rPr>
      </w:pPr>
      <w:r>
        <w:rPr>
          <w:rFonts w:ascii="宋体" w:hAnsi="宋体" w:eastAsia="宋体" w:cs="宋体"/>
          <w:spacing w:val="-4"/>
          <w:sz w:val="24"/>
          <w:szCs w:val="24"/>
          <w:highlight w:val="none"/>
        </w:rPr>
        <w:t>姓名</w:t>
      </w:r>
      <w:r>
        <w:rPr>
          <w:rFonts w:ascii="宋体" w:hAnsi="宋体" w:eastAsia="宋体" w:cs="宋体"/>
          <w:spacing w:val="-2"/>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w:t>
      </w:r>
    </w:p>
    <w:p w14:paraId="250A4853">
      <w:pPr>
        <w:spacing w:before="182" w:line="220"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身份证号</w:t>
      </w:r>
      <w:r>
        <w:rPr>
          <w:rFonts w:ascii="宋体" w:hAnsi="宋体" w:eastAsia="宋体" w:cs="宋体"/>
          <w:spacing w:val="-1"/>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w:t>
      </w:r>
    </w:p>
    <w:p w14:paraId="6AEF4290">
      <w:pPr>
        <w:spacing w:before="179"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建造师执业资格等级</w:t>
      </w:r>
      <w:r>
        <w:rPr>
          <w:rFonts w:ascii="宋体" w:hAnsi="宋体" w:eastAsia="宋体" w:cs="宋体"/>
          <w:spacing w:val="2"/>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w:t>
      </w:r>
    </w:p>
    <w:p w14:paraId="5C323E23">
      <w:pPr>
        <w:spacing w:before="182"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建造师注册证书号</w:t>
      </w:r>
      <w:r>
        <w:rPr>
          <w:rFonts w:ascii="宋体" w:hAnsi="宋体" w:eastAsia="宋体" w:cs="宋体"/>
          <w:spacing w:val="1"/>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w:t>
      </w:r>
    </w:p>
    <w:p w14:paraId="3D325E71">
      <w:pPr>
        <w:spacing w:before="181"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建造师执业印章号</w:t>
      </w:r>
      <w:r>
        <w:rPr>
          <w:rFonts w:ascii="宋体" w:hAnsi="宋体" w:eastAsia="宋体" w:cs="宋体"/>
          <w:spacing w:val="1"/>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w:t>
      </w:r>
    </w:p>
    <w:p w14:paraId="13C1194C">
      <w:pPr>
        <w:spacing w:before="183"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安全生产考核合格证书号</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3"/>
          <w:sz w:val="24"/>
          <w:szCs w:val="24"/>
          <w:highlight w:val="none"/>
        </w:rPr>
        <w:t>；</w:t>
      </w:r>
    </w:p>
    <w:p w14:paraId="028276DB">
      <w:pPr>
        <w:spacing w:before="181" w:line="222"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联系电话</w:t>
      </w:r>
      <w:r>
        <w:rPr>
          <w:rFonts w:ascii="宋体" w:hAnsi="宋体" w:eastAsia="宋体" w:cs="宋体"/>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z w:val="24"/>
          <w:szCs w:val="24"/>
          <w:highlight w:val="none"/>
        </w:rPr>
        <w:t>；</w:t>
      </w:r>
    </w:p>
    <w:p w14:paraId="27016691">
      <w:pPr>
        <w:spacing w:before="180" w:line="220" w:lineRule="auto"/>
        <w:ind w:left="509"/>
        <w:rPr>
          <w:rFonts w:ascii="宋体" w:hAnsi="宋体" w:eastAsia="宋体" w:cs="宋体"/>
          <w:sz w:val="24"/>
          <w:szCs w:val="24"/>
          <w:highlight w:val="none"/>
        </w:rPr>
      </w:pPr>
      <w:r>
        <w:rPr>
          <w:rFonts w:ascii="宋体" w:hAnsi="宋体" w:eastAsia="宋体" w:cs="宋体"/>
          <w:spacing w:val="-8"/>
          <w:sz w:val="24"/>
          <w:szCs w:val="24"/>
          <w:highlight w:val="none"/>
        </w:rPr>
        <w:t>电子信箱</w:t>
      </w:r>
      <w:r>
        <w:rPr>
          <w:rFonts w:ascii="宋体" w:hAnsi="宋体" w:eastAsia="宋体" w:cs="宋体"/>
          <w:spacing w:val="-4"/>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4"/>
          <w:sz w:val="24"/>
          <w:szCs w:val="24"/>
          <w:highlight w:val="none"/>
        </w:rPr>
        <w:t>；</w:t>
      </w:r>
    </w:p>
    <w:p w14:paraId="2424736E">
      <w:pPr>
        <w:spacing w:before="179"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通信地址</w:t>
      </w:r>
      <w:r>
        <w:rPr>
          <w:rFonts w:ascii="宋体" w:hAnsi="宋体" w:eastAsia="宋体" w:cs="宋体"/>
          <w:spacing w:val="-1"/>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w:t>
      </w:r>
    </w:p>
    <w:p w14:paraId="2134238C">
      <w:pPr>
        <w:spacing w:before="182"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承包人对项目经理的授权范围如下：执行通用条款。</w:t>
      </w:r>
    </w:p>
    <w:p w14:paraId="0AC9C80A">
      <w:pPr>
        <w:spacing w:before="182" w:line="359" w:lineRule="auto"/>
        <w:ind w:right="25" w:firstLine="485"/>
        <w:jc w:val="both"/>
        <w:rPr>
          <w:rFonts w:ascii="宋体" w:hAnsi="宋体" w:eastAsia="宋体" w:cs="宋体"/>
          <w:sz w:val="24"/>
          <w:szCs w:val="24"/>
          <w:highlight w:val="none"/>
        </w:rPr>
      </w:pPr>
      <w:r>
        <w:rPr>
          <w:rFonts w:ascii="宋体" w:hAnsi="宋体" w:eastAsia="宋体" w:cs="宋体"/>
          <w:spacing w:val="-1"/>
          <w:sz w:val="24"/>
          <w:szCs w:val="24"/>
          <w:highlight w:val="none"/>
        </w:rPr>
        <w:t>关于项目经理每月在施工现场的时间要求：承</w:t>
      </w:r>
      <w:r>
        <w:rPr>
          <w:rFonts w:ascii="宋体" w:hAnsi="宋体" w:eastAsia="宋体" w:cs="宋体"/>
          <w:spacing w:val="-2"/>
          <w:sz w:val="24"/>
          <w:szCs w:val="24"/>
          <w:highlight w:val="none"/>
        </w:rPr>
        <w:t>包人中标后，投标文件所报本项目经理，在整个项目施工期间必须在位在岗，项目经理每天在岗工作时间不得少于</w:t>
      </w:r>
      <w:r>
        <w:rPr>
          <w:rFonts w:ascii="宋体" w:hAnsi="宋体" w:eastAsia="宋体" w:cs="宋体"/>
          <w:spacing w:val="-40"/>
          <w:sz w:val="24"/>
          <w:szCs w:val="24"/>
          <w:highlight w:val="none"/>
        </w:rPr>
        <w:t xml:space="preserve"> </w:t>
      </w:r>
      <w:r>
        <w:rPr>
          <w:rFonts w:ascii="宋体" w:hAnsi="宋体" w:eastAsia="宋体" w:cs="宋体"/>
          <w:spacing w:val="-2"/>
          <w:sz w:val="24"/>
          <w:szCs w:val="24"/>
          <w:highlight w:val="none"/>
        </w:rPr>
        <w:t>8</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个小时，每月不</w:t>
      </w:r>
      <w:r>
        <w:rPr>
          <w:rFonts w:ascii="宋体" w:hAnsi="宋体" w:eastAsia="宋体" w:cs="宋体"/>
          <w:spacing w:val="-7"/>
          <w:sz w:val="24"/>
          <w:szCs w:val="24"/>
          <w:highlight w:val="none"/>
        </w:rPr>
        <w:t>得少于</w:t>
      </w:r>
      <w:r>
        <w:rPr>
          <w:rFonts w:ascii="宋体" w:hAnsi="宋体" w:eastAsia="宋体" w:cs="宋体"/>
          <w:spacing w:val="-45"/>
          <w:sz w:val="24"/>
          <w:szCs w:val="24"/>
          <w:highlight w:val="none"/>
        </w:rPr>
        <w:t xml:space="preserve"> </w:t>
      </w:r>
      <w:r>
        <w:rPr>
          <w:rFonts w:ascii="宋体" w:hAnsi="宋体" w:eastAsia="宋体" w:cs="宋体"/>
          <w:spacing w:val="-7"/>
          <w:sz w:val="24"/>
          <w:szCs w:val="24"/>
          <w:highlight w:val="none"/>
        </w:rPr>
        <w:t>22</w:t>
      </w:r>
      <w:r>
        <w:rPr>
          <w:rFonts w:ascii="宋体" w:hAnsi="宋体" w:eastAsia="宋体" w:cs="宋体"/>
          <w:spacing w:val="-46"/>
          <w:sz w:val="24"/>
          <w:szCs w:val="24"/>
          <w:highlight w:val="none"/>
        </w:rPr>
        <w:t xml:space="preserve"> </w:t>
      </w:r>
      <w:r>
        <w:rPr>
          <w:rFonts w:ascii="宋体" w:hAnsi="宋体" w:eastAsia="宋体" w:cs="宋体"/>
          <w:spacing w:val="-7"/>
          <w:sz w:val="24"/>
          <w:szCs w:val="24"/>
          <w:highlight w:val="none"/>
        </w:rPr>
        <w:t>天。</w:t>
      </w:r>
    </w:p>
    <w:p w14:paraId="0637C515">
      <w:pPr>
        <w:spacing w:before="2" w:line="359" w:lineRule="auto"/>
        <w:ind w:right="25" w:firstLine="480"/>
        <w:jc w:val="both"/>
        <w:rPr>
          <w:rFonts w:ascii="宋体" w:hAnsi="宋体" w:eastAsia="宋体" w:cs="宋体"/>
          <w:sz w:val="24"/>
          <w:szCs w:val="24"/>
          <w:highlight w:val="none"/>
        </w:rPr>
      </w:pPr>
      <w:r>
        <w:rPr>
          <w:rFonts w:ascii="宋体" w:hAnsi="宋体" w:eastAsia="宋体" w:cs="宋体"/>
          <w:spacing w:val="-1"/>
          <w:sz w:val="24"/>
          <w:szCs w:val="24"/>
          <w:highlight w:val="none"/>
        </w:rPr>
        <w:t>承包人未提交劳动合同，以及没有为项目经理缴纳</w:t>
      </w:r>
      <w:r>
        <w:rPr>
          <w:rFonts w:ascii="宋体" w:hAnsi="宋体" w:eastAsia="宋体" w:cs="宋体"/>
          <w:spacing w:val="-2"/>
          <w:sz w:val="24"/>
          <w:szCs w:val="24"/>
          <w:highlight w:val="none"/>
        </w:rPr>
        <w:t>社会保险证明的违约责任：责令承包人限期提交劳动合同并补缴社会保险并处承包人支付</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5</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万元违约金；属弄虚作假的，</w:t>
      </w:r>
      <w:r>
        <w:rPr>
          <w:rFonts w:ascii="宋体" w:hAnsi="宋体" w:eastAsia="宋体" w:cs="宋体"/>
          <w:spacing w:val="-3"/>
          <w:sz w:val="24"/>
          <w:szCs w:val="24"/>
          <w:highlight w:val="none"/>
        </w:rPr>
        <w:t>发包人</w:t>
      </w:r>
      <w:r>
        <w:rPr>
          <w:rFonts w:ascii="宋体" w:hAnsi="宋体" w:eastAsia="宋体" w:cs="宋体"/>
          <w:spacing w:val="-1"/>
          <w:sz w:val="24"/>
          <w:szCs w:val="24"/>
          <w:highlight w:val="none"/>
        </w:rPr>
        <w:t>有权取消其中标资格，除其投标保证金或履约保证金不予退</w:t>
      </w:r>
      <w:r>
        <w:rPr>
          <w:rFonts w:ascii="宋体" w:hAnsi="宋体" w:eastAsia="宋体" w:cs="宋体"/>
          <w:spacing w:val="-2"/>
          <w:sz w:val="24"/>
          <w:szCs w:val="24"/>
          <w:highlight w:val="none"/>
        </w:rPr>
        <w:t>还外，发包人将承包人违约事实</w:t>
      </w:r>
      <w:r>
        <w:rPr>
          <w:rFonts w:ascii="宋体" w:hAnsi="宋体" w:eastAsia="宋体" w:cs="宋体"/>
          <w:spacing w:val="-1"/>
          <w:sz w:val="24"/>
          <w:szCs w:val="24"/>
          <w:highlight w:val="none"/>
        </w:rPr>
        <w:t>形成证据，记不良行为记录，按经主管部门备案的扣分标准</w:t>
      </w:r>
      <w:r>
        <w:rPr>
          <w:rFonts w:ascii="宋体" w:hAnsi="宋体" w:eastAsia="宋体" w:cs="宋体"/>
          <w:spacing w:val="-2"/>
          <w:sz w:val="24"/>
          <w:szCs w:val="24"/>
          <w:highlight w:val="none"/>
        </w:rPr>
        <w:t>予以扣分，同时将不良记录处理信息推送相关部门，按有关规定落实不良行为信息披露期限。</w:t>
      </w:r>
    </w:p>
    <w:p w14:paraId="78519C6A">
      <w:pPr>
        <w:spacing w:before="5" w:line="359" w:lineRule="auto"/>
        <w:ind w:firstLine="485"/>
        <w:jc w:val="both"/>
        <w:rPr>
          <w:rFonts w:ascii="宋体" w:hAnsi="宋体" w:eastAsia="宋体" w:cs="宋体"/>
          <w:sz w:val="24"/>
          <w:szCs w:val="24"/>
          <w:highlight w:val="none"/>
        </w:rPr>
      </w:pPr>
      <w:r>
        <w:rPr>
          <w:rFonts w:ascii="宋体" w:hAnsi="宋体" w:eastAsia="宋体" w:cs="宋体"/>
          <w:spacing w:val="-2"/>
          <w:sz w:val="24"/>
          <w:szCs w:val="24"/>
          <w:highlight w:val="none"/>
        </w:rPr>
        <w:t>项目经理未经批准，擅自离开施工现场的违约责任：中标人（承包人）的项目经理（建</w:t>
      </w:r>
      <w:r>
        <w:rPr>
          <w:rFonts w:ascii="宋体" w:hAnsi="宋体" w:eastAsia="宋体" w:cs="宋体"/>
          <w:spacing w:val="-1"/>
          <w:sz w:val="24"/>
          <w:szCs w:val="24"/>
          <w:highlight w:val="none"/>
        </w:rPr>
        <w:t>造师）需要离开现场的，时间在半天以内的须经工程师书面同</w:t>
      </w:r>
      <w:r>
        <w:rPr>
          <w:rFonts w:ascii="宋体" w:hAnsi="宋体" w:eastAsia="宋体" w:cs="宋体"/>
          <w:spacing w:val="-2"/>
          <w:sz w:val="24"/>
          <w:szCs w:val="24"/>
          <w:highlight w:val="none"/>
        </w:rPr>
        <w:t>意；半天以上两天以内的须经</w:t>
      </w:r>
      <w:r>
        <w:rPr>
          <w:rFonts w:ascii="宋体" w:hAnsi="宋体" w:eastAsia="宋体" w:cs="宋体"/>
          <w:spacing w:val="-1"/>
          <w:sz w:val="24"/>
          <w:szCs w:val="24"/>
          <w:highlight w:val="none"/>
        </w:rPr>
        <w:t>工程师出具书面意见后报招标人（发包人）现场负责人同意并送</w:t>
      </w:r>
      <w:r>
        <w:rPr>
          <w:rFonts w:ascii="宋体" w:hAnsi="宋体" w:eastAsia="宋体" w:cs="宋体"/>
          <w:spacing w:val="-2"/>
          <w:sz w:val="24"/>
          <w:szCs w:val="24"/>
          <w:highlight w:val="none"/>
        </w:rPr>
        <w:t>招标人（发包人）备案；时</w:t>
      </w:r>
      <w:r>
        <w:rPr>
          <w:rFonts w:ascii="宋体" w:hAnsi="宋体" w:eastAsia="宋体" w:cs="宋体"/>
          <w:spacing w:val="-1"/>
          <w:sz w:val="24"/>
          <w:szCs w:val="24"/>
          <w:highlight w:val="none"/>
        </w:rPr>
        <w:t>间超过两天以上的，需经现场负责人出具书面意见</w:t>
      </w:r>
      <w:r>
        <w:rPr>
          <w:rFonts w:ascii="宋体" w:hAnsi="宋体" w:eastAsia="宋体" w:cs="宋体"/>
          <w:spacing w:val="-2"/>
          <w:sz w:val="24"/>
          <w:szCs w:val="24"/>
          <w:highlight w:val="none"/>
        </w:rPr>
        <w:t>送招标人（发包人）审核同意。离开前应</w:t>
      </w:r>
      <w:r>
        <w:rPr>
          <w:rFonts w:ascii="宋体" w:hAnsi="宋体" w:eastAsia="宋体" w:cs="宋体"/>
          <w:spacing w:val="-1"/>
          <w:sz w:val="24"/>
          <w:szCs w:val="24"/>
          <w:highlight w:val="none"/>
        </w:rPr>
        <w:t>书面指定临时代表，代为行使项目经理的权力；该临时代表的一切行为，招标人（发包人）</w:t>
      </w:r>
      <w:r>
        <w:rPr>
          <w:rFonts w:ascii="宋体" w:hAnsi="宋体" w:eastAsia="宋体" w:cs="宋体"/>
          <w:spacing w:val="-6"/>
          <w:sz w:val="24"/>
          <w:szCs w:val="24"/>
          <w:highlight w:val="none"/>
        </w:rPr>
        <w:t>均认为是项目经理的行为。政府重大投资项目，中标人（承包人）的项</w:t>
      </w:r>
      <w:r>
        <w:rPr>
          <w:rFonts w:ascii="宋体" w:hAnsi="宋体" w:eastAsia="宋体" w:cs="宋体"/>
          <w:spacing w:val="-7"/>
          <w:sz w:val="24"/>
          <w:szCs w:val="24"/>
          <w:highlight w:val="none"/>
        </w:rPr>
        <w:t>目经理（建造师）在</w:t>
      </w:r>
      <w:r>
        <w:rPr>
          <w:rFonts w:ascii="宋体" w:hAnsi="宋体" w:eastAsia="宋体" w:cs="宋体"/>
          <w:spacing w:val="2"/>
          <w:sz w:val="24"/>
          <w:szCs w:val="24"/>
          <w:highlight w:val="none"/>
        </w:rPr>
        <w:t>工程建设过程中未按前述规定取得书面同意不得离岗，否则，第一</w:t>
      </w:r>
      <w:r>
        <w:rPr>
          <w:rFonts w:ascii="宋体" w:hAnsi="宋体" w:eastAsia="宋体" w:cs="宋体"/>
          <w:spacing w:val="1"/>
          <w:sz w:val="24"/>
          <w:szCs w:val="24"/>
          <w:highlight w:val="none"/>
        </w:rPr>
        <w:t>次离岗按中标价的 0.1%</w:t>
      </w:r>
      <w:r>
        <w:rPr>
          <w:rFonts w:ascii="宋体" w:hAnsi="宋体" w:eastAsia="宋体" w:cs="宋体"/>
          <w:spacing w:val="-3"/>
          <w:sz w:val="24"/>
          <w:szCs w:val="24"/>
          <w:highlight w:val="none"/>
        </w:rPr>
        <w:t>支付违约金；第二次离岗的按中标价的</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0.2%支付违约金；第三次及其以后每次均按中标价的</w:t>
      </w:r>
      <w:r>
        <w:rPr>
          <w:rFonts w:ascii="宋体" w:hAnsi="宋体" w:eastAsia="宋体" w:cs="宋体"/>
          <w:spacing w:val="-1"/>
          <w:sz w:val="24"/>
          <w:szCs w:val="24"/>
          <w:highlight w:val="none"/>
        </w:rPr>
        <w:t>0.5%支付违约金（缺席、离岗次数以天为计</w:t>
      </w:r>
      <w:r>
        <w:rPr>
          <w:rFonts w:ascii="宋体" w:hAnsi="宋体" w:eastAsia="宋体" w:cs="宋体"/>
          <w:sz w:val="24"/>
          <w:szCs w:val="24"/>
          <w:highlight w:val="none"/>
        </w:rPr>
        <w:t>），</w:t>
      </w:r>
      <w:r>
        <w:rPr>
          <w:rFonts w:ascii="宋体" w:hAnsi="宋体" w:eastAsia="宋体" w:cs="宋体"/>
          <w:spacing w:val="-1"/>
          <w:sz w:val="24"/>
          <w:szCs w:val="24"/>
          <w:highlight w:val="none"/>
        </w:rPr>
        <w:t>合计（缺席、离岗）次数超</w:t>
      </w:r>
      <w:r>
        <w:rPr>
          <w:rFonts w:ascii="宋体" w:hAnsi="宋体" w:eastAsia="宋体" w:cs="宋体"/>
          <w:spacing w:val="-2"/>
          <w:sz w:val="24"/>
          <w:szCs w:val="24"/>
          <w:highlight w:val="none"/>
        </w:rPr>
        <w:t>过 10 天的或者</w:t>
      </w:r>
      <w:r>
        <w:rPr>
          <w:rFonts w:ascii="宋体" w:hAnsi="宋体" w:eastAsia="宋体" w:cs="宋体"/>
          <w:spacing w:val="-1"/>
          <w:sz w:val="24"/>
          <w:szCs w:val="24"/>
          <w:highlight w:val="none"/>
        </w:rPr>
        <w:t>年度累计请假超过 26 天的，按违约处理，除由中标人（承包</w:t>
      </w:r>
      <w:r>
        <w:rPr>
          <w:rFonts w:ascii="宋体" w:hAnsi="宋体" w:eastAsia="宋体" w:cs="宋体"/>
          <w:spacing w:val="-2"/>
          <w:sz w:val="24"/>
          <w:szCs w:val="24"/>
          <w:highlight w:val="none"/>
        </w:rPr>
        <w:t>人）支付违约金、罚款外，由</w:t>
      </w:r>
    </w:p>
    <w:p w14:paraId="0F812D66">
      <w:pPr>
        <w:spacing w:line="359" w:lineRule="auto"/>
        <w:rPr>
          <w:rFonts w:ascii="宋体" w:hAnsi="宋体" w:eastAsia="宋体" w:cs="宋体"/>
          <w:sz w:val="24"/>
          <w:szCs w:val="24"/>
          <w:highlight w:val="none"/>
        </w:rPr>
        <w:sectPr>
          <w:footerReference r:id="rId39" w:type="default"/>
          <w:pgSz w:w="11907" w:h="16839"/>
          <w:pgMar w:top="1425" w:right="1146" w:bottom="1129" w:left="1184" w:header="0" w:footer="898" w:gutter="0"/>
          <w:cols w:space="720" w:num="1"/>
        </w:sectPr>
      </w:pPr>
    </w:p>
    <w:p w14:paraId="65E315E9">
      <w:pPr>
        <w:spacing w:before="48" w:line="359" w:lineRule="auto"/>
        <w:ind w:right="2" w:firstLine="1"/>
        <w:rPr>
          <w:rFonts w:ascii="宋体" w:hAnsi="宋体" w:eastAsia="宋体" w:cs="宋体"/>
          <w:sz w:val="24"/>
          <w:szCs w:val="24"/>
          <w:highlight w:val="none"/>
        </w:rPr>
      </w:pPr>
      <w:r>
        <w:rPr>
          <w:rFonts w:ascii="宋体" w:hAnsi="宋体" w:eastAsia="宋体" w:cs="宋体"/>
          <w:spacing w:val="-1"/>
          <w:sz w:val="24"/>
          <w:szCs w:val="24"/>
          <w:highlight w:val="none"/>
        </w:rPr>
        <w:t>招标人（发包人）按规定清除出场，招标人（发包人）</w:t>
      </w:r>
      <w:r>
        <w:rPr>
          <w:rFonts w:ascii="宋体" w:hAnsi="宋体" w:eastAsia="宋体" w:cs="宋体"/>
          <w:spacing w:val="-2"/>
          <w:sz w:val="24"/>
          <w:szCs w:val="24"/>
          <w:highlight w:val="none"/>
        </w:rPr>
        <w:t>将中标人（承包人）违约事实形成证</w:t>
      </w:r>
      <w:r>
        <w:rPr>
          <w:rFonts w:ascii="宋体" w:hAnsi="宋体" w:eastAsia="宋体" w:cs="宋体"/>
          <w:spacing w:val="-3"/>
          <w:sz w:val="24"/>
          <w:szCs w:val="24"/>
          <w:highlight w:val="none"/>
        </w:rPr>
        <w:t>据，由招标人或相关行业主管部门处理。</w:t>
      </w:r>
    </w:p>
    <w:p w14:paraId="1B6D9BEA">
      <w:pPr>
        <w:spacing w:before="6" w:line="346" w:lineRule="auto"/>
        <w:ind w:firstLine="486"/>
        <w:rPr>
          <w:rFonts w:ascii="宋体" w:hAnsi="宋体" w:eastAsia="宋体" w:cs="宋体"/>
          <w:sz w:val="24"/>
          <w:szCs w:val="24"/>
          <w:highlight w:val="none"/>
        </w:rPr>
      </w:pPr>
      <w:r>
        <w:rPr>
          <w:rFonts w:ascii="宋体" w:hAnsi="宋体" w:eastAsia="宋体" w:cs="宋体"/>
          <w:spacing w:val="-1"/>
          <w:sz w:val="24"/>
          <w:szCs w:val="24"/>
          <w:highlight w:val="none"/>
        </w:rPr>
        <w:t>3.2.3</w:t>
      </w:r>
      <w:r>
        <w:rPr>
          <w:rFonts w:ascii="宋体" w:hAnsi="宋体" w:eastAsia="宋体" w:cs="宋体"/>
          <w:spacing w:val="-20"/>
          <w:sz w:val="24"/>
          <w:szCs w:val="24"/>
          <w:highlight w:val="none"/>
        </w:rPr>
        <w:t xml:space="preserve"> </w:t>
      </w:r>
      <w:r>
        <w:rPr>
          <w:rFonts w:ascii="宋体" w:hAnsi="宋体" w:eastAsia="宋体" w:cs="宋体"/>
          <w:spacing w:val="-1"/>
          <w:sz w:val="24"/>
          <w:szCs w:val="24"/>
          <w:highlight w:val="none"/>
        </w:rPr>
        <w:t>承包人擅自更换项目经理的违约责任：中标人（承包人）不得擅自更换资格审查和投标时所报项目经理（建造师）。因病且长期（至少</w:t>
      </w:r>
      <w:r>
        <w:rPr>
          <w:rFonts w:ascii="宋体" w:hAnsi="宋体" w:eastAsia="宋体" w:cs="宋体"/>
          <w:spacing w:val="-2"/>
          <w:sz w:val="24"/>
          <w:szCs w:val="24"/>
          <w:highlight w:val="none"/>
        </w:rPr>
        <w:t>在六个月及其以上）不能履行职责确</w:t>
      </w:r>
      <w:r>
        <w:rPr>
          <w:rFonts w:ascii="宋体" w:hAnsi="宋体" w:eastAsia="宋体" w:cs="宋体"/>
          <w:spacing w:val="-1"/>
          <w:sz w:val="24"/>
          <w:szCs w:val="24"/>
          <w:highlight w:val="none"/>
        </w:rPr>
        <w:t>需更换的（短期即六个月以内因病不能履行岗位职责的，由中</w:t>
      </w:r>
      <w:r>
        <w:rPr>
          <w:rFonts w:ascii="宋体" w:hAnsi="宋体" w:eastAsia="宋体" w:cs="宋体"/>
          <w:spacing w:val="-2"/>
          <w:sz w:val="24"/>
          <w:szCs w:val="24"/>
          <w:highlight w:val="none"/>
        </w:rPr>
        <w:t>标人临时指定不低于该生病人</w:t>
      </w:r>
      <w:r>
        <w:rPr>
          <w:rFonts w:ascii="宋体" w:hAnsi="宋体" w:eastAsia="宋体" w:cs="宋体"/>
          <w:spacing w:val="-5"/>
          <w:sz w:val="24"/>
          <w:szCs w:val="24"/>
          <w:highlight w:val="none"/>
        </w:rPr>
        <w:t>员资质、资历和技术水平的人员代为行使职责，</w:t>
      </w:r>
      <w:r>
        <w:rPr>
          <w:rFonts w:ascii="宋体" w:hAnsi="宋体" w:eastAsia="宋体" w:cs="宋体"/>
          <w:spacing w:val="51"/>
          <w:sz w:val="24"/>
          <w:szCs w:val="24"/>
          <w:highlight w:val="none"/>
        </w:rPr>
        <w:t xml:space="preserve"> </w:t>
      </w:r>
      <w:r>
        <w:rPr>
          <w:rFonts w:ascii="宋体" w:hAnsi="宋体" w:eastAsia="宋体" w:cs="宋体"/>
          <w:spacing w:val="-5"/>
          <w:sz w:val="24"/>
          <w:szCs w:val="24"/>
          <w:highlight w:val="none"/>
        </w:rPr>
        <w:t>康复后应立即</w:t>
      </w:r>
      <w:r>
        <w:rPr>
          <w:rFonts w:ascii="宋体" w:hAnsi="宋体" w:eastAsia="宋体" w:cs="宋体"/>
          <w:spacing w:val="-6"/>
          <w:sz w:val="24"/>
          <w:szCs w:val="24"/>
          <w:highlight w:val="none"/>
        </w:rPr>
        <w:t>返岗履行职责</w:t>
      </w:r>
      <w:r>
        <w:rPr>
          <w:rFonts w:ascii="宋体" w:hAnsi="宋体" w:eastAsia="宋体" w:cs="宋体"/>
          <w:spacing w:val="-14"/>
          <w:sz w:val="24"/>
          <w:szCs w:val="24"/>
          <w:highlight w:val="none"/>
        </w:rPr>
        <w:t>），</w:t>
      </w:r>
      <w:r>
        <w:rPr>
          <w:rFonts w:ascii="宋体" w:hAnsi="宋体" w:eastAsia="宋体" w:cs="宋体"/>
          <w:spacing w:val="-6"/>
          <w:sz w:val="24"/>
          <w:szCs w:val="24"/>
          <w:highlight w:val="none"/>
        </w:rPr>
        <w:t>须凭县级及</w:t>
      </w:r>
      <w:r>
        <w:rPr>
          <w:rFonts w:ascii="宋体" w:hAnsi="宋体" w:eastAsia="宋体" w:cs="宋体"/>
          <w:spacing w:val="-1"/>
          <w:sz w:val="24"/>
          <w:szCs w:val="24"/>
          <w:highlight w:val="none"/>
        </w:rPr>
        <w:t>以上医院出具的盖有医院公章的证明、病历原件提前 14</w:t>
      </w:r>
      <w:r>
        <w:rPr>
          <w:rFonts w:ascii="宋体" w:hAnsi="宋体" w:eastAsia="宋体" w:cs="宋体"/>
          <w:spacing w:val="-2"/>
          <w:sz w:val="24"/>
          <w:szCs w:val="24"/>
          <w:highlight w:val="none"/>
        </w:rPr>
        <w:t xml:space="preserve"> 天通知招标人（发包人</w:t>
      </w:r>
      <w:r>
        <w:rPr>
          <w:rFonts w:ascii="宋体" w:hAnsi="宋体" w:eastAsia="宋体" w:cs="宋体"/>
          <w:sz w:val="24"/>
          <w:szCs w:val="24"/>
          <w:highlight w:val="none"/>
        </w:rPr>
        <w:t>），</w:t>
      </w:r>
      <w:r>
        <w:rPr>
          <w:rFonts w:ascii="宋体" w:hAnsi="宋体" w:eastAsia="宋体" w:cs="宋体"/>
          <w:spacing w:val="-2"/>
          <w:sz w:val="24"/>
          <w:szCs w:val="24"/>
          <w:highlight w:val="none"/>
        </w:rPr>
        <w:t>并取得</w:t>
      </w:r>
      <w:r>
        <w:rPr>
          <w:rFonts w:ascii="宋体" w:hAnsi="宋体" w:eastAsia="宋体" w:cs="宋体"/>
          <w:spacing w:val="-1"/>
          <w:sz w:val="24"/>
          <w:szCs w:val="24"/>
          <w:highlight w:val="none"/>
        </w:rPr>
        <w:t>招标人（发包人）同意；更换后的人员不得低于中标人</w:t>
      </w:r>
      <w:r>
        <w:rPr>
          <w:rFonts w:ascii="宋体" w:hAnsi="宋体" w:eastAsia="宋体" w:cs="宋体"/>
          <w:spacing w:val="-2"/>
          <w:sz w:val="24"/>
          <w:szCs w:val="24"/>
          <w:highlight w:val="none"/>
        </w:rPr>
        <w:t>投标时所报人员资质、资历和技术水</w:t>
      </w:r>
      <w:r>
        <w:rPr>
          <w:rFonts w:ascii="宋体" w:hAnsi="宋体" w:eastAsia="宋体" w:cs="宋体"/>
          <w:spacing w:val="-1"/>
          <w:sz w:val="24"/>
          <w:szCs w:val="24"/>
          <w:highlight w:val="none"/>
        </w:rPr>
        <w:t>平。中标人（承包人）更换项目经理，即使征得了招标人</w:t>
      </w:r>
      <w:r>
        <w:rPr>
          <w:rFonts w:ascii="宋体" w:hAnsi="宋体" w:eastAsia="宋体" w:cs="宋体"/>
          <w:spacing w:val="-2"/>
          <w:sz w:val="24"/>
          <w:szCs w:val="24"/>
          <w:highlight w:val="none"/>
        </w:rPr>
        <w:t>（发包人）的同意，该行为仍视为中标人（承包人）违约（属于去世或突发性灾难致病危或因癌症等病致危已失去履行岗位职</w:t>
      </w:r>
      <w:r>
        <w:rPr>
          <w:rFonts w:ascii="宋体" w:hAnsi="宋体" w:eastAsia="宋体" w:cs="宋体"/>
          <w:spacing w:val="-1"/>
          <w:sz w:val="24"/>
          <w:szCs w:val="24"/>
          <w:highlight w:val="none"/>
        </w:rPr>
        <w:t>责能力的除外），若更换项目经理（建造师），按中标价的 1%支付违</w:t>
      </w:r>
      <w:r>
        <w:rPr>
          <w:rFonts w:ascii="宋体" w:hAnsi="宋体" w:eastAsia="宋体" w:cs="宋体"/>
          <w:spacing w:val="-2"/>
          <w:sz w:val="24"/>
          <w:szCs w:val="24"/>
          <w:highlight w:val="none"/>
        </w:rPr>
        <w:t>约金，按中标价的 1%</w:t>
      </w:r>
      <w:r>
        <w:rPr>
          <w:rFonts w:ascii="宋体" w:hAnsi="宋体" w:eastAsia="宋体" w:cs="宋体"/>
          <w:spacing w:val="-3"/>
          <w:sz w:val="24"/>
          <w:szCs w:val="24"/>
          <w:highlight w:val="none"/>
        </w:rPr>
        <w:t>计算金额少于</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20</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万元的，按</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20</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万元支付违约金。因病被更换的项目经理在治疗及康复期内</w:t>
      </w:r>
      <w:r>
        <w:rPr>
          <w:rFonts w:ascii="宋体" w:hAnsi="宋体" w:eastAsia="宋体" w:cs="宋体"/>
          <w:spacing w:val="-2"/>
          <w:sz w:val="24"/>
          <w:szCs w:val="24"/>
          <w:highlight w:val="none"/>
        </w:rPr>
        <w:t>（至少六个月）参与项目投标的，作投标无效处理。</w:t>
      </w:r>
    </w:p>
    <w:p w14:paraId="18A1E473">
      <w:pPr>
        <w:spacing w:before="182" w:line="336" w:lineRule="auto"/>
        <w:ind w:right="3" w:firstLine="485"/>
        <w:rPr>
          <w:rFonts w:ascii="宋体" w:hAnsi="宋体" w:eastAsia="宋体" w:cs="宋体"/>
          <w:sz w:val="24"/>
          <w:szCs w:val="24"/>
          <w:highlight w:val="none"/>
        </w:rPr>
      </w:pPr>
      <w:r>
        <w:rPr>
          <w:rFonts w:ascii="宋体" w:hAnsi="宋体" w:eastAsia="宋体" w:cs="宋体"/>
          <w:spacing w:val="-1"/>
          <w:sz w:val="24"/>
          <w:szCs w:val="24"/>
          <w:highlight w:val="none"/>
        </w:rPr>
        <w:t>3.2.4</w:t>
      </w:r>
      <w:r>
        <w:rPr>
          <w:rFonts w:ascii="宋体" w:hAnsi="宋体" w:eastAsia="宋体" w:cs="宋体"/>
          <w:spacing w:val="-21"/>
          <w:sz w:val="24"/>
          <w:szCs w:val="24"/>
          <w:highlight w:val="none"/>
        </w:rPr>
        <w:t xml:space="preserve"> </w:t>
      </w:r>
      <w:r>
        <w:rPr>
          <w:rFonts w:ascii="宋体" w:hAnsi="宋体" w:eastAsia="宋体" w:cs="宋体"/>
          <w:spacing w:val="-1"/>
          <w:sz w:val="24"/>
          <w:szCs w:val="24"/>
          <w:highlight w:val="none"/>
        </w:rPr>
        <w:t>承包人无正当理由拒绝更换项目经理的违约责任：招标人（发包人）发现项目经理不能胜任项目工作的，包括发现项目经理缺乏管理经</w:t>
      </w:r>
      <w:r>
        <w:rPr>
          <w:rFonts w:ascii="宋体" w:hAnsi="宋体" w:eastAsia="宋体" w:cs="宋体"/>
          <w:spacing w:val="-2"/>
          <w:sz w:val="24"/>
          <w:szCs w:val="24"/>
          <w:highlight w:val="none"/>
        </w:rPr>
        <w:t>验或因管理不到位导致管理混乱或出</w:t>
      </w:r>
      <w:r>
        <w:rPr>
          <w:rFonts w:ascii="宋体" w:hAnsi="宋体" w:eastAsia="宋体" w:cs="宋体"/>
          <w:spacing w:val="-6"/>
          <w:sz w:val="24"/>
          <w:szCs w:val="24"/>
          <w:highlight w:val="none"/>
        </w:rPr>
        <w:t>现质量事故、安全责任的，</w:t>
      </w:r>
      <w:r>
        <w:rPr>
          <w:rFonts w:ascii="宋体" w:hAnsi="宋体" w:eastAsia="宋体" w:cs="宋体"/>
          <w:spacing w:val="68"/>
          <w:sz w:val="24"/>
          <w:szCs w:val="24"/>
          <w:highlight w:val="none"/>
        </w:rPr>
        <w:t xml:space="preserve"> </w:t>
      </w:r>
      <w:r>
        <w:rPr>
          <w:rFonts w:ascii="宋体" w:hAnsi="宋体" w:eastAsia="宋体" w:cs="宋体"/>
          <w:spacing w:val="-6"/>
          <w:sz w:val="24"/>
          <w:szCs w:val="24"/>
          <w:highlight w:val="none"/>
        </w:rPr>
        <w:t>除依法追究其责任外，可要求中标人（承包人）更换和调</w:t>
      </w:r>
      <w:r>
        <w:rPr>
          <w:rFonts w:ascii="宋体" w:hAnsi="宋体" w:eastAsia="宋体" w:cs="宋体"/>
          <w:spacing w:val="-7"/>
          <w:sz w:val="24"/>
          <w:szCs w:val="24"/>
          <w:highlight w:val="none"/>
        </w:rPr>
        <w:t>整项目</w:t>
      </w:r>
      <w:r>
        <w:rPr>
          <w:rFonts w:ascii="宋体" w:hAnsi="宋体" w:eastAsia="宋体" w:cs="宋体"/>
          <w:spacing w:val="-9"/>
          <w:sz w:val="24"/>
          <w:szCs w:val="24"/>
          <w:highlight w:val="none"/>
        </w:rPr>
        <w:t>经理，直至满足工程建设需要为止。出现前述情况的，</w:t>
      </w:r>
      <w:r>
        <w:rPr>
          <w:rFonts w:ascii="宋体" w:hAnsi="宋体" w:eastAsia="宋体" w:cs="宋体"/>
          <w:spacing w:val="-45"/>
          <w:sz w:val="24"/>
          <w:szCs w:val="24"/>
          <w:highlight w:val="none"/>
        </w:rPr>
        <w:t xml:space="preserve"> </w:t>
      </w:r>
      <w:r>
        <w:rPr>
          <w:rFonts w:ascii="宋体" w:hAnsi="宋体" w:eastAsia="宋体" w:cs="宋体"/>
          <w:spacing w:val="-9"/>
          <w:sz w:val="24"/>
          <w:szCs w:val="24"/>
          <w:highlight w:val="none"/>
        </w:rPr>
        <w:t>比照</w:t>
      </w:r>
      <w:r>
        <w:rPr>
          <w:rFonts w:ascii="宋体" w:hAnsi="宋体" w:eastAsia="宋体" w:cs="宋体"/>
          <w:spacing w:val="-45"/>
          <w:sz w:val="24"/>
          <w:szCs w:val="24"/>
          <w:highlight w:val="none"/>
        </w:rPr>
        <w:t xml:space="preserve"> </w:t>
      </w:r>
      <w:r>
        <w:rPr>
          <w:rFonts w:ascii="宋体" w:hAnsi="宋体" w:eastAsia="宋体" w:cs="宋体"/>
          <w:spacing w:val="-9"/>
          <w:sz w:val="24"/>
          <w:szCs w:val="24"/>
          <w:highlight w:val="none"/>
        </w:rPr>
        <w:t>3.2.3</w:t>
      </w:r>
      <w:r>
        <w:rPr>
          <w:rFonts w:ascii="宋体" w:hAnsi="宋体" w:eastAsia="宋体" w:cs="宋体"/>
          <w:spacing w:val="-48"/>
          <w:sz w:val="24"/>
          <w:szCs w:val="24"/>
          <w:highlight w:val="none"/>
        </w:rPr>
        <w:t xml:space="preserve"> </w:t>
      </w:r>
      <w:r>
        <w:rPr>
          <w:rFonts w:ascii="宋体" w:hAnsi="宋体" w:eastAsia="宋体" w:cs="宋体"/>
          <w:spacing w:val="-9"/>
          <w:sz w:val="24"/>
          <w:szCs w:val="24"/>
          <w:highlight w:val="none"/>
        </w:rPr>
        <w:t>条的</w:t>
      </w:r>
      <w:r>
        <w:rPr>
          <w:rFonts w:ascii="宋体" w:hAnsi="宋体" w:eastAsia="宋体" w:cs="宋体"/>
          <w:spacing w:val="-10"/>
          <w:sz w:val="24"/>
          <w:szCs w:val="24"/>
          <w:highlight w:val="none"/>
        </w:rPr>
        <w:t>规定处理。中标人（承</w:t>
      </w:r>
      <w:r>
        <w:rPr>
          <w:rFonts w:ascii="宋体" w:hAnsi="宋体" w:eastAsia="宋体" w:cs="宋体"/>
          <w:spacing w:val="-2"/>
          <w:sz w:val="24"/>
          <w:szCs w:val="24"/>
          <w:highlight w:val="none"/>
        </w:rPr>
        <w:t>包人）拒绝更换和调整项目经理的，履约保证金不予退还。招标人（发包人）将中标人（承</w:t>
      </w:r>
      <w:r>
        <w:rPr>
          <w:rFonts w:ascii="宋体" w:hAnsi="宋体" w:eastAsia="宋体" w:cs="宋体"/>
          <w:spacing w:val="-1"/>
          <w:sz w:val="24"/>
          <w:szCs w:val="24"/>
          <w:highlight w:val="none"/>
        </w:rPr>
        <w:t>包人）违约事实形成证据，由招标人或相关</w:t>
      </w:r>
      <w:r>
        <w:rPr>
          <w:rFonts w:ascii="宋体" w:hAnsi="宋体" w:eastAsia="宋体" w:cs="宋体"/>
          <w:spacing w:val="-2"/>
          <w:sz w:val="24"/>
          <w:szCs w:val="24"/>
          <w:highlight w:val="none"/>
        </w:rPr>
        <w:t>行业行政主管部门处理。</w:t>
      </w:r>
    </w:p>
    <w:p w14:paraId="7A177DE4">
      <w:pPr>
        <w:spacing w:before="179" w:line="220"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3.3</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承包人人员</w:t>
      </w:r>
    </w:p>
    <w:p w14:paraId="1F19533C">
      <w:pPr>
        <w:spacing w:before="183" w:line="288" w:lineRule="auto"/>
        <w:ind w:left="10" w:right="4" w:firstLine="475"/>
        <w:rPr>
          <w:rFonts w:ascii="宋体" w:hAnsi="宋体" w:eastAsia="宋体" w:cs="宋体"/>
          <w:sz w:val="24"/>
          <w:szCs w:val="24"/>
          <w:highlight w:val="none"/>
        </w:rPr>
      </w:pPr>
      <w:r>
        <w:rPr>
          <w:rFonts w:ascii="宋体" w:hAnsi="宋体" w:eastAsia="宋体" w:cs="宋体"/>
          <w:spacing w:val="-1"/>
          <w:sz w:val="24"/>
          <w:szCs w:val="24"/>
          <w:highlight w:val="none"/>
        </w:rPr>
        <w:t>3.3.1</w:t>
      </w:r>
      <w:r>
        <w:rPr>
          <w:rFonts w:ascii="宋体" w:hAnsi="宋体" w:eastAsia="宋体" w:cs="宋体"/>
          <w:spacing w:val="-21"/>
          <w:sz w:val="24"/>
          <w:szCs w:val="24"/>
          <w:highlight w:val="none"/>
        </w:rPr>
        <w:t xml:space="preserve"> </w:t>
      </w:r>
      <w:r>
        <w:rPr>
          <w:rFonts w:ascii="宋体" w:hAnsi="宋体" w:eastAsia="宋体" w:cs="宋体"/>
          <w:spacing w:val="-1"/>
          <w:sz w:val="24"/>
          <w:szCs w:val="24"/>
          <w:highlight w:val="none"/>
        </w:rPr>
        <w:t>承包人提交项目管理机构及施工现场管理人员安排报告的期限：投标文件所载人</w:t>
      </w:r>
      <w:r>
        <w:rPr>
          <w:rFonts w:ascii="宋体" w:hAnsi="宋体" w:eastAsia="宋体" w:cs="宋体"/>
          <w:spacing w:val="-2"/>
          <w:sz w:val="24"/>
          <w:szCs w:val="24"/>
          <w:highlight w:val="none"/>
        </w:rPr>
        <w:t>员名单即为报告名单，并按发包人要求到岗</w:t>
      </w:r>
      <w:r>
        <w:rPr>
          <w:rFonts w:ascii="宋体" w:hAnsi="宋体" w:eastAsia="宋体" w:cs="宋体"/>
          <w:spacing w:val="-3"/>
          <w:sz w:val="24"/>
          <w:szCs w:val="24"/>
          <w:highlight w:val="none"/>
        </w:rPr>
        <w:t>履行职责。</w:t>
      </w:r>
    </w:p>
    <w:p w14:paraId="0D7A01DE">
      <w:pPr>
        <w:spacing w:before="182" w:line="336" w:lineRule="auto"/>
        <w:ind w:left="1" w:right="1" w:firstLine="484"/>
        <w:rPr>
          <w:rFonts w:ascii="宋体" w:hAnsi="宋体" w:eastAsia="宋体" w:cs="宋体"/>
          <w:sz w:val="24"/>
          <w:szCs w:val="24"/>
          <w:highlight w:val="none"/>
        </w:rPr>
      </w:pPr>
      <w:r>
        <w:rPr>
          <w:rFonts w:ascii="宋体" w:hAnsi="宋体" w:eastAsia="宋体" w:cs="宋体"/>
          <w:spacing w:val="-1"/>
          <w:sz w:val="24"/>
          <w:szCs w:val="24"/>
          <w:highlight w:val="none"/>
        </w:rPr>
        <w:t>3.3.3</w:t>
      </w:r>
      <w:r>
        <w:rPr>
          <w:rFonts w:ascii="宋体" w:hAnsi="宋体" w:eastAsia="宋体" w:cs="宋体"/>
          <w:spacing w:val="-21"/>
          <w:sz w:val="24"/>
          <w:szCs w:val="24"/>
          <w:highlight w:val="none"/>
        </w:rPr>
        <w:t xml:space="preserve"> </w:t>
      </w:r>
      <w:r>
        <w:rPr>
          <w:rFonts w:ascii="宋体" w:hAnsi="宋体" w:eastAsia="宋体" w:cs="宋体"/>
          <w:spacing w:val="-1"/>
          <w:sz w:val="24"/>
          <w:szCs w:val="24"/>
          <w:highlight w:val="none"/>
        </w:rPr>
        <w:t>承包人无正当理由拒绝撤换主要施工管理人员的违约责任：招标人（发包人）发现主要施工管理人员不能胜任项目工作的，包括发现缺</w:t>
      </w:r>
      <w:r>
        <w:rPr>
          <w:rFonts w:ascii="宋体" w:hAnsi="宋体" w:eastAsia="宋体" w:cs="宋体"/>
          <w:spacing w:val="-2"/>
          <w:sz w:val="24"/>
          <w:szCs w:val="24"/>
          <w:highlight w:val="none"/>
        </w:rPr>
        <w:t>乏管理经验或因管理不到位导致管理</w:t>
      </w:r>
      <w:r>
        <w:rPr>
          <w:rFonts w:ascii="宋体" w:hAnsi="宋体" w:eastAsia="宋体" w:cs="宋体"/>
          <w:spacing w:val="-6"/>
          <w:sz w:val="24"/>
          <w:szCs w:val="24"/>
          <w:highlight w:val="none"/>
        </w:rPr>
        <w:t>混乱或出现质量事故、安全责任的，</w:t>
      </w:r>
      <w:r>
        <w:rPr>
          <w:rFonts w:ascii="宋体" w:hAnsi="宋体" w:eastAsia="宋体" w:cs="宋体"/>
          <w:spacing w:val="67"/>
          <w:sz w:val="24"/>
          <w:szCs w:val="24"/>
          <w:highlight w:val="none"/>
        </w:rPr>
        <w:t xml:space="preserve"> </w:t>
      </w:r>
      <w:r>
        <w:rPr>
          <w:rFonts w:ascii="宋体" w:hAnsi="宋体" w:eastAsia="宋体" w:cs="宋体"/>
          <w:spacing w:val="-6"/>
          <w:sz w:val="24"/>
          <w:szCs w:val="24"/>
          <w:highlight w:val="none"/>
        </w:rPr>
        <w:t>除依法追究其责任外，可要求中标人（</w:t>
      </w:r>
      <w:r>
        <w:rPr>
          <w:rFonts w:ascii="宋体" w:hAnsi="宋体" w:eastAsia="宋体" w:cs="宋体"/>
          <w:spacing w:val="-7"/>
          <w:sz w:val="24"/>
          <w:szCs w:val="24"/>
          <w:highlight w:val="none"/>
        </w:rPr>
        <w:t>承包人）更换和</w:t>
      </w:r>
      <w:r>
        <w:rPr>
          <w:rFonts w:ascii="宋体" w:hAnsi="宋体" w:eastAsia="宋体" w:cs="宋体"/>
          <w:spacing w:val="-1"/>
          <w:sz w:val="24"/>
          <w:szCs w:val="24"/>
          <w:highlight w:val="none"/>
        </w:rPr>
        <w:t>调整主要施工管理人员，直至满足工程建设需要为</w:t>
      </w:r>
      <w:r>
        <w:rPr>
          <w:rFonts w:ascii="宋体" w:hAnsi="宋体" w:eastAsia="宋体" w:cs="宋体"/>
          <w:spacing w:val="-2"/>
          <w:sz w:val="24"/>
          <w:szCs w:val="24"/>
          <w:highlight w:val="none"/>
        </w:rPr>
        <w:t>止。中标人（承包人）拒绝更换和调整主</w:t>
      </w:r>
      <w:r>
        <w:rPr>
          <w:rFonts w:ascii="宋体" w:hAnsi="宋体" w:eastAsia="宋体" w:cs="宋体"/>
          <w:spacing w:val="-1"/>
          <w:sz w:val="24"/>
          <w:szCs w:val="24"/>
          <w:highlight w:val="none"/>
        </w:rPr>
        <w:t>要施工管理人员的，履约保证金不予退还。招标人（发包</w:t>
      </w:r>
      <w:r>
        <w:rPr>
          <w:rFonts w:ascii="宋体" w:hAnsi="宋体" w:eastAsia="宋体" w:cs="宋体"/>
          <w:spacing w:val="-2"/>
          <w:sz w:val="24"/>
          <w:szCs w:val="24"/>
          <w:highlight w:val="none"/>
        </w:rPr>
        <w:t>人）将中标人（承包人）违约事实形成证据，由招标人或相关行业行政主管部门处理。</w:t>
      </w:r>
    </w:p>
    <w:p w14:paraId="0193F796">
      <w:pPr>
        <w:spacing w:before="184" w:line="288" w:lineRule="auto"/>
        <w:ind w:left="3" w:right="4" w:firstLine="482"/>
        <w:rPr>
          <w:rFonts w:ascii="宋体" w:hAnsi="宋体" w:eastAsia="宋体" w:cs="宋体"/>
          <w:sz w:val="24"/>
          <w:szCs w:val="24"/>
          <w:highlight w:val="none"/>
        </w:rPr>
      </w:pPr>
      <w:r>
        <w:rPr>
          <w:rFonts w:ascii="宋体" w:hAnsi="宋体" w:eastAsia="宋体" w:cs="宋体"/>
          <w:spacing w:val="-1"/>
          <w:sz w:val="24"/>
          <w:szCs w:val="24"/>
          <w:highlight w:val="none"/>
        </w:rPr>
        <w:t>3.3.4</w:t>
      </w:r>
      <w:r>
        <w:rPr>
          <w:rFonts w:ascii="宋体" w:hAnsi="宋体" w:eastAsia="宋体" w:cs="宋体"/>
          <w:spacing w:val="-21"/>
          <w:sz w:val="24"/>
          <w:szCs w:val="24"/>
          <w:highlight w:val="none"/>
        </w:rPr>
        <w:t xml:space="preserve"> </w:t>
      </w:r>
      <w:r>
        <w:rPr>
          <w:rFonts w:ascii="宋体" w:hAnsi="宋体" w:eastAsia="宋体" w:cs="宋体"/>
          <w:spacing w:val="-1"/>
          <w:sz w:val="24"/>
          <w:szCs w:val="24"/>
          <w:highlight w:val="none"/>
        </w:rPr>
        <w:t>承包人主要施工管理人员离开施工现场的批准要求：中标人（承包人）的主要施</w:t>
      </w:r>
      <w:r>
        <w:rPr>
          <w:rFonts w:ascii="宋体" w:hAnsi="宋体" w:eastAsia="宋体" w:cs="宋体"/>
          <w:spacing w:val="-2"/>
          <w:sz w:val="24"/>
          <w:szCs w:val="24"/>
          <w:highlight w:val="none"/>
        </w:rPr>
        <w:t>工管理人员需要离开现场的，时间在半天以内的须经工程师书面（含电子信息）同意；半天</w:t>
      </w:r>
    </w:p>
    <w:p w14:paraId="18C264FE">
      <w:pPr>
        <w:spacing w:line="288" w:lineRule="auto"/>
        <w:rPr>
          <w:rFonts w:ascii="宋体" w:hAnsi="宋体" w:eastAsia="宋体" w:cs="宋体"/>
          <w:sz w:val="24"/>
          <w:szCs w:val="24"/>
          <w:highlight w:val="none"/>
        </w:rPr>
        <w:sectPr>
          <w:footerReference r:id="rId40" w:type="default"/>
          <w:pgSz w:w="11907" w:h="16839"/>
          <w:pgMar w:top="1425" w:right="1171" w:bottom="1129" w:left="1184" w:header="0" w:footer="898" w:gutter="0"/>
          <w:cols w:space="720" w:num="1"/>
        </w:sectPr>
      </w:pPr>
    </w:p>
    <w:p w14:paraId="6F93DFB7">
      <w:pPr>
        <w:spacing w:before="50" w:line="359" w:lineRule="auto"/>
        <w:ind w:left="96" w:right="136" w:firstLine="27"/>
        <w:jc w:val="both"/>
        <w:rPr>
          <w:rFonts w:ascii="宋体" w:hAnsi="宋体" w:eastAsia="宋体" w:cs="宋体"/>
          <w:sz w:val="24"/>
          <w:szCs w:val="24"/>
          <w:highlight w:val="none"/>
        </w:rPr>
      </w:pPr>
      <w:r>
        <w:rPr>
          <w:rFonts w:ascii="宋体" w:hAnsi="宋体" w:eastAsia="宋体" w:cs="宋体"/>
          <w:spacing w:val="-2"/>
          <w:sz w:val="24"/>
          <w:szCs w:val="24"/>
          <w:highlight w:val="none"/>
        </w:rPr>
        <w:t>以上两天以内的须经工程师出具书面（含电子信息）意见后报招标人（发包人）</w:t>
      </w:r>
      <w:r>
        <w:rPr>
          <w:rFonts w:ascii="宋体" w:hAnsi="宋体" w:eastAsia="宋体" w:cs="宋体"/>
          <w:spacing w:val="-3"/>
          <w:sz w:val="24"/>
          <w:szCs w:val="24"/>
          <w:highlight w:val="none"/>
        </w:rPr>
        <w:t>现场负责人</w:t>
      </w:r>
      <w:r>
        <w:rPr>
          <w:rFonts w:ascii="宋体" w:hAnsi="宋体" w:eastAsia="宋体" w:cs="宋体"/>
          <w:spacing w:val="-2"/>
          <w:sz w:val="24"/>
          <w:szCs w:val="24"/>
          <w:highlight w:val="none"/>
        </w:rPr>
        <w:t>同意并送招标人（发包人）备案；时间超过两天以上的，需经现场负责人出具书面（含电子</w:t>
      </w:r>
      <w:r>
        <w:rPr>
          <w:rFonts w:ascii="宋体" w:hAnsi="宋体" w:eastAsia="宋体" w:cs="宋体"/>
          <w:spacing w:val="-3"/>
          <w:sz w:val="24"/>
          <w:szCs w:val="24"/>
          <w:highlight w:val="none"/>
        </w:rPr>
        <w:t>信息）意见送招标人（发包人）</w:t>
      </w:r>
      <w:r>
        <w:rPr>
          <w:rFonts w:ascii="宋体" w:hAnsi="宋体" w:eastAsia="宋体" w:cs="宋体"/>
          <w:spacing w:val="-57"/>
          <w:sz w:val="24"/>
          <w:szCs w:val="24"/>
          <w:highlight w:val="none"/>
        </w:rPr>
        <w:t xml:space="preserve"> </w:t>
      </w:r>
      <w:r>
        <w:rPr>
          <w:rFonts w:ascii="宋体" w:hAnsi="宋体" w:eastAsia="宋体" w:cs="宋体"/>
          <w:spacing w:val="-3"/>
          <w:sz w:val="24"/>
          <w:szCs w:val="24"/>
          <w:highlight w:val="none"/>
        </w:rPr>
        <w:t>审核同意。离开前应书面（含电子信息）指定临时代表，代</w:t>
      </w:r>
      <w:r>
        <w:rPr>
          <w:rFonts w:ascii="宋体" w:hAnsi="宋体" w:eastAsia="宋体" w:cs="宋体"/>
          <w:spacing w:val="-1"/>
          <w:sz w:val="24"/>
          <w:szCs w:val="24"/>
          <w:highlight w:val="none"/>
        </w:rPr>
        <w:t>为行使主要施工管理人员的权力；该临时代表的一切</w:t>
      </w:r>
      <w:r>
        <w:rPr>
          <w:rFonts w:ascii="宋体" w:hAnsi="宋体" w:eastAsia="宋体" w:cs="宋体"/>
          <w:spacing w:val="-2"/>
          <w:sz w:val="24"/>
          <w:szCs w:val="24"/>
          <w:highlight w:val="none"/>
        </w:rPr>
        <w:t>行为，招标人（发包人）均认为是该主</w:t>
      </w:r>
      <w:r>
        <w:rPr>
          <w:rFonts w:ascii="宋体" w:hAnsi="宋体" w:eastAsia="宋体" w:cs="宋体"/>
          <w:spacing w:val="-4"/>
          <w:sz w:val="24"/>
          <w:szCs w:val="24"/>
          <w:highlight w:val="none"/>
        </w:rPr>
        <w:t>要施工管理人员的行为。</w:t>
      </w:r>
    </w:p>
    <w:p w14:paraId="616031A4">
      <w:pPr>
        <w:spacing w:before="3" w:line="359" w:lineRule="auto"/>
        <w:ind w:firstLine="485"/>
        <w:jc w:val="both"/>
        <w:rPr>
          <w:rFonts w:ascii="宋体" w:hAnsi="宋体" w:eastAsia="宋体" w:cs="宋体"/>
          <w:sz w:val="24"/>
          <w:szCs w:val="24"/>
          <w:highlight w:val="none"/>
        </w:rPr>
      </w:pPr>
      <w:r>
        <w:rPr>
          <w:rFonts w:ascii="宋体" w:hAnsi="宋体" w:eastAsia="宋体" w:cs="宋体"/>
          <w:spacing w:val="-1"/>
          <w:sz w:val="24"/>
          <w:szCs w:val="24"/>
          <w:highlight w:val="none"/>
        </w:rPr>
        <w:t>3.3.5</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承包人擅自更换主要施工管理人员的违约</w:t>
      </w:r>
      <w:r>
        <w:rPr>
          <w:rFonts w:ascii="宋体" w:hAnsi="宋体" w:eastAsia="宋体" w:cs="宋体"/>
          <w:spacing w:val="-2"/>
          <w:sz w:val="24"/>
          <w:szCs w:val="24"/>
          <w:highlight w:val="none"/>
        </w:rPr>
        <w:t>责任：中标人（承包人）不得擅自更换资格审查和投标时所报主要施工管理人员。因</w:t>
      </w:r>
      <w:r>
        <w:rPr>
          <w:rFonts w:ascii="宋体" w:hAnsi="宋体" w:eastAsia="宋体" w:cs="宋体"/>
          <w:spacing w:val="-3"/>
          <w:sz w:val="24"/>
          <w:szCs w:val="24"/>
          <w:highlight w:val="none"/>
        </w:rPr>
        <w:t>病且长期（至少在六个月及其以上）不能履行职责</w:t>
      </w:r>
      <w:r>
        <w:rPr>
          <w:rFonts w:ascii="宋体" w:hAnsi="宋体" w:eastAsia="宋体" w:cs="宋体"/>
          <w:spacing w:val="-2"/>
          <w:sz w:val="24"/>
          <w:szCs w:val="24"/>
          <w:highlight w:val="none"/>
        </w:rPr>
        <w:t>确需更换的（短期即六个月以内因病不能履行岗位</w:t>
      </w:r>
      <w:r>
        <w:rPr>
          <w:rFonts w:ascii="宋体" w:hAnsi="宋体" w:eastAsia="宋体" w:cs="宋体"/>
          <w:spacing w:val="-3"/>
          <w:sz w:val="24"/>
          <w:szCs w:val="24"/>
          <w:highlight w:val="none"/>
        </w:rPr>
        <w:t>职责的，由中标人临时指定不低于该生病人</w:t>
      </w:r>
      <w:r>
        <w:rPr>
          <w:rFonts w:ascii="宋体" w:hAnsi="宋体" w:eastAsia="宋体" w:cs="宋体"/>
          <w:spacing w:val="-5"/>
          <w:sz w:val="24"/>
          <w:szCs w:val="24"/>
          <w:highlight w:val="none"/>
        </w:rPr>
        <w:t>员资质、资历和技术水平的人员代为行使职责， 康复后应立即返岗履行职责</w:t>
      </w:r>
      <w:r>
        <w:rPr>
          <w:rFonts w:ascii="宋体" w:hAnsi="宋体" w:eastAsia="宋体" w:cs="宋体"/>
          <w:spacing w:val="-13"/>
          <w:sz w:val="24"/>
          <w:szCs w:val="24"/>
          <w:highlight w:val="none"/>
        </w:rPr>
        <w:t>），</w:t>
      </w:r>
      <w:r>
        <w:rPr>
          <w:rFonts w:ascii="宋体" w:hAnsi="宋体" w:eastAsia="宋体" w:cs="宋体"/>
          <w:spacing w:val="-5"/>
          <w:sz w:val="24"/>
          <w:szCs w:val="24"/>
          <w:highlight w:val="none"/>
        </w:rPr>
        <w:t>须凭县级及以</w:t>
      </w:r>
      <w:r>
        <w:rPr>
          <w:rFonts w:ascii="宋体" w:hAnsi="宋体" w:eastAsia="宋体" w:cs="宋体"/>
          <w:spacing w:val="-2"/>
          <w:sz w:val="24"/>
          <w:szCs w:val="24"/>
          <w:highlight w:val="none"/>
        </w:rPr>
        <w:t>上医院出具的盖有医院公章的证明、病历原件提前 14</w:t>
      </w:r>
      <w:r>
        <w:rPr>
          <w:rFonts w:ascii="宋体" w:hAnsi="宋体" w:eastAsia="宋体" w:cs="宋体"/>
          <w:spacing w:val="-30"/>
          <w:sz w:val="24"/>
          <w:szCs w:val="24"/>
          <w:highlight w:val="none"/>
        </w:rPr>
        <w:t xml:space="preserve"> </w:t>
      </w:r>
      <w:r>
        <w:rPr>
          <w:rFonts w:ascii="宋体" w:hAnsi="宋体" w:eastAsia="宋体" w:cs="宋体"/>
          <w:spacing w:val="-2"/>
          <w:sz w:val="24"/>
          <w:szCs w:val="24"/>
          <w:highlight w:val="none"/>
        </w:rPr>
        <w:t>天通知招标人（发包人</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并取得招标</w:t>
      </w:r>
      <w:r>
        <w:rPr>
          <w:rFonts w:ascii="宋体" w:hAnsi="宋体" w:eastAsia="宋体" w:cs="宋体"/>
          <w:spacing w:val="-3"/>
          <w:sz w:val="24"/>
          <w:szCs w:val="24"/>
          <w:highlight w:val="none"/>
        </w:rPr>
        <w:t>人（发包人）同意；更换后的人员不得低于中标人投标时所报人员资质（资格）、业绩、奖项</w:t>
      </w:r>
      <w:r>
        <w:rPr>
          <w:rFonts w:ascii="宋体" w:hAnsi="宋体" w:eastAsia="宋体" w:cs="宋体"/>
          <w:spacing w:val="-2"/>
          <w:sz w:val="24"/>
          <w:szCs w:val="24"/>
          <w:highlight w:val="none"/>
        </w:rPr>
        <w:t>和信誉等。中标人（承包人）更换主要施工管理人员，即使征得了招标人（发包人）的同意，</w:t>
      </w:r>
      <w:r>
        <w:rPr>
          <w:rFonts w:ascii="宋体" w:hAnsi="宋体" w:eastAsia="宋体" w:cs="宋体"/>
          <w:spacing w:val="-3"/>
          <w:sz w:val="24"/>
          <w:szCs w:val="24"/>
          <w:highlight w:val="none"/>
        </w:rPr>
        <w:t>该行为仍视为中标人（承包人）违约（属于去世或突发性灾难致病危或因癌症等病致危已失去</w:t>
      </w:r>
      <w:r>
        <w:rPr>
          <w:rFonts w:ascii="宋体" w:hAnsi="宋体" w:eastAsia="宋体" w:cs="宋体"/>
          <w:spacing w:val="-4"/>
          <w:sz w:val="24"/>
          <w:szCs w:val="24"/>
          <w:highlight w:val="none"/>
        </w:rPr>
        <w:t>履行岗位职责能力的除外）。若更换技术负责人、施工员、质量员、安全员，按中标价的</w:t>
      </w:r>
      <w:r>
        <w:rPr>
          <w:rFonts w:ascii="宋体" w:hAnsi="宋体" w:eastAsia="宋体" w:cs="宋体"/>
          <w:spacing w:val="-48"/>
          <w:sz w:val="24"/>
          <w:szCs w:val="24"/>
          <w:highlight w:val="none"/>
        </w:rPr>
        <w:t xml:space="preserve"> </w:t>
      </w:r>
      <w:r>
        <w:rPr>
          <w:rFonts w:ascii="宋体" w:hAnsi="宋体" w:eastAsia="宋体" w:cs="宋体"/>
          <w:spacing w:val="-4"/>
          <w:sz w:val="24"/>
          <w:szCs w:val="24"/>
          <w:highlight w:val="none"/>
        </w:rPr>
        <w:t>0.</w:t>
      </w:r>
      <w:r>
        <w:rPr>
          <w:rFonts w:ascii="宋体" w:hAnsi="宋体" w:eastAsia="宋体" w:cs="宋体"/>
          <w:spacing w:val="-5"/>
          <w:sz w:val="24"/>
          <w:szCs w:val="24"/>
          <w:highlight w:val="none"/>
        </w:rPr>
        <w:t>5%</w:t>
      </w:r>
      <w:r>
        <w:rPr>
          <w:rFonts w:ascii="宋体" w:hAnsi="宋体" w:eastAsia="宋体" w:cs="宋体"/>
          <w:spacing w:val="-3"/>
          <w:sz w:val="24"/>
          <w:szCs w:val="24"/>
          <w:highlight w:val="none"/>
        </w:rPr>
        <w:t>支付违约金，按中标价的</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0.5%计算金额少于</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10</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万元的，按</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10</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万元支付违</w:t>
      </w:r>
      <w:r>
        <w:rPr>
          <w:rFonts w:ascii="宋体" w:hAnsi="宋体" w:eastAsia="宋体" w:cs="宋体"/>
          <w:spacing w:val="-4"/>
          <w:sz w:val="24"/>
          <w:szCs w:val="24"/>
          <w:highlight w:val="none"/>
        </w:rPr>
        <w:t>约金。 因病被更换</w:t>
      </w:r>
      <w:r>
        <w:rPr>
          <w:rFonts w:ascii="宋体" w:hAnsi="宋体" w:eastAsia="宋体" w:cs="宋体"/>
          <w:spacing w:val="-1"/>
          <w:sz w:val="24"/>
          <w:szCs w:val="24"/>
          <w:highlight w:val="none"/>
        </w:rPr>
        <w:t>的主要施工管理人员在治疗及康复期内（至少六个月）参与项目投标的，作投标</w:t>
      </w:r>
      <w:r>
        <w:rPr>
          <w:rFonts w:ascii="宋体" w:hAnsi="宋体" w:eastAsia="宋体" w:cs="宋体"/>
          <w:spacing w:val="-2"/>
          <w:sz w:val="24"/>
          <w:szCs w:val="24"/>
          <w:highlight w:val="none"/>
        </w:rPr>
        <w:t>无效处理。</w:t>
      </w:r>
    </w:p>
    <w:p w14:paraId="2EA33F49">
      <w:pPr>
        <w:spacing w:before="8" w:line="358" w:lineRule="auto"/>
        <w:ind w:right="35" w:firstLine="481"/>
        <w:jc w:val="both"/>
        <w:rPr>
          <w:rFonts w:ascii="宋体" w:hAnsi="宋体" w:eastAsia="宋体" w:cs="宋体"/>
          <w:sz w:val="24"/>
          <w:szCs w:val="24"/>
          <w:highlight w:val="none"/>
        </w:rPr>
      </w:pPr>
      <w:r>
        <w:rPr>
          <w:rFonts w:ascii="宋体" w:hAnsi="宋体" w:eastAsia="宋体" w:cs="宋体"/>
          <w:spacing w:val="-3"/>
          <w:sz w:val="24"/>
          <w:szCs w:val="24"/>
          <w:highlight w:val="none"/>
        </w:rPr>
        <w:t>承包人主要施工管理人员擅自离开施工现场的违约责任：主要施工管理人员在工程建设过</w:t>
      </w:r>
      <w:r>
        <w:rPr>
          <w:rFonts w:ascii="宋体" w:hAnsi="宋体" w:eastAsia="宋体" w:cs="宋体"/>
          <w:spacing w:val="-7"/>
          <w:sz w:val="24"/>
          <w:szCs w:val="24"/>
          <w:highlight w:val="none"/>
        </w:rPr>
        <w:t>程中未按前述规定取得书面（含电子信息）同意不得离岗，否则，第一次离岗按中标价的</w:t>
      </w:r>
      <w:r>
        <w:rPr>
          <w:rFonts w:ascii="宋体" w:hAnsi="宋体" w:eastAsia="宋体" w:cs="宋体"/>
          <w:spacing w:val="-34"/>
          <w:sz w:val="24"/>
          <w:szCs w:val="24"/>
          <w:highlight w:val="none"/>
        </w:rPr>
        <w:t xml:space="preserve"> </w:t>
      </w:r>
      <w:r>
        <w:rPr>
          <w:rFonts w:ascii="宋体" w:hAnsi="宋体" w:eastAsia="宋体" w:cs="宋体"/>
          <w:spacing w:val="-7"/>
          <w:sz w:val="24"/>
          <w:szCs w:val="24"/>
          <w:highlight w:val="none"/>
        </w:rPr>
        <w:t>0.05%</w:t>
      </w:r>
      <w:r>
        <w:rPr>
          <w:rFonts w:ascii="宋体" w:hAnsi="宋体" w:eastAsia="宋体" w:cs="宋体"/>
          <w:sz w:val="24"/>
          <w:szCs w:val="24"/>
          <w:highlight w:val="none"/>
        </w:rPr>
        <w:t>支付违约金；第二次离岗的按中标价的 0.1%支付违约金；第三次及其以后每次均按中标价的</w:t>
      </w:r>
      <w:r>
        <w:rPr>
          <w:rFonts w:ascii="宋体" w:hAnsi="宋体" w:eastAsia="宋体" w:cs="宋体"/>
          <w:spacing w:val="-3"/>
          <w:sz w:val="24"/>
          <w:szCs w:val="24"/>
          <w:highlight w:val="none"/>
        </w:rPr>
        <w:t>0.25%支付违约金（缺席、离岗次数以天为计</w:t>
      </w:r>
      <w:r>
        <w:rPr>
          <w:rFonts w:ascii="宋体" w:hAnsi="宋体" w:eastAsia="宋体" w:cs="宋体"/>
          <w:spacing w:val="-8"/>
          <w:sz w:val="24"/>
          <w:szCs w:val="24"/>
          <w:highlight w:val="none"/>
        </w:rPr>
        <w:t>），</w:t>
      </w:r>
      <w:r>
        <w:rPr>
          <w:rFonts w:ascii="宋体" w:hAnsi="宋体" w:eastAsia="宋体" w:cs="宋体"/>
          <w:spacing w:val="-3"/>
          <w:sz w:val="24"/>
          <w:szCs w:val="24"/>
          <w:highlight w:val="none"/>
        </w:rPr>
        <w:t>合计（缺席、离岗）次数超过</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10</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天的或者年</w:t>
      </w:r>
      <w:r>
        <w:rPr>
          <w:rFonts w:ascii="宋体" w:hAnsi="宋体" w:eastAsia="宋体" w:cs="宋体"/>
          <w:spacing w:val="-1"/>
          <w:sz w:val="24"/>
          <w:szCs w:val="24"/>
          <w:highlight w:val="none"/>
        </w:rPr>
        <w:t>度累计请假超过</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26</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天的，按违约处理，除由中标人（承包人）支付违约金、罚款外，由招标</w:t>
      </w:r>
      <w:r>
        <w:rPr>
          <w:rFonts w:ascii="宋体" w:hAnsi="宋体" w:eastAsia="宋体" w:cs="宋体"/>
          <w:spacing w:val="-2"/>
          <w:sz w:val="24"/>
          <w:szCs w:val="24"/>
          <w:highlight w:val="none"/>
        </w:rPr>
        <w:t>人（发包人）按规定清除出场，招标人（发</w:t>
      </w:r>
      <w:r>
        <w:rPr>
          <w:rFonts w:ascii="宋体" w:hAnsi="宋体" w:eastAsia="宋体" w:cs="宋体"/>
          <w:spacing w:val="-3"/>
          <w:sz w:val="24"/>
          <w:szCs w:val="24"/>
          <w:highlight w:val="none"/>
        </w:rPr>
        <w:t>包人）将中标人（承包人）违约事实形成证据，由招标人或相关行业行政主管部门处理。</w:t>
      </w:r>
    </w:p>
    <w:p w14:paraId="741885EE">
      <w:pPr>
        <w:spacing w:line="220" w:lineRule="auto"/>
        <w:ind w:left="5"/>
        <w:rPr>
          <w:rFonts w:ascii="宋体" w:hAnsi="宋体" w:eastAsia="宋体" w:cs="宋体"/>
          <w:sz w:val="24"/>
          <w:szCs w:val="24"/>
          <w:highlight w:val="none"/>
        </w:rPr>
      </w:pPr>
      <w:r>
        <w:rPr>
          <w:rFonts w:ascii="宋体" w:hAnsi="宋体" w:eastAsia="宋体" w:cs="宋体"/>
          <w:spacing w:val="-5"/>
          <w:sz w:val="24"/>
          <w:szCs w:val="24"/>
          <w:highlight w:val="none"/>
        </w:rPr>
        <w:t>3.5</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分包</w:t>
      </w:r>
    </w:p>
    <w:p w14:paraId="42EEC9BA">
      <w:pPr>
        <w:spacing w:before="182" w:line="220" w:lineRule="auto"/>
        <w:ind w:left="582"/>
        <w:rPr>
          <w:rFonts w:ascii="宋体" w:hAnsi="宋体" w:eastAsia="宋体" w:cs="宋体"/>
          <w:sz w:val="24"/>
          <w:szCs w:val="24"/>
          <w:highlight w:val="none"/>
        </w:rPr>
      </w:pPr>
      <w:r>
        <w:rPr>
          <w:rFonts w:ascii="宋体" w:hAnsi="宋体" w:eastAsia="宋体" w:cs="宋体"/>
          <w:spacing w:val="-3"/>
          <w:sz w:val="24"/>
          <w:szCs w:val="24"/>
          <w:highlight w:val="none"/>
        </w:rPr>
        <w:t>3.5.1</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分包的一般约定</w:t>
      </w:r>
    </w:p>
    <w:p w14:paraId="67DB7487">
      <w:pPr>
        <w:spacing w:before="178" w:line="220" w:lineRule="auto"/>
        <w:ind w:left="577"/>
        <w:rPr>
          <w:rFonts w:ascii="宋体" w:hAnsi="宋体" w:eastAsia="宋体" w:cs="宋体"/>
          <w:sz w:val="24"/>
          <w:szCs w:val="24"/>
          <w:highlight w:val="none"/>
        </w:rPr>
      </w:pPr>
      <w:r>
        <w:rPr>
          <w:rFonts w:ascii="宋体" w:hAnsi="宋体" w:eastAsia="宋体" w:cs="宋体"/>
          <w:spacing w:val="-1"/>
          <w:sz w:val="24"/>
          <w:szCs w:val="24"/>
          <w:highlight w:val="none"/>
        </w:rPr>
        <w:t>禁止分包的工程包括：执行通用条款，发生时在符合法律法规的前提下双</w:t>
      </w:r>
      <w:r>
        <w:rPr>
          <w:rFonts w:ascii="宋体" w:hAnsi="宋体" w:eastAsia="宋体" w:cs="宋体"/>
          <w:spacing w:val="-2"/>
          <w:sz w:val="24"/>
          <w:szCs w:val="24"/>
          <w:highlight w:val="none"/>
        </w:rPr>
        <w:t>方另行协商。</w:t>
      </w:r>
    </w:p>
    <w:p w14:paraId="3642ED65">
      <w:pPr>
        <w:spacing w:before="182" w:line="220" w:lineRule="auto"/>
        <w:ind w:left="579"/>
        <w:rPr>
          <w:rFonts w:ascii="宋体" w:hAnsi="宋体" w:eastAsia="宋体" w:cs="宋体"/>
          <w:sz w:val="24"/>
          <w:szCs w:val="24"/>
          <w:highlight w:val="none"/>
        </w:rPr>
      </w:pPr>
      <w:r>
        <w:rPr>
          <w:rFonts w:ascii="宋体" w:hAnsi="宋体" w:eastAsia="宋体" w:cs="宋体"/>
          <w:spacing w:val="-2"/>
          <w:sz w:val="24"/>
          <w:szCs w:val="24"/>
          <w:highlight w:val="none"/>
        </w:rPr>
        <w:t>主体结构、关键性工作的范围：按法律及相关规定执行。</w:t>
      </w:r>
    </w:p>
    <w:p w14:paraId="396D9151">
      <w:pPr>
        <w:spacing w:before="181" w:line="220" w:lineRule="auto"/>
        <w:ind w:left="582"/>
        <w:rPr>
          <w:rFonts w:ascii="宋体" w:hAnsi="宋体" w:eastAsia="宋体" w:cs="宋体"/>
          <w:sz w:val="24"/>
          <w:szCs w:val="24"/>
          <w:highlight w:val="none"/>
        </w:rPr>
      </w:pPr>
      <w:r>
        <w:rPr>
          <w:rFonts w:ascii="宋体" w:hAnsi="宋体" w:eastAsia="宋体" w:cs="宋体"/>
          <w:spacing w:val="-3"/>
          <w:sz w:val="24"/>
          <w:szCs w:val="24"/>
          <w:highlight w:val="none"/>
        </w:rPr>
        <w:t>3.5.2</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分包的确定</w:t>
      </w:r>
    </w:p>
    <w:p w14:paraId="6D346ECC">
      <w:pPr>
        <w:spacing w:before="181" w:line="219" w:lineRule="auto"/>
        <w:ind w:left="585"/>
        <w:rPr>
          <w:rFonts w:ascii="宋体" w:hAnsi="宋体" w:eastAsia="宋体" w:cs="宋体"/>
          <w:sz w:val="24"/>
          <w:szCs w:val="24"/>
          <w:highlight w:val="none"/>
        </w:rPr>
      </w:pPr>
      <w:r>
        <w:rPr>
          <w:rFonts w:ascii="宋体" w:hAnsi="宋体" w:eastAsia="宋体" w:cs="宋体"/>
          <w:spacing w:val="-2"/>
          <w:sz w:val="24"/>
          <w:szCs w:val="24"/>
          <w:highlight w:val="none"/>
        </w:rPr>
        <w:t>允许分包的专业工程包括：执行本专用条款</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3.5.1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条</w:t>
      </w:r>
      <w:r>
        <w:rPr>
          <w:rFonts w:ascii="宋体" w:hAnsi="宋体" w:eastAsia="宋体" w:cs="宋体"/>
          <w:spacing w:val="-3"/>
          <w:sz w:val="24"/>
          <w:szCs w:val="24"/>
          <w:highlight w:val="none"/>
        </w:rPr>
        <w:t>和通用条款规定。</w:t>
      </w:r>
    </w:p>
    <w:p w14:paraId="41DCD365">
      <w:pPr>
        <w:spacing w:before="180" w:line="220" w:lineRule="auto"/>
        <w:ind w:left="578"/>
        <w:rPr>
          <w:rFonts w:ascii="宋体" w:hAnsi="宋体" w:eastAsia="宋体" w:cs="宋体"/>
          <w:sz w:val="24"/>
          <w:szCs w:val="24"/>
          <w:highlight w:val="none"/>
        </w:rPr>
      </w:pPr>
      <w:r>
        <w:rPr>
          <w:rFonts w:ascii="宋体" w:hAnsi="宋体" w:eastAsia="宋体" w:cs="宋体"/>
          <w:spacing w:val="-1"/>
          <w:sz w:val="24"/>
          <w:szCs w:val="24"/>
          <w:highlight w:val="none"/>
        </w:rPr>
        <w:t>其他关于分包的约定：发包人通过招标方式选择专业</w:t>
      </w:r>
      <w:r>
        <w:rPr>
          <w:rFonts w:ascii="宋体" w:hAnsi="宋体" w:eastAsia="宋体" w:cs="宋体"/>
          <w:spacing w:val="-2"/>
          <w:sz w:val="24"/>
          <w:szCs w:val="24"/>
          <w:highlight w:val="none"/>
        </w:rPr>
        <w:t>工程分包施工单位，承包人参与分</w:t>
      </w:r>
    </w:p>
    <w:p w14:paraId="04668D66">
      <w:pPr>
        <w:spacing w:line="220" w:lineRule="auto"/>
        <w:rPr>
          <w:rFonts w:ascii="宋体" w:hAnsi="宋体" w:eastAsia="宋体" w:cs="宋体"/>
          <w:sz w:val="24"/>
          <w:szCs w:val="24"/>
          <w:highlight w:val="none"/>
        </w:rPr>
        <w:sectPr>
          <w:footerReference r:id="rId41" w:type="default"/>
          <w:pgSz w:w="11907" w:h="16839"/>
          <w:pgMar w:top="1425" w:right="1039" w:bottom="1129" w:left="1088" w:header="0" w:footer="898" w:gutter="0"/>
          <w:cols w:space="720" w:num="1"/>
        </w:sectPr>
      </w:pPr>
    </w:p>
    <w:p w14:paraId="72BEECFB">
      <w:pPr>
        <w:spacing w:before="48" w:line="359" w:lineRule="auto"/>
        <w:ind w:left="1"/>
        <w:rPr>
          <w:rFonts w:ascii="宋体" w:hAnsi="宋体" w:eastAsia="宋体" w:cs="宋体"/>
          <w:sz w:val="24"/>
          <w:szCs w:val="24"/>
          <w:highlight w:val="none"/>
        </w:rPr>
      </w:pPr>
      <w:r>
        <w:rPr>
          <w:rFonts w:ascii="宋体" w:hAnsi="宋体" w:eastAsia="宋体" w:cs="宋体"/>
          <w:spacing w:val="-5"/>
          <w:sz w:val="24"/>
          <w:szCs w:val="24"/>
          <w:highlight w:val="none"/>
        </w:rPr>
        <w:t>包工程的招标，认可招标结果，并作为总包单位与分包工程的中标人（以下简称“分包人”）</w:t>
      </w:r>
      <w:r>
        <w:rPr>
          <w:rFonts w:ascii="宋体" w:hAnsi="宋体" w:eastAsia="宋体" w:cs="宋体"/>
          <w:spacing w:val="-4"/>
          <w:sz w:val="24"/>
          <w:szCs w:val="24"/>
          <w:highlight w:val="none"/>
        </w:rPr>
        <w:t>签订工程分包施工合同。</w:t>
      </w:r>
    </w:p>
    <w:p w14:paraId="41F5E44A">
      <w:pPr>
        <w:spacing w:line="218"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3.5.4</w:t>
      </w:r>
      <w:r>
        <w:rPr>
          <w:rFonts w:ascii="宋体" w:hAnsi="宋体" w:eastAsia="宋体" w:cs="宋体"/>
          <w:spacing w:val="-41"/>
          <w:sz w:val="24"/>
          <w:szCs w:val="24"/>
          <w:highlight w:val="none"/>
        </w:rPr>
        <w:t xml:space="preserve"> </w:t>
      </w:r>
      <w:r>
        <w:rPr>
          <w:rFonts w:ascii="宋体" w:hAnsi="宋体" w:eastAsia="宋体" w:cs="宋体"/>
          <w:spacing w:val="-3"/>
          <w:sz w:val="24"/>
          <w:szCs w:val="24"/>
          <w:highlight w:val="none"/>
        </w:rPr>
        <w:t>分包合同价款</w:t>
      </w:r>
    </w:p>
    <w:p w14:paraId="12F37F8E">
      <w:pPr>
        <w:spacing w:before="183" w:line="359" w:lineRule="auto"/>
        <w:ind w:right="98" w:firstLine="486"/>
        <w:rPr>
          <w:rFonts w:ascii="宋体" w:hAnsi="宋体" w:eastAsia="宋体" w:cs="宋体"/>
          <w:sz w:val="24"/>
          <w:szCs w:val="24"/>
          <w:highlight w:val="none"/>
        </w:rPr>
      </w:pPr>
      <w:r>
        <w:rPr>
          <w:rFonts w:ascii="宋体" w:hAnsi="宋体" w:eastAsia="宋体" w:cs="宋体"/>
          <w:spacing w:val="-2"/>
          <w:sz w:val="24"/>
          <w:szCs w:val="24"/>
          <w:highlight w:val="none"/>
        </w:rPr>
        <w:t>关于分包合同价款支付的约定：发包人支付给承包人专业分包工程合同价款（不含设备</w:t>
      </w:r>
      <w:r>
        <w:rPr>
          <w:rFonts w:ascii="宋体" w:hAnsi="宋体" w:eastAsia="宋体" w:cs="宋体"/>
          <w:spacing w:val="-1"/>
          <w:sz w:val="24"/>
          <w:szCs w:val="24"/>
          <w:highlight w:val="none"/>
        </w:rPr>
        <w:t>价格）的   %作为总承包服务配合费用，承包人不得向分包人收取其</w:t>
      </w:r>
      <w:r>
        <w:rPr>
          <w:rFonts w:ascii="宋体" w:hAnsi="宋体" w:eastAsia="宋体" w:cs="宋体"/>
          <w:spacing w:val="-2"/>
          <w:sz w:val="24"/>
          <w:szCs w:val="24"/>
          <w:highlight w:val="none"/>
        </w:rPr>
        <w:t>他费用；该项费用包括</w:t>
      </w:r>
      <w:r>
        <w:rPr>
          <w:rFonts w:ascii="宋体" w:hAnsi="宋体" w:eastAsia="宋体" w:cs="宋体"/>
          <w:spacing w:val="-7"/>
          <w:sz w:val="24"/>
          <w:szCs w:val="24"/>
          <w:highlight w:val="none"/>
        </w:rPr>
        <w:t>但不限于以下内容：</w:t>
      </w:r>
    </w:p>
    <w:p w14:paraId="2544B4CD">
      <w:pPr>
        <w:spacing w:line="219" w:lineRule="auto"/>
        <w:ind w:left="488"/>
        <w:rPr>
          <w:rFonts w:ascii="宋体" w:hAnsi="宋体" w:eastAsia="宋体" w:cs="宋体"/>
          <w:sz w:val="24"/>
          <w:szCs w:val="24"/>
          <w:highlight w:val="none"/>
        </w:rPr>
      </w:pPr>
      <w:r>
        <w:rPr>
          <w:rFonts w:ascii="宋体" w:hAnsi="宋体" w:eastAsia="宋体" w:cs="宋体"/>
          <w:spacing w:val="-3"/>
          <w:sz w:val="24"/>
          <w:szCs w:val="24"/>
          <w:highlight w:val="none"/>
        </w:rPr>
        <w:t>（1）乙方承担总包责任所发生的费用。</w:t>
      </w:r>
    </w:p>
    <w:p w14:paraId="30584A23">
      <w:pPr>
        <w:spacing w:before="182" w:line="289" w:lineRule="auto"/>
        <w:ind w:left="7" w:right="110" w:firstLine="481"/>
        <w:rPr>
          <w:rFonts w:ascii="宋体" w:hAnsi="宋体" w:eastAsia="宋体" w:cs="宋体"/>
          <w:sz w:val="24"/>
          <w:szCs w:val="24"/>
          <w:highlight w:val="none"/>
        </w:rPr>
      </w:pPr>
      <w:r>
        <w:rPr>
          <w:rFonts w:ascii="宋体" w:hAnsi="宋体" w:eastAsia="宋体" w:cs="宋体"/>
          <w:spacing w:val="1"/>
          <w:sz w:val="24"/>
          <w:szCs w:val="24"/>
          <w:highlight w:val="none"/>
        </w:rPr>
        <w:t>（2）“分包工程”施工完毕、土建工程的收尾和修复以及使用承包人的施工所用水电</w:t>
      </w:r>
      <w:r>
        <w:rPr>
          <w:rFonts w:ascii="宋体" w:hAnsi="宋体" w:eastAsia="宋体" w:cs="宋体"/>
          <w:spacing w:val="-2"/>
          <w:sz w:val="24"/>
          <w:szCs w:val="24"/>
          <w:highlight w:val="none"/>
        </w:rPr>
        <w:t>管线等费用（水电费用装表计量，按照实际用量结算）。</w:t>
      </w:r>
    </w:p>
    <w:p w14:paraId="6DFC5C98">
      <w:pPr>
        <w:spacing w:before="183" w:line="219"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（3）分包人使用承包人现场临时工程及在用的</w:t>
      </w:r>
      <w:r>
        <w:rPr>
          <w:rFonts w:ascii="宋体" w:hAnsi="宋体" w:eastAsia="宋体" w:cs="宋体"/>
          <w:spacing w:val="-2"/>
          <w:sz w:val="24"/>
          <w:szCs w:val="24"/>
          <w:highlight w:val="none"/>
        </w:rPr>
        <w:t>脚手架、塔吊、施工电梯等费用。</w:t>
      </w:r>
    </w:p>
    <w:p w14:paraId="02305983">
      <w:pPr>
        <w:spacing w:before="180" w:line="220"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（4）分包人使用工程的施工道路，到总包单位</w:t>
      </w:r>
      <w:r>
        <w:rPr>
          <w:rFonts w:ascii="宋体" w:hAnsi="宋体" w:eastAsia="宋体" w:cs="宋体"/>
          <w:spacing w:val="-2"/>
          <w:sz w:val="24"/>
          <w:szCs w:val="24"/>
          <w:highlight w:val="none"/>
        </w:rPr>
        <w:t>搭伙，使用总包单位的卫生间等。</w:t>
      </w:r>
    </w:p>
    <w:p w14:paraId="6EF1E476">
      <w:pPr>
        <w:spacing w:before="182" w:line="289" w:lineRule="auto"/>
        <w:ind w:left="4" w:right="106" w:firstLine="484"/>
        <w:rPr>
          <w:rFonts w:ascii="宋体" w:hAnsi="宋体" w:eastAsia="宋体" w:cs="宋体"/>
          <w:sz w:val="24"/>
          <w:szCs w:val="24"/>
          <w:highlight w:val="none"/>
        </w:rPr>
      </w:pPr>
      <w:r>
        <w:rPr>
          <w:rFonts w:ascii="宋体" w:hAnsi="宋体" w:eastAsia="宋体" w:cs="宋体"/>
          <w:spacing w:val="1"/>
          <w:sz w:val="24"/>
          <w:szCs w:val="24"/>
          <w:highlight w:val="none"/>
        </w:rPr>
        <w:t>（5）门窗洞口、安装工程管道口、楼地面墙面凿洞、槽等的后塞及修补等，以及整个</w:t>
      </w:r>
      <w:r>
        <w:rPr>
          <w:rFonts w:ascii="宋体" w:hAnsi="宋体" w:eastAsia="宋体" w:cs="宋体"/>
          <w:spacing w:val="-5"/>
          <w:sz w:val="24"/>
          <w:szCs w:val="24"/>
          <w:highlight w:val="none"/>
        </w:rPr>
        <w:t>工程的安全保卫等。</w:t>
      </w:r>
    </w:p>
    <w:p w14:paraId="1161E70E">
      <w:pPr>
        <w:spacing w:before="183" w:line="219"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（6）为分包人提供标高、轴线、定位，隐蔽工程指引等。</w:t>
      </w:r>
    </w:p>
    <w:p w14:paraId="720883AC">
      <w:pPr>
        <w:spacing w:before="180" w:line="220"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（7）分包人的工程资料收集整理和移交；工程质量的检验和验收。</w:t>
      </w:r>
    </w:p>
    <w:p w14:paraId="2D9C2354">
      <w:pPr>
        <w:spacing w:before="183" w:line="290" w:lineRule="auto"/>
        <w:ind w:left="20" w:right="110" w:firstLine="588"/>
        <w:rPr>
          <w:rFonts w:ascii="宋体" w:hAnsi="宋体" w:eastAsia="宋体" w:cs="宋体"/>
          <w:sz w:val="24"/>
          <w:szCs w:val="24"/>
          <w:highlight w:val="none"/>
        </w:rPr>
      </w:pPr>
      <w:r>
        <w:rPr>
          <w:rFonts w:ascii="宋体" w:hAnsi="宋体" w:eastAsia="宋体" w:cs="宋体"/>
          <w:spacing w:val="-2"/>
          <w:sz w:val="24"/>
          <w:szCs w:val="24"/>
          <w:highlight w:val="none"/>
        </w:rPr>
        <w:t>（8）保证分包工程在施工期间有足够的工作面，保证其按时开工和连续施工，并承担因乙方原因使分包工程不能按时开工和配合不及时造成的工期延误责任。</w:t>
      </w:r>
    </w:p>
    <w:p w14:paraId="64F03ECB">
      <w:pPr>
        <w:spacing w:before="179"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3.6</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工程照管与成品、半成品保护</w:t>
      </w:r>
    </w:p>
    <w:p w14:paraId="257E6187">
      <w:pPr>
        <w:spacing w:before="183"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承包人负责照管工程及工程相关的材料、工程设备的起始时</w:t>
      </w:r>
      <w:r>
        <w:rPr>
          <w:rFonts w:ascii="宋体" w:hAnsi="宋体" w:eastAsia="宋体" w:cs="宋体"/>
          <w:spacing w:val="-2"/>
          <w:sz w:val="24"/>
          <w:szCs w:val="24"/>
          <w:highlight w:val="none"/>
        </w:rPr>
        <w:t>间：执行通用条款。</w:t>
      </w:r>
    </w:p>
    <w:p w14:paraId="25766183">
      <w:pPr>
        <w:spacing w:before="181" w:line="220"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3.7</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rPr>
        <w:t>履约担保</w:t>
      </w:r>
    </w:p>
    <w:p w14:paraId="7FDCD385">
      <w:pPr>
        <w:spacing w:before="182" w:line="219"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承包人是否提供履约担保：应当提交。</w:t>
      </w:r>
    </w:p>
    <w:p w14:paraId="476359EF">
      <w:pPr>
        <w:spacing w:before="180" w:line="219"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承包人提供履约担保的形式、金额及期限：详见投标须知前附表。</w:t>
      </w:r>
    </w:p>
    <w:p w14:paraId="6BCA7EA8">
      <w:pPr>
        <w:spacing w:before="185" w:line="222"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4.监理人</w:t>
      </w:r>
    </w:p>
    <w:p w14:paraId="52FF3F4F">
      <w:pPr>
        <w:spacing w:before="176"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4.1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监理人的一般规定</w:t>
      </w:r>
    </w:p>
    <w:p w14:paraId="0223B8EB">
      <w:pPr>
        <w:spacing w:before="182" w:line="220"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关于监理人的监理内容：执行监理合同。</w:t>
      </w:r>
    </w:p>
    <w:p w14:paraId="77DC9936">
      <w:pPr>
        <w:spacing w:before="180" w:line="220"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关于监理人的监理权限：执行监理合同。</w:t>
      </w:r>
    </w:p>
    <w:p w14:paraId="0492EB6E">
      <w:pPr>
        <w:spacing w:before="182"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关于监理人在施工现场的办公场所、生活场所的提供和费用承担的约定：。</w:t>
      </w:r>
    </w:p>
    <w:p w14:paraId="5286AE49">
      <w:pPr>
        <w:spacing w:before="181" w:line="221"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4.2</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监理人员</w:t>
      </w:r>
    </w:p>
    <w:p w14:paraId="504FA7D4">
      <w:pPr>
        <w:spacing w:before="180" w:line="220" w:lineRule="auto"/>
        <w:ind w:left="488"/>
        <w:rPr>
          <w:rFonts w:ascii="宋体" w:hAnsi="宋体" w:eastAsia="宋体" w:cs="宋体"/>
          <w:sz w:val="24"/>
          <w:szCs w:val="24"/>
          <w:highlight w:val="none"/>
        </w:rPr>
      </w:pPr>
      <w:r>
        <w:rPr>
          <w:rFonts w:ascii="宋体" w:hAnsi="宋体" w:eastAsia="宋体" w:cs="宋体"/>
          <w:spacing w:val="-9"/>
          <w:sz w:val="24"/>
          <w:szCs w:val="24"/>
          <w:highlight w:val="none"/>
        </w:rPr>
        <w:t>总监理工程师：</w:t>
      </w:r>
    </w:p>
    <w:p w14:paraId="161A3F24">
      <w:pPr>
        <w:spacing w:before="180" w:line="220" w:lineRule="auto"/>
        <w:ind w:left="482"/>
        <w:rPr>
          <w:rFonts w:ascii="宋体" w:hAnsi="宋体" w:eastAsia="宋体" w:cs="宋体"/>
          <w:sz w:val="24"/>
          <w:szCs w:val="24"/>
          <w:highlight w:val="none"/>
        </w:rPr>
      </w:pPr>
      <w:r>
        <w:rPr>
          <w:rFonts w:ascii="宋体" w:hAnsi="宋体" w:eastAsia="宋体" w:cs="宋体"/>
          <w:spacing w:val="-4"/>
          <w:sz w:val="24"/>
          <w:szCs w:val="24"/>
          <w:highlight w:val="none"/>
        </w:rPr>
        <w:t>姓名</w:t>
      </w:r>
      <w:r>
        <w:rPr>
          <w:rFonts w:ascii="宋体" w:hAnsi="宋体" w:eastAsia="宋体" w:cs="宋体"/>
          <w:spacing w:val="-2"/>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w:t>
      </w:r>
    </w:p>
    <w:p w14:paraId="590FCAC0">
      <w:pPr>
        <w:spacing w:line="220" w:lineRule="auto"/>
        <w:rPr>
          <w:rFonts w:ascii="宋体" w:hAnsi="宋体" w:eastAsia="宋体" w:cs="宋体"/>
          <w:sz w:val="24"/>
          <w:szCs w:val="24"/>
          <w:highlight w:val="none"/>
        </w:rPr>
        <w:sectPr>
          <w:footerReference r:id="rId42" w:type="default"/>
          <w:pgSz w:w="11907" w:h="16839"/>
          <w:pgMar w:top="1425" w:right="1074" w:bottom="1129" w:left="1183" w:header="0" w:footer="898" w:gutter="0"/>
          <w:cols w:space="720" w:num="1"/>
        </w:sectPr>
      </w:pPr>
    </w:p>
    <w:p w14:paraId="5A4A1293">
      <w:pPr>
        <w:spacing w:before="47" w:line="220" w:lineRule="auto"/>
        <w:ind w:left="481"/>
        <w:rPr>
          <w:rFonts w:ascii="宋体" w:hAnsi="宋体" w:eastAsia="宋体" w:cs="宋体"/>
          <w:sz w:val="24"/>
          <w:szCs w:val="24"/>
          <w:highlight w:val="none"/>
        </w:rPr>
      </w:pPr>
      <w:r>
        <w:rPr>
          <w:rFonts w:ascii="宋体" w:hAnsi="宋体" w:eastAsia="宋体" w:cs="宋体"/>
          <w:spacing w:val="-4"/>
          <w:sz w:val="24"/>
          <w:szCs w:val="24"/>
          <w:highlight w:val="none"/>
        </w:rPr>
        <w:t>职务</w:t>
      </w:r>
      <w:r>
        <w:rPr>
          <w:rFonts w:ascii="宋体" w:hAnsi="宋体" w:eastAsia="宋体" w:cs="宋体"/>
          <w:spacing w:val="-2"/>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w:t>
      </w:r>
    </w:p>
    <w:p w14:paraId="2C7CBEA2">
      <w:pPr>
        <w:spacing w:before="182" w:line="219" w:lineRule="auto"/>
        <w:ind w:left="481"/>
        <w:rPr>
          <w:rFonts w:ascii="宋体" w:hAnsi="宋体" w:eastAsia="宋体" w:cs="宋体"/>
          <w:sz w:val="24"/>
          <w:szCs w:val="24"/>
          <w:highlight w:val="none"/>
        </w:rPr>
      </w:pPr>
      <w:r>
        <w:rPr>
          <w:rFonts w:ascii="宋体" w:hAnsi="宋体" w:eastAsia="宋体" w:cs="宋体"/>
          <w:spacing w:val="-5"/>
          <w:sz w:val="24"/>
          <w:szCs w:val="24"/>
          <w:highlight w:val="none"/>
        </w:rPr>
        <w:t>监理工程师执业资格证书号</w:t>
      </w:r>
      <w:r>
        <w:rPr>
          <w:rFonts w:ascii="宋体" w:hAnsi="宋体" w:eastAsia="宋体" w:cs="宋体"/>
          <w:spacing w:val="-2"/>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2"/>
          <w:sz w:val="24"/>
          <w:szCs w:val="24"/>
          <w:highlight w:val="none"/>
        </w:rPr>
        <w:t>；</w:t>
      </w:r>
    </w:p>
    <w:p w14:paraId="42D0B310">
      <w:pPr>
        <w:spacing w:before="180" w:line="222" w:lineRule="auto"/>
        <w:ind w:left="481"/>
        <w:rPr>
          <w:rFonts w:ascii="宋体" w:hAnsi="宋体" w:eastAsia="宋体" w:cs="宋体"/>
          <w:sz w:val="24"/>
          <w:szCs w:val="24"/>
          <w:highlight w:val="none"/>
        </w:rPr>
      </w:pPr>
      <w:r>
        <w:rPr>
          <w:rFonts w:ascii="宋体" w:hAnsi="宋体" w:eastAsia="宋体" w:cs="宋体"/>
          <w:spacing w:val="4"/>
          <w:sz w:val="24"/>
          <w:szCs w:val="24"/>
          <w:highlight w:val="none"/>
        </w:rPr>
        <w:t>联系电话</w:t>
      </w:r>
      <w:r>
        <w:rPr>
          <w:rFonts w:ascii="宋体" w:hAnsi="宋体" w:eastAsia="宋体" w:cs="宋体"/>
          <w:spacing w:val="-14"/>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4"/>
          <w:sz w:val="24"/>
          <w:szCs w:val="24"/>
          <w:highlight w:val="none"/>
        </w:rPr>
        <w:t>；</w:t>
      </w:r>
    </w:p>
    <w:p w14:paraId="044AAE06">
      <w:pPr>
        <w:spacing w:before="179" w:line="220" w:lineRule="auto"/>
        <w:ind w:left="508"/>
        <w:rPr>
          <w:rFonts w:ascii="宋体" w:hAnsi="宋体" w:eastAsia="宋体" w:cs="宋体"/>
          <w:sz w:val="24"/>
          <w:szCs w:val="24"/>
          <w:highlight w:val="none"/>
        </w:rPr>
      </w:pPr>
      <w:r>
        <w:rPr>
          <w:rFonts w:ascii="宋体" w:hAnsi="宋体" w:eastAsia="宋体" w:cs="宋体"/>
          <w:spacing w:val="-8"/>
          <w:sz w:val="24"/>
          <w:szCs w:val="24"/>
          <w:highlight w:val="none"/>
        </w:rPr>
        <w:t>电子信箱</w:t>
      </w:r>
      <w:r>
        <w:rPr>
          <w:rFonts w:ascii="宋体" w:hAnsi="宋体" w:eastAsia="宋体" w:cs="宋体"/>
          <w:spacing w:val="-4"/>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4"/>
          <w:sz w:val="24"/>
          <w:szCs w:val="24"/>
          <w:highlight w:val="none"/>
        </w:rPr>
        <w:t>；</w:t>
      </w:r>
    </w:p>
    <w:p w14:paraId="77E2B959">
      <w:pPr>
        <w:spacing w:before="179" w:line="220"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通信地址</w:t>
      </w:r>
      <w:r>
        <w:rPr>
          <w:rFonts w:ascii="宋体" w:hAnsi="宋体" w:eastAsia="宋体" w:cs="宋体"/>
          <w:spacing w:val="-1"/>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w:t>
      </w:r>
    </w:p>
    <w:p w14:paraId="054DB2CC">
      <w:pPr>
        <w:spacing w:before="183" w:line="220"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关于监理人的其他约定：</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 xml:space="preserve"> 。</w:t>
      </w:r>
    </w:p>
    <w:p w14:paraId="28D8D8AA">
      <w:pPr>
        <w:spacing w:before="180" w:line="220" w:lineRule="auto"/>
        <w:ind w:left="479"/>
        <w:rPr>
          <w:rFonts w:ascii="宋体" w:hAnsi="宋体" w:eastAsia="宋体" w:cs="宋体"/>
          <w:sz w:val="24"/>
          <w:szCs w:val="24"/>
          <w:highlight w:val="none"/>
        </w:rPr>
      </w:pPr>
      <w:r>
        <w:rPr>
          <w:rFonts w:ascii="宋体" w:hAnsi="宋体" w:eastAsia="宋体" w:cs="宋体"/>
          <w:spacing w:val="-3"/>
          <w:sz w:val="24"/>
          <w:szCs w:val="24"/>
          <w:highlight w:val="none"/>
        </w:rPr>
        <w:t>4.4</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商定或确定</w:t>
      </w:r>
    </w:p>
    <w:p w14:paraId="2BA46BA2">
      <w:pPr>
        <w:spacing w:before="182" w:line="359" w:lineRule="auto"/>
        <w:ind w:left="5" w:right="10" w:firstLine="473"/>
        <w:rPr>
          <w:rFonts w:ascii="宋体" w:hAnsi="宋体" w:eastAsia="宋体" w:cs="宋体"/>
          <w:sz w:val="24"/>
          <w:szCs w:val="24"/>
          <w:highlight w:val="none"/>
        </w:rPr>
      </w:pPr>
      <w:r>
        <w:rPr>
          <w:rFonts w:ascii="宋体" w:hAnsi="宋体" w:eastAsia="宋体" w:cs="宋体"/>
          <w:spacing w:val="-1"/>
          <w:sz w:val="24"/>
          <w:szCs w:val="24"/>
          <w:highlight w:val="none"/>
        </w:rPr>
        <w:t>在发包人和承包人不能通过协商达成一致意见</w:t>
      </w:r>
      <w:r>
        <w:rPr>
          <w:rFonts w:ascii="宋体" w:hAnsi="宋体" w:eastAsia="宋体" w:cs="宋体"/>
          <w:spacing w:val="-2"/>
          <w:sz w:val="24"/>
          <w:szCs w:val="24"/>
          <w:highlight w:val="none"/>
        </w:rPr>
        <w:t>时，发包人授权监理人对以下事项进行确</w:t>
      </w:r>
      <w:r>
        <w:rPr>
          <w:rFonts w:ascii="宋体" w:hAnsi="宋体" w:eastAsia="宋体" w:cs="宋体"/>
          <w:spacing w:val="-18"/>
          <w:sz w:val="24"/>
          <w:szCs w:val="24"/>
          <w:highlight w:val="none"/>
        </w:rPr>
        <w:t>定：</w:t>
      </w:r>
    </w:p>
    <w:p w14:paraId="6636ABF9">
      <w:pPr>
        <w:spacing w:before="1" w:line="221" w:lineRule="auto"/>
        <w:ind w:left="486"/>
        <w:rPr>
          <w:rFonts w:ascii="宋体" w:hAnsi="宋体" w:eastAsia="宋体" w:cs="宋体"/>
          <w:sz w:val="24"/>
          <w:szCs w:val="24"/>
          <w:highlight w:val="none"/>
        </w:rPr>
      </w:pPr>
      <w:r>
        <w:rPr>
          <w:rFonts w:ascii="宋体" w:hAnsi="宋体" w:eastAsia="宋体" w:cs="宋体"/>
          <w:spacing w:val="-8"/>
          <w:sz w:val="24"/>
          <w:szCs w:val="24"/>
          <w:highlight w:val="none"/>
        </w:rPr>
        <w:t>（1</w:t>
      </w:r>
      <w:r>
        <w:rPr>
          <w:rFonts w:ascii="宋体" w:hAnsi="宋体" w:eastAsia="宋体" w:cs="宋体"/>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z w:val="24"/>
          <w:szCs w:val="24"/>
          <w:highlight w:val="none"/>
        </w:rPr>
        <w:t>；</w:t>
      </w:r>
    </w:p>
    <w:p w14:paraId="26656C41">
      <w:pPr>
        <w:spacing w:before="177" w:line="222" w:lineRule="auto"/>
        <w:ind w:left="486"/>
        <w:rPr>
          <w:rFonts w:ascii="宋体" w:hAnsi="宋体" w:eastAsia="宋体" w:cs="宋体"/>
          <w:sz w:val="24"/>
          <w:szCs w:val="24"/>
          <w:highlight w:val="none"/>
        </w:rPr>
      </w:pPr>
      <w:r>
        <w:rPr>
          <w:rFonts w:ascii="宋体" w:hAnsi="宋体" w:eastAsia="宋体" w:cs="宋体"/>
          <w:spacing w:val="-8"/>
          <w:sz w:val="24"/>
          <w:szCs w:val="24"/>
          <w:highlight w:val="none"/>
        </w:rPr>
        <w:t>（2</w:t>
      </w:r>
      <w:r>
        <w:rPr>
          <w:rFonts w:ascii="宋体" w:hAnsi="宋体" w:eastAsia="宋体" w:cs="宋体"/>
          <w:sz w:val="24"/>
          <w:szCs w:val="24"/>
          <w:highlight w:val="none"/>
        </w:rPr>
        <w:t>）</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z w:val="24"/>
          <w:szCs w:val="24"/>
          <w:highlight w:val="none"/>
        </w:rPr>
        <w:t>；</w:t>
      </w:r>
    </w:p>
    <w:p w14:paraId="5D03AA86">
      <w:pPr>
        <w:spacing w:before="180" w:line="232" w:lineRule="auto"/>
        <w:ind w:left="486"/>
        <w:rPr>
          <w:rFonts w:ascii="宋体" w:hAnsi="宋体" w:eastAsia="宋体" w:cs="宋体"/>
          <w:sz w:val="24"/>
          <w:szCs w:val="24"/>
          <w:highlight w:val="none"/>
        </w:rPr>
      </w:pPr>
      <w:r>
        <w:rPr>
          <w:rFonts w:ascii="宋体" w:hAnsi="宋体" w:eastAsia="宋体" w:cs="宋体"/>
          <w:spacing w:val="-4"/>
          <w:sz w:val="24"/>
          <w:szCs w:val="24"/>
          <w:highlight w:val="none"/>
        </w:rPr>
        <w:t>（3）</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4"/>
          <w:sz w:val="24"/>
          <w:szCs w:val="24"/>
          <w:highlight w:val="none"/>
        </w:rPr>
        <w:t>。</w:t>
      </w:r>
    </w:p>
    <w:p w14:paraId="01DB19B1">
      <w:pPr>
        <w:spacing w:before="164" w:line="220"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5.工程质量</w:t>
      </w:r>
    </w:p>
    <w:p w14:paraId="5CAE063B">
      <w:pPr>
        <w:spacing w:before="182"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5.1</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质量要求</w:t>
      </w:r>
    </w:p>
    <w:p w14:paraId="7F49CDB7">
      <w:pPr>
        <w:spacing w:before="179"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5.1.1</w:t>
      </w:r>
      <w:r>
        <w:rPr>
          <w:rFonts w:ascii="宋体" w:hAnsi="宋体" w:eastAsia="宋体" w:cs="宋体"/>
          <w:spacing w:val="-35"/>
          <w:sz w:val="24"/>
          <w:szCs w:val="24"/>
          <w:highlight w:val="none"/>
        </w:rPr>
        <w:t xml:space="preserve"> </w:t>
      </w:r>
      <w:r>
        <w:rPr>
          <w:rFonts w:ascii="宋体" w:hAnsi="宋体" w:eastAsia="宋体" w:cs="宋体"/>
          <w:spacing w:val="-4"/>
          <w:sz w:val="24"/>
          <w:szCs w:val="24"/>
          <w:highlight w:val="none"/>
        </w:rPr>
        <w:t>特殊质量标准和要求：合格。</w:t>
      </w:r>
    </w:p>
    <w:p w14:paraId="4CF06807">
      <w:pPr>
        <w:spacing w:before="183"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关于工程奖项的约定：/。</w:t>
      </w:r>
    </w:p>
    <w:p w14:paraId="4EFC00E0">
      <w:pPr>
        <w:spacing w:before="181"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5.3</w:t>
      </w:r>
      <w:r>
        <w:rPr>
          <w:rFonts w:ascii="宋体" w:hAnsi="宋体" w:eastAsia="宋体" w:cs="宋体"/>
          <w:spacing w:val="-36"/>
          <w:sz w:val="24"/>
          <w:szCs w:val="24"/>
          <w:highlight w:val="none"/>
        </w:rPr>
        <w:t xml:space="preserve"> </w:t>
      </w:r>
      <w:r>
        <w:rPr>
          <w:rFonts w:ascii="宋体" w:hAnsi="宋体" w:eastAsia="宋体" w:cs="宋体"/>
          <w:spacing w:val="-4"/>
          <w:sz w:val="24"/>
          <w:szCs w:val="24"/>
          <w:highlight w:val="none"/>
        </w:rPr>
        <w:t>隐蔽工程检查</w:t>
      </w:r>
    </w:p>
    <w:p w14:paraId="7FF02CEB">
      <w:pPr>
        <w:spacing w:before="180"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5.3.2</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承包人提前通知监理人隐蔽工程检查的期限的约定：执行通用条款。</w:t>
      </w:r>
    </w:p>
    <w:p w14:paraId="3B971D4D">
      <w:pPr>
        <w:spacing w:before="182" w:line="219"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监理人不能按时进行检查时，应提前</w:t>
      </w:r>
      <w:r>
        <w:rPr>
          <w:rFonts w:ascii="宋体" w:hAnsi="宋体" w:eastAsia="宋体" w:cs="宋体"/>
          <w:spacing w:val="-30"/>
          <w:sz w:val="24"/>
          <w:szCs w:val="24"/>
          <w:highlight w:val="none"/>
        </w:rPr>
        <w:t xml:space="preserve"> </w:t>
      </w:r>
      <w:r>
        <w:rPr>
          <w:rFonts w:ascii="宋体" w:hAnsi="宋体" w:eastAsia="宋体" w:cs="宋体"/>
          <w:spacing w:val="-3"/>
          <w:sz w:val="24"/>
          <w:szCs w:val="24"/>
          <w:highlight w:val="none"/>
        </w:rPr>
        <w:t>24</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小时提交书面延期要求。</w:t>
      </w:r>
    </w:p>
    <w:p w14:paraId="1A3609A1">
      <w:pPr>
        <w:spacing w:before="181" w:line="220"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关于延期最长不得超过：24</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小时。</w:t>
      </w:r>
    </w:p>
    <w:p w14:paraId="2A71B708">
      <w:pPr>
        <w:spacing w:before="182" w:line="220"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6.安全文明施工与环境保护</w:t>
      </w:r>
    </w:p>
    <w:p w14:paraId="199AD6BC">
      <w:pPr>
        <w:spacing w:before="179"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6.1</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安全文明施工</w:t>
      </w:r>
    </w:p>
    <w:p w14:paraId="72C06291">
      <w:pPr>
        <w:spacing w:before="183" w:line="289" w:lineRule="auto"/>
        <w:ind w:right="10" w:firstLine="482"/>
        <w:rPr>
          <w:rFonts w:ascii="宋体" w:hAnsi="宋体" w:eastAsia="宋体" w:cs="宋体"/>
          <w:sz w:val="24"/>
          <w:szCs w:val="24"/>
          <w:highlight w:val="none"/>
        </w:rPr>
      </w:pPr>
      <w:r>
        <w:rPr>
          <w:rFonts w:ascii="宋体" w:hAnsi="宋体" w:eastAsia="宋体" w:cs="宋体"/>
          <w:spacing w:val="-1"/>
          <w:sz w:val="24"/>
          <w:szCs w:val="24"/>
          <w:highlight w:val="none"/>
        </w:rPr>
        <w:t>6.1.1</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项目安全生产的达标目标及相应事项的约定：坚决杜绝重、特大事故的发生，保证重点区域、重点部位不发生安全责任较大事故和一般事故，</w:t>
      </w:r>
      <w:r>
        <w:rPr>
          <w:rFonts w:ascii="宋体" w:hAnsi="宋体" w:eastAsia="宋体" w:cs="宋体"/>
          <w:spacing w:val="-2"/>
          <w:sz w:val="24"/>
          <w:szCs w:val="24"/>
          <w:highlight w:val="none"/>
        </w:rPr>
        <w:t>不发生亡人事故。</w:t>
      </w:r>
    </w:p>
    <w:p w14:paraId="08955AE3">
      <w:pPr>
        <w:spacing w:before="184" w:line="312" w:lineRule="auto"/>
        <w:ind w:left="2" w:firstLine="479"/>
        <w:rPr>
          <w:rFonts w:ascii="宋体" w:hAnsi="宋体" w:eastAsia="宋体" w:cs="宋体"/>
          <w:sz w:val="24"/>
          <w:szCs w:val="24"/>
          <w:highlight w:val="none"/>
        </w:rPr>
      </w:pPr>
      <w:r>
        <w:rPr>
          <w:rFonts w:ascii="宋体" w:hAnsi="宋体" w:eastAsia="宋体" w:cs="宋体"/>
          <w:spacing w:val="-1"/>
          <w:sz w:val="24"/>
          <w:szCs w:val="24"/>
          <w:highlight w:val="none"/>
        </w:rPr>
        <w:t>6.1.4</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关于治安保卫的特别约定：在需要的时间和地点，或根据政府相关行政管理部门的要求，承包人应自费提供和维护所有灯光、</w:t>
      </w:r>
      <w:r>
        <w:rPr>
          <w:rFonts w:ascii="宋体" w:hAnsi="宋体" w:eastAsia="宋体" w:cs="宋体"/>
          <w:spacing w:val="-2"/>
          <w:sz w:val="24"/>
          <w:szCs w:val="24"/>
          <w:highlight w:val="none"/>
        </w:rPr>
        <w:t>护板、栅栏、警示信号，以及对工程进行保护</w:t>
      </w:r>
      <w:r>
        <w:rPr>
          <w:rFonts w:ascii="宋体" w:hAnsi="宋体" w:eastAsia="宋体" w:cs="宋体"/>
          <w:spacing w:val="-1"/>
          <w:sz w:val="24"/>
          <w:szCs w:val="24"/>
          <w:highlight w:val="none"/>
        </w:rPr>
        <w:t>或为公众提供安全和方便。承包人对施工场地发生的盗窃、打架斗殴等</w:t>
      </w:r>
      <w:r>
        <w:rPr>
          <w:rFonts w:ascii="宋体" w:hAnsi="宋体" w:eastAsia="宋体" w:cs="宋体"/>
          <w:spacing w:val="-2"/>
          <w:sz w:val="24"/>
          <w:szCs w:val="24"/>
          <w:highlight w:val="none"/>
        </w:rPr>
        <w:t>事件承担全部责任。</w:t>
      </w:r>
    </w:p>
    <w:p w14:paraId="213CD762">
      <w:pPr>
        <w:spacing w:before="181"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关于编制施工场地治安管理计划的约定：由承包人于开工前</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天制定并组织实施。</w:t>
      </w:r>
    </w:p>
    <w:p w14:paraId="68BDC10D">
      <w:pPr>
        <w:spacing w:before="182"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6.1.5</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文明施工</w:t>
      </w:r>
    </w:p>
    <w:p w14:paraId="33767E5B">
      <w:pPr>
        <w:spacing w:before="179" w:line="219" w:lineRule="auto"/>
        <w:ind w:right="7"/>
        <w:jc w:val="right"/>
        <w:rPr>
          <w:rFonts w:ascii="宋体" w:hAnsi="宋体" w:eastAsia="宋体" w:cs="宋体"/>
          <w:sz w:val="24"/>
          <w:szCs w:val="24"/>
          <w:highlight w:val="none"/>
        </w:rPr>
      </w:pPr>
      <w:r>
        <w:rPr>
          <w:rFonts w:ascii="宋体" w:hAnsi="宋体" w:eastAsia="宋体" w:cs="宋体"/>
          <w:spacing w:val="-1"/>
          <w:sz w:val="24"/>
          <w:szCs w:val="24"/>
          <w:highlight w:val="none"/>
        </w:rPr>
        <w:t>合同当事人对文明施工的要求：执行六安市政府</w:t>
      </w:r>
      <w:r>
        <w:rPr>
          <w:rFonts w:ascii="宋体" w:hAnsi="宋体" w:eastAsia="宋体" w:cs="宋体"/>
          <w:spacing w:val="-2"/>
          <w:sz w:val="24"/>
          <w:szCs w:val="24"/>
          <w:highlight w:val="none"/>
        </w:rPr>
        <w:t>、主管部门及发包人关于文明施工、扬</w:t>
      </w:r>
    </w:p>
    <w:p w14:paraId="21956643">
      <w:pPr>
        <w:spacing w:line="219" w:lineRule="auto"/>
        <w:rPr>
          <w:rFonts w:ascii="宋体" w:hAnsi="宋体" w:eastAsia="宋体" w:cs="宋体"/>
          <w:sz w:val="24"/>
          <w:szCs w:val="24"/>
          <w:highlight w:val="none"/>
        </w:rPr>
        <w:sectPr>
          <w:footerReference r:id="rId43" w:type="default"/>
          <w:pgSz w:w="11907" w:h="16839"/>
          <w:pgMar w:top="1425" w:right="1165" w:bottom="1129" w:left="1185" w:header="0" w:footer="898" w:gutter="0"/>
          <w:cols w:space="720" w:num="1"/>
        </w:sectPr>
      </w:pPr>
    </w:p>
    <w:p w14:paraId="54FDEED5">
      <w:pPr>
        <w:spacing w:before="48" w:line="359" w:lineRule="auto"/>
        <w:ind w:left="1" w:hanging="1"/>
        <w:rPr>
          <w:rFonts w:ascii="宋体" w:hAnsi="宋体" w:eastAsia="宋体" w:cs="宋体"/>
          <w:sz w:val="24"/>
          <w:szCs w:val="24"/>
          <w:highlight w:val="none"/>
        </w:rPr>
      </w:pPr>
      <w:r>
        <w:rPr>
          <w:rFonts w:ascii="宋体" w:hAnsi="宋体" w:eastAsia="宋体" w:cs="宋体"/>
          <w:spacing w:val="-8"/>
          <w:sz w:val="24"/>
          <w:szCs w:val="24"/>
          <w:highlight w:val="none"/>
        </w:rPr>
        <w:t>尘防治、禁止燃放烟火爆竹等规定，</w:t>
      </w:r>
      <w:r>
        <w:rPr>
          <w:rFonts w:ascii="宋体" w:hAnsi="宋体" w:eastAsia="宋体" w:cs="宋体"/>
          <w:spacing w:val="-24"/>
          <w:sz w:val="24"/>
          <w:szCs w:val="24"/>
          <w:highlight w:val="none"/>
        </w:rPr>
        <w:t xml:space="preserve"> </w:t>
      </w:r>
      <w:r>
        <w:rPr>
          <w:rFonts w:ascii="宋体" w:hAnsi="宋体" w:eastAsia="宋体" w:cs="宋体"/>
          <w:spacing w:val="-8"/>
          <w:sz w:val="24"/>
          <w:szCs w:val="24"/>
          <w:highlight w:val="none"/>
        </w:rPr>
        <w:t>控制噪声、粉尘、渣土对环境的污染，做到施工不扰民，</w:t>
      </w:r>
      <w:r>
        <w:rPr>
          <w:rFonts w:ascii="宋体" w:hAnsi="宋体" w:eastAsia="宋体" w:cs="宋体"/>
          <w:spacing w:val="-1"/>
          <w:sz w:val="24"/>
          <w:szCs w:val="24"/>
          <w:highlight w:val="none"/>
        </w:rPr>
        <w:t>不影响办公和会议，并确保安全文明施工措施</w:t>
      </w:r>
      <w:r>
        <w:rPr>
          <w:rFonts w:ascii="宋体" w:hAnsi="宋体" w:eastAsia="宋体" w:cs="宋体"/>
          <w:spacing w:val="-2"/>
          <w:sz w:val="24"/>
          <w:szCs w:val="24"/>
          <w:highlight w:val="none"/>
        </w:rPr>
        <w:t>的投入，其余按通用条款执行。</w:t>
      </w:r>
    </w:p>
    <w:p w14:paraId="48D49D6F">
      <w:pPr>
        <w:spacing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6.1.6</w:t>
      </w:r>
      <w:r>
        <w:rPr>
          <w:rFonts w:ascii="宋体" w:hAnsi="宋体" w:eastAsia="宋体" w:cs="宋体"/>
          <w:spacing w:val="-38"/>
          <w:sz w:val="24"/>
          <w:szCs w:val="24"/>
          <w:highlight w:val="none"/>
        </w:rPr>
        <w:t xml:space="preserve"> </w:t>
      </w:r>
      <w:r>
        <w:rPr>
          <w:rFonts w:ascii="宋体" w:hAnsi="宋体" w:eastAsia="宋体" w:cs="宋体"/>
          <w:spacing w:val="-2"/>
          <w:sz w:val="24"/>
          <w:szCs w:val="24"/>
          <w:highlight w:val="none"/>
        </w:rPr>
        <w:t>关于安全文明施工费支付比例和支付期限的约定：随进度款支付。</w:t>
      </w:r>
    </w:p>
    <w:p w14:paraId="6E45EF2B">
      <w:pPr>
        <w:spacing w:before="182" w:line="220"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7.工期和进度</w:t>
      </w:r>
    </w:p>
    <w:p w14:paraId="14084944">
      <w:pPr>
        <w:spacing w:before="179" w:line="221"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7.1</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施工组织设计</w:t>
      </w:r>
    </w:p>
    <w:p w14:paraId="58980811">
      <w:pPr>
        <w:spacing w:before="180" w:line="220" w:lineRule="auto"/>
        <w:ind w:left="389"/>
        <w:rPr>
          <w:rFonts w:ascii="宋体" w:hAnsi="宋体" w:eastAsia="宋体" w:cs="宋体"/>
          <w:sz w:val="24"/>
          <w:szCs w:val="24"/>
          <w:highlight w:val="none"/>
        </w:rPr>
      </w:pPr>
      <w:r>
        <w:rPr>
          <w:rFonts w:ascii="宋体" w:hAnsi="宋体" w:eastAsia="宋体" w:cs="宋体"/>
          <w:spacing w:val="-1"/>
          <w:sz w:val="24"/>
          <w:szCs w:val="24"/>
          <w:highlight w:val="none"/>
        </w:rPr>
        <w:t>7.1.1合同当事人约定的施工组织设计应包括的其他内</w:t>
      </w:r>
      <w:r>
        <w:rPr>
          <w:rFonts w:ascii="宋体" w:hAnsi="宋体" w:eastAsia="宋体" w:cs="宋体"/>
          <w:spacing w:val="-2"/>
          <w:sz w:val="24"/>
          <w:szCs w:val="24"/>
          <w:highlight w:val="none"/>
        </w:rPr>
        <w:t>容：相关专项施工方案等。</w:t>
      </w:r>
    </w:p>
    <w:p w14:paraId="03BBCD76">
      <w:pPr>
        <w:spacing w:before="180"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7.1.2</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施工组织设计的提交和修改</w:t>
      </w:r>
    </w:p>
    <w:p w14:paraId="0CBA9A53">
      <w:pPr>
        <w:spacing w:before="182" w:line="220"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承包人提交详细施工组织设计的期限的约定：执行通用条款。</w:t>
      </w:r>
    </w:p>
    <w:p w14:paraId="7ABCDF08">
      <w:pPr>
        <w:spacing w:before="181" w:line="359" w:lineRule="auto"/>
        <w:ind w:right="65" w:firstLine="483"/>
        <w:rPr>
          <w:rFonts w:ascii="宋体" w:hAnsi="宋体" w:eastAsia="宋体" w:cs="宋体"/>
          <w:sz w:val="24"/>
          <w:szCs w:val="24"/>
          <w:highlight w:val="none"/>
        </w:rPr>
      </w:pPr>
      <w:r>
        <w:rPr>
          <w:rFonts w:ascii="宋体" w:hAnsi="宋体" w:eastAsia="宋体" w:cs="宋体"/>
          <w:spacing w:val="-2"/>
          <w:sz w:val="24"/>
          <w:szCs w:val="24"/>
          <w:highlight w:val="none"/>
        </w:rPr>
        <w:t>发包人和监理人在收到详细的施工组织设计后确认或提出修改意见的期限：执行通用条</w:t>
      </w:r>
      <w:r>
        <w:rPr>
          <w:rFonts w:ascii="宋体" w:hAnsi="宋体" w:eastAsia="宋体" w:cs="宋体"/>
          <w:spacing w:val="-12"/>
          <w:sz w:val="24"/>
          <w:szCs w:val="24"/>
          <w:highlight w:val="none"/>
        </w:rPr>
        <w:t>款。</w:t>
      </w:r>
    </w:p>
    <w:p w14:paraId="5AA9D6CE">
      <w:pPr>
        <w:spacing w:line="220"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7.2</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施工进度计划</w:t>
      </w:r>
    </w:p>
    <w:p w14:paraId="09D5C78F">
      <w:pPr>
        <w:spacing w:before="181"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7.2.2</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施工进度计划的修订</w:t>
      </w:r>
    </w:p>
    <w:p w14:paraId="1D037EFB">
      <w:pPr>
        <w:spacing w:before="181" w:line="359" w:lineRule="auto"/>
        <w:ind w:right="65" w:firstLine="483"/>
        <w:rPr>
          <w:rFonts w:ascii="宋体" w:hAnsi="宋体" w:eastAsia="宋体" w:cs="宋体"/>
          <w:sz w:val="24"/>
          <w:szCs w:val="24"/>
          <w:highlight w:val="none"/>
        </w:rPr>
      </w:pPr>
      <w:r>
        <w:rPr>
          <w:rFonts w:ascii="宋体" w:hAnsi="宋体" w:eastAsia="宋体" w:cs="宋体"/>
          <w:spacing w:val="-2"/>
          <w:sz w:val="24"/>
          <w:szCs w:val="24"/>
          <w:highlight w:val="none"/>
        </w:rPr>
        <w:t>发包人和监理人在收到修订的施工进度计划后确认或提出修改意见的期限：执行通用条</w:t>
      </w:r>
      <w:r>
        <w:rPr>
          <w:rFonts w:ascii="宋体" w:hAnsi="宋体" w:eastAsia="宋体" w:cs="宋体"/>
          <w:spacing w:val="-12"/>
          <w:sz w:val="24"/>
          <w:szCs w:val="24"/>
          <w:highlight w:val="none"/>
        </w:rPr>
        <w:t>款。</w:t>
      </w:r>
    </w:p>
    <w:p w14:paraId="0304360D">
      <w:pPr>
        <w:spacing w:before="1" w:line="220" w:lineRule="auto"/>
        <w:ind w:left="485"/>
        <w:rPr>
          <w:rFonts w:ascii="宋体" w:hAnsi="宋体" w:eastAsia="宋体" w:cs="宋体"/>
          <w:sz w:val="24"/>
          <w:szCs w:val="24"/>
          <w:highlight w:val="none"/>
        </w:rPr>
      </w:pPr>
      <w:r>
        <w:rPr>
          <w:rFonts w:ascii="宋体" w:hAnsi="宋体" w:eastAsia="宋体" w:cs="宋体"/>
          <w:spacing w:val="-5"/>
          <w:sz w:val="24"/>
          <w:szCs w:val="24"/>
          <w:highlight w:val="none"/>
        </w:rPr>
        <w:t>7.3</w:t>
      </w:r>
      <w:r>
        <w:rPr>
          <w:rFonts w:ascii="宋体" w:hAnsi="宋体" w:eastAsia="宋体" w:cs="宋体"/>
          <w:spacing w:val="-47"/>
          <w:sz w:val="24"/>
          <w:szCs w:val="24"/>
          <w:highlight w:val="none"/>
        </w:rPr>
        <w:t xml:space="preserve"> </w:t>
      </w:r>
      <w:r>
        <w:rPr>
          <w:rFonts w:ascii="宋体" w:hAnsi="宋体" w:eastAsia="宋体" w:cs="宋体"/>
          <w:spacing w:val="-5"/>
          <w:sz w:val="24"/>
          <w:szCs w:val="24"/>
          <w:highlight w:val="none"/>
        </w:rPr>
        <w:t>开工</w:t>
      </w:r>
    </w:p>
    <w:p w14:paraId="2718731F">
      <w:pPr>
        <w:spacing w:before="180" w:line="221"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7.3.1</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开工准备</w:t>
      </w:r>
    </w:p>
    <w:p w14:paraId="64259C60">
      <w:pPr>
        <w:spacing w:before="181" w:line="220" w:lineRule="auto"/>
        <w:ind w:left="483"/>
        <w:rPr>
          <w:rFonts w:ascii="宋体" w:hAnsi="宋体" w:eastAsia="宋体" w:cs="宋体"/>
          <w:sz w:val="24"/>
          <w:szCs w:val="24"/>
          <w:highlight w:val="none"/>
        </w:rPr>
      </w:pPr>
      <w:r>
        <w:rPr>
          <w:rFonts w:ascii="宋体" w:hAnsi="宋体" w:eastAsia="宋体" w:cs="宋体"/>
          <w:spacing w:val="-3"/>
          <w:sz w:val="24"/>
          <w:szCs w:val="24"/>
          <w:highlight w:val="none"/>
        </w:rPr>
        <w:t>关于承包人提交工程开工报审表的期限：开工前</w:t>
      </w:r>
      <w:r>
        <w:rPr>
          <w:rFonts w:ascii="宋体" w:hAnsi="宋体" w:eastAsia="宋体" w:cs="宋体"/>
          <w:spacing w:val="-26"/>
          <w:sz w:val="24"/>
          <w:szCs w:val="24"/>
          <w:highlight w:val="none"/>
        </w:rPr>
        <w:t xml:space="preserve"> </w:t>
      </w:r>
      <w:r>
        <w:rPr>
          <w:rFonts w:ascii="宋体" w:hAnsi="宋体" w:eastAsia="宋体" w:cs="宋体"/>
          <w:spacing w:val="-3"/>
          <w:sz w:val="24"/>
          <w:szCs w:val="24"/>
          <w:highlight w:val="none"/>
        </w:rPr>
        <w:t>7</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天。</w:t>
      </w:r>
    </w:p>
    <w:p w14:paraId="318411DA">
      <w:pPr>
        <w:spacing w:before="180" w:line="220" w:lineRule="auto"/>
        <w:ind w:left="483"/>
        <w:rPr>
          <w:rFonts w:ascii="宋体" w:hAnsi="宋体" w:eastAsia="宋体" w:cs="宋体"/>
          <w:sz w:val="24"/>
          <w:szCs w:val="24"/>
          <w:highlight w:val="none"/>
        </w:rPr>
      </w:pPr>
      <w:r>
        <w:rPr>
          <w:rFonts w:ascii="宋体" w:hAnsi="宋体" w:eastAsia="宋体" w:cs="宋体"/>
          <w:spacing w:val="-4"/>
          <w:sz w:val="24"/>
          <w:szCs w:val="24"/>
          <w:highlight w:val="none"/>
        </w:rPr>
        <w:t>关于发包人应完成的其他开工准备工作及期限：</w:t>
      </w:r>
      <w:r>
        <w:rPr>
          <w:rFonts w:hint="eastAsia" w:ascii="宋体" w:hAnsi="宋体" w:eastAsia="宋体" w:cs="宋体"/>
          <w:spacing w:val="-6"/>
          <w:sz w:val="24"/>
          <w:szCs w:val="24"/>
          <w:highlight w:val="none"/>
          <w:u w:val="single"/>
          <w:lang w:val="en-US" w:eastAsia="zh-CN"/>
        </w:rPr>
        <w:t xml:space="preserve">                    </w:t>
      </w:r>
    </w:p>
    <w:p w14:paraId="629B2E3E">
      <w:pPr>
        <w:spacing w:before="182"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（1）施工场地具备施工条件的要求及完成的时间：开工前</w:t>
      </w:r>
      <w:r>
        <w:rPr>
          <w:rFonts w:ascii="宋体" w:hAnsi="宋体" w:eastAsia="宋体" w:cs="宋体"/>
          <w:spacing w:val="-22"/>
          <w:sz w:val="24"/>
          <w:szCs w:val="24"/>
          <w:highlight w:val="none"/>
        </w:rPr>
        <w:t xml:space="preserve"> </w:t>
      </w:r>
      <w:r>
        <w:rPr>
          <w:rFonts w:ascii="宋体" w:hAnsi="宋体" w:eastAsia="宋体" w:cs="宋体"/>
          <w:spacing w:val="-4"/>
          <w:sz w:val="24"/>
          <w:szCs w:val="24"/>
          <w:highlight w:val="none"/>
        </w:rPr>
        <w:t>7 日内完成。</w:t>
      </w:r>
    </w:p>
    <w:p w14:paraId="454636D8">
      <w:pPr>
        <w:spacing w:before="182" w:line="331" w:lineRule="auto"/>
        <w:ind w:right="63" w:firstLine="485"/>
        <w:rPr>
          <w:rFonts w:ascii="宋体" w:hAnsi="宋体" w:eastAsia="宋体" w:cs="宋体"/>
          <w:sz w:val="24"/>
          <w:szCs w:val="24"/>
          <w:highlight w:val="none"/>
        </w:rPr>
      </w:pPr>
      <w:r>
        <w:rPr>
          <w:rFonts w:ascii="宋体" w:hAnsi="宋体" w:eastAsia="宋体" w:cs="宋体"/>
          <w:spacing w:val="2"/>
          <w:sz w:val="24"/>
          <w:szCs w:val="24"/>
          <w:highlight w:val="none"/>
        </w:rPr>
        <w:t>（2）将施工所需的水、电、电讯线路接至施工</w:t>
      </w:r>
      <w:r>
        <w:rPr>
          <w:rFonts w:ascii="宋体" w:hAnsi="宋体" w:eastAsia="宋体" w:cs="宋体"/>
          <w:spacing w:val="1"/>
          <w:sz w:val="24"/>
          <w:szCs w:val="24"/>
          <w:highlight w:val="none"/>
        </w:rPr>
        <w:t>场地的时间、地点和供应要求：施工用</w:t>
      </w:r>
      <w:r>
        <w:rPr>
          <w:rFonts w:ascii="宋体" w:hAnsi="宋体" w:eastAsia="宋体" w:cs="宋体"/>
          <w:spacing w:val="-1"/>
          <w:sz w:val="24"/>
          <w:szCs w:val="24"/>
          <w:highlight w:val="none"/>
        </w:rPr>
        <w:t>水、电以投标时现场踏勘条件为准，费用由承</w:t>
      </w:r>
      <w:r>
        <w:rPr>
          <w:rFonts w:ascii="宋体" w:hAnsi="宋体" w:eastAsia="宋体" w:cs="宋体"/>
          <w:spacing w:val="-2"/>
          <w:sz w:val="24"/>
          <w:szCs w:val="24"/>
          <w:highlight w:val="none"/>
        </w:rPr>
        <w:t>包人自理，水电安装的申请、协调工作由发包</w:t>
      </w:r>
      <w:r>
        <w:rPr>
          <w:rFonts w:ascii="宋体" w:hAnsi="宋体" w:eastAsia="宋体" w:cs="宋体"/>
          <w:spacing w:val="-6"/>
          <w:sz w:val="24"/>
          <w:szCs w:val="24"/>
          <w:highlight w:val="none"/>
        </w:rPr>
        <w:t>人协助解决。施工现场内其他需做的与施工有关的工作由承包人自行解决，</w:t>
      </w:r>
      <w:r>
        <w:rPr>
          <w:rFonts w:ascii="宋体" w:hAnsi="宋体" w:eastAsia="宋体" w:cs="宋体"/>
          <w:spacing w:val="64"/>
          <w:sz w:val="24"/>
          <w:szCs w:val="24"/>
          <w:highlight w:val="none"/>
        </w:rPr>
        <w:t xml:space="preserve"> </w:t>
      </w:r>
      <w:r>
        <w:rPr>
          <w:rFonts w:ascii="宋体" w:hAnsi="宋体" w:eastAsia="宋体" w:cs="宋体"/>
          <w:spacing w:val="-6"/>
          <w:sz w:val="24"/>
          <w:szCs w:val="24"/>
          <w:highlight w:val="none"/>
        </w:rPr>
        <w:t>费用自理；电讯线路承包人自行解决，费用自理。国有企业和国有控股企业投资项目，</w:t>
      </w:r>
      <w:r>
        <w:rPr>
          <w:rFonts w:ascii="宋体" w:hAnsi="宋体" w:eastAsia="宋体" w:cs="宋体"/>
          <w:spacing w:val="64"/>
          <w:sz w:val="24"/>
          <w:szCs w:val="24"/>
          <w:highlight w:val="none"/>
        </w:rPr>
        <w:t xml:space="preserve"> </w:t>
      </w:r>
      <w:r>
        <w:rPr>
          <w:rFonts w:ascii="宋体" w:hAnsi="宋体" w:eastAsia="宋体" w:cs="宋体"/>
          <w:spacing w:val="-6"/>
          <w:sz w:val="24"/>
          <w:szCs w:val="24"/>
          <w:highlight w:val="none"/>
        </w:rPr>
        <w:t>可参照执行或由发包</w:t>
      </w:r>
      <w:r>
        <w:rPr>
          <w:rFonts w:ascii="宋体" w:hAnsi="宋体" w:eastAsia="宋体" w:cs="宋体"/>
          <w:spacing w:val="-5"/>
          <w:sz w:val="24"/>
          <w:szCs w:val="24"/>
          <w:highlight w:val="none"/>
        </w:rPr>
        <w:t>（招标）人另行规定。</w:t>
      </w:r>
    </w:p>
    <w:p w14:paraId="0FA28153">
      <w:pPr>
        <w:spacing w:before="181"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（3）施工场地与公共道路的通道开通时间和要求：已开通。</w:t>
      </w:r>
    </w:p>
    <w:p w14:paraId="5361B075">
      <w:pPr>
        <w:spacing w:before="180" w:line="219"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（4）工程地质和地下管线资料的提供时间：开工前</w:t>
      </w:r>
      <w:r>
        <w:rPr>
          <w:rFonts w:ascii="宋体" w:hAnsi="宋体" w:eastAsia="宋体" w:cs="宋体"/>
          <w:spacing w:val="-32"/>
          <w:sz w:val="24"/>
          <w:szCs w:val="24"/>
          <w:highlight w:val="none"/>
        </w:rPr>
        <w:t xml:space="preserve"> </w:t>
      </w:r>
      <w:r>
        <w:rPr>
          <w:rFonts w:ascii="宋体" w:hAnsi="宋体" w:eastAsia="宋体" w:cs="宋体"/>
          <w:spacing w:val="-4"/>
          <w:sz w:val="24"/>
          <w:szCs w:val="24"/>
          <w:highlight w:val="none"/>
        </w:rPr>
        <w:t>7 日内完</w:t>
      </w:r>
      <w:r>
        <w:rPr>
          <w:rFonts w:ascii="宋体" w:hAnsi="宋体" w:eastAsia="宋体" w:cs="宋体"/>
          <w:spacing w:val="-5"/>
          <w:sz w:val="24"/>
          <w:szCs w:val="24"/>
          <w:highlight w:val="none"/>
        </w:rPr>
        <w:t>成。</w:t>
      </w:r>
    </w:p>
    <w:p w14:paraId="674FC28E">
      <w:pPr>
        <w:spacing w:before="183" w:line="220"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（5）由发包人办理的施工所需证件、批件的名称和完成时间：</w:t>
      </w:r>
    </w:p>
    <w:p w14:paraId="6FA2FDCA">
      <w:pPr>
        <w:spacing w:before="179" w:line="313" w:lineRule="auto"/>
        <w:ind w:right="62" w:firstLine="485"/>
        <w:rPr>
          <w:rFonts w:ascii="宋体" w:hAnsi="宋体" w:eastAsia="宋体" w:cs="宋体"/>
          <w:sz w:val="24"/>
          <w:szCs w:val="24"/>
          <w:highlight w:val="none"/>
        </w:rPr>
      </w:pPr>
      <w:r>
        <w:rPr>
          <w:rFonts w:ascii="宋体" w:hAnsi="宋体" w:eastAsia="宋体" w:cs="宋体"/>
          <w:spacing w:val="-2"/>
          <w:sz w:val="24"/>
          <w:szCs w:val="24"/>
          <w:highlight w:val="none"/>
        </w:rPr>
        <w:t>（6）水准点与座标控制点交验要求：发包人在开工前 3</w:t>
      </w:r>
      <w:r>
        <w:rPr>
          <w:rFonts w:ascii="宋体" w:hAnsi="宋体" w:eastAsia="宋体" w:cs="宋体"/>
          <w:spacing w:val="29"/>
          <w:sz w:val="24"/>
          <w:szCs w:val="24"/>
          <w:highlight w:val="none"/>
        </w:rPr>
        <w:t xml:space="preserve"> </w:t>
      </w:r>
      <w:r>
        <w:rPr>
          <w:rFonts w:ascii="宋体" w:hAnsi="宋体" w:eastAsia="宋体" w:cs="宋体"/>
          <w:spacing w:val="-3"/>
          <w:sz w:val="24"/>
          <w:szCs w:val="24"/>
          <w:highlight w:val="none"/>
        </w:rPr>
        <w:t>日内进行书面移交并进行现场</w:t>
      </w:r>
      <w:r>
        <w:rPr>
          <w:rFonts w:ascii="宋体" w:hAnsi="宋体" w:eastAsia="宋体" w:cs="宋体"/>
          <w:spacing w:val="-1"/>
          <w:sz w:val="24"/>
          <w:szCs w:val="24"/>
          <w:highlight w:val="none"/>
        </w:rPr>
        <w:t>交验；承包人有义务对发包人提交的原始数据进行复核；</w:t>
      </w:r>
      <w:r>
        <w:rPr>
          <w:rFonts w:ascii="宋体" w:hAnsi="宋体" w:eastAsia="宋体" w:cs="宋体"/>
          <w:spacing w:val="-2"/>
          <w:sz w:val="24"/>
          <w:szCs w:val="24"/>
          <w:highlight w:val="none"/>
        </w:rPr>
        <w:t>若承包人未尽复核义务而造成不良</w:t>
      </w:r>
      <w:r>
        <w:rPr>
          <w:rFonts w:ascii="宋体" w:hAnsi="宋体" w:eastAsia="宋体" w:cs="宋体"/>
          <w:spacing w:val="-4"/>
          <w:sz w:val="24"/>
          <w:szCs w:val="24"/>
          <w:highlight w:val="none"/>
        </w:rPr>
        <w:t>后果的，其责任由承包人承担。</w:t>
      </w:r>
    </w:p>
    <w:p w14:paraId="3A7BA6FD">
      <w:pPr>
        <w:spacing w:line="313" w:lineRule="auto"/>
        <w:rPr>
          <w:rFonts w:ascii="宋体" w:hAnsi="宋体" w:eastAsia="宋体" w:cs="宋体"/>
          <w:sz w:val="24"/>
          <w:szCs w:val="24"/>
          <w:highlight w:val="none"/>
        </w:rPr>
        <w:sectPr>
          <w:footerReference r:id="rId44" w:type="default"/>
          <w:pgSz w:w="11907" w:h="16839"/>
          <w:pgMar w:top="1425" w:right="1109" w:bottom="1129" w:left="1186" w:header="0" w:footer="898" w:gutter="0"/>
          <w:cols w:space="720" w:num="1"/>
        </w:sectPr>
      </w:pPr>
    </w:p>
    <w:p w14:paraId="4CFC9B2D">
      <w:pPr>
        <w:spacing w:before="47" w:line="219" w:lineRule="auto"/>
        <w:ind w:left="487"/>
        <w:rPr>
          <w:rFonts w:ascii="宋体" w:hAnsi="宋体" w:eastAsia="宋体" w:cs="宋体"/>
          <w:sz w:val="24"/>
          <w:szCs w:val="24"/>
          <w:highlight w:val="none"/>
        </w:rPr>
      </w:pPr>
      <w:r>
        <w:rPr>
          <w:rFonts w:ascii="宋体" w:hAnsi="宋体" w:eastAsia="宋体" w:cs="宋体"/>
          <w:spacing w:val="-5"/>
          <w:sz w:val="24"/>
          <w:szCs w:val="24"/>
          <w:highlight w:val="none"/>
        </w:rPr>
        <w:t>（7）图纸会审和设计交底时间：开工前</w:t>
      </w:r>
      <w:r>
        <w:rPr>
          <w:rFonts w:ascii="宋体" w:hAnsi="宋体" w:eastAsia="宋体" w:cs="宋体"/>
          <w:spacing w:val="-30"/>
          <w:sz w:val="24"/>
          <w:szCs w:val="24"/>
          <w:highlight w:val="none"/>
        </w:rPr>
        <w:t xml:space="preserve"> </w:t>
      </w:r>
      <w:r>
        <w:rPr>
          <w:rFonts w:ascii="宋体" w:hAnsi="宋体" w:eastAsia="宋体" w:cs="宋体"/>
          <w:spacing w:val="-5"/>
          <w:sz w:val="24"/>
          <w:szCs w:val="24"/>
          <w:highlight w:val="none"/>
        </w:rPr>
        <w:t>7 日内完成。</w:t>
      </w:r>
    </w:p>
    <w:p w14:paraId="381D762F">
      <w:pPr>
        <w:spacing w:before="184" w:line="324" w:lineRule="auto"/>
        <w:ind w:right="93" w:firstLine="486"/>
        <w:rPr>
          <w:rFonts w:ascii="宋体" w:hAnsi="宋体" w:eastAsia="宋体" w:cs="宋体"/>
          <w:sz w:val="24"/>
          <w:szCs w:val="24"/>
          <w:highlight w:val="none"/>
        </w:rPr>
      </w:pPr>
      <w:r>
        <w:rPr>
          <w:rFonts w:ascii="宋体" w:hAnsi="宋体" w:eastAsia="宋体" w:cs="宋体"/>
          <w:spacing w:val="1"/>
          <w:sz w:val="24"/>
          <w:szCs w:val="24"/>
          <w:highlight w:val="none"/>
        </w:rPr>
        <w:t>（8）协调处理施工场地周围地下管线和邻近建筑物、构筑物（含文物保护建筑）、古</w:t>
      </w:r>
      <w:r>
        <w:rPr>
          <w:rFonts w:ascii="宋体" w:hAnsi="宋体" w:eastAsia="宋体" w:cs="宋体"/>
          <w:spacing w:val="-2"/>
          <w:sz w:val="24"/>
          <w:szCs w:val="24"/>
          <w:highlight w:val="none"/>
        </w:rPr>
        <w:t>树名木的保护工作：发包人负责协调相关单位进行处理，因处理或保护而发生的措施费用，</w:t>
      </w:r>
      <w:r>
        <w:rPr>
          <w:rFonts w:ascii="宋体" w:hAnsi="宋体" w:eastAsia="宋体" w:cs="宋体"/>
          <w:spacing w:val="-5"/>
          <w:sz w:val="24"/>
          <w:szCs w:val="24"/>
          <w:highlight w:val="none"/>
        </w:rPr>
        <w:t>已经包含在合同价款内；因保护处理影响工期</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5 日以内的，总工期不予顺延，超过</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 xml:space="preserve">5 </w:t>
      </w:r>
      <w:r>
        <w:rPr>
          <w:rFonts w:ascii="宋体" w:hAnsi="宋体" w:eastAsia="宋体" w:cs="宋体"/>
          <w:spacing w:val="-6"/>
          <w:sz w:val="24"/>
          <w:szCs w:val="24"/>
          <w:highlight w:val="none"/>
        </w:rPr>
        <w:t>日的，</w:t>
      </w:r>
      <w:r>
        <w:rPr>
          <w:rFonts w:ascii="宋体" w:hAnsi="宋体" w:eastAsia="宋体" w:cs="宋体"/>
          <w:spacing w:val="-4"/>
          <w:sz w:val="24"/>
          <w:szCs w:val="24"/>
          <w:highlight w:val="none"/>
        </w:rPr>
        <w:t>经发包人签证后可以顺延。</w:t>
      </w:r>
    </w:p>
    <w:p w14:paraId="3C0C686D">
      <w:pPr>
        <w:spacing w:before="181"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（9）双方约定发包人应做的其他工作：双方另行协商。</w:t>
      </w:r>
    </w:p>
    <w:p w14:paraId="0F78B5F3">
      <w:pPr>
        <w:spacing w:before="179"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（10）发包人委托承包人办理的工作：双方另行协商。</w:t>
      </w:r>
    </w:p>
    <w:p w14:paraId="515F4D85">
      <w:pPr>
        <w:spacing w:before="182"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关于承包人应完成的其他开工准备工作及期限：</w:t>
      </w:r>
    </w:p>
    <w:p w14:paraId="1C5FB8A9">
      <w:pPr>
        <w:spacing w:before="181" w:line="290" w:lineRule="auto"/>
        <w:ind w:left="1" w:right="95" w:firstLine="485"/>
        <w:rPr>
          <w:rFonts w:ascii="宋体" w:hAnsi="宋体" w:eastAsia="宋体" w:cs="宋体"/>
          <w:sz w:val="24"/>
          <w:szCs w:val="24"/>
          <w:highlight w:val="none"/>
        </w:rPr>
      </w:pPr>
      <w:r>
        <w:rPr>
          <w:rFonts w:ascii="宋体" w:hAnsi="宋体" w:eastAsia="宋体" w:cs="宋体"/>
          <w:spacing w:val="1"/>
          <w:sz w:val="24"/>
          <w:szCs w:val="24"/>
          <w:highlight w:val="none"/>
        </w:rPr>
        <w:t>（1）需由设计资质等级和业务范围允许的承包人完成的设计文件提交时间：双方另行</w:t>
      </w:r>
      <w:r>
        <w:rPr>
          <w:rFonts w:ascii="宋体" w:hAnsi="宋体" w:eastAsia="宋体" w:cs="宋体"/>
          <w:spacing w:val="-11"/>
          <w:sz w:val="24"/>
          <w:szCs w:val="24"/>
          <w:highlight w:val="none"/>
        </w:rPr>
        <w:t>协商。</w:t>
      </w:r>
    </w:p>
    <w:p w14:paraId="4746C181">
      <w:pPr>
        <w:spacing w:before="177" w:line="313" w:lineRule="auto"/>
        <w:ind w:right="84" w:firstLine="487"/>
        <w:rPr>
          <w:rFonts w:ascii="宋体" w:hAnsi="宋体" w:eastAsia="宋体" w:cs="宋体"/>
          <w:sz w:val="24"/>
          <w:szCs w:val="24"/>
          <w:highlight w:val="none"/>
        </w:rPr>
      </w:pPr>
      <w:r>
        <w:rPr>
          <w:rFonts w:ascii="宋体" w:hAnsi="宋体" w:eastAsia="宋体" w:cs="宋体"/>
          <w:spacing w:val="-8"/>
          <w:sz w:val="24"/>
          <w:szCs w:val="24"/>
          <w:highlight w:val="none"/>
        </w:rPr>
        <w:t>（2）应提供计划、报表的名称及完成时间：</w:t>
      </w:r>
      <w:r>
        <w:rPr>
          <w:rFonts w:ascii="宋体" w:hAnsi="宋体" w:eastAsia="宋体" w:cs="宋体"/>
          <w:spacing w:val="67"/>
          <w:sz w:val="24"/>
          <w:szCs w:val="24"/>
          <w:highlight w:val="none"/>
        </w:rPr>
        <w:t xml:space="preserve"> </w:t>
      </w:r>
      <w:r>
        <w:rPr>
          <w:rFonts w:ascii="宋体" w:hAnsi="宋体" w:eastAsia="宋体" w:cs="宋体"/>
          <w:spacing w:val="-8"/>
          <w:sz w:val="24"/>
          <w:szCs w:val="24"/>
          <w:highlight w:val="none"/>
        </w:rPr>
        <w:t>每月</w:t>
      </w:r>
      <w:r>
        <w:rPr>
          <w:rFonts w:ascii="宋体" w:hAnsi="宋体" w:eastAsia="宋体" w:cs="宋体"/>
          <w:spacing w:val="-47"/>
          <w:sz w:val="24"/>
          <w:szCs w:val="24"/>
          <w:highlight w:val="none"/>
        </w:rPr>
        <w:t xml:space="preserve"> </w:t>
      </w:r>
      <w:r>
        <w:rPr>
          <w:rFonts w:ascii="宋体" w:hAnsi="宋体" w:eastAsia="宋体" w:cs="宋体"/>
          <w:spacing w:val="-8"/>
          <w:sz w:val="24"/>
          <w:szCs w:val="24"/>
          <w:highlight w:val="none"/>
        </w:rPr>
        <w:t>25 日提交本月工程报表和下月工程计</w:t>
      </w:r>
      <w:r>
        <w:rPr>
          <w:rFonts w:ascii="宋体" w:hAnsi="宋体" w:eastAsia="宋体" w:cs="宋体"/>
          <w:spacing w:val="-1"/>
          <w:sz w:val="24"/>
          <w:szCs w:val="24"/>
          <w:highlight w:val="none"/>
        </w:rPr>
        <w:t>划表</w:t>
      </w:r>
      <w:r>
        <w:rPr>
          <w:rFonts w:ascii="宋体" w:hAnsi="宋体" w:eastAsia="宋体" w:cs="宋体"/>
          <w:spacing w:val="-4"/>
          <w:sz w:val="24"/>
          <w:szCs w:val="24"/>
          <w:highlight w:val="none"/>
        </w:rPr>
        <w:t>，（</w:t>
      </w:r>
      <w:r>
        <w:rPr>
          <w:rFonts w:ascii="宋体" w:hAnsi="宋体" w:eastAsia="宋体" w:cs="宋体"/>
          <w:spacing w:val="-1"/>
          <w:sz w:val="24"/>
          <w:szCs w:val="24"/>
          <w:highlight w:val="none"/>
        </w:rPr>
        <w:t>报表和计划表应包括质量、进度、安全、投资、材料计划等内</w:t>
      </w:r>
      <w:r>
        <w:rPr>
          <w:rFonts w:ascii="宋体" w:hAnsi="宋体" w:eastAsia="宋体" w:cs="宋体"/>
          <w:spacing w:val="-2"/>
          <w:sz w:val="24"/>
          <w:szCs w:val="24"/>
          <w:highlight w:val="none"/>
        </w:rPr>
        <w:t>容，反映存在的问题</w:t>
      </w:r>
      <w:r>
        <w:rPr>
          <w:rFonts w:ascii="宋体" w:hAnsi="宋体" w:eastAsia="宋体" w:cs="宋体"/>
          <w:spacing w:val="-1"/>
          <w:sz w:val="24"/>
          <w:szCs w:val="24"/>
          <w:highlight w:val="none"/>
        </w:rPr>
        <w:t>和应对措施；一式叁份提交发包人)。</w:t>
      </w:r>
    </w:p>
    <w:p w14:paraId="426F4D02">
      <w:pPr>
        <w:spacing w:before="184" w:line="288" w:lineRule="auto"/>
        <w:ind w:right="110" w:firstLine="486"/>
        <w:rPr>
          <w:rFonts w:ascii="宋体" w:hAnsi="宋体" w:eastAsia="宋体" w:cs="宋体"/>
          <w:sz w:val="24"/>
          <w:szCs w:val="24"/>
          <w:highlight w:val="none"/>
        </w:rPr>
      </w:pPr>
      <w:r>
        <w:rPr>
          <w:rFonts w:ascii="宋体" w:hAnsi="宋体" w:eastAsia="宋体" w:cs="宋体"/>
          <w:spacing w:val="1"/>
          <w:sz w:val="24"/>
          <w:szCs w:val="24"/>
          <w:highlight w:val="none"/>
        </w:rPr>
        <w:t>（3）承担施工安全保卫工作及非夜间施工照明的责任和要求：承包人负责，</w:t>
      </w:r>
      <w:r>
        <w:rPr>
          <w:rFonts w:ascii="宋体" w:hAnsi="宋体" w:eastAsia="宋体" w:cs="宋体"/>
          <w:sz w:val="24"/>
          <w:szCs w:val="24"/>
          <w:highlight w:val="none"/>
        </w:rPr>
        <w:t>其费用由</w:t>
      </w:r>
      <w:r>
        <w:rPr>
          <w:rFonts w:ascii="宋体" w:hAnsi="宋体" w:eastAsia="宋体" w:cs="宋体"/>
          <w:spacing w:val="-4"/>
          <w:sz w:val="24"/>
          <w:szCs w:val="24"/>
          <w:highlight w:val="none"/>
        </w:rPr>
        <w:t>承包人在措施费中考虑。</w:t>
      </w:r>
    </w:p>
    <w:p w14:paraId="0A3FCDC1">
      <w:pPr>
        <w:spacing w:before="183" w:line="290" w:lineRule="auto"/>
        <w:ind w:left="5" w:right="101" w:firstLine="482"/>
        <w:rPr>
          <w:rFonts w:ascii="宋体" w:hAnsi="宋体" w:eastAsia="宋体" w:cs="宋体"/>
          <w:sz w:val="24"/>
          <w:szCs w:val="24"/>
          <w:highlight w:val="none"/>
        </w:rPr>
      </w:pPr>
      <w:r>
        <w:rPr>
          <w:rFonts w:ascii="宋体" w:hAnsi="宋体" w:eastAsia="宋体" w:cs="宋体"/>
          <w:spacing w:val="1"/>
          <w:sz w:val="24"/>
          <w:szCs w:val="24"/>
          <w:highlight w:val="none"/>
        </w:rPr>
        <w:t>（4）向发包人提供的办公和生活房屋及设施的要求：为发包人、监理单位提供足够的</w:t>
      </w:r>
      <w:r>
        <w:rPr>
          <w:rFonts w:ascii="宋体" w:hAnsi="宋体" w:eastAsia="宋体" w:cs="宋体"/>
          <w:spacing w:val="-8"/>
          <w:sz w:val="24"/>
          <w:szCs w:val="24"/>
          <w:highlight w:val="none"/>
        </w:rPr>
        <w:t>办公用房。</w:t>
      </w:r>
    </w:p>
    <w:p w14:paraId="76E2D16B">
      <w:pPr>
        <w:spacing w:before="182" w:line="289" w:lineRule="auto"/>
        <w:ind w:left="3" w:right="88" w:firstLine="484"/>
        <w:rPr>
          <w:rFonts w:ascii="宋体" w:hAnsi="宋体" w:eastAsia="宋体" w:cs="宋体"/>
          <w:sz w:val="24"/>
          <w:szCs w:val="24"/>
          <w:highlight w:val="none"/>
        </w:rPr>
      </w:pPr>
      <w:r>
        <w:rPr>
          <w:rFonts w:ascii="宋体" w:hAnsi="宋体" w:eastAsia="宋体" w:cs="宋体"/>
          <w:spacing w:val="1"/>
          <w:sz w:val="24"/>
          <w:szCs w:val="24"/>
          <w:highlight w:val="none"/>
        </w:rPr>
        <w:t>（5）需承包人办理的有关施工场地交通、环卫和施工噪音管理等手续：承包人负责办</w:t>
      </w:r>
      <w:r>
        <w:rPr>
          <w:rFonts w:ascii="宋体" w:hAnsi="宋体" w:eastAsia="宋体" w:cs="宋体"/>
          <w:spacing w:val="-3"/>
          <w:sz w:val="24"/>
          <w:szCs w:val="24"/>
          <w:highlight w:val="none"/>
        </w:rPr>
        <w:t>理，其费用由承包人在措施费中考虑。</w:t>
      </w:r>
    </w:p>
    <w:p w14:paraId="4FB2D763">
      <w:pPr>
        <w:spacing w:before="180"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（6）已完工程成品保护的特殊要求及费用承担：执行通用条款。</w:t>
      </w:r>
    </w:p>
    <w:p w14:paraId="3F8C39C2">
      <w:pPr>
        <w:spacing w:before="184" w:line="312" w:lineRule="auto"/>
        <w:ind w:left="1" w:right="96" w:firstLine="485"/>
        <w:rPr>
          <w:rFonts w:ascii="宋体" w:hAnsi="宋体" w:eastAsia="宋体" w:cs="宋体"/>
          <w:sz w:val="24"/>
          <w:szCs w:val="24"/>
          <w:highlight w:val="none"/>
        </w:rPr>
      </w:pPr>
      <w:r>
        <w:rPr>
          <w:rFonts w:ascii="宋体" w:hAnsi="宋体" w:eastAsia="宋体" w:cs="宋体"/>
          <w:spacing w:val="1"/>
          <w:sz w:val="24"/>
          <w:szCs w:val="24"/>
          <w:highlight w:val="none"/>
        </w:rPr>
        <w:t>（7）施工场地周围地下管线和邻近建筑物、构筑物（含文物保护建筑）、古树名木的</w:t>
      </w:r>
      <w:r>
        <w:rPr>
          <w:rFonts w:ascii="宋体" w:hAnsi="宋体" w:eastAsia="宋体" w:cs="宋体"/>
          <w:spacing w:val="-2"/>
          <w:sz w:val="24"/>
          <w:szCs w:val="24"/>
          <w:highlight w:val="none"/>
        </w:rPr>
        <w:t>保护要求及费用承担：承包人负责施工场地及周围地上地下管线和邻近建筑物、构筑物（含文物保护建筑）、古树名木的保护，其费用由承包人在措施费中考虑。</w:t>
      </w:r>
    </w:p>
    <w:p w14:paraId="240BB26E">
      <w:pPr>
        <w:spacing w:before="181" w:line="220"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（8）施工场清洁卫生的要求：符合六安市对施工</w:t>
      </w:r>
      <w:r>
        <w:rPr>
          <w:rFonts w:ascii="宋体" w:hAnsi="宋体" w:eastAsia="宋体" w:cs="宋体"/>
          <w:spacing w:val="-3"/>
          <w:sz w:val="24"/>
          <w:szCs w:val="24"/>
          <w:highlight w:val="none"/>
        </w:rPr>
        <w:t>场地文明施工和清洁卫生的有关要求。</w:t>
      </w:r>
    </w:p>
    <w:p w14:paraId="7FCA8E6B">
      <w:pPr>
        <w:spacing w:before="182"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（9）双方约定承包人应做的其他工作：双方另行协商。。</w:t>
      </w:r>
    </w:p>
    <w:p w14:paraId="3B26C417">
      <w:pPr>
        <w:spacing w:before="180" w:line="221"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7.3.2</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开工通知</w:t>
      </w:r>
    </w:p>
    <w:p w14:paraId="1438E9D3">
      <w:pPr>
        <w:spacing w:before="181" w:line="359" w:lineRule="auto"/>
        <w:ind w:left="1" w:right="86" w:firstLine="498"/>
        <w:rPr>
          <w:rFonts w:ascii="宋体" w:hAnsi="宋体" w:eastAsia="宋体" w:cs="宋体"/>
          <w:sz w:val="24"/>
          <w:szCs w:val="24"/>
          <w:highlight w:val="none"/>
        </w:rPr>
      </w:pPr>
      <w:r>
        <w:rPr>
          <w:rFonts w:ascii="宋体" w:hAnsi="宋体" w:eastAsia="宋体" w:cs="宋体"/>
          <w:spacing w:val="-3"/>
          <w:sz w:val="24"/>
          <w:szCs w:val="24"/>
          <w:highlight w:val="none"/>
        </w:rPr>
        <w:t>因发包人原因造成监理人未能在计划开工日期之日起</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180</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天内发出开工通知的，承包人有权提出价格调整要求，或者解除合同。</w:t>
      </w:r>
    </w:p>
    <w:p w14:paraId="182D45FB">
      <w:pPr>
        <w:spacing w:before="1" w:line="220"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7.4</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测量放线</w:t>
      </w:r>
    </w:p>
    <w:p w14:paraId="359272C8">
      <w:pPr>
        <w:spacing w:before="179" w:line="219" w:lineRule="auto"/>
        <w:ind w:left="487"/>
        <w:rPr>
          <w:rFonts w:ascii="宋体" w:hAnsi="宋体" w:eastAsia="宋体" w:cs="宋体"/>
          <w:sz w:val="24"/>
          <w:szCs w:val="24"/>
          <w:highlight w:val="none"/>
        </w:rPr>
      </w:pPr>
      <w:r>
        <w:rPr>
          <w:rFonts w:ascii="宋体" w:hAnsi="宋体" w:eastAsia="宋体" w:cs="宋体"/>
          <w:spacing w:val="-1"/>
          <w:sz w:val="24"/>
          <w:szCs w:val="24"/>
          <w:highlight w:val="none"/>
        </w:rPr>
        <w:t>7.4.1</w:t>
      </w:r>
      <w:r>
        <w:rPr>
          <w:rFonts w:ascii="宋体" w:hAnsi="宋体" w:eastAsia="宋体" w:cs="宋体"/>
          <w:spacing w:val="-22"/>
          <w:sz w:val="24"/>
          <w:szCs w:val="24"/>
          <w:highlight w:val="none"/>
        </w:rPr>
        <w:t xml:space="preserve"> </w:t>
      </w:r>
      <w:r>
        <w:rPr>
          <w:rFonts w:ascii="宋体" w:hAnsi="宋体" w:eastAsia="宋体" w:cs="宋体"/>
          <w:spacing w:val="-1"/>
          <w:sz w:val="24"/>
          <w:szCs w:val="24"/>
          <w:highlight w:val="none"/>
        </w:rPr>
        <w:t>发包人通过监理人向承包人提供测量基准点、基准线和水准点及其书面资料的期</w:t>
      </w:r>
    </w:p>
    <w:p w14:paraId="700F6430">
      <w:pPr>
        <w:spacing w:line="219" w:lineRule="auto"/>
        <w:rPr>
          <w:rFonts w:ascii="宋体" w:hAnsi="宋体" w:eastAsia="宋体" w:cs="宋体"/>
          <w:sz w:val="24"/>
          <w:szCs w:val="24"/>
          <w:highlight w:val="none"/>
        </w:rPr>
        <w:sectPr>
          <w:footerReference r:id="rId45" w:type="default"/>
          <w:pgSz w:w="11907" w:h="16839"/>
          <w:pgMar w:top="1425" w:right="1088" w:bottom="1129" w:left="1184" w:header="0" w:footer="898" w:gutter="0"/>
          <w:cols w:space="720" w:num="1"/>
        </w:sectPr>
      </w:pPr>
    </w:p>
    <w:p w14:paraId="797B5269">
      <w:pPr>
        <w:spacing w:before="48" w:line="220" w:lineRule="auto"/>
        <w:ind w:left="18"/>
        <w:rPr>
          <w:rFonts w:ascii="宋体" w:hAnsi="宋体" w:eastAsia="宋体" w:cs="宋体"/>
          <w:sz w:val="24"/>
          <w:szCs w:val="24"/>
          <w:highlight w:val="none"/>
        </w:rPr>
      </w:pPr>
      <w:r>
        <w:rPr>
          <w:rFonts w:ascii="宋体" w:hAnsi="宋体" w:eastAsia="宋体" w:cs="宋体"/>
          <w:spacing w:val="-9"/>
          <w:sz w:val="24"/>
          <w:szCs w:val="24"/>
          <w:highlight w:val="none"/>
        </w:rPr>
        <w:t>限：开工前</w:t>
      </w:r>
      <w:r>
        <w:rPr>
          <w:rFonts w:ascii="宋体" w:hAnsi="宋体" w:eastAsia="宋体" w:cs="宋体"/>
          <w:spacing w:val="-40"/>
          <w:sz w:val="24"/>
          <w:szCs w:val="24"/>
          <w:highlight w:val="none"/>
        </w:rPr>
        <w:t xml:space="preserve"> </w:t>
      </w:r>
      <w:r>
        <w:rPr>
          <w:rFonts w:ascii="宋体" w:hAnsi="宋体" w:eastAsia="宋体" w:cs="宋体"/>
          <w:spacing w:val="-9"/>
          <w:sz w:val="24"/>
          <w:szCs w:val="24"/>
          <w:highlight w:val="none"/>
        </w:rPr>
        <w:t>3</w:t>
      </w:r>
      <w:r>
        <w:rPr>
          <w:rFonts w:ascii="宋体" w:hAnsi="宋体" w:eastAsia="宋体" w:cs="宋体"/>
          <w:spacing w:val="-46"/>
          <w:sz w:val="24"/>
          <w:szCs w:val="24"/>
          <w:highlight w:val="none"/>
        </w:rPr>
        <w:t xml:space="preserve"> </w:t>
      </w:r>
      <w:r>
        <w:rPr>
          <w:rFonts w:ascii="宋体" w:hAnsi="宋体" w:eastAsia="宋体" w:cs="宋体"/>
          <w:spacing w:val="-9"/>
          <w:sz w:val="24"/>
          <w:szCs w:val="24"/>
          <w:highlight w:val="none"/>
        </w:rPr>
        <w:t>天。</w:t>
      </w:r>
    </w:p>
    <w:p w14:paraId="2E81F802">
      <w:pPr>
        <w:spacing w:before="182" w:line="220" w:lineRule="auto"/>
        <w:ind w:left="488"/>
        <w:rPr>
          <w:rFonts w:ascii="宋体" w:hAnsi="宋体" w:eastAsia="宋体" w:cs="宋体"/>
          <w:sz w:val="24"/>
          <w:szCs w:val="24"/>
          <w:highlight w:val="none"/>
        </w:rPr>
      </w:pPr>
      <w:r>
        <w:rPr>
          <w:rFonts w:ascii="宋体" w:hAnsi="宋体" w:eastAsia="宋体" w:cs="宋体"/>
          <w:spacing w:val="-4"/>
          <w:sz w:val="24"/>
          <w:szCs w:val="24"/>
          <w:highlight w:val="none"/>
        </w:rPr>
        <w:t>7.5</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工期延误</w:t>
      </w:r>
    </w:p>
    <w:p w14:paraId="34F6077B">
      <w:pPr>
        <w:spacing w:before="179" w:line="220" w:lineRule="auto"/>
        <w:ind w:left="488"/>
        <w:rPr>
          <w:rFonts w:ascii="宋体" w:hAnsi="宋体" w:eastAsia="宋体" w:cs="宋体"/>
          <w:sz w:val="24"/>
          <w:szCs w:val="24"/>
          <w:highlight w:val="none"/>
        </w:rPr>
      </w:pPr>
      <w:r>
        <w:rPr>
          <w:rFonts w:ascii="宋体" w:hAnsi="宋体" w:eastAsia="宋体" w:cs="宋体"/>
          <w:spacing w:val="-3"/>
          <w:sz w:val="24"/>
          <w:szCs w:val="24"/>
          <w:highlight w:val="none"/>
        </w:rPr>
        <w:t>7.5.1</w:t>
      </w:r>
      <w:r>
        <w:rPr>
          <w:rFonts w:ascii="宋体" w:hAnsi="宋体" w:eastAsia="宋体" w:cs="宋体"/>
          <w:spacing w:val="-23"/>
          <w:sz w:val="24"/>
          <w:szCs w:val="24"/>
          <w:highlight w:val="none"/>
        </w:rPr>
        <w:t xml:space="preserve"> </w:t>
      </w:r>
      <w:r>
        <w:rPr>
          <w:rFonts w:ascii="宋体" w:hAnsi="宋体" w:eastAsia="宋体" w:cs="宋体"/>
          <w:spacing w:val="-3"/>
          <w:sz w:val="24"/>
          <w:szCs w:val="24"/>
          <w:highlight w:val="none"/>
        </w:rPr>
        <w:t>因发包人原因导致工期延误</w:t>
      </w:r>
    </w:p>
    <w:p w14:paraId="03792F03">
      <w:pPr>
        <w:spacing w:before="182" w:line="220" w:lineRule="auto"/>
        <w:ind w:left="488"/>
        <w:rPr>
          <w:rFonts w:ascii="宋体" w:hAnsi="宋体" w:eastAsia="宋体" w:cs="宋体"/>
          <w:sz w:val="24"/>
          <w:szCs w:val="24"/>
          <w:highlight w:val="none"/>
        </w:rPr>
      </w:pPr>
      <w:r>
        <w:rPr>
          <w:rFonts w:ascii="宋体" w:hAnsi="宋体" w:eastAsia="宋体" w:cs="宋体"/>
          <w:spacing w:val="-4"/>
          <w:sz w:val="24"/>
          <w:szCs w:val="24"/>
          <w:highlight w:val="none"/>
        </w:rPr>
        <w:t>（7）因发包人原因导致工期延误的其他情形：</w:t>
      </w:r>
    </w:p>
    <w:p w14:paraId="361E641E">
      <w:pPr>
        <w:spacing w:before="179" w:line="217" w:lineRule="auto"/>
        <w:ind w:left="546"/>
        <w:rPr>
          <w:rFonts w:ascii="宋体" w:hAnsi="宋体" w:eastAsia="宋体" w:cs="宋体"/>
          <w:sz w:val="24"/>
          <w:szCs w:val="24"/>
          <w:highlight w:val="none"/>
        </w:rPr>
      </w:pPr>
      <w:r>
        <w:rPr>
          <w:rFonts w:ascii="宋体" w:hAnsi="宋体" w:eastAsia="宋体" w:cs="宋体"/>
          <w:spacing w:val="-5"/>
          <w:sz w:val="24"/>
          <w:szCs w:val="24"/>
          <w:highlight w:val="none"/>
        </w:rPr>
        <w:t>①重大设计变更而影响施工进度；</w:t>
      </w:r>
    </w:p>
    <w:p w14:paraId="50D1C013">
      <w:pPr>
        <w:spacing w:before="185" w:line="217" w:lineRule="auto"/>
        <w:ind w:left="480"/>
        <w:rPr>
          <w:rFonts w:ascii="宋体" w:hAnsi="宋体" w:eastAsia="宋体" w:cs="宋体"/>
          <w:sz w:val="24"/>
          <w:szCs w:val="24"/>
          <w:highlight w:val="none"/>
        </w:rPr>
      </w:pPr>
      <w:r>
        <w:rPr>
          <w:rFonts w:ascii="宋体" w:hAnsi="宋体" w:eastAsia="宋体" w:cs="宋体"/>
          <w:spacing w:val="-5"/>
          <w:sz w:val="24"/>
          <w:szCs w:val="24"/>
          <w:highlight w:val="none"/>
        </w:rPr>
        <w:t>②政策处理问题影响施工进度；</w:t>
      </w:r>
    </w:p>
    <w:p w14:paraId="24F2EF7B">
      <w:pPr>
        <w:spacing w:before="184" w:line="217" w:lineRule="auto"/>
        <w:ind w:left="480"/>
        <w:rPr>
          <w:rFonts w:ascii="宋体" w:hAnsi="宋体" w:eastAsia="宋体" w:cs="宋体"/>
          <w:sz w:val="24"/>
          <w:szCs w:val="24"/>
          <w:highlight w:val="none"/>
        </w:rPr>
      </w:pPr>
      <w:r>
        <w:rPr>
          <w:rFonts w:ascii="宋体" w:hAnsi="宋体" w:eastAsia="宋体" w:cs="宋体"/>
          <w:spacing w:val="-3"/>
          <w:sz w:val="24"/>
          <w:szCs w:val="24"/>
          <w:highlight w:val="none"/>
        </w:rPr>
        <w:t>③发包人与承包人另行确定的其它情况。</w:t>
      </w:r>
    </w:p>
    <w:p w14:paraId="567D6F68">
      <w:pPr>
        <w:spacing w:before="185" w:line="359" w:lineRule="auto"/>
        <w:ind w:firstLine="482"/>
        <w:jc w:val="both"/>
        <w:rPr>
          <w:rFonts w:ascii="宋体" w:hAnsi="宋体" w:eastAsia="宋体" w:cs="宋体"/>
          <w:sz w:val="24"/>
          <w:szCs w:val="24"/>
          <w:highlight w:val="none"/>
        </w:rPr>
      </w:pPr>
      <w:r>
        <w:rPr>
          <w:rFonts w:ascii="宋体" w:hAnsi="宋体" w:eastAsia="宋体" w:cs="宋体"/>
          <w:spacing w:val="-2"/>
          <w:sz w:val="24"/>
          <w:szCs w:val="24"/>
          <w:highlight w:val="none"/>
        </w:rPr>
        <w:t>承包人在以上情况发生后</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7</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天内，就延误的工期向监理人提出报告，监理</w:t>
      </w:r>
      <w:r>
        <w:rPr>
          <w:rFonts w:ascii="宋体" w:hAnsi="宋体" w:eastAsia="宋体" w:cs="宋体"/>
          <w:spacing w:val="-3"/>
          <w:sz w:val="24"/>
          <w:szCs w:val="24"/>
          <w:highlight w:val="none"/>
        </w:rPr>
        <w:t>人集中相关证</w:t>
      </w:r>
      <w:r>
        <w:rPr>
          <w:rFonts w:ascii="宋体" w:hAnsi="宋体" w:eastAsia="宋体" w:cs="宋体"/>
          <w:spacing w:val="-6"/>
          <w:sz w:val="24"/>
          <w:szCs w:val="24"/>
          <w:highlight w:val="none"/>
        </w:rPr>
        <w:t>据后签署意见，送发包人审核，发包人在收到经监理人签署的报告后</w:t>
      </w:r>
      <w:r>
        <w:rPr>
          <w:rFonts w:ascii="宋体" w:hAnsi="宋体" w:eastAsia="宋体" w:cs="宋体"/>
          <w:spacing w:val="-44"/>
          <w:sz w:val="24"/>
          <w:szCs w:val="24"/>
          <w:highlight w:val="none"/>
        </w:rPr>
        <w:t xml:space="preserve"> </w:t>
      </w:r>
      <w:r>
        <w:rPr>
          <w:rFonts w:ascii="宋体" w:hAnsi="宋体" w:eastAsia="宋体" w:cs="宋体"/>
          <w:spacing w:val="-7"/>
          <w:sz w:val="24"/>
          <w:szCs w:val="24"/>
          <w:highlight w:val="none"/>
        </w:rPr>
        <w:t>7</w:t>
      </w:r>
      <w:r>
        <w:rPr>
          <w:rFonts w:ascii="宋体" w:hAnsi="宋体" w:eastAsia="宋体" w:cs="宋体"/>
          <w:spacing w:val="-46"/>
          <w:sz w:val="24"/>
          <w:szCs w:val="24"/>
          <w:highlight w:val="none"/>
        </w:rPr>
        <w:t xml:space="preserve"> </w:t>
      </w:r>
      <w:r>
        <w:rPr>
          <w:rFonts w:ascii="宋体" w:hAnsi="宋体" w:eastAsia="宋体" w:cs="宋体"/>
          <w:spacing w:val="-7"/>
          <w:sz w:val="24"/>
          <w:szCs w:val="24"/>
          <w:highlight w:val="none"/>
        </w:rPr>
        <w:t>天内予以确认、答复，</w:t>
      </w:r>
      <w:r>
        <w:rPr>
          <w:rFonts w:ascii="宋体" w:hAnsi="宋体" w:eastAsia="宋体" w:cs="宋体"/>
          <w:spacing w:val="-2"/>
          <w:sz w:val="24"/>
          <w:szCs w:val="24"/>
          <w:highlight w:val="none"/>
        </w:rPr>
        <w:t>逾期不予答复，承包方即可视为延期要求已被确认。</w:t>
      </w:r>
    </w:p>
    <w:p w14:paraId="23E8BD14">
      <w:pPr>
        <w:spacing w:before="1"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非上述原因，工程不能按合同工期竣工，承包方承担违约责任。</w:t>
      </w:r>
    </w:p>
    <w:p w14:paraId="6EDFAAC6">
      <w:pPr>
        <w:spacing w:before="182" w:line="220" w:lineRule="auto"/>
        <w:ind w:left="488"/>
        <w:rPr>
          <w:rFonts w:ascii="宋体" w:hAnsi="宋体" w:eastAsia="宋体" w:cs="宋体"/>
          <w:sz w:val="24"/>
          <w:szCs w:val="24"/>
          <w:highlight w:val="none"/>
        </w:rPr>
      </w:pPr>
      <w:r>
        <w:rPr>
          <w:rFonts w:ascii="宋体" w:hAnsi="宋体" w:eastAsia="宋体" w:cs="宋体"/>
          <w:spacing w:val="-3"/>
          <w:sz w:val="24"/>
          <w:szCs w:val="24"/>
          <w:highlight w:val="none"/>
        </w:rPr>
        <w:t>7.5.2</w:t>
      </w:r>
      <w:r>
        <w:rPr>
          <w:rFonts w:ascii="宋体" w:hAnsi="宋体" w:eastAsia="宋体" w:cs="宋体"/>
          <w:spacing w:val="-23"/>
          <w:sz w:val="24"/>
          <w:szCs w:val="24"/>
          <w:highlight w:val="none"/>
        </w:rPr>
        <w:t xml:space="preserve"> </w:t>
      </w:r>
      <w:r>
        <w:rPr>
          <w:rFonts w:ascii="宋体" w:hAnsi="宋体" w:eastAsia="宋体" w:cs="宋体"/>
          <w:spacing w:val="-3"/>
          <w:sz w:val="24"/>
          <w:szCs w:val="24"/>
          <w:highlight w:val="none"/>
        </w:rPr>
        <w:t>因承包人原因导致工期延误</w:t>
      </w:r>
    </w:p>
    <w:p w14:paraId="55322197">
      <w:pPr>
        <w:spacing w:before="179" w:line="220" w:lineRule="auto"/>
        <w:ind w:left="501"/>
        <w:rPr>
          <w:rFonts w:ascii="宋体" w:hAnsi="宋体" w:eastAsia="宋体" w:cs="宋体"/>
          <w:sz w:val="24"/>
          <w:szCs w:val="24"/>
          <w:highlight w:val="none"/>
        </w:rPr>
      </w:pPr>
      <w:r>
        <w:rPr>
          <w:rFonts w:ascii="宋体" w:hAnsi="宋体" w:eastAsia="宋体" w:cs="宋体"/>
          <w:spacing w:val="-3"/>
          <w:sz w:val="24"/>
          <w:szCs w:val="24"/>
          <w:highlight w:val="none"/>
        </w:rPr>
        <w:t>因承包人原因造成工期延误，逾期竣工违约金的计算方法为：</w:t>
      </w:r>
    </w:p>
    <w:p w14:paraId="15CBF598">
      <w:pPr>
        <w:spacing w:before="184" w:line="359" w:lineRule="auto"/>
        <w:ind w:firstLine="481"/>
        <w:rPr>
          <w:rFonts w:ascii="宋体" w:hAnsi="宋体" w:eastAsia="宋体" w:cs="宋体"/>
          <w:sz w:val="24"/>
          <w:szCs w:val="24"/>
          <w:highlight w:val="none"/>
        </w:rPr>
      </w:pPr>
      <w:r>
        <w:rPr>
          <w:rFonts w:ascii="宋体" w:hAnsi="宋体" w:eastAsia="宋体" w:cs="宋体"/>
          <w:spacing w:val="-9"/>
          <w:sz w:val="24"/>
          <w:szCs w:val="24"/>
          <w:highlight w:val="none"/>
        </w:rPr>
        <w:t>每延期竣工一天，承包人支付发包人合同价款的</w:t>
      </w:r>
      <w:r>
        <w:rPr>
          <w:rFonts w:ascii="宋体" w:hAnsi="宋体" w:eastAsia="宋体" w:cs="宋体"/>
          <w:spacing w:val="-34"/>
          <w:sz w:val="24"/>
          <w:szCs w:val="24"/>
          <w:highlight w:val="none"/>
        </w:rPr>
        <w:t xml:space="preserve"> </w:t>
      </w:r>
      <w:r>
        <w:rPr>
          <w:rFonts w:ascii="宋体" w:hAnsi="宋体" w:eastAsia="宋体" w:cs="宋体"/>
          <w:spacing w:val="-9"/>
          <w:sz w:val="24"/>
          <w:szCs w:val="24"/>
          <w:highlight w:val="none"/>
        </w:rPr>
        <w:t>0.05%的违约金；工程延期</w:t>
      </w:r>
      <w:r>
        <w:rPr>
          <w:rFonts w:ascii="宋体" w:hAnsi="宋体" w:eastAsia="宋体" w:cs="宋体"/>
          <w:spacing w:val="-47"/>
          <w:sz w:val="24"/>
          <w:szCs w:val="24"/>
          <w:highlight w:val="none"/>
        </w:rPr>
        <w:t xml:space="preserve"> </w:t>
      </w:r>
      <w:r>
        <w:rPr>
          <w:rFonts w:ascii="宋体" w:hAnsi="宋体" w:eastAsia="宋体" w:cs="宋体"/>
          <w:spacing w:val="-9"/>
          <w:sz w:val="24"/>
          <w:szCs w:val="24"/>
          <w:highlight w:val="none"/>
        </w:rPr>
        <w:t>28 日以上的，</w:t>
      </w:r>
      <w:r>
        <w:rPr>
          <w:rFonts w:ascii="宋体" w:hAnsi="宋体" w:eastAsia="宋体" w:cs="宋体"/>
          <w:spacing w:val="-3"/>
          <w:sz w:val="24"/>
          <w:szCs w:val="24"/>
          <w:highlight w:val="none"/>
        </w:rPr>
        <w:t>每日按合同价款</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0.1%向发包人支付违约金；除支付违约金外，履约保证金不予退还，</w:t>
      </w:r>
      <w:r>
        <w:rPr>
          <w:rFonts w:ascii="宋体" w:hAnsi="宋体" w:eastAsia="宋体" w:cs="宋体"/>
          <w:spacing w:val="-4"/>
          <w:sz w:val="24"/>
          <w:szCs w:val="24"/>
          <w:highlight w:val="none"/>
        </w:rPr>
        <w:t>并追究</w:t>
      </w:r>
      <w:r>
        <w:rPr>
          <w:rFonts w:ascii="宋体" w:hAnsi="宋体" w:eastAsia="宋体" w:cs="宋体"/>
          <w:spacing w:val="-6"/>
          <w:sz w:val="24"/>
          <w:szCs w:val="24"/>
          <w:highlight w:val="none"/>
        </w:rPr>
        <w:t>损失赔偿责任。属于政府安置房项目，</w:t>
      </w:r>
      <w:r>
        <w:rPr>
          <w:rFonts w:ascii="宋体" w:hAnsi="宋体" w:eastAsia="宋体" w:cs="宋体"/>
          <w:spacing w:val="72"/>
          <w:sz w:val="24"/>
          <w:szCs w:val="24"/>
          <w:highlight w:val="none"/>
        </w:rPr>
        <w:t xml:space="preserve"> </w:t>
      </w:r>
      <w:r>
        <w:rPr>
          <w:rFonts w:ascii="宋体" w:hAnsi="宋体" w:eastAsia="宋体" w:cs="宋体"/>
          <w:spacing w:val="-6"/>
          <w:sz w:val="24"/>
          <w:szCs w:val="24"/>
          <w:highlight w:val="none"/>
        </w:rPr>
        <w:t>因中标人（承包人）原因延期交付的，</w:t>
      </w:r>
      <w:r>
        <w:rPr>
          <w:rFonts w:ascii="宋体" w:hAnsi="宋体" w:eastAsia="宋体" w:cs="宋体"/>
          <w:spacing w:val="-7"/>
          <w:sz w:val="24"/>
          <w:szCs w:val="24"/>
          <w:highlight w:val="none"/>
        </w:rPr>
        <w:t>超期过度安置</w:t>
      </w:r>
      <w:r>
        <w:rPr>
          <w:rFonts w:ascii="宋体" w:hAnsi="宋体" w:eastAsia="宋体" w:cs="宋体"/>
          <w:spacing w:val="-1"/>
          <w:sz w:val="24"/>
          <w:szCs w:val="24"/>
          <w:highlight w:val="none"/>
        </w:rPr>
        <w:t>费应由中标人（承包人）支付。因承包人原因造成的延</w:t>
      </w:r>
      <w:r>
        <w:rPr>
          <w:rFonts w:ascii="宋体" w:hAnsi="宋体" w:eastAsia="宋体" w:cs="宋体"/>
          <w:spacing w:val="-2"/>
          <w:sz w:val="24"/>
          <w:szCs w:val="24"/>
          <w:highlight w:val="none"/>
        </w:rPr>
        <w:t>期竣工，工程延期竣工超过合同工期</w:t>
      </w:r>
      <w:r>
        <w:rPr>
          <w:rFonts w:ascii="宋体" w:hAnsi="宋体" w:eastAsia="宋体" w:cs="宋体"/>
          <w:spacing w:val="-1"/>
          <w:sz w:val="24"/>
          <w:szCs w:val="24"/>
          <w:highlight w:val="none"/>
        </w:rPr>
        <w:t>三分之一以上的，除支付违约金外，发包人将承包人违约事实形</w:t>
      </w:r>
      <w:r>
        <w:rPr>
          <w:rFonts w:ascii="宋体" w:hAnsi="宋体" w:eastAsia="宋体" w:cs="宋体"/>
          <w:spacing w:val="-2"/>
          <w:sz w:val="24"/>
          <w:szCs w:val="24"/>
          <w:highlight w:val="none"/>
        </w:rPr>
        <w:t>成证据，由招标人或相关行</w:t>
      </w:r>
      <w:r>
        <w:rPr>
          <w:rFonts w:ascii="宋体" w:hAnsi="宋体" w:eastAsia="宋体" w:cs="宋体"/>
          <w:spacing w:val="-5"/>
          <w:sz w:val="24"/>
          <w:szCs w:val="24"/>
          <w:highlight w:val="none"/>
        </w:rPr>
        <w:t>业主管部门处理。</w:t>
      </w:r>
    </w:p>
    <w:p w14:paraId="7622B066">
      <w:pPr>
        <w:spacing w:line="359" w:lineRule="auto"/>
        <w:ind w:left="2" w:right="65" w:firstLine="498"/>
        <w:rPr>
          <w:rFonts w:ascii="宋体" w:hAnsi="宋体" w:eastAsia="宋体" w:cs="宋体"/>
          <w:sz w:val="24"/>
          <w:szCs w:val="24"/>
          <w:highlight w:val="none"/>
        </w:rPr>
      </w:pPr>
      <w:r>
        <w:rPr>
          <w:rFonts w:ascii="宋体" w:hAnsi="宋体" w:eastAsia="宋体" w:cs="宋体"/>
          <w:spacing w:val="-2"/>
          <w:sz w:val="24"/>
          <w:szCs w:val="24"/>
          <w:highlight w:val="none"/>
        </w:rPr>
        <w:t>因承包人原因造成工期延误，逾期竣工违约金的上限：延期违约赔偿金最高限额为签约</w:t>
      </w:r>
      <w:r>
        <w:rPr>
          <w:rFonts w:ascii="宋体" w:hAnsi="宋体" w:eastAsia="宋体" w:cs="宋体"/>
          <w:spacing w:val="-5"/>
          <w:sz w:val="24"/>
          <w:szCs w:val="24"/>
          <w:highlight w:val="none"/>
        </w:rPr>
        <w:t>合同价的</w:t>
      </w:r>
      <w:r>
        <w:rPr>
          <w:rFonts w:ascii="宋体" w:hAnsi="宋体" w:eastAsia="宋体" w:cs="宋体"/>
          <w:spacing w:val="-31"/>
          <w:sz w:val="24"/>
          <w:szCs w:val="24"/>
          <w:highlight w:val="none"/>
        </w:rPr>
        <w:t xml:space="preserve"> </w:t>
      </w:r>
      <w:r>
        <w:rPr>
          <w:rFonts w:ascii="宋体" w:hAnsi="宋体" w:eastAsia="宋体" w:cs="宋体"/>
          <w:spacing w:val="-5"/>
          <w:sz w:val="24"/>
          <w:szCs w:val="24"/>
          <w:highlight w:val="none"/>
        </w:rPr>
        <w:t>10%。</w:t>
      </w:r>
    </w:p>
    <w:p w14:paraId="1449DDF2">
      <w:pPr>
        <w:spacing w:before="1" w:line="219" w:lineRule="auto"/>
        <w:ind w:left="488"/>
        <w:rPr>
          <w:rFonts w:ascii="宋体" w:hAnsi="宋体" w:eastAsia="宋体" w:cs="宋体"/>
          <w:sz w:val="24"/>
          <w:szCs w:val="24"/>
          <w:highlight w:val="none"/>
        </w:rPr>
      </w:pPr>
      <w:r>
        <w:rPr>
          <w:rFonts w:ascii="宋体" w:hAnsi="宋体" w:eastAsia="宋体" w:cs="宋体"/>
          <w:spacing w:val="-3"/>
          <w:sz w:val="24"/>
          <w:szCs w:val="24"/>
          <w:highlight w:val="none"/>
        </w:rPr>
        <w:t>7.6</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不利物质条件</w:t>
      </w:r>
    </w:p>
    <w:p w14:paraId="0AA63D01">
      <w:pPr>
        <w:spacing w:before="182" w:line="220" w:lineRule="auto"/>
        <w:ind w:left="390"/>
        <w:rPr>
          <w:rFonts w:ascii="宋体" w:hAnsi="宋体" w:eastAsia="宋体" w:cs="宋体"/>
          <w:sz w:val="24"/>
          <w:szCs w:val="24"/>
          <w:highlight w:val="none"/>
        </w:rPr>
      </w:pPr>
      <w:r>
        <w:rPr>
          <w:rFonts w:ascii="宋体" w:hAnsi="宋体" w:eastAsia="宋体" w:cs="宋体"/>
          <w:spacing w:val="-1"/>
          <w:sz w:val="24"/>
          <w:szCs w:val="24"/>
          <w:highlight w:val="none"/>
        </w:rPr>
        <w:t>不利物质条件的其他情形和有关约定：执行通用条款</w:t>
      </w:r>
    </w:p>
    <w:p w14:paraId="3051F9B4">
      <w:pPr>
        <w:spacing w:before="179" w:line="220"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发包人和承包人同意以下情形视为异常恶劣的气候条件：</w:t>
      </w:r>
    </w:p>
    <w:p w14:paraId="62818FE7">
      <w:pPr>
        <w:spacing w:before="184" w:line="359" w:lineRule="auto"/>
        <w:ind w:left="3" w:right="66" w:firstLine="485"/>
        <w:jc w:val="both"/>
        <w:rPr>
          <w:rFonts w:ascii="宋体" w:hAnsi="宋体" w:eastAsia="宋体" w:cs="宋体"/>
          <w:sz w:val="24"/>
          <w:szCs w:val="24"/>
          <w:highlight w:val="none"/>
        </w:rPr>
      </w:pPr>
      <w:r>
        <w:rPr>
          <w:rFonts w:ascii="宋体" w:hAnsi="宋体" w:eastAsia="宋体" w:cs="宋体"/>
          <w:spacing w:val="2"/>
          <w:sz w:val="24"/>
          <w:szCs w:val="24"/>
          <w:highlight w:val="none"/>
        </w:rPr>
        <w:t>（1）异常恶劣气候条件是指以月计的某个时期</w:t>
      </w:r>
      <w:r>
        <w:rPr>
          <w:rFonts w:ascii="宋体" w:hAnsi="宋体" w:eastAsia="宋体" w:cs="宋体"/>
          <w:spacing w:val="1"/>
          <w:sz w:val="24"/>
          <w:szCs w:val="24"/>
          <w:highlight w:val="none"/>
        </w:rPr>
        <w:t>的恶劣气候比较当地气象部门多年统计</w:t>
      </w:r>
      <w:r>
        <w:rPr>
          <w:rFonts w:ascii="宋体" w:hAnsi="宋体" w:eastAsia="宋体" w:cs="宋体"/>
          <w:spacing w:val="-1"/>
          <w:sz w:val="24"/>
          <w:szCs w:val="24"/>
          <w:highlight w:val="none"/>
        </w:rPr>
        <w:t>资料，比 10 年一遇频率计算的气候还要恶劣的气候。由</w:t>
      </w:r>
      <w:r>
        <w:rPr>
          <w:rFonts w:ascii="宋体" w:hAnsi="宋体" w:eastAsia="宋体" w:cs="宋体"/>
          <w:spacing w:val="-2"/>
          <w:sz w:val="24"/>
          <w:szCs w:val="24"/>
          <w:highlight w:val="none"/>
        </w:rPr>
        <w:t>此引起工程延误由监理人根据承包</w:t>
      </w:r>
      <w:r>
        <w:rPr>
          <w:rFonts w:ascii="宋体" w:hAnsi="宋体" w:eastAsia="宋体" w:cs="宋体"/>
          <w:spacing w:val="-1"/>
          <w:sz w:val="24"/>
          <w:szCs w:val="24"/>
          <w:highlight w:val="none"/>
        </w:rPr>
        <w:t>人提交的证明予以评定。但评定时需考虑按同等标准以</w:t>
      </w:r>
      <w:r>
        <w:rPr>
          <w:rFonts w:ascii="宋体" w:hAnsi="宋体" w:eastAsia="宋体" w:cs="宋体"/>
          <w:spacing w:val="-2"/>
          <w:sz w:val="24"/>
          <w:szCs w:val="24"/>
          <w:highlight w:val="none"/>
        </w:rPr>
        <w:t>同期或其他良好的气候予以抵补。异常恶劣气候对工程进度影响的评定，应在整个合同期内予以累计。</w:t>
      </w:r>
    </w:p>
    <w:p w14:paraId="2DDAAAF4">
      <w:pPr>
        <w:spacing w:before="1" w:line="218"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承包人提供的气候条件资料应由当地县级以上（含县级）气象部门出具；</w:t>
      </w:r>
    </w:p>
    <w:p w14:paraId="2F57AF8A">
      <w:pPr>
        <w:spacing w:before="181" w:line="222" w:lineRule="auto"/>
        <w:ind w:left="488"/>
        <w:rPr>
          <w:rFonts w:ascii="宋体" w:hAnsi="宋体" w:eastAsia="宋体" w:cs="宋体"/>
          <w:sz w:val="24"/>
          <w:szCs w:val="24"/>
          <w:highlight w:val="none"/>
        </w:rPr>
      </w:pPr>
      <w:r>
        <w:rPr>
          <w:rFonts w:ascii="宋体" w:hAnsi="宋体" w:eastAsia="宋体" w:cs="宋体"/>
          <w:spacing w:val="-4"/>
          <w:sz w:val="24"/>
          <w:szCs w:val="24"/>
          <w:highlight w:val="none"/>
        </w:rPr>
        <w:t>（2）/；</w:t>
      </w:r>
    </w:p>
    <w:p w14:paraId="6D410F59">
      <w:pPr>
        <w:spacing w:line="222" w:lineRule="auto"/>
        <w:rPr>
          <w:rFonts w:ascii="宋体" w:hAnsi="宋体" w:eastAsia="宋体" w:cs="宋体"/>
          <w:sz w:val="24"/>
          <w:szCs w:val="24"/>
          <w:highlight w:val="none"/>
        </w:rPr>
        <w:sectPr>
          <w:footerReference r:id="rId46" w:type="default"/>
          <w:pgSz w:w="11907" w:h="16839"/>
          <w:pgMar w:top="1425" w:right="1107" w:bottom="1129" w:left="1183" w:header="0" w:footer="898" w:gutter="0"/>
          <w:cols w:space="720" w:num="1"/>
        </w:sectPr>
      </w:pPr>
    </w:p>
    <w:p w14:paraId="20CDB968">
      <w:pPr>
        <w:spacing w:before="47" w:line="225" w:lineRule="auto"/>
        <w:ind w:left="486"/>
        <w:rPr>
          <w:rFonts w:ascii="宋体" w:hAnsi="宋体" w:eastAsia="宋体" w:cs="宋体"/>
          <w:sz w:val="24"/>
          <w:szCs w:val="24"/>
          <w:highlight w:val="none"/>
        </w:rPr>
      </w:pPr>
      <w:r>
        <w:rPr>
          <w:rFonts w:ascii="宋体" w:hAnsi="宋体" w:eastAsia="宋体" w:cs="宋体"/>
          <w:spacing w:val="-4"/>
          <w:sz w:val="24"/>
          <w:szCs w:val="24"/>
          <w:highlight w:val="none"/>
        </w:rPr>
        <w:t>（3）/。</w:t>
      </w:r>
    </w:p>
    <w:p w14:paraId="1F10EAEC">
      <w:pPr>
        <w:spacing w:before="175" w:line="220"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7.9</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提前竣工的奖励</w:t>
      </w:r>
    </w:p>
    <w:p w14:paraId="262E7C7B">
      <w:pPr>
        <w:spacing w:before="179" w:line="220"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7.9.2</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提前竣工的奖励：/。</w:t>
      </w:r>
    </w:p>
    <w:p w14:paraId="315D26BE">
      <w:pPr>
        <w:spacing w:before="182"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8.材料与设备</w:t>
      </w:r>
    </w:p>
    <w:p w14:paraId="411D4398">
      <w:pPr>
        <w:spacing w:before="181"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8.4</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材料与工程设备的保管与使用</w:t>
      </w:r>
    </w:p>
    <w:p w14:paraId="69C0536D">
      <w:pPr>
        <w:spacing w:before="183"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8.4.1</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发包人供应的材料设备的保管费用的承担：不采</w:t>
      </w:r>
      <w:r>
        <w:rPr>
          <w:rFonts w:ascii="宋体" w:hAnsi="宋体" w:eastAsia="宋体" w:cs="宋体"/>
          <w:spacing w:val="-3"/>
          <w:sz w:val="24"/>
          <w:szCs w:val="24"/>
          <w:highlight w:val="none"/>
        </w:rPr>
        <w:t>用。</w:t>
      </w:r>
    </w:p>
    <w:p w14:paraId="74AF17E7">
      <w:pPr>
        <w:spacing w:before="180" w:line="220" w:lineRule="auto"/>
        <w:ind w:left="481"/>
        <w:rPr>
          <w:rFonts w:ascii="宋体" w:hAnsi="宋体" w:eastAsia="宋体" w:cs="宋体"/>
          <w:sz w:val="24"/>
          <w:szCs w:val="24"/>
          <w:highlight w:val="none"/>
        </w:rPr>
      </w:pPr>
      <w:r>
        <w:rPr>
          <w:rFonts w:ascii="宋体" w:hAnsi="宋体" w:eastAsia="宋体" w:cs="宋体"/>
          <w:spacing w:val="-3"/>
          <w:sz w:val="24"/>
          <w:szCs w:val="24"/>
          <w:highlight w:val="none"/>
        </w:rPr>
        <w:t>8.6</w:t>
      </w:r>
      <w:r>
        <w:rPr>
          <w:rFonts w:ascii="宋体" w:hAnsi="宋体" w:eastAsia="宋体" w:cs="宋体"/>
          <w:spacing w:val="-52"/>
          <w:sz w:val="24"/>
          <w:szCs w:val="24"/>
          <w:highlight w:val="none"/>
        </w:rPr>
        <w:t xml:space="preserve"> </w:t>
      </w:r>
      <w:r>
        <w:rPr>
          <w:rFonts w:ascii="宋体" w:hAnsi="宋体" w:eastAsia="宋体" w:cs="宋体"/>
          <w:spacing w:val="-3"/>
          <w:sz w:val="24"/>
          <w:szCs w:val="24"/>
          <w:highlight w:val="none"/>
        </w:rPr>
        <w:t>样品</w:t>
      </w:r>
    </w:p>
    <w:p w14:paraId="29E80166">
      <w:pPr>
        <w:spacing w:before="182"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8.6.1</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样品的报送与封存</w:t>
      </w:r>
    </w:p>
    <w:p w14:paraId="06BB53FF">
      <w:pPr>
        <w:spacing w:before="181" w:line="219" w:lineRule="auto"/>
        <w:ind w:left="493"/>
        <w:rPr>
          <w:rFonts w:ascii="宋体" w:hAnsi="宋体" w:eastAsia="宋体" w:cs="宋体"/>
          <w:sz w:val="24"/>
          <w:szCs w:val="24"/>
          <w:highlight w:val="none"/>
        </w:rPr>
      </w:pPr>
      <w:r>
        <w:rPr>
          <w:rFonts w:ascii="宋体" w:hAnsi="宋体" w:eastAsia="宋体" w:cs="宋体"/>
          <w:spacing w:val="-2"/>
          <w:sz w:val="24"/>
          <w:szCs w:val="24"/>
          <w:highlight w:val="none"/>
        </w:rPr>
        <w:t>需要承包人报送样品的材料或工程设备，样品的种类、名称、规格</w:t>
      </w:r>
      <w:r>
        <w:rPr>
          <w:rFonts w:ascii="宋体" w:hAnsi="宋体" w:eastAsia="宋体" w:cs="宋体"/>
          <w:spacing w:val="-3"/>
          <w:sz w:val="24"/>
          <w:szCs w:val="24"/>
          <w:highlight w:val="none"/>
        </w:rPr>
        <w:t>、数量要求：</w:t>
      </w:r>
    </w:p>
    <w:p w14:paraId="42723D10">
      <w:pPr>
        <w:spacing w:before="183"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按照管理部门要求和发包人需求确定。并执行下列规定：</w:t>
      </w:r>
    </w:p>
    <w:p w14:paraId="6865717A">
      <w:pPr>
        <w:spacing w:before="181" w:line="312" w:lineRule="auto"/>
        <w:ind w:right="3" w:firstLine="498"/>
        <w:rPr>
          <w:rFonts w:ascii="宋体" w:hAnsi="宋体" w:eastAsia="宋体" w:cs="宋体"/>
          <w:sz w:val="24"/>
          <w:szCs w:val="24"/>
          <w:highlight w:val="none"/>
        </w:rPr>
      </w:pPr>
      <w:r>
        <w:rPr>
          <w:rFonts w:ascii="宋体" w:hAnsi="宋体" w:eastAsia="宋体" w:cs="宋体"/>
          <w:spacing w:val="1"/>
          <w:sz w:val="24"/>
          <w:szCs w:val="24"/>
          <w:highlight w:val="none"/>
        </w:rPr>
        <w:t>1）对所有合同规定的由承包人自主采购的材料或设备，采购前承包人应将供应商的相</w:t>
      </w:r>
      <w:r>
        <w:rPr>
          <w:rFonts w:ascii="宋体" w:hAnsi="宋体" w:eastAsia="宋体" w:cs="宋体"/>
          <w:spacing w:val="-1"/>
          <w:sz w:val="24"/>
          <w:szCs w:val="24"/>
          <w:highlight w:val="none"/>
        </w:rPr>
        <w:t>关资料报送监理工程师和发包人审查，当监理工程师或</w:t>
      </w:r>
      <w:r>
        <w:rPr>
          <w:rFonts w:ascii="宋体" w:hAnsi="宋体" w:eastAsia="宋体" w:cs="宋体"/>
          <w:spacing w:val="-2"/>
          <w:sz w:val="24"/>
          <w:szCs w:val="24"/>
          <w:highlight w:val="none"/>
        </w:rPr>
        <w:t>发包人认为有必要对供应商进行实地</w:t>
      </w:r>
      <w:r>
        <w:rPr>
          <w:rFonts w:ascii="宋体" w:hAnsi="宋体" w:eastAsia="宋体" w:cs="宋体"/>
          <w:spacing w:val="-3"/>
          <w:sz w:val="24"/>
          <w:szCs w:val="24"/>
          <w:highlight w:val="none"/>
        </w:rPr>
        <w:t>考察时，承包人应提供必要的协助及相关考察费用；</w:t>
      </w:r>
    </w:p>
    <w:p w14:paraId="07943D3A">
      <w:pPr>
        <w:spacing w:before="186" w:line="331" w:lineRule="auto"/>
        <w:ind w:firstLine="483"/>
        <w:rPr>
          <w:rFonts w:ascii="宋体" w:hAnsi="宋体" w:eastAsia="宋体" w:cs="宋体"/>
          <w:sz w:val="24"/>
          <w:szCs w:val="24"/>
          <w:highlight w:val="none"/>
        </w:rPr>
      </w:pPr>
      <w:r>
        <w:rPr>
          <w:rFonts w:ascii="宋体" w:hAnsi="宋体" w:eastAsia="宋体" w:cs="宋体"/>
          <w:sz w:val="24"/>
          <w:szCs w:val="24"/>
          <w:highlight w:val="none"/>
        </w:rPr>
        <w:t>2）所有用于本工程的材料和设备进场以前，</w:t>
      </w:r>
      <w:r>
        <w:rPr>
          <w:rFonts w:ascii="宋体" w:hAnsi="宋体" w:eastAsia="宋体" w:cs="宋体"/>
          <w:spacing w:val="-56"/>
          <w:sz w:val="24"/>
          <w:szCs w:val="24"/>
          <w:highlight w:val="none"/>
        </w:rPr>
        <w:t xml:space="preserve"> </w:t>
      </w:r>
      <w:r>
        <w:rPr>
          <w:rFonts w:ascii="宋体" w:hAnsi="宋体" w:eastAsia="宋体" w:cs="宋体"/>
          <w:sz w:val="24"/>
          <w:szCs w:val="24"/>
          <w:highlight w:val="none"/>
        </w:rPr>
        <w:t>承包人必须向监理工程师提交生产厂商出</w:t>
      </w:r>
      <w:r>
        <w:rPr>
          <w:rFonts w:ascii="宋体" w:hAnsi="宋体" w:eastAsia="宋体" w:cs="宋体"/>
          <w:spacing w:val="-5"/>
          <w:sz w:val="24"/>
          <w:szCs w:val="24"/>
          <w:highlight w:val="none"/>
        </w:rPr>
        <w:t>具的生产许可证、质量合格证和检验报告，</w:t>
      </w:r>
      <w:r>
        <w:rPr>
          <w:rFonts w:ascii="宋体" w:hAnsi="宋体" w:eastAsia="宋体" w:cs="宋体"/>
          <w:spacing w:val="28"/>
          <w:sz w:val="24"/>
          <w:szCs w:val="24"/>
          <w:highlight w:val="none"/>
        </w:rPr>
        <w:t xml:space="preserve"> </w:t>
      </w:r>
      <w:r>
        <w:rPr>
          <w:rFonts w:ascii="宋体" w:hAnsi="宋体" w:eastAsia="宋体" w:cs="宋体"/>
          <w:spacing w:val="-5"/>
          <w:sz w:val="24"/>
          <w:szCs w:val="24"/>
          <w:highlight w:val="none"/>
        </w:rPr>
        <w:t>以证明该材料或设备质量符合本合同或技术</w:t>
      </w:r>
      <w:r>
        <w:rPr>
          <w:rFonts w:ascii="宋体" w:hAnsi="宋体" w:eastAsia="宋体" w:cs="宋体"/>
          <w:spacing w:val="-6"/>
          <w:sz w:val="24"/>
          <w:szCs w:val="24"/>
          <w:highlight w:val="none"/>
        </w:rPr>
        <w:t>规范</w:t>
      </w:r>
      <w:r>
        <w:rPr>
          <w:rFonts w:ascii="宋体" w:hAnsi="宋体" w:eastAsia="宋体" w:cs="宋体"/>
          <w:spacing w:val="-4"/>
          <w:sz w:val="24"/>
          <w:szCs w:val="24"/>
          <w:highlight w:val="none"/>
        </w:rPr>
        <w:t>的规定。在质量和性能均应符合国家标准和设计要求， 并经发包方委托</w:t>
      </w:r>
      <w:r>
        <w:rPr>
          <w:rFonts w:ascii="宋体" w:hAnsi="宋体" w:eastAsia="宋体" w:cs="宋体"/>
          <w:spacing w:val="-5"/>
          <w:sz w:val="24"/>
          <w:szCs w:val="24"/>
          <w:highlight w:val="none"/>
        </w:rPr>
        <w:t>的监理工程师验收合</w:t>
      </w:r>
      <w:r>
        <w:rPr>
          <w:rFonts w:ascii="宋体" w:hAnsi="宋体" w:eastAsia="宋体" w:cs="宋体"/>
          <w:spacing w:val="-1"/>
          <w:sz w:val="24"/>
          <w:szCs w:val="24"/>
          <w:highlight w:val="none"/>
        </w:rPr>
        <w:t>格后方能进场，供货还必须满足施工进度要求，否则发包人</w:t>
      </w:r>
      <w:r>
        <w:rPr>
          <w:rFonts w:ascii="宋体" w:hAnsi="宋体" w:eastAsia="宋体" w:cs="宋体"/>
          <w:spacing w:val="-2"/>
          <w:sz w:val="24"/>
          <w:szCs w:val="24"/>
          <w:highlight w:val="none"/>
        </w:rPr>
        <w:t>有权自行采购，费用由发包人代</w:t>
      </w:r>
      <w:r>
        <w:rPr>
          <w:rFonts w:ascii="宋体" w:hAnsi="宋体" w:eastAsia="宋体" w:cs="宋体"/>
          <w:spacing w:val="-12"/>
          <w:sz w:val="24"/>
          <w:szCs w:val="24"/>
          <w:highlight w:val="none"/>
        </w:rPr>
        <w:t>扣。</w:t>
      </w:r>
    </w:p>
    <w:p w14:paraId="5FAB62EF">
      <w:pPr>
        <w:spacing w:before="183" w:line="312" w:lineRule="auto"/>
        <w:ind w:right="1" w:firstLine="485"/>
        <w:rPr>
          <w:rFonts w:ascii="宋体" w:hAnsi="宋体" w:eastAsia="宋体" w:cs="宋体"/>
          <w:sz w:val="24"/>
          <w:szCs w:val="24"/>
          <w:highlight w:val="none"/>
        </w:rPr>
      </w:pPr>
      <w:r>
        <w:rPr>
          <w:rFonts w:ascii="宋体" w:hAnsi="宋体" w:eastAsia="宋体" w:cs="宋体"/>
          <w:spacing w:val="2"/>
          <w:sz w:val="24"/>
          <w:szCs w:val="24"/>
          <w:highlight w:val="none"/>
        </w:rPr>
        <w:t>3）承包人应按监理工程师和发包人的指令随时配合</w:t>
      </w:r>
      <w:r>
        <w:rPr>
          <w:rFonts w:ascii="宋体" w:hAnsi="宋体" w:eastAsia="宋体" w:cs="宋体"/>
          <w:spacing w:val="1"/>
          <w:sz w:val="24"/>
          <w:szCs w:val="24"/>
          <w:highlight w:val="none"/>
        </w:rPr>
        <w:t>对施工现场材料或设备的检验，并</w:t>
      </w:r>
      <w:r>
        <w:rPr>
          <w:rFonts w:ascii="宋体" w:hAnsi="宋体" w:eastAsia="宋体" w:cs="宋体"/>
          <w:spacing w:val="-1"/>
          <w:sz w:val="24"/>
          <w:szCs w:val="24"/>
          <w:highlight w:val="none"/>
        </w:rPr>
        <w:t>应为监理工程师对材料或设备的检验提供一切必要的协助，</w:t>
      </w:r>
      <w:r>
        <w:rPr>
          <w:rFonts w:ascii="宋体" w:hAnsi="宋体" w:eastAsia="宋体" w:cs="宋体"/>
          <w:spacing w:val="-2"/>
          <w:sz w:val="24"/>
          <w:szCs w:val="24"/>
          <w:highlight w:val="none"/>
        </w:rPr>
        <w:t>在材料用于工程之前，承包人应</w:t>
      </w:r>
      <w:r>
        <w:rPr>
          <w:rFonts w:ascii="宋体" w:hAnsi="宋体" w:eastAsia="宋体" w:cs="宋体"/>
          <w:spacing w:val="-1"/>
          <w:sz w:val="24"/>
          <w:szCs w:val="24"/>
          <w:highlight w:val="none"/>
        </w:rPr>
        <w:t>按监理工程师的要求提供材料样品，材料应按先送检通过、后采用的</w:t>
      </w:r>
      <w:r>
        <w:rPr>
          <w:rFonts w:ascii="宋体" w:hAnsi="宋体" w:eastAsia="宋体" w:cs="宋体"/>
          <w:spacing w:val="-2"/>
          <w:sz w:val="24"/>
          <w:szCs w:val="24"/>
          <w:highlight w:val="none"/>
        </w:rPr>
        <w:t>原则进行使用。</w:t>
      </w:r>
    </w:p>
    <w:p w14:paraId="78E10F46">
      <w:pPr>
        <w:spacing w:before="181" w:line="290" w:lineRule="auto"/>
        <w:ind w:right="9" w:firstLine="479"/>
        <w:rPr>
          <w:rFonts w:ascii="宋体" w:hAnsi="宋体" w:eastAsia="宋体" w:cs="宋体"/>
          <w:sz w:val="24"/>
          <w:szCs w:val="24"/>
          <w:highlight w:val="none"/>
        </w:rPr>
      </w:pPr>
      <w:r>
        <w:rPr>
          <w:rFonts w:ascii="宋体" w:hAnsi="宋体" w:eastAsia="宋体" w:cs="宋体"/>
          <w:spacing w:val="2"/>
          <w:sz w:val="24"/>
          <w:szCs w:val="24"/>
          <w:highlight w:val="none"/>
        </w:rPr>
        <w:t>4）除发包人指定材料外，由承包人自主采购</w:t>
      </w:r>
      <w:r>
        <w:rPr>
          <w:rFonts w:ascii="宋体" w:hAnsi="宋体" w:eastAsia="宋体" w:cs="宋体"/>
          <w:spacing w:val="1"/>
          <w:sz w:val="24"/>
          <w:szCs w:val="24"/>
          <w:highlight w:val="none"/>
        </w:rPr>
        <w:t>的材料由承包人自行承担工程材料外观设</w:t>
      </w:r>
      <w:r>
        <w:rPr>
          <w:rFonts w:ascii="宋体" w:hAnsi="宋体" w:eastAsia="宋体" w:cs="宋体"/>
          <w:spacing w:val="-7"/>
          <w:sz w:val="24"/>
          <w:szCs w:val="24"/>
          <w:highlight w:val="none"/>
        </w:rPr>
        <w:t>计侵权责任。</w:t>
      </w:r>
    </w:p>
    <w:p w14:paraId="5D05E3FF">
      <w:pPr>
        <w:spacing w:before="179"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8.8</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施工设备和临时设施</w:t>
      </w:r>
    </w:p>
    <w:p w14:paraId="4E7037AD">
      <w:pPr>
        <w:spacing w:before="183"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8.8.1</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承包人提供的施工设备和临时设施</w:t>
      </w:r>
    </w:p>
    <w:p w14:paraId="3FDFBAF1">
      <w:pPr>
        <w:spacing w:before="182" w:line="359" w:lineRule="auto"/>
        <w:ind w:left="29" w:right="11" w:firstLine="455"/>
        <w:rPr>
          <w:rFonts w:ascii="宋体" w:hAnsi="宋体" w:eastAsia="宋体" w:cs="宋体"/>
          <w:sz w:val="24"/>
          <w:szCs w:val="24"/>
          <w:highlight w:val="none"/>
        </w:rPr>
      </w:pPr>
      <w:r>
        <w:rPr>
          <w:rFonts w:ascii="宋体" w:hAnsi="宋体" w:eastAsia="宋体" w:cs="宋体"/>
          <w:spacing w:val="-2"/>
          <w:sz w:val="24"/>
          <w:szCs w:val="24"/>
          <w:highlight w:val="none"/>
        </w:rPr>
        <w:t>关于修建临时设施费用承担的约定：修建临时设施和临时占地费用包含在投标报价中，</w:t>
      </w:r>
      <w:r>
        <w:rPr>
          <w:rFonts w:ascii="宋体" w:hAnsi="宋体" w:eastAsia="宋体" w:cs="宋体"/>
          <w:spacing w:val="-9"/>
          <w:sz w:val="24"/>
          <w:szCs w:val="24"/>
          <w:highlight w:val="none"/>
        </w:rPr>
        <w:t>由承包人承担。</w:t>
      </w:r>
    </w:p>
    <w:p w14:paraId="072901A0">
      <w:pPr>
        <w:spacing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9.试验与检验</w:t>
      </w:r>
    </w:p>
    <w:p w14:paraId="464F2D91">
      <w:pPr>
        <w:spacing w:before="183" w:line="221"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9.1</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试验设备与试验人员</w:t>
      </w:r>
    </w:p>
    <w:p w14:paraId="3F07D1A2">
      <w:pPr>
        <w:spacing w:before="178" w:line="221"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9.1.2</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试验设备</w:t>
      </w:r>
    </w:p>
    <w:p w14:paraId="5E04F982">
      <w:pPr>
        <w:spacing w:line="221" w:lineRule="auto"/>
        <w:rPr>
          <w:rFonts w:ascii="宋体" w:hAnsi="宋体" w:eastAsia="宋体" w:cs="宋体"/>
          <w:sz w:val="24"/>
          <w:szCs w:val="24"/>
          <w:highlight w:val="none"/>
        </w:rPr>
        <w:sectPr>
          <w:footerReference r:id="rId47" w:type="default"/>
          <w:pgSz w:w="11907" w:h="16839"/>
          <w:pgMar w:top="1425" w:right="1172" w:bottom="1129" w:left="1185" w:header="0" w:footer="898" w:gutter="0"/>
          <w:cols w:space="720" w:num="1"/>
        </w:sectPr>
      </w:pPr>
    </w:p>
    <w:p w14:paraId="28E015C2">
      <w:pPr>
        <w:spacing w:before="49" w:line="359" w:lineRule="auto"/>
        <w:ind w:left="79" w:right="83" w:firstLine="478"/>
        <w:jc w:val="both"/>
        <w:rPr>
          <w:rFonts w:ascii="宋体" w:hAnsi="宋体" w:eastAsia="宋体" w:cs="宋体"/>
          <w:sz w:val="24"/>
          <w:szCs w:val="24"/>
          <w:highlight w:val="none"/>
        </w:rPr>
      </w:pPr>
      <w:r>
        <w:rPr>
          <w:rFonts w:ascii="宋体" w:hAnsi="宋体" w:eastAsia="宋体" w:cs="宋体"/>
          <w:spacing w:val="-1"/>
          <w:sz w:val="24"/>
          <w:szCs w:val="24"/>
          <w:highlight w:val="none"/>
        </w:rPr>
        <w:t>施工现场需要配置的试验场所：按照承包人在施工组</w:t>
      </w:r>
      <w:r>
        <w:rPr>
          <w:rFonts w:ascii="宋体" w:hAnsi="宋体" w:eastAsia="宋体" w:cs="宋体"/>
          <w:spacing w:val="-2"/>
          <w:sz w:val="24"/>
          <w:szCs w:val="24"/>
          <w:highlight w:val="none"/>
        </w:rPr>
        <w:t>织设计中确定的方案，在开工前报</w:t>
      </w:r>
      <w:r>
        <w:rPr>
          <w:rFonts w:ascii="宋体" w:hAnsi="宋体" w:eastAsia="宋体" w:cs="宋体"/>
          <w:spacing w:val="-1"/>
          <w:sz w:val="24"/>
          <w:szCs w:val="24"/>
          <w:highlight w:val="none"/>
        </w:rPr>
        <w:t>监理人批准，监理人有权要求承包人为完成本项目试验检</w:t>
      </w:r>
      <w:r>
        <w:rPr>
          <w:rFonts w:ascii="宋体" w:hAnsi="宋体" w:eastAsia="宋体" w:cs="宋体"/>
          <w:spacing w:val="-2"/>
          <w:sz w:val="24"/>
          <w:szCs w:val="24"/>
          <w:highlight w:val="none"/>
        </w:rPr>
        <w:t>测工作配备必要的试验场所，由此</w:t>
      </w:r>
      <w:r>
        <w:rPr>
          <w:rFonts w:ascii="宋体" w:hAnsi="宋体" w:eastAsia="宋体" w:cs="宋体"/>
          <w:spacing w:val="-4"/>
          <w:sz w:val="24"/>
          <w:szCs w:val="24"/>
          <w:highlight w:val="none"/>
        </w:rPr>
        <w:t>增加的费用由承包人承担。</w:t>
      </w:r>
    </w:p>
    <w:p w14:paraId="47424B43">
      <w:pPr>
        <w:spacing w:before="3" w:line="358" w:lineRule="auto"/>
        <w:ind w:left="79" w:right="83" w:firstLine="478"/>
        <w:jc w:val="both"/>
        <w:rPr>
          <w:rFonts w:ascii="宋体" w:hAnsi="宋体" w:eastAsia="宋体" w:cs="宋体"/>
          <w:sz w:val="24"/>
          <w:szCs w:val="24"/>
          <w:highlight w:val="none"/>
        </w:rPr>
      </w:pPr>
      <w:r>
        <w:rPr>
          <w:rFonts w:ascii="宋体" w:hAnsi="宋体" w:eastAsia="宋体" w:cs="宋体"/>
          <w:spacing w:val="-1"/>
          <w:sz w:val="24"/>
          <w:szCs w:val="24"/>
          <w:highlight w:val="none"/>
        </w:rPr>
        <w:t>施工现场需要配备的试验设备：按照承包人在施工组</w:t>
      </w:r>
      <w:r>
        <w:rPr>
          <w:rFonts w:ascii="宋体" w:hAnsi="宋体" w:eastAsia="宋体" w:cs="宋体"/>
          <w:spacing w:val="-2"/>
          <w:sz w:val="24"/>
          <w:szCs w:val="24"/>
          <w:highlight w:val="none"/>
        </w:rPr>
        <w:t>织设计中确定的方案，在开工前报</w:t>
      </w:r>
      <w:r>
        <w:rPr>
          <w:rFonts w:ascii="宋体" w:hAnsi="宋体" w:eastAsia="宋体" w:cs="宋体"/>
          <w:spacing w:val="-1"/>
          <w:sz w:val="24"/>
          <w:szCs w:val="24"/>
          <w:highlight w:val="none"/>
        </w:rPr>
        <w:t>监理人批准，监理人有权要求承包人为完成本项目试验检</w:t>
      </w:r>
      <w:r>
        <w:rPr>
          <w:rFonts w:ascii="宋体" w:hAnsi="宋体" w:eastAsia="宋体" w:cs="宋体"/>
          <w:spacing w:val="-2"/>
          <w:sz w:val="24"/>
          <w:szCs w:val="24"/>
          <w:highlight w:val="none"/>
        </w:rPr>
        <w:t>测工作增加必要的试验设备，由此</w:t>
      </w:r>
      <w:r>
        <w:rPr>
          <w:rFonts w:ascii="宋体" w:hAnsi="宋体" w:eastAsia="宋体" w:cs="宋体"/>
          <w:spacing w:val="-4"/>
          <w:sz w:val="24"/>
          <w:szCs w:val="24"/>
          <w:highlight w:val="none"/>
        </w:rPr>
        <w:t>增加的费用由承包人承担。</w:t>
      </w:r>
    </w:p>
    <w:p w14:paraId="46B8BDDD">
      <w:pPr>
        <w:spacing w:line="359" w:lineRule="auto"/>
        <w:ind w:left="82" w:right="83" w:firstLine="475"/>
        <w:rPr>
          <w:rFonts w:ascii="宋体" w:hAnsi="宋体" w:eastAsia="宋体" w:cs="宋体"/>
          <w:sz w:val="24"/>
          <w:szCs w:val="24"/>
          <w:highlight w:val="none"/>
        </w:rPr>
      </w:pPr>
      <w:r>
        <w:rPr>
          <w:rFonts w:ascii="宋体" w:hAnsi="宋体" w:eastAsia="宋体" w:cs="宋体"/>
          <w:spacing w:val="-1"/>
          <w:sz w:val="24"/>
          <w:szCs w:val="24"/>
          <w:highlight w:val="none"/>
        </w:rPr>
        <w:t>施工现场需要具备的其他试验条件：由监理人根据工</w:t>
      </w:r>
      <w:r>
        <w:rPr>
          <w:rFonts w:ascii="宋体" w:hAnsi="宋体" w:eastAsia="宋体" w:cs="宋体"/>
          <w:spacing w:val="-2"/>
          <w:sz w:val="24"/>
          <w:szCs w:val="24"/>
          <w:highlight w:val="none"/>
        </w:rPr>
        <w:t>程需要下达指令，承包人须严格执</w:t>
      </w:r>
      <w:r>
        <w:rPr>
          <w:rFonts w:ascii="宋体" w:hAnsi="宋体" w:eastAsia="宋体" w:cs="宋体"/>
          <w:spacing w:val="-12"/>
          <w:sz w:val="24"/>
          <w:szCs w:val="24"/>
          <w:highlight w:val="none"/>
        </w:rPr>
        <w:t>行。</w:t>
      </w:r>
    </w:p>
    <w:p w14:paraId="7E5F761C">
      <w:pPr>
        <w:spacing w:line="220" w:lineRule="auto"/>
        <w:ind w:left="559"/>
        <w:rPr>
          <w:rFonts w:ascii="宋体" w:hAnsi="宋体" w:eastAsia="宋体" w:cs="宋体"/>
          <w:sz w:val="24"/>
          <w:szCs w:val="24"/>
          <w:highlight w:val="none"/>
        </w:rPr>
      </w:pPr>
      <w:r>
        <w:rPr>
          <w:rFonts w:ascii="宋体" w:hAnsi="宋体" w:eastAsia="宋体" w:cs="宋体"/>
          <w:spacing w:val="-3"/>
          <w:sz w:val="24"/>
          <w:szCs w:val="24"/>
          <w:highlight w:val="none"/>
        </w:rPr>
        <w:t>9.4</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现场工艺试验</w:t>
      </w:r>
    </w:p>
    <w:p w14:paraId="610B726F">
      <w:pPr>
        <w:spacing w:before="181" w:line="220" w:lineRule="auto"/>
        <w:ind w:left="560"/>
        <w:rPr>
          <w:rFonts w:ascii="宋体" w:hAnsi="宋体" w:eastAsia="宋体" w:cs="宋体"/>
          <w:sz w:val="24"/>
          <w:szCs w:val="24"/>
          <w:highlight w:val="none"/>
        </w:rPr>
      </w:pPr>
      <w:r>
        <w:rPr>
          <w:rFonts w:ascii="宋体" w:hAnsi="宋体" w:eastAsia="宋体" w:cs="宋体"/>
          <w:spacing w:val="-1"/>
          <w:sz w:val="24"/>
          <w:szCs w:val="24"/>
          <w:highlight w:val="none"/>
        </w:rPr>
        <w:t>现场工艺试验的有关约定：除通用条款外，由承包</w:t>
      </w:r>
      <w:r>
        <w:rPr>
          <w:rFonts w:ascii="宋体" w:hAnsi="宋体" w:eastAsia="宋体" w:cs="宋体"/>
          <w:spacing w:val="-2"/>
          <w:sz w:val="24"/>
          <w:szCs w:val="24"/>
          <w:highlight w:val="none"/>
        </w:rPr>
        <w:t>人、发包人双方另行约定。</w:t>
      </w:r>
    </w:p>
    <w:p w14:paraId="6DE8C6E4">
      <w:pPr>
        <w:spacing w:before="180" w:line="221" w:lineRule="auto"/>
        <w:rPr>
          <w:rFonts w:ascii="宋体" w:hAnsi="宋体" w:eastAsia="宋体" w:cs="宋体"/>
          <w:sz w:val="24"/>
          <w:szCs w:val="24"/>
          <w:highlight w:val="none"/>
        </w:rPr>
      </w:pPr>
      <w:r>
        <w:rPr>
          <w:rFonts w:ascii="宋体" w:hAnsi="宋体" w:eastAsia="宋体" w:cs="宋体"/>
          <w:spacing w:val="-6"/>
          <w:sz w:val="24"/>
          <w:szCs w:val="24"/>
          <w:highlight w:val="none"/>
        </w:rPr>
        <w:t>10.变更</w:t>
      </w:r>
    </w:p>
    <w:p w14:paraId="074C9971">
      <w:pPr>
        <w:spacing w:before="181" w:line="220" w:lineRule="auto"/>
        <w:ind w:left="456"/>
        <w:rPr>
          <w:rFonts w:ascii="宋体" w:hAnsi="宋体" w:eastAsia="宋体" w:cs="宋体"/>
          <w:sz w:val="24"/>
          <w:szCs w:val="24"/>
          <w:highlight w:val="none"/>
        </w:rPr>
      </w:pPr>
      <w:r>
        <w:rPr>
          <w:rFonts w:ascii="宋体" w:hAnsi="宋体" w:eastAsia="宋体" w:cs="宋体"/>
          <w:spacing w:val="-11"/>
          <w:sz w:val="24"/>
          <w:szCs w:val="24"/>
          <w:highlight w:val="none"/>
        </w:rPr>
        <w:t>10.1</w:t>
      </w:r>
      <w:r>
        <w:rPr>
          <w:rFonts w:ascii="宋体" w:hAnsi="宋体" w:eastAsia="宋体" w:cs="宋体"/>
          <w:spacing w:val="-53"/>
          <w:sz w:val="24"/>
          <w:szCs w:val="24"/>
          <w:highlight w:val="none"/>
        </w:rPr>
        <w:t xml:space="preserve"> </w:t>
      </w:r>
      <w:r>
        <w:rPr>
          <w:rFonts w:ascii="宋体" w:hAnsi="宋体" w:eastAsia="宋体" w:cs="宋体"/>
          <w:spacing w:val="-11"/>
          <w:sz w:val="24"/>
          <w:szCs w:val="24"/>
          <w:highlight w:val="none"/>
        </w:rPr>
        <w:t>变更的范围</w:t>
      </w:r>
    </w:p>
    <w:p w14:paraId="31C5D23F">
      <w:pPr>
        <w:spacing w:before="181" w:line="359" w:lineRule="auto"/>
        <w:ind w:left="78" w:right="83" w:firstLine="484"/>
        <w:rPr>
          <w:rFonts w:ascii="宋体" w:hAnsi="宋体" w:eastAsia="宋体" w:cs="宋体"/>
          <w:sz w:val="24"/>
          <w:szCs w:val="24"/>
          <w:highlight w:val="none"/>
        </w:rPr>
      </w:pPr>
      <w:r>
        <w:rPr>
          <w:rFonts w:ascii="宋体" w:hAnsi="宋体" w:eastAsia="宋体" w:cs="宋体"/>
          <w:spacing w:val="-6"/>
          <w:sz w:val="24"/>
          <w:szCs w:val="24"/>
          <w:highlight w:val="none"/>
        </w:rPr>
        <w:t>关于变更的范围的约定：政府投资项目，因勘察设计原因、隐蔽性工程确需变更</w:t>
      </w:r>
      <w:r>
        <w:rPr>
          <w:rFonts w:ascii="宋体" w:hAnsi="宋体" w:eastAsia="宋体" w:cs="宋体"/>
          <w:spacing w:val="-7"/>
          <w:sz w:val="24"/>
          <w:szCs w:val="24"/>
          <w:highlight w:val="none"/>
        </w:rPr>
        <w:t>的，</w:t>
      </w:r>
      <w:r>
        <w:rPr>
          <w:rFonts w:ascii="宋体" w:hAnsi="宋体" w:eastAsia="宋体" w:cs="宋体"/>
          <w:spacing w:val="50"/>
          <w:sz w:val="24"/>
          <w:szCs w:val="24"/>
          <w:highlight w:val="none"/>
        </w:rPr>
        <w:t xml:space="preserve"> </w:t>
      </w:r>
      <w:r>
        <w:rPr>
          <w:rFonts w:ascii="宋体" w:hAnsi="宋体" w:eastAsia="宋体" w:cs="宋体"/>
          <w:spacing w:val="-7"/>
          <w:sz w:val="24"/>
          <w:szCs w:val="24"/>
          <w:highlight w:val="none"/>
        </w:rPr>
        <w:t>应</w:t>
      </w:r>
      <w:r>
        <w:rPr>
          <w:rFonts w:ascii="宋体" w:hAnsi="宋体" w:eastAsia="宋体" w:cs="宋体"/>
          <w:spacing w:val="-1"/>
          <w:sz w:val="24"/>
          <w:szCs w:val="24"/>
          <w:highlight w:val="none"/>
        </w:rPr>
        <w:t>按程序报经政府批准同意。属于承包人的原因未按招标文件</w:t>
      </w:r>
      <w:r>
        <w:rPr>
          <w:rFonts w:ascii="宋体" w:hAnsi="宋体" w:eastAsia="宋体" w:cs="宋体"/>
          <w:spacing w:val="-2"/>
          <w:sz w:val="24"/>
          <w:szCs w:val="24"/>
          <w:highlight w:val="none"/>
        </w:rPr>
        <w:t>规定的期限、程序提出工程量异</w:t>
      </w:r>
      <w:r>
        <w:rPr>
          <w:rFonts w:ascii="宋体" w:hAnsi="宋体" w:eastAsia="宋体" w:cs="宋体"/>
          <w:spacing w:val="-1"/>
          <w:sz w:val="24"/>
          <w:szCs w:val="24"/>
          <w:highlight w:val="none"/>
        </w:rPr>
        <w:t>议却在施工期间却提出工程量异议的，不予变更，由承包人</w:t>
      </w:r>
      <w:r>
        <w:rPr>
          <w:rFonts w:ascii="宋体" w:hAnsi="宋体" w:eastAsia="宋体" w:cs="宋体"/>
          <w:spacing w:val="-2"/>
          <w:sz w:val="24"/>
          <w:szCs w:val="24"/>
          <w:highlight w:val="none"/>
        </w:rPr>
        <w:t>承担工程量的完成；投标人在招</w:t>
      </w:r>
      <w:r>
        <w:rPr>
          <w:rFonts w:ascii="宋体" w:hAnsi="宋体" w:eastAsia="宋体" w:cs="宋体"/>
          <w:spacing w:val="-4"/>
          <w:sz w:val="24"/>
          <w:szCs w:val="24"/>
          <w:highlight w:val="none"/>
        </w:rPr>
        <w:t>标质疑期间及异议期间已按招标文件规定的期限、程序提出异议， 而</w:t>
      </w:r>
      <w:r>
        <w:rPr>
          <w:rFonts w:ascii="宋体" w:hAnsi="宋体" w:eastAsia="宋体" w:cs="宋体"/>
          <w:spacing w:val="-5"/>
          <w:sz w:val="24"/>
          <w:szCs w:val="24"/>
          <w:highlight w:val="none"/>
        </w:rPr>
        <w:t>招标人没有做出正确澄</w:t>
      </w:r>
      <w:r>
        <w:rPr>
          <w:rFonts w:ascii="宋体" w:hAnsi="宋体" w:eastAsia="宋体" w:cs="宋体"/>
          <w:spacing w:val="-3"/>
          <w:sz w:val="24"/>
          <w:szCs w:val="24"/>
          <w:highlight w:val="none"/>
        </w:rPr>
        <w:t>清、解释的，经查证属实的按程序进行变更。</w:t>
      </w:r>
    </w:p>
    <w:p w14:paraId="11FF81F3">
      <w:pPr>
        <w:spacing w:before="1" w:line="219" w:lineRule="auto"/>
        <w:ind w:left="582"/>
        <w:rPr>
          <w:rFonts w:ascii="宋体" w:hAnsi="宋体" w:eastAsia="宋体" w:cs="宋体"/>
          <w:sz w:val="24"/>
          <w:szCs w:val="24"/>
          <w:highlight w:val="none"/>
        </w:rPr>
      </w:pPr>
      <w:r>
        <w:rPr>
          <w:rFonts w:ascii="宋体" w:hAnsi="宋体" w:eastAsia="宋体" w:cs="宋体"/>
          <w:spacing w:val="-2"/>
          <w:sz w:val="24"/>
          <w:szCs w:val="24"/>
          <w:highlight w:val="none"/>
        </w:rPr>
        <w:t>国有企业和国有控股企业投资项目，可参照执行或由发包（招标）人另行规定。</w:t>
      </w:r>
    </w:p>
    <w:p w14:paraId="5E94D11C">
      <w:pPr>
        <w:spacing w:before="183" w:line="218" w:lineRule="auto"/>
        <w:ind w:left="456"/>
        <w:rPr>
          <w:rFonts w:ascii="宋体" w:hAnsi="宋体" w:eastAsia="宋体" w:cs="宋体"/>
          <w:sz w:val="24"/>
          <w:szCs w:val="24"/>
          <w:highlight w:val="none"/>
        </w:rPr>
      </w:pPr>
      <w:r>
        <w:rPr>
          <w:rFonts w:ascii="宋体" w:hAnsi="宋体" w:eastAsia="宋体" w:cs="宋体"/>
          <w:spacing w:val="-11"/>
          <w:sz w:val="24"/>
          <w:szCs w:val="24"/>
          <w:highlight w:val="none"/>
        </w:rPr>
        <w:t>10.4</w:t>
      </w:r>
      <w:r>
        <w:rPr>
          <w:rFonts w:ascii="宋体" w:hAnsi="宋体" w:eastAsia="宋体" w:cs="宋体"/>
          <w:spacing w:val="-52"/>
          <w:sz w:val="24"/>
          <w:szCs w:val="24"/>
          <w:highlight w:val="none"/>
        </w:rPr>
        <w:t xml:space="preserve"> </w:t>
      </w:r>
      <w:r>
        <w:rPr>
          <w:rFonts w:ascii="宋体" w:hAnsi="宋体" w:eastAsia="宋体" w:cs="宋体"/>
          <w:spacing w:val="-11"/>
          <w:sz w:val="24"/>
          <w:szCs w:val="24"/>
          <w:highlight w:val="none"/>
        </w:rPr>
        <w:t>变更估价</w:t>
      </w:r>
    </w:p>
    <w:p w14:paraId="048FBEBA">
      <w:pPr>
        <w:spacing w:before="182" w:line="218" w:lineRule="auto"/>
        <w:ind w:left="576"/>
        <w:rPr>
          <w:rFonts w:ascii="宋体" w:hAnsi="宋体" w:eastAsia="宋体" w:cs="宋体"/>
          <w:sz w:val="24"/>
          <w:szCs w:val="24"/>
          <w:highlight w:val="none"/>
        </w:rPr>
      </w:pPr>
      <w:r>
        <w:rPr>
          <w:rFonts w:ascii="宋体" w:hAnsi="宋体" w:eastAsia="宋体" w:cs="宋体"/>
          <w:spacing w:val="-3"/>
          <w:sz w:val="24"/>
          <w:szCs w:val="24"/>
          <w:highlight w:val="none"/>
        </w:rPr>
        <w:t>10.4.1</w:t>
      </w:r>
      <w:r>
        <w:rPr>
          <w:rFonts w:ascii="宋体" w:hAnsi="宋体" w:eastAsia="宋体" w:cs="宋体"/>
          <w:spacing w:val="-51"/>
          <w:sz w:val="24"/>
          <w:szCs w:val="24"/>
          <w:highlight w:val="none"/>
        </w:rPr>
        <w:t xml:space="preserve"> </w:t>
      </w:r>
      <w:r>
        <w:rPr>
          <w:rFonts w:ascii="宋体" w:hAnsi="宋体" w:eastAsia="宋体" w:cs="宋体"/>
          <w:spacing w:val="-3"/>
          <w:sz w:val="24"/>
          <w:szCs w:val="24"/>
          <w:highlight w:val="none"/>
        </w:rPr>
        <w:t>变更估价原则</w:t>
      </w:r>
    </w:p>
    <w:p w14:paraId="3BB27461">
      <w:pPr>
        <w:spacing w:before="184" w:line="218" w:lineRule="auto"/>
        <w:jc w:val="right"/>
        <w:rPr>
          <w:rFonts w:ascii="宋体" w:hAnsi="宋体" w:eastAsia="宋体" w:cs="宋体"/>
          <w:sz w:val="24"/>
          <w:szCs w:val="24"/>
          <w:highlight w:val="none"/>
        </w:rPr>
      </w:pPr>
      <w:r>
        <w:rPr>
          <w:rFonts w:ascii="宋体" w:hAnsi="宋体" w:eastAsia="宋体" w:cs="宋体"/>
          <w:spacing w:val="-5"/>
          <w:sz w:val="24"/>
          <w:szCs w:val="24"/>
          <w:highlight w:val="none"/>
        </w:rPr>
        <w:t>关于变更估价的约定:（1）已审定预算价中已有适用的</w:t>
      </w:r>
      <w:r>
        <w:rPr>
          <w:rFonts w:ascii="宋体" w:hAnsi="宋体" w:eastAsia="宋体" w:cs="宋体"/>
          <w:spacing w:val="-6"/>
          <w:sz w:val="24"/>
          <w:szCs w:val="24"/>
          <w:highlight w:val="none"/>
        </w:rPr>
        <w:t>综合单价，按已有综合单价确定。</w:t>
      </w:r>
    </w:p>
    <w:p w14:paraId="58577F1E">
      <w:pPr>
        <w:spacing w:before="183" w:line="218" w:lineRule="auto"/>
        <w:ind w:left="829"/>
        <w:rPr>
          <w:rFonts w:ascii="宋体" w:hAnsi="宋体" w:eastAsia="宋体" w:cs="宋体"/>
          <w:sz w:val="24"/>
          <w:szCs w:val="24"/>
          <w:highlight w:val="none"/>
        </w:rPr>
      </w:pPr>
      <w:r>
        <w:rPr>
          <w:rFonts w:ascii="宋体" w:hAnsi="宋体" w:eastAsia="宋体" w:cs="宋体"/>
          <w:spacing w:val="-2"/>
          <w:sz w:val="24"/>
          <w:szCs w:val="24"/>
          <w:highlight w:val="none"/>
        </w:rPr>
        <w:t>（2）已审定预算价中有类似的综合单价，参照类似的综合单价确定。</w:t>
      </w:r>
    </w:p>
    <w:p w14:paraId="67B3505D">
      <w:pPr>
        <w:spacing w:before="185" w:line="312" w:lineRule="auto"/>
        <w:ind w:left="79" w:right="83" w:firstLine="749"/>
        <w:rPr>
          <w:rFonts w:ascii="宋体" w:hAnsi="宋体" w:eastAsia="宋体" w:cs="宋体"/>
          <w:sz w:val="24"/>
          <w:szCs w:val="24"/>
          <w:highlight w:val="none"/>
        </w:rPr>
      </w:pPr>
      <w:r>
        <w:rPr>
          <w:rFonts w:ascii="宋体" w:hAnsi="宋体" w:eastAsia="宋体" w:cs="宋体"/>
          <w:spacing w:val="1"/>
          <w:sz w:val="24"/>
          <w:szCs w:val="24"/>
          <w:highlight w:val="none"/>
        </w:rPr>
        <w:t>（3）已审定预算价中没有适用或类似的综合单价，由承包人根据变更工程</w:t>
      </w:r>
      <w:r>
        <w:rPr>
          <w:rFonts w:ascii="宋体" w:hAnsi="宋体" w:eastAsia="宋体" w:cs="宋体"/>
          <w:sz w:val="24"/>
          <w:szCs w:val="24"/>
          <w:highlight w:val="none"/>
        </w:rPr>
        <w:t>资料、招</w:t>
      </w:r>
      <w:r>
        <w:rPr>
          <w:rFonts w:ascii="宋体" w:hAnsi="宋体" w:eastAsia="宋体" w:cs="宋体"/>
          <w:spacing w:val="-4"/>
          <w:sz w:val="24"/>
          <w:szCs w:val="24"/>
          <w:highlight w:val="none"/>
        </w:rPr>
        <w:t>标时的计量规则和计价办法、当期的工程造价管理机构发布的信息价</w:t>
      </w:r>
      <w:r>
        <w:rPr>
          <w:rFonts w:ascii="宋体" w:hAnsi="宋体" w:eastAsia="宋体" w:cs="宋体"/>
          <w:spacing w:val="-5"/>
          <w:sz w:val="24"/>
          <w:szCs w:val="24"/>
          <w:highlight w:val="none"/>
        </w:rPr>
        <w:t>格， 提出变更工程项目</w:t>
      </w:r>
      <w:r>
        <w:rPr>
          <w:rFonts w:ascii="宋体" w:hAnsi="宋体" w:eastAsia="宋体" w:cs="宋体"/>
          <w:spacing w:val="-1"/>
          <w:sz w:val="24"/>
          <w:szCs w:val="24"/>
          <w:highlight w:val="none"/>
        </w:rPr>
        <w:t>的预算单价，经甲方报跟踪审计单位（或审核</w:t>
      </w:r>
      <w:r>
        <w:rPr>
          <w:rFonts w:ascii="宋体" w:hAnsi="宋体" w:eastAsia="宋体" w:cs="宋体"/>
          <w:spacing w:val="-2"/>
          <w:sz w:val="24"/>
          <w:szCs w:val="24"/>
          <w:highlight w:val="none"/>
        </w:rPr>
        <w:t>部门）确认后执行。</w:t>
      </w:r>
    </w:p>
    <w:p w14:paraId="3CA92184">
      <w:pPr>
        <w:spacing w:before="184" w:line="324" w:lineRule="auto"/>
        <w:ind w:left="78" w:right="83" w:firstLine="750"/>
        <w:rPr>
          <w:rFonts w:ascii="宋体" w:hAnsi="宋体" w:eastAsia="宋体" w:cs="宋体"/>
          <w:sz w:val="24"/>
          <w:szCs w:val="24"/>
          <w:highlight w:val="none"/>
        </w:rPr>
      </w:pPr>
      <w:r>
        <w:rPr>
          <w:rFonts w:ascii="宋体" w:hAnsi="宋体" w:eastAsia="宋体" w:cs="宋体"/>
          <w:spacing w:val="1"/>
          <w:sz w:val="24"/>
          <w:szCs w:val="24"/>
          <w:highlight w:val="none"/>
        </w:rPr>
        <w:t>（4）已审定预算价中没有适用也没有类似于变更工程项目的，且工程造价</w:t>
      </w:r>
      <w:r>
        <w:rPr>
          <w:rFonts w:ascii="宋体" w:hAnsi="宋体" w:eastAsia="宋体" w:cs="宋体"/>
          <w:sz w:val="24"/>
          <w:szCs w:val="24"/>
          <w:highlight w:val="none"/>
        </w:rPr>
        <w:t>管理机构</w:t>
      </w:r>
      <w:r>
        <w:rPr>
          <w:rFonts w:ascii="宋体" w:hAnsi="宋体" w:eastAsia="宋体" w:cs="宋体"/>
          <w:spacing w:val="-1"/>
          <w:sz w:val="24"/>
          <w:szCs w:val="24"/>
          <w:highlight w:val="none"/>
        </w:rPr>
        <w:t>发布的信息价缺项的，应由承包人根据变更工程资料、招标</w:t>
      </w:r>
      <w:r>
        <w:rPr>
          <w:rFonts w:ascii="宋体" w:hAnsi="宋体" w:eastAsia="宋体" w:cs="宋体"/>
          <w:spacing w:val="-2"/>
          <w:sz w:val="24"/>
          <w:szCs w:val="24"/>
          <w:highlight w:val="none"/>
        </w:rPr>
        <w:t>时的计量规则和计价办法和通过</w:t>
      </w:r>
      <w:r>
        <w:rPr>
          <w:rFonts w:ascii="宋体" w:hAnsi="宋体" w:eastAsia="宋体" w:cs="宋体"/>
          <w:spacing w:val="-1"/>
          <w:sz w:val="24"/>
          <w:szCs w:val="24"/>
          <w:highlight w:val="none"/>
        </w:rPr>
        <w:t>市场调查等取得有合法依据的市场价格提出变更工程项</w:t>
      </w:r>
      <w:r>
        <w:rPr>
          <w:rFonts w:ascii="宋体" w:hAnsi="宋体" w:eastAsia="宋体" w:cs="宋体"/>
          <w:spacing w:val="-2"/>
          <w:sz w:val="24"/>
          <w:szCs w:val="24"/>
          <w:highlight w:val="none"/>
        </w:rPr>
        <w:t>目的预算单价，经甲方报跟踪审计单</w:t>
      </w:r>
      <w:r>
        <w:rPr>
          <w:rFonts w:ascii="宋体" w:hAnsi="宋体" w:eastAsia="宋体" w:cs="宋体"/>
          <w:spacing w:val="-3"/>
          <w:sz w:val="24"/>
          <w:szCs w:val="24"/>
          <w:highlight w:val="none"/>
        </w:rPr>
        <w:t>位（或审核部门）确认后执行。</w:t>
      </w:r>
    </w:p>
    <w:p w14:paraId="17D7E8F6">
      <w:pPr>
        <w:spacing w:before="181" w:line="218" w:lineRule="auto"/>
        <w:ind w:left="829"/>
        <w:rPr>
          <w:rFonts w:ascii="宋体" w:hAnsi="宋体" w:eastAsia="宋体" w:cs="宋体"/>
          <w:sz w:val="24"/>
          <w:szCs w:val="24"/>
          <w:highlight w:val="none"/>
        </w:rPr>
      </w:pPr>
      <w:r>
        <w:rPr>
          <w:rFonts w:ascii="宋体" w:hAnsi="宋体" w:eastAsia="宋体" w:cs="宋体"/>
          <w:spacing w:val="-2"/>
          <w:sz w:val="24"/>
          <w:szCs w:val="24"/>
          <w:highlight w:val="none"/>
        </w:rPr>
        <w:t>（5）上述变更价款=预算价格×投标报价（费率</w:t>
      </w:r>
      <w:r>
        <w:rPr>
          <w:rFonts w:ascii="宋体" w:hAnsi="宋体" w:eastAsia="宋体" w:cs="宋体"/>
          <w:spacing w:val="5"/>
          <w:sz w:val="24"/>
          <w:szCs w:val="24"/>
          <w:highlight w:val="none"/>
        </w:rPr>
        <w:t>），</w:t>
      </w:r>
      <w:r>
        <w:rPr>
          <w:rFonts w:ascii="宋体" w:hAnsi="宋体" w:eastAsia="宋体" w:cs="宋体"/>
          <w:spacing w:val="-2"/>
          <w:sz w:val="24"/>
          <w:szCs w:val="24"/>
          <w:highlight w:val="none"/>
        </w:rPr>
        <w:t>并列入工程结算。</w:t>
      </w:r>
    </w:p>
    <w:p w14:paraId="27E96965">
      <w:pPr>
        <w:spacing w:line="218" w:lineRule="auto"/>
        <w:rPr>
          <w:rFonts w:ascii="宋体" w:hAnsi="宋体" w:eastAsia="宋体" w:cs="宋体"/>
          <w:sz w:val="24"/>
          <w:szCs w:val="24"/>
          <w:highlight w:val="none"/>
        </w:rPr>
        <w:sectPr>
          <w:footerReference r:id="rId48" w:type="default"/>
          <w:pgSz w:w="11907" w:h="16839"/>
          <w:pgMar w:top="1425" w:right="1089" w:bottom="1129" w:left="1107" w:header="0" w:footer="898" w:gutter="0"/>
          <w:cols w:space="720" w:num="1"/>
        </w:sectPr>
      </w:pPr>
    </w:p>
    <w:p w14:paraId="65D11092">
      <w:pPr>
        <w:spacing w:before="48" w:line="289" w:lineRule="auto"/>
        <w:ind w:right="13" w:firstLine="750"/>
        <w:rPr>
          <w:rFonts w:ascii="宋体" w:hAnsi="宋体" w:eastAsia="宋体" w:cs="宋体"/>
          <w:sz w:val="24"/>
          <w:szCs w:val="24"/>
          <w:highlight w:val="none"/>
        </w:rPr>
      </w:pPr>
      <w:r>
        <w:rPr>
          <w:rFonts w:ascii="宋体" w:hAnsi="宋体" w:eastAsia="宋体" w:cs="宋体"/>
          <w:spacing w:val="1"/>
          <w:sz w:val="24"/>
          <w:szCs w:val="24"/>
          <w:highlight w:val="none"/>
        </w:rPr>
        <w:t>（6）由发、承包人双方共同询价且经过发包人</w:t>
      </w:r>
      <w:r>
        <w:rPr>
          <w:rFonts w:ascii="宋体" w:hAnsi="宋体" w:eastAsia="宋体" w:cs="宋体"/>
          <w:sz w:val="24"/>
          <w:szCs w:val="24"/>
          <w:highlight w:val="none"/>
        </w:rPr>
        <w:t>确认的或由发包人主导采购，并由承</w:t>
      </w:r>
      <w:r>
        <w:rPr>
          <w:rFonts w:ascii="宋体" w:hAnsi="宋体" w:eastAsia="宋体" w:cs="宋体"/>
          <w:spacing w:val="-2"/>
          <w:sz w:val="24"/>
          <w:szCs w:val="24"/>
          <w:highlight w:val="none"/>
        </w:rPr>
        <w:t>包人签订采购合同的材料、设备、专业工程的价格不参与结算下浮。</w:t>
      </w:r>
    </w:p>
    <w:p w14:paraId="58BDBC18">
      <w:pPr>
        <w:spacing w:before="182" w:line="218" w:lineRule="auto"/>
        <w:ind w:left="750"/>
        <w:rPr>
          <w:rFonts w:ascii="宋体" w:hAnsi="宋体" w:eastAsia="宋体" w:cs="宋体"/>
          <w:sz w:val="24"/>
          <w:szCs w:val="24"/>
          <w:highlight w:val="none"/>
        </w:rPr>
      </w:pPr>
      <w:r>
        <w:rPr>
          <w:rFonts w:ascii="宋体" w:hAnsi="宋体" w:eastAsia="宋体" w:cs="宋体"/>
          <w:spacing w:val="-3"/>
          <w:sz w:val="24"/>
          <w:szCs w:val="24"/>
          <w:highlight w:val="none"/>
        </w:rPr>
        <w:t>（7）最终工程变更价款以结算结果为准。</w:t>
      </w:r>
    </w:p>
    <w:p w14:paraId="2F23E265">
      <w:pPr>
        <w:spacing w:before="184" w:line="218"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在变更价款未确定之前，承包人不得以此为理由延误施工</w:t>
      </w:r>
      <w:r>
        <w:rPr>
          <w:rFonts w:ascii="宋体" w:hAnsi="宋体" w:eastAsia="宋体" w:cs="宋体"/>
          <w:spacing w:val="-2"/>
          <w:sz w:val="24"/>
          <w:szCs w:val="24"/>
          <w:highlight w:val="none"/>
        </w:rPr>
        <w:t>，否则按违约处理。</w:t>
      </w:r>
    </w:p>
    <w:p w14:paraId="2A70AF24">
      <w:pPr>
        <w:spacing w:before="181"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10.5</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承包人的合理化建议</w:t>
      </w:r>
    </w:p>
    <w:p w14:paraId="330E6CE4">
      <w:pPr>
        <w:spacing w:before="182"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监理人审查承包人合理化建议的期限：3</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天，最长不超过通用条款规定的期限。</w:t>
      </w:r>
    </w:p>
    <w:p w14:paraId="721DCE7C">
      <w:pPr>
        <w:spacing w:before="179"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发包人审批承包人合理化建议的期限：2</w:t>
      </w:r>
      <w:r>
        <w:rPr>
          <w:rFonts w:ascii="宋体" w:hAnsi="宋体" w:eastAsia="宋体" w:cs="宋体"/>
          <w:spacing w:val="-36"/>
          <w:sz w:val="24"/>
          <w:szCs w:val="24"/>
          <w:highlight w:val="none"/>
        </w:rPr>
        <w:t xml:space="preserve"> </w:t>
      </w:r>
      <w:r>
        <w:rPr>
          <w:rFonts w:ascii="宋体" w:hAnsi="宋体" w:eastAsia="宋体" w:cs="宋体"/>
          <w:spacing w:val="-2"/>
          <w:sz w:val="24"/>
          <w:szCs w:val="24"/>
          <w:highlight w:val="none"/>
        </w:rPr>
        <w:t>天，最长不超过通用条款规定的期限。</w:t>
      </w:r>
    </w:p>
    <w:p w14:paraId="14B0BD37">
      <w:pPr>
        <w:spacing w:before="183" w:line="359" w:lineRule="auto"/>
        <w:ind w:right="11" w:firstLine="480"/>
        <w:rPr>
          <w:rFonts w:ascii="宋体" w:hAnsi="宋体" w:eastAsia="宋体" w:cs="宋体"/>
          <w:sz w:val="24"/>
          <w:szCs w:val="24"/>
          <w:highlight w:val="none"/>
        </w:rPr>
      </w:pPr>
      <w:r>
        <w:rPr>
          <w:rFonts w:ascii="宋体" w:hAnsi="宋体" w:eastAsia="宋体" w:cs="宋体"/>
          <w:spacing w:val="5"/>
          <w:sz w:val="24"/>
          <w:szCs w:val="24"/>
          <w:highlight w:val="none"/>
        </w:rPr>
        <w:t>承包人提出的合理化建议降低了合同价格或者提高了工程经济</w:t>
      </w:r>
      <w:r>
        <w:rPr>
          <w:rFonts w:ascii="宋体" w:hAnsi="宋体" w:eastAsia="宋体" w:cs="宋体"/>
          <w:spacing w:val="4"/>
          <w:sz w:val="24"/>
          <w:szCs w:val="24"/>
          <w:highlight w:val="none"/>
        </w:rPr>
        <w:t>效益的奖励的方法和金</w:t>
      </w:r>
      <w:r>
        <w:rPr>
          <w:rFonts w:ascii="宋体" w:hAnsi="宋体" w:eastAsia="宋体" w:cs="宋体"/>
          <w:spacing w:val="-2"/>
          <w:sz w:val="24"/>
          <w:szCs w:val="24"/>
          <w:highlight w:val="none"/>
        </w:rPr>
        <w:t>额为：/。</w:t>
      </w:r>
    </w:p>
    <w:p w14:paraId="16E68D4E">
      <w:pPr>
        <w:spacing w:line="218"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10.7</w:t>
      </w:r>
      <w:r>
        <w:rPr>
          <w:rFonts w:ascii="宋体" w:hAnsi="宋体" w:eastAsia="宋体" w:cs="宋体"/>
          <w:spacing w:val="-41"/>
          <w:sz w:val="24"/>
          <w:szCs w:val="24"/>
          <w:highlight w:val="none"/>
        </w:rPr>
        <w:t xml:space="preserve"> </w:t>
      </w:r>
      <w:r>
        <w:rPr>
          <w:rFonts w:ascii="宋体" w:hAnsi="宋体" w:eastAsia="宋体" w:cs="宋体"/>
          <w:spacing w:val="-6"/>
          <w:sz w:val="24"/>
          <w:szCs w:val="24"/>
          <w:highlight w:val="none"/>
        </w:rPr>
        <w:t>暂估价</w:t>
      </w:r>
    </w:p>
    <w:p w14:paraId="02C9B9EE">
      <w:pPr>
        <w:spacing w:before="183" w:line="218"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暂估价材料和工程设备的明细详见附件</w:t>
      </w:r>
      <w:r>
        <w:rPr>
          <w:rFonts w:ascii="宋体" w:hAnsi="宋体" w:eastAsia="宋体" w:cs="宋体"/>
          <w:spacing w:val="-17"/>
          <w:sz w:val="24"/>
          <w:szCs w:val="24"/>
          <w:highlight w:val="none"/>
        </w:rPr>
        <w:t xml:space="preserve"> </w:t>
      </w:r>
      <w:r>
        <w:rPr>
          <w:rFonts w:ascii="宋体" w:hAnsi="宋体" w:eastAsia="宋体" w:cs="宋体"/>
          <w:spacing w:val="-3"/>
          <w:sz w:val="24"/>
          <w:szCs w:val="24"/>
          <w:highlight w:val="none"/>
        </w:rPr>
        <w:t>11：《暂估价一览表》。</w:t>
      </w:r>
    </w:p>
    <w:p w14:paraId="1C9AD56C">
      <w:pPr>
        <w:spacing w:before="184" w:line="218"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10.7.1</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依法必须招标的暂估价项目</w:t>
      </w:r>
    </w:p>
    <w:p w14:paraId="24124DDE">
      <w:pPr>
        <w:spacing w:before="182" w:line="218"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对于依法必须招标的暂估价项目的确认和批准采取第   种</w:t>
      </w:r>
      <w:r>
        <w:rPr>
          <w:rFonts w:ascii="宋体" w:hAnsi="宋体" w:eastAsia="宋体" w:cs="宋体"/>
          <w:spacing w:val="-2"/>
          <w:sz w:val="24"/>
          <w:szCs w:val="24"/>
          <w:highlight w:val="none"/>
        </w:rPr>
        <w:t>方式确定。</w:t>
      </w:r>
    </w:p>
    <w:p w14:paraId="6944CAC7">
      <w:pPr>
        <w:spacing w:before="185" w:line="359" w:lineRule="auto"/>
        <w:ind w:firstLine="498"/>
        <w:rPr>
          <w:rFonts w:ascii="宋体" w:hAnsi="宋体" w:eastAsia="宋体" w:cs="宋体"/>
          <w:sz w:val="24"/>
          <w:szCs w:val="24"/>
          <w:highlight w:val="none"/>
        </w:rPr>
      </w:pPr>
      <w:r>
        <w:rPr>
          <w:rFonts w:ascii="宋体" w:hAnsi="宋体" w:eastAsia="宋体" w:cs="宋体"/>
          <w:spacing w:val="1"/>
          <w:sz w:val="24"/>
          <w:szCs w:val="24"/>
          <w:highlight w:val="none"/>
        </w:rPr>
        <w:t>10.7.2 不属于依法必须招标的暂估价项目对于不属于依法必须招标的暂估价项目的确</w:t>
      </w:r>
      <w:r>
        <w:rPr>
          <w:rFonts w:ascii="宋体" w:hAnsi="宋体" w:eastAsia="宋体" w:cs="宋体"/>
          <w:spacing w:val="-5"/>
          <w:sz w:val="24"/>
          <w:szCs w:val="24"/>
          <w:highlight w:val="none"/>
        </w:rPr>
        <w:t>认和批准采取第</w:t>
      </w:r>
      <w:r>
        <w:rPr>
          <w:rFonts w:ascii="宋体" w:hAnsi="宋体" w:eastAsia="宋体" w:cs="宋体"/>
          <w:spacing w:val="-37"/>
          <w:sz w:val="24"/>
          <w:szCs w:val="24"/>
          <w:highlight w:val="none"/>
        </w:rPr>
        <w:t xml:space="preserve"> </w:t>
      </w:r>
      <w:r>
        <w:rPr>
          <w:rFonts w:ascii="宋体" w:hAnsi="宋体" w:eastAsia="宋体" w:cs="宋体"/>
          <w:spacing w:val="-5"/>
          <w:sz w:val="24"/>
          <w:szCs w:val="24"/>
          <w:highlight w:val="none"/>
        </w:rPr>
        <w:t>3</w:t>
      </w:r>
      <w:r>
        <w:rPr>
          <w:rFonts w:ascii="宋体" w:hAnsi="宋体" w:eastAsia="宋体" w:cs="宋体"/>
          <w:spacing w:val="-51"/>
          <w:sz w:val="24"/>
          <w:szCs w:val="24"/>
          <w:highlight w:val="none"/>
        </w:rPr>
        <w:t xml:space="preserve"> </w:t>
      </w:r>
      <w:r>
        <w:rPr>
          <w:rFonts w:ascii="宋体" w:hAnsi="宋体" w:eastAsia="宋体" w:cs="宋体"/>
          <w:spacing w:val="-5"/>
          <w:sz w:val="24"/>
          <w:szCs w:val="24"/>
          <w:highlight w:val="none"/>
        </w:rPr>
        <w:t>种方式确定。</w:t>
      </w:r>
    </w:p>
    <w:p w14:paraId="144B58BF">
      <w:pPr>
        <w:spacing w:line="218"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第</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种方式：承包人直接实施的暂估价项目</w:t>
      </w:r>
    </w:p>
    <w:p w14:paraId="1347B50B">
      <w:pPr>
        <w:spacing w:before="186" w:line="359" w:lineRule="auto"/>
        <w:ind w:left="1" w:firstLine="478"/>
        <w:jc w:val="both"/>
        <w:rPr>
          <w:rFonts w:ascii="宋体" w:hAnsi="宋体" w:eastAsia="宋体" w:cs="宋体"/>
          <w:sz w:val="24"/>
          <w:szCs w:val="24"/>
          <w:highlight w:val="none"/>
        </w:rPr>
      </w:pPr>
      <w:r>
        <w:rPr>
          <w:rFonts w:ascii="宋体" w:hAnsi="宋体" w:eastAsia="宋体" w:cs="宋体"/>
          <w:spacing w:val="-1"/>
          <w:sz w:val="24"/>
          <w:szCs w:val="24"/>
          <w:highlight w:val="none"/>
        </w:rPr>
        <w:t>承包人直接实施的暂估价项目的约定：承包人具备</w:t>
      </w:r>
      <w:r>
        <w:rPr>
          <w:rFonts w:ascii="宋体" w:hAnsi="宋体" w:eastAsia="宋体" w:cs="宋体"/>
          <w:spacing w:val="-2"/>
          <w:sz w:val="24"/>
          <w:szCs w:val="24"/>
          <w:highlight w:val="none"/>
        </w:rPr>
        <w:t>实施暂估价项目的资格和条件时，经发包人同意，可由承包人自行实施暂估价项目。暂估价项目合同金额按由原招标代理（造价</w:t>
      </w:r>
      <w:r>
        <w:rPr>
          <w:rFonts w:ascii="宋体" w:hAnsi="宋体" w:eastAsia="宋体" w:cs="宋体"/>
          <w:spacing w:val="-1"/>
          <w:sz w:val="24"/>
          <w:szCs w:val="24"/>
          <w:highlight w:val="none"/>
        </w:rPr>
        <w:t>咨询）单位编制预算，送审核部门审核后，按投标总价</w:t>
      </w:r>
      <w:r>
        <w:rPr>
          <w:rFonts w:ascii="宋体" w:hAnsi="宋体" w:eastAsia="宋体" w:cs="宋体"/>
          <w:spacing w:val="-2"/>
          <w:sz w:val="24"/>
          <w:szCs w:val="24"/>
          <w:highlight w:val="none"/>
        </w:rPr>
        <w:t>与最高限价降幅同比例下浮确定合同</w:t>
      </w:r>
      <w:r>
        <w:rPr>
          <w:rFonts w:ascii="宋体" w:hAnsi="宋体" w:eastAsia="宋体" w:cs="宋体"/>
          <w:spacing w:val="-1"/>
          <w:sz w:val="24"/>
          <w:szCs w:val="24"/>
          <w:highlight w:val="none"/>
        </w:rPr>
        <w:t>金额；其他方面由双方本着有利于暂估价项目</w:t>
      </w:r>
      <w:r>
        <w:rPr>
          <w:rFonts w:ascii="宋体" w:hAnsi="宋体" w:eastAsia="宋体" w:cs="宋体"/>
          <w:spacing w:val="-2"/>
          <w:sz w:val="24"/>
          <w:szCs w:val="24"/>
          <w:highlight w:val="none"/>
        </w:rPr>
        <w:t>和工程整体实施，协商确定。</w:t>
      </w:r>
    </w:p>
    <w:p w14:paraId="4E08F902">
      <w:pPr>
        <w:spacing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10.8</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暂列金额</w:t>
      </w:r>
    </w:p>
    <w:p w14:paraId="78D50EE9">
      <w:pPr>
        <w:spacing w:before="186" w:line="359" w:lineRule="auto"/>
        <w:ind w:left="1" w:firstLine="478"/>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合同当事人关于暂列金额使用的约定：暂列金额是指发包人为可能发生工程变更而暂列 的金额，包括施工过程中设计变更引起新的清单项目或工程数量增加等需要增加的金额，发 包人按有关程序并委托审核部门审定后，按照审核金额支付。暂列金额是发包人自行确定设 立的，其使用发包人必须同意并全过程参与，承包人无权使用此笔费用。此费用按实际发生经发包人签证后确定全部使用、部分使用或不使用。</w:t>
      </w:r>
    </w:p>
    <w:p w14:paraId="0FF3CE29">
      <w:pPr>
        <w:spacing w:line="218" w:lineRule="auto"/>
        <w:ind w:firstLine="464" w:firstLineChars="200"/>
        <w:rPr>
          <w:rFonts w:ascii="宋体" w:hAnsi="宋体" w:eastAsia="宋体" w:cs="宋体"/>
          <w:sz w:val="24"/>
          <w:szCs w:val="24"/>
          <w:highlight w:val="none"/>
        </w:rPr>
      </w:pPr>
      <w:r>
        <w:rPr>
          <w:rFonts w:ascii="宋体" w:hAnsi="宋体" w:eastAsia="宋体" w:cs="宋体"/>
          <w:spacing w:val="-4"/>
          <w:sz w:val="24"/>
          <w:szCs w:val="24"/>
          <w:highlight w:val="none"/>
        </w:rPr>
        <w:t>11.价格调整</w:t>
      </w:r>
    </w:p>
    <w:p w14:paraId="0527C091">
      <w:pPr>
        <w:spacing w:before="182" w:line="218"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11.1</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市场价格波动引起的调整</w:t>
      </w:r>
    </w:p>
    <w:p w14:paraId="2DCDFCC3">
      <w:pPr>
        <w:spacing w:before="185" w:line="218"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市场价格波动是否调整合同价格的约定：调整合同价格。</w:t>
      </w:r>
    </w:p>
    <w:p w14:paraId="27A71F21">
      <w:pPr>
        <w:spacing w:before="181" w:line="219" w:lineRule="auto"/>
        <w:ind w:left="481"/>
        <w:rPr>
          <w:rFonts w:ascii="宋体" w:hAnsi="宋体" w:eastAsia="宋体" w:cs="宋体"/>
          <w:sz w:val="24"/>
          <w:szCs w:val="24"/>
          <w:highlight w:val="none"/>
        </w:rPr>
      </w:pPr>
      <w:r>
        <w:rPr>
          <w:rFonts w:ascii="宋体" w:hAnsi="宋体" w:eastAsia="宋体" w:cs="宋体"/>
          <w:spacing w:val="-5"/>
          <w:sz w:val="24"/>
          <w:szCs w:val="24"/>
          <w:highlight w:val="none"/>
        </w:rPr>
        <w:t>本项目具体按下列方式进行调整：</w:t>
      </w:r>
    </w:p>
    <w:p w14:paraId="56A72D1C">
      <w:pPr>
        <w:spacing w:line="219" w:lineRule="auto"/>
        <w:rPr>
          <w:rFonts w:ascii="宋体" w:hAnsi="宋体" w:eastAsia="宋体" w:cs="宋体"/>
          <w:sz w:val="24"/>
          <w:szCs w:val="24"/>
          <w:highlight w:val="none"/>
        </w:rPr>
        <w:sectPr>
          <w:footerReference r:id="rId49" w:type="default"/>
          <w:pgSz w:w="11907" w:h="16839"/>
          <w:pgMar w:top="1425" w:right="1173" w:bottom="1129" w:left="1185" w:header="0" w:footer="898" w:gutter="0"/>
          <w:cols w:space="720" w:num="1"/>
        </w:sectPr>
      </w:pPr>
    </w:p>
    <w:p w14:paraId="6B0DEFDB">
      <w:pPr>
        <w:spacing w:before="46" w:line="290" w:lineRule="auto"/>
        <w:ind w:right="6" w:firstLine="478"/>
        <w:rPr>
          <w:rFonts w:ascii="宋体" w:hAnsi="宋体" w:eastAsia="宋体" w:cs="宋体"/>
          <w:sz w:val="24"/>
          <w:szCs w:val="24"/>
          <w:highlight w:val="none"/>
        </w:rPr>
      </w:pPr>
      <w:r>
        <w:rPr>
          <w:rFonts w:ascii="宋体" w:hAnsi="宋体" w:eastAsia="宋体" w:cs="宋体"/>
          <w:sz w:val="24"/>
          <w:szCs w:val="24"/>
          <w:highlight w:val="none"/>
        </w:rPr>
        <w:t>a、范围：</w:t>
      </w:r>
      <w:r>
        <w:rPr>
          <w:rFonts w:hint="eastAsia" w:ascii="宋体" w:hAnsi="宋体" w:eastAsia="宋体" w:cs="宋体"/>
          <w:sz w:val="24"/>
          <w:szCs w:val="24"/>
          <w:highlight w:val="none"/>
          <w:lang w:val="en-US" w:eastAsia="zh-CN"/>
        </w:rPr>
        <w:t>商砼，钢筋</w:t>
      </w:r>
      <w:r>
        <w:rPr>
          <w:rFonts w:ascii="宋体" w:hAnsi="宋体" w:eastAsia="宋体" w:cs="宋体"/>
          <w:spacing w:val="-4"/>
          <w:sz w:val="24"/>
          <w:szCs w:val="24"/>
          <w:highlight w:val="none"/>
        </w:rPr>
        <w:t>。</w:t>
      </w:r>
    </w:p>
    <w:p w14:paraId="19A8FF42">
      <w:pPr>
        <w:spacing w:before="181" w:line="218" w:lineRule="auto"/>
        <w:ind w:left="474"/>
        <w:rPr>
          <w:rFonts w:ascii="宋体" w:hAnsi="宋体" w:eastAsia="宋体" w:cs="宋体"/>
          <w:spacing w:val="-3"/>
          <w:sz w:val="24"/>
          <w:szCs w:val="24"/>
          <w:highlight w:val="none"/>
        </w:rPr>
      </w:pPr>
      <w:r>
        <w:rPr>
          <w:rFonts w:ascii="宋体" w:hAnsi="宋体" w:eastAsia="宋体" w:cs="宋体"/>
          <w:spacing w:val="-2"/>
          <w:sz w:val="24"/>
          <w:szCs w:val="24"/>
          <w:highlight w:val="none"/>
        </w:rPr>
        <w:t>b、幅度：单项价格变动幅度超过</w:t>
      </w:r>
      <w:r>
        <w:rPr>
          <w:rFonts w:ascii="宋体" w:hAnsi="宋体" w:eastAsia="宋体" w:cs="宋体"/>
          <w:spacing w:val="-36"/>
          <w:sz w:val="24"/>
          <w:szCs w:val="24"/>
          <w:highlight w:val="none"/>
        </w:rPr>
        <w:t xml:space="preserve"> </w:t>
      </w:r>
      <w:r>
        <w:rPr>
          <w:rFonts w:ascii="宋体" w:hAnsi="宋体" w:eastAsia="宋体" w:cs="宋体"/>
          <w:spacing w:val="-2"/>
          <w:sz w:val="24"/>
          <w:szCs w:val="24"/>
          <w:highlight w:val="none"/>
        </w:rPr>
        <w:t>5%的，对超过部分予</w:t>
      </w:r>
      <w:r>
        <w:rPr>
          <w:rFonts w:ascii="宋体" w:hAnsi="宋体" w:eastAsia="宋体" w:cs="宋体"/>
          <w:spacing w:val="-3"/>
          <w:sz w:val="24"/>
          <w:szCs w:val="24"/>
          <w:highlight w:val="none"/>
        </w:rPr>
        <w:t>以调整。</w:t>
      </w:r>
    </w:p>
    <w:p w14:paraId="7D80D211">
      <w:pPr>
        <w:spacing w:before="181" w:line="218" w:lineRule="auto"/>
        <w:ind w:left="474"/>
        <w:rPr>
          <w:rFonts w:ascii="宋体" w:hAnsi="宋体" w:eastAsia="宋体" w:cs="宋体"/>
          <w:spacing w:val="-3"/>
          <w:sz w:val="24"/>
          <w:szCs w:val="24"/>
          <w:highlight w:val="none"/>
        </w:rPr>
      </w:pPr>
    </w:p>
    <w:p w14:paraId="56672207">
      <w:pPr>
        <w:spacing w:before="184" w:line="359" w:lineRule="auto"/>
        <w:ind w:right="20" w:firstLine="479"/>
        <w:rPr>
          <w:rFonts w:ascii="宋体" w:hAnsi="宋体" w:eastAsia="宋体" w:cs="宋体"/>
          <w:sz w:val="24"/>
          <w:szCs w:val="24"/>
          <w:highlight w:val="none"/>
        </w:rPr>
      </w:pPr>
      <w:r>
        <w:rPr>
          <w:rFonts w:ascii="宋体" w:hAnsi="宋体" w:eastAsia="宋体" w:cs="宋体"/>
          <w:spacing w:val="-2"/>
          <w:sz w:val="24"/>
          <w:szCs w:val="24"/>
          <w:highlight w:val="none"/>
        </w:rPr>
        <w:t>价格上涨时，涨幅以内部分由承包人承担，涨幅以外部分由发包人承担；价格下跌时，跌幅以内部分由承包人受益，跌幅以外部分由发包人受益。</w:t>
      </w:r>
    </w:p>
    <w:p w14:paraId="7215EC04">
      <w:pPr>
        <w:spacing w:line="218"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c、依据：市造价站发布的“六安市建设工程市场价格信息”。</w:t>
      </w:r>
    </w:p>
    <w:p w14:paraId="2642B766">
      <w:pPr>
        <w:spacing w:before="181" w:line="220" w:lineRule="auto"/>
        <w:ind w:left="483"/>
        <w:rPr>
          <w:rFonts w:ascii="宋体" w:hAnsi="宋体" w:eastAsia="宋体" w:cs="宋体"/>
          <w:sz w:val="24"/>
          <w:szCs w:val="24"/>
          <w:highlight w:val="none"/>
        </w:rPr>
      </w:pPr>
      <w:r>
        <w:rPr>
          <w:rFonts w:ascii="宋体" w:hAnsi="宋体" w:eastAsia="宋体" w:cs="宋体"/>
          <w:spacing w:val="-9"/>
          <w:sz w:val="24"/>
          <w:szCs w:val="24"/>
          <w:highlight w:val="none"/>
        </w:rPr>
        <w:t>d、计算方法：</w:t>
      </w:r>
    </w:p>
    <w:p w14:paraId="01A3C80F">
      <w:pPr>
        <w:spacing w:before="183" w:line="35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价格上涨时材料结算价差=材料在工程中实际使用月份信息价-材料基准价×（1+</w:t>
      </w:r>
      <w:r>
        <w:rPr>
          <w:rFonts w:ascii="宋体" w:hAnsi="宋体" w:eastAsia="宋体" w:cs="宋体"/>
          <w:spacing w:val="-2"/>
          <w:sz w:val="24"/>
          <w:szCs w:val="24"/>
          <w:highlight w:val="none"/>
        </w:rPr>
        <w:t>5%）。</w:t>
      </w:r>
      <w:r>
        <w:rPr>
          <w:rFonts w:ascii="宋体" w:hAnsi="宋体" w:eastAsia="宋体" w:cs="宋体"/>
          <w:spacing w:val="18"/>
          <w:sz w:val="24"/>
          <w:szCs w:val="24"/>
          <w:highlight w:val="none"/>
        </w:rPr>
        <w:t>价格下跌时材料单价结算价差=材料在工程中实际使用月份信息价-材料基准价×</w:t>
      </w:r>
    </w:p>
    <w:p w14:paraId="0B3C8ACA">
      <w:pPr>
        <w:spacing w:before="1" w:line="231" w:lineRule="auto"/>
        <w:ind w:left="4"/>
        <w:rPr>
          <w:rFonts w:ascii="宋体" w:hAnsi="宋体" w:eastAsia="宋体" w:cs="宋体"/>
          <w:sz w:val="24"/>
          <w:szCs w:val="24"/>
          <w:highlight w:val="none"/>
        </w:rPr>
      </w:pPr>
      <w:r>
        <w:rPr>
          <w:rFonts w:ascii="宋体" w:hAnsi="宋体" w:eastAsia="宋体" w:cs="宋体"/>
          <w:spacing w:val="-5"/>
          <w:sz w:val="24"/>
          <w:szCs w:val="24"/>
          <w:highlight w:val="none"/>
        </w:rPr>
        <w:t>（1-5%）。</w:t>
      </w:r>
    </w:p>
    <w:p w14:paraId="45C9290A">
      <w:pPr>
        <w:spacing w:before="165" w:line="218"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e、以上因材料价格变化调整的费用，只计取税金，不计其它费用。</w:t>
      </w:r>
    </w:p>
    <w:p w14:paraId="7220281F">
      <w:pPr>
        <w:spacing w:before="184" w:line="359" w:lineRule="auto"/>
        <w:ind w:right="9" w:firstLine="480"/>
        <w:rPr>
          <w:rFonts w:ascii="宋体" w:hAnsi="宋体" w:eastAsia="宋体" w:cs="宋体"/>
          <w:sz w:val="24"/>
          <w:szCs w:val="24"/>
          <w:highlight w:val="none"/>
        </w:rPr>
      </w:pPr>
      <w:r>
        <w:rPr>
          <w:rFonts w:ascii="宋体" w:hAnsi="宋体" w:eastAsia="宋体" w:cs="宋体"/>
          <w:spacing w:val="-1"/>
          <w:sz w:val="24"/>
          <w:szCs w:val="24"/>
          <w:highlight w:val="none"/>
        </w:rPr>
        <w:t>符合本款调差规定的，承包人每月报送书面月</w:t>
      </w:r>
      <w:r>
        <w:rPr>
          <w:rFonts w:ascii="宋体" w:hAnsi="宋体" w:eastAsia="宋体" w:cs="宋体"/>
          <w:spacing w:val="-2"/>
          <w:sz w:val="24"/>
          <w:szCs w:val="24"/>
          <w:highlight w:val="none"/>
        </w:rPr>
        <w:t>形象进度，经监理人、发包人确认后作为</w:t>
      </w:r>
      <w:r>
        <w:rPr>
          <w:rFonts w:ascii="宋体" w:hAnsi="宋体" w:eastAsia="宋体" w:cs="宋体"/>
          <w:spacing w:val="-6"/>
          <w:sz w:val="24"/>
          <w:szCs w:val="24"/>
          <w:highlight w:val="none"/>
        </w:rPr>
        <w:t>后期结算依据。</w:t>
      </w:r>
    </w:p>
    <w:p w14:paraId="52783B19">
      <w:pPr>
        <w:spacing w:before="1" w:line="218" w:lineRule="auto"/>
        <w:ind w:left="496"/>
        <w:rPr>
          <w:rFonts w:ascii="宋体" w:hAnsi="宋体" w:eastAsia="宋体" w:cs="宋体"/>
          <w:sz w:val="24"/>
          <w:szCs w:val="24"/>
          <w:highlight w:val="none"/>
        </w:rPr>
      </w:pPr>
      <w:r>
        <w:rPr>
          <w:rFonts w:ascii="宋体" w:hAnsi="宋体" w:eastAsia="宋体" w:cs="宋体"/>
          <w:spacing w:val="-3"/>
          <w:sz w:val="24"/>
          <w:szCs w:val="24"/>
          <w:highlight w:val="none"/>
        </w:rPr>
        <w:t>12.合同价格、计量与支付</w:t>
      </w:r>
    </w:p>
    <w:p w14:paraId="12378D61">
      <w:pPr>
        <w:spacing w:before="182" w:line="218" w:lineRule="auto"/>
        <w:ind w:left="496"/>
        <w:rPr>
          <w:rFonts w:ascii="宋体" w:hAnsi="宋体" w:eastAsia="宋体" w:cs="宋体"/>
          <w:sz w:val="24"/>
          <w:szCs w:val="24"/>
          <w:highlight w:val="none"/>
        </w:rPr>
      </w:pPr>
      <w:r>
        <w:rPr>
          <w:rFonts w:ascii="宋体" w:hAnsi="宋体" w:eastAsia="宋体" w:cs="宋体"/>
          <w:spacing w:val="-4"/>
          <w:sz w:val="24"/>
          <w:szCs w:val="24"/>
          <w:highlight w:val="none"/>
        </w:rPr>
        <w:t>12.1</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合同价格形式</w:t>
      </w:r>
    </w:p>
    <w:p w14:paraId="308A1612">
      <w:pPr>
        <w:spacing w:before="184" w:line="218" w:lineRule="auto"/>
        <w:ind w:left="496"/>
        <w:rPr>
          <w:rFonts w:ascii="宋体" w:hAnsi="宋体" w:eastAsia="宋体" w:cs="宋体"/>
          <w:sz w:val="24"/>
          <w:szCs w:val="24"/>
          <w:highlight w:val="none"/>
        </w:rPr>
      </w:pPr>
      <w:r>
        <w:rPr>
          <w:rFonts w:ascii="宋体" w:hAnsi="宋体" w:eastAsia="宋体" w:cs="宋体"/>
          <w:spacing w:val="-3"/>
          <w:sz w:val="24"/>
          <w:szCs w:val="24"/>
          <w:highlight w:val="none"/>
        </w:rPr>
        <w:t>1、单价合同。（不采用）</w:t>
      </w:r>
    </w:p>
    <w:p w14:paraId="072D3200">
      <w:pPr>
        <w:spacing w:before="185" w:line="218"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综合单价包含的风险范围：/。</w:t>
      </w:r>
    </w:p>
    <w:p w14:paraId="7F7FA9C1">
      <w:pPr>
        <w:spacing w:before="182" w:line="220"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风险费用的计算方法：/。</w:t>
      </w:r>
    </w:p>
    <w:p w14:paraId="698BE7A9">
      <w:pPr>
        <w:spacing w:before="183" w:line="218"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风险范围以外合同价格的调整方法：/。</w:t>
      </w:r>
    </w:p>
    <w:p w14:paraId="50823753">
      <w:pPr>
        <w:spacing w:before="182" w:line="218"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2、总价合同。（采用）</w:t>
      </w:r>
    </w:p>
    <w:p w14:paraId="42C43571">
      <w:pPr>
        <w:spacing w:before="184" w:line="359" w:lineRule="auto"/>
        <w:ind w:right="10" w:firstLine="485"/>
        <w:rPr>
          <w:rFonts w:ascii="宋体" w:hAnsi="宋体" w:eastAsia="宋体" w:cs="宋体"/>
          <w:sz w:val="24"/>
          <w:szCs w:val="24"/>
          <w:highlight w:val="none"/>
        </w:rPr>
      </w:pPr>
      <w:r>
        <w:rPr>
          <w:rFonts w:ascii="宋体" w:hAnsi="宋体" w:eastAsia="宋体" w:cs="宋体"/>
          <w:spacing w:val="-9"/>
          <w:sz w:val="24"/>
          <w:szCs w:val="24"/>
          <w:highlight w:val="none"/>
        </w:rPr>
        <w:t>总价包含的风险范围：合同价款中包括的风险范</w:t>
      </w:r>
      <w:r>
        <w:rPr>
          <w:rFonts w:ascii="宋体" w:hAnsi="宋体" w:eastAsia="宋体" w:cs="宋体"/>
          <w:spacing w:val="-10"/>
          <w:sz w:val="24"/>
          <w:szCs w:val="24"/>
          <w:highlight w:val="none"/>
        </w:rPr>
        <w:t>围：人工、材料（除本专用合同条款</w:t>
      </w:r>
      <w:r>
        <w:rPr>
          <w:rFonts w:ascii="宋体" w:hAnsi="宋体" w:eastAsia="宋体" w:cs="宋体"/>
          <w:spacing w:val="-32"/>
          <w:sz w:val="24"/>
          <w:szCs w:val="24"/>
          <w:highlight w:val="none"/>
        </w:rPr>
        <w:t xml:space="preserve"> </w:t>
      </w:r>
      <w:r>
        <w:rPr>
          <w:rFonts w:ascii="宋体" w:hAnsi="宋体" w:eastAsia="宋体" w:cs="宋体"/>
          <w:spacing w:val="-10"/>
          <w:sz w:val="24"/>
          <w:szCs w:val="24"/>
          <w:highlight w:val="none"/>
        </w:rPr>
        <w:t>11.1</w:t>
      </w:r>
      <w:r>
        <w:rPr>
          <w:rFonts w:ascii="宋体" w:hAnsi="宋体" w:eastAsia="宋体" w:cs="宋体"/>
          <w:spacing w:val="-1"/>
          <w:sz w:val="24"/>
          <w:szCs w:val="24"/>
          <w:highlight w:val="none"/>
        </w:rPr>
        <w:t>条约定可调单价材料外）、机械费用的市场价格变化；除不可抗力以外的</w:t>
      </w:r>
      <w:r>
        <w:rPr>
          <w:rFonts w:ascii="宋体" w:hAnsi="宋体" w:eastAsia="宋体" w:cs="宋体"/>
          <w:spacing w:val="-2"/>
          <w:sz w:val="24"/>
          <w:szCs w:val="24"/>
          <w:highlight w:val="none"/>
        </w:rPr>
        <w:t>其他风险。</w:t>
      </w:r>
    </w:p>
    <w:p w14:paraId="1FB31558">
      <w:pPr>
        <w:spacing w:before="1" w:line="218" w:lineRule="auto"/>
        <w:ind w:left="479"/>
        <w:rPr>
          <w:rFonts w:ascii="宋体" w:hAnsi="宋体" w:eastAsia="宋体" w:cs="宋体"/>
          <w:sz w:val="24"/>
          <w:szCs w:val="24"/>
          <w:highlight w:val="none"/>
        </w:rPr>
      </w:pPr>
      <w:r>
        <w:rPr>
          <w:rFonts w:ascii="宋体" w:hAnsi="宋体" w:eastAsia="宋体" w:cs="宋体"/>
          <w:sz w:val="24"/>
          <w:szCs w:val="24"/>
          <w:highlight w:val="none"/>
        </w:rPr>
        <w:t>风险费用的计算方法：投标人在投标报价时已</w:t>
      </w:r>
      <w:r>
        <w:rPr>
          <w:rFonts w:ascii="宋体" w:hAnsi="宋体" w:eastAsia="宋体" w:cs="宋体"/>
          <w:spacing w:val="-1"/>
          <w:sz w:val="24"/>
          <w:szCs w:val="24"/>
          <w:highlight w:val="none"/>
        </w:rPr>
        <w:t>经考虑，不再另行计取。</w:t>
      </w:r>
    </w:p>
    <w:p w14:paraId="69557271">
      <w:pPr>
        <w:spacing w:before="182" w:line="218"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风险范围以外合同价格的调整方法：按本专用合同条款</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11.1</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条约定可调单</w:t>
      </w:r>
      <w:r>
        <w:rPr>
          <w:rFonts w:ascii="宋体" w:hAnsi="宋体" w:eastAsia="宋体" w:cs="宋体"/>
          <w:spacing w:val="-3"/>
          <w:sz w:val="24"/>
          <w:szCs w:val="24"/>
          <w:highlight w:val="none"/>
        </w:rPr>
        <w:t>价材料。</w:t>
      </w:r>
    </w:p>
    <w:p w14:paraId="5B4998CB">
      <w:pPr>
        <w:spacing w:before="185" w:line="218"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3、其他价格方式：（不采用）</w:t>
      </w:r>
    </w:p>
    <w:p w14:paraId="1629BB89">
      <w:pPr>
        <w:spacing w:before="181" w:line="220" w:lineRule="auto"/>
        <w:ind w:left="496"/>
        <w:rPr>
          <w:rFonts w:ascii="宋体" w:hAnsi="宋体" w:eastAsia="宋体" w:cs="宋体"/>
          <w:sz w:val="24"/>
          <w:szCs w:val="24"/>
          <w:highlight w:val="none"/>
        </w:rPr>
      </w:pPr>
      <w:r>
        <w:rPr>
          <w:rFonts w:ascii="宋体" w:hAnsi="宋体" w:eastAsia="宋体" w:cs="宋体"/>
          <w:spacing w:val="-5"/>
          <w:sz w:val="24"/>
          <w:szCs w:val="24"/>
          <w:highlight w:val="none"/>
        </w:rPr>
        <w:t>12.2</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预付款</w:t>
      </w:r>
    </w:p>
    <w:p w14:paraId="4D99AE77">
      <w:pPr>
        <w:spacing w:before="182" w:line="220" w:lineRule="auto"/>
        <w:ind w:left="496"/>
        <w:rPr>
          <w:rFonts w:ascii="宋体" w:hAnsi="宋体" w:eastAsia="宋体" w:cs="宋体"/>
          <w:sz w:val="24"/>
          <w:szCs w:val="24"/>
          <w:highlight w:val="none"/>
        </w:rPr>
      </w:pPr>
      <w:r>
        <w:rPr>
          <w:rFonts w:ascii="宋体" w:hAnsi="宋体" w:eastAsia="宋体" w:cs="宋体"/>
          <w:spacing w:val="-4"/>
          <w:sz w:val="24"/>
          <w:szCs w:val="24"/>
          <w:highlight w:val="none"/>
        </w:rPr>
        <w:t>12.2.1</w:t>
      </w:r>
      <w:r>
        <w:rPr>
          <w:rFonts w:ascii="宋体" w:hAnsi="宋体" w:eastAsia="宋体" w:cs="宋体"/>
          <w:spacing w:val="-39"/>
          <w:sz w:val="24"/>
          <w:szCs w:val="24"/>
          <w:highlight w:val="none"/>
        </w:rPr>
        <w:t xml:space="preserve"> </w:t>
      </w:r>
      <w:r>
        <w:rPr>
          <w:rFonts w:ascii="宋体" w:hAnsi="宋体" w:eastAsia="宋体" w:cs="宋体"/>
          <w:spacing w:val="-4"/>
          <w:sz w:val="24"/>
          <w:szCs w:val="24"/>
          <w:highlight w:val="none"/>
        </w:rPr>
        <w:t>预付款的支付</w:t>
      </w:r>
    </w:p>
    <w:p w14:paraId="5C7C0411">
      <w:pPr>
        <w:keepNext w:val="0"/>
        <w:keepLines w:val="0"/>
        <w:widowControl/>
        <w:suppressLineNumbers w:val="0"/>
        <w:jc w:val="left"/>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预付款支付比例或金额：</w:t>
      </w:r>
      <w:r>
        <w:rPr>
          <w:rFonts w:hint="eastAsia" w:ascii="宋体" w:hAnsi="宋体" w:eastAsia="宋体" w:cs="宋体"/>
          <w:spacing w:val="-2"/>
          <w:sz w:val="24"/>
          <w:szCs w:val="24"/>
          <w:highlight w:val="none"/>
        </w:rPr>
        <w:t>本项目预付款为合同总价的30%</w:t>
      </w:r>
      <w:r>
        <w:rPr>
          <w:rFonts w:hint="eastAsia" w:ascii="宋体" w:hAnsi="宋体" w:eastAsia="宋体" w:cs="宋体"/>
          <w:spacing w:val="-2"/>
          <w:sz w:val="24"/>
          <w:szCs w:val="24"/>
          <w:highlight w:val="none"/>
          <w:lang w:eastAsia="zh-CN"/>
        </w:rPr>
        <w:t>。</w:t>
      </w:r>
    </w:p>
    <w:p w14:paraId="21FAB6A1">
      <w:pPr>
        <w:spacing w:before="48" w:line="359" w:lineRule="auto"/>
        <w:ind w:right="87"/>
        <w:rPr>
          <w:rFonts w:ascii="宋体" w:hAnsi="宋体" w:eastAsia="宋体" w:cs="宋体"/>
          <w:spacing w:val="-2"/>
          <w:sz w:val="24"/>
          <w:szCs w:val="24"/>
          <w:highlight w:val="none"/>
        </w:rPr>
      </w:pPr>
      <w:r>
        <w:rPr>
          <w:rFonts w:ascii="宋体" w:hAnsi="宋体" w:eastAsia="宋体" w:cs="宋体"/>
          <w:spacing w:val="-2"/>
          <w:sz w:val="24"/>
          <w:szCs w:val="24"/>
          <w:highlight w:val="none"/>
        </w:rPr>
        <w:t>预付款支付期限：合同签订后一个月内或不迟于约定的开工日期前</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7</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天内预付工程款。</w:t>
      </w:r>
    </w:p>
    <w:p w14:paraId="259FDB2A">
      <w:pPr>
        <w:spacing w:before="48" w:line="359" w:lineRule="auto"/>
        <w:ind w:left="3" w:right="87" w:firstLine="20"/>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预付款扣回的方式：</w:t>
      </w:r>
      <w:r>
        <w:rPr>
          <w:rFonts w:hint="eastAsia" w:ascii="宋体" w:hAnsi="宋体" w:eastAsia="宋体" w:cs="宋体"/>
          <w:spacing w:val="2"/>
          <w:sz w:val="24"/>
          <w:szCs w:val="24"/>
          <w:highlight w:val="none"/>
          <w:u w:val="single" w:color="auto"/>
        </w:rPr>
        <w:t>在进度付款的累计金额未达到签约合同价的50%之前不予扣回，在达到签约合同价50%（含50%）之后，开始起扣，从每次应付给承包人的金额中扣回工程预付款</w:t>
      </w:r>
      <w:r>
        <w:rPr>
          <w:rFonts w:hint="eastAsia" w:ascii="宋体" w:hAnsi="宋体" w:eastAsia="宋体" w:cs="宋体"/>
          <w:spacing w:val="2"/>
          <w:sz w:val="24"/>
          <w:szCs w:val="24"/>
          <w:highlight w:val="none"/>
          <w:u w:val="single" w:color="auto"/>
          <w:lang w:eastAsia="zh-CN"/>
        </w:rPr>
        <w:t>。</w:t>
      </w:r>
    </w:p>
    <w:p w14:paraId="6AE53F5E">
      <w:pPr>
        <w:spacing w:line="219"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12.2.2</w:t>
      </w:r>
      <w:r>
        <w:rPr>
          <w:rFonts w:ascii="宋体" w:hAnsi="宋体" w:eastAsia="宋体" w:cs="宋体"/>
          <w:spacing w:val="-42"/>
          <w:sz w:val="24"/>
          <w:szCs w:val="24"/>
          <w:highlight w:val="none"/>
        </w:rPr>
        <w:t xml:space="preserve"> </w:t>
      </w:r>
      <w:r>
        <w:rPr>
          <w:rFonts w:ascii="宋体" w:hAnsi="宋体" w:eastAsia="宋体" w:cs="宋体"/>
          <w:spacing w:val="-4"/>
          <w:sz w:val="24"/>
          <w:szCs w:val="24"/>
          <w:highlight w:val="none"/>
        </w:rPr>
        <w:t>预付款担保</w:t>
      </w:r>
    </w:p>
    <w:p w14:paraId="491BFB5A">
      <w:pPr>
        <w:spacing w:before="182"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承包人提交预付款担保的期限：签订施工合同后支付预付款前。</w:t>
      </w:r>
    </w:p>
    <w:p w14:paraId="366F2BF6">
      <w:pPr>
        <w:spacing w:before="179"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预付款担保的形式为：承包人开户银行基本账户出</w:t>
      </w:r>
      <w:r>
        <w:rPr>
          <w:rFonts w:ascii="宋体" w:hAnsi="宋体" w:eastAsia="宋体" w:cs="宋体"/>
          <w:spacing w:val="-2"/>
          <w:sz w:val="24"/>
          <w:szCs w:val="24"/>
          <w:highlight w:val="none"/>
        </w:rPr>
        <w:t>具的见索即付的银行保函。</w:t>
      </w:r>
    </w:p>
    <w:p w14:paraId="2A1D3939">
      <w:pPr>
        <w:spacing w:before="183" w:line="221" w:lineRule="auto"/>
        <w:ind w:left="499"/>
        <w:rPr>
          <w:rFonts w:ascii="宋体" w:hAnsi="宋体" w:eastAsia="宋体" w:cs="宋体"/>
          <w:sz w:val="24"/>
          <w:szCs w:val="24"/>
          <w:highlight w:val="none"/>
        </w:rPr>
      </w:pPr>
      <w:r>
        <w:rPr>
          <w:rFonts w:ascii="宋体" w:hAnsi="宋体" w:eastAsia="宋体" w:cs="宋体"/>
          <w:spacing w:val="-6"/>
          <w:sz w:val="24"/>
          <w:szCs w:val="24"/>
          <w:highlight w:val="none"/>
        </w:rPr>
        <w:t>12.3</w:t>
      </w:r>
      <w:r>
        <w:rPr>
          <w:rFonts w:ascii="宋体" w:hAnsi="宋体" w:eastAsia="宋体" w:cs="宋体"/>
          <w:spacing w:val="-48"/>
          <w:sz w:val="24"/>
          <w:szCs w:val="24"/>
          <w:highlight w:val="none"/>
        </w:rPr>
        <w:t xml:space="preserve"> </w:t>
      </w:r>
      <w:r>
        <w:rPr>
          <w:rFonts w:ascii="宋体" w:hAnsi="宋体" w:eastAsia="宋体" w:cs="宋体"/>
          <w:spacing w:val="-6"/>
          <w:sz w:val="24"/>
          <w:szCs w:val="24"/>
          <w:highlight w:val="none"/>
        </w:rPr>
        <w:t>计量</w:t>
      </w:r>
    </w:p>
    <w:p w14:paraId="1B3A5946">
      <w:pPr>
        <w:spacing w:before="179" w:line="220"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12.3.1</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计量原则</w:t>
      </w:r>
    </w:p>
    <w:p w14:paraId="39C4FAD9">
      <w:pPr>
        <w:spacing w:before="182" w:line="359" w:lineRule="auto"/>
        <w:ind w:right="85" w:firstLine="484"/>
        <w:rPr>
          <w:rFonts w:ascii="宋体" w:hAnsi="宋体" w:eastAsia="宋体" w:cs="宋体"/>
          <w:sz w:val="24"/>
          <w:szCs w:val="24"/>
          <w:highlight w:val="none"/>
        </w:rPr>
      </w:pPr>
      <w:r>
        <w:rPr>
          <w:rFonts w:ascii="宋体" w:hAnsi="宋体" w:eastAsia="宋体" w:cs="宋体"/>
          <w:spacing w:val="-1"/>
          <w:sz w:val="24"/>
          <w:szCs w:val="24"/>
          <w:highlight w:val="none"/>
        </w:rPr>
        <w:t>工程量计算规则：按 2018 版《安徽省建设工程工程</w:t>
      </w:r>
      <w:r>
        <w:rPr>
          <w:rFonts w:ascii="宋体" w:hAnsi="宋体" w:eastAsia="宋体" w:cs="宋体"/>
          <w:spacing w:val="-2"/>
          <w:sz w:val="24"/>
          <w:szCs w:val="24"/>
          <w:highlight w:val="none"/>
        </w:rPr>
        <w:t>量清单计价办法》及其配套计价依</w:t>
      </w:r>
      <w:r>
        <w:rPr>
          <w:rFonts w:ascii="宋体" w:hAnsi="宋体" w:eastAsia="宋体" w:cs="宋体"/>
          <w:spacing w:val="-4"/>
          <w:sz w:val="24"/>
          <w:szCs w:val="24"/>
          <w:highlight w:val="none"/>
        </w:rPr>
        <w:t>据中相关计算规则执行。</w:t>
      </w:r>
    </w:p>
    <w:p w14:paraId="539EEFB6">
      <w:pPr>
        <w:spacing w:before="1" w:line="220"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12.3.2</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计量周期</w:t>
      </w:r>
    </w:p>
    <w:p w14:paraId="4BEAC56F">
      <w:pPr>
        <w:spacing w:before="179" w:line="218" w:lineRule="auto"/>
        <w:jc w:val="right"/>
        <w:rPr>
          <w:rFonts w:ascii="宋体" w:hAnsi="宋体" w:eastAsia="宋体" w:cs="宋体"/>
          <w:sz w:val="24"/>
          <w:szCs w:val="24"/>
          <w:highlight w:val="none"/>
        </w:rPr>
      </w:pPr>
      <w:r>
        <w:rPr>
          <w:rFonts w:ascii="宋体" w:hAnsi="宋体" w:eastAsia="宋体" w:cs="宋体"/>
          <w:spacing w:val="-4"/>
          <w:sz w:val="24"/>
          <w:szCs w:val="24"/>
          <w:highlight w:val="none"/>
        </w:rPr>
        <w:t>关于计量周期的约定：承包人应于每月</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25 日前，向监理工程师提交已完工程</w:t>
      </w:r>
      <w:r>
        <w:rPr>
          <w:rFonts w:ascii="宋体" w:hAnsi="宋体" w:eastAsia="宋体" w:cs="宋体"/>
          <w:spacing w:val="-5"/>
          <w:sz w:val="24"/>
          <w:szCs w:val="24"/>
          <w:highlight w:val="none"/>
        </w:rPr>
        <w:t>量的报告。</w:t>
      </w:r>
    </w:p>
    <w:p w14:paraId="1B01FEC6">
      <w:pPr>
        <w:spacing w:before="185" w:line="218" w:lineRule="auto"/>
        <w:ind w:left="499"/>
        <w:rPr>
          <w:rFonts w:ascii="宋体" w:hAnsi="宋体" w:eastAsia="宋体" w:cs="宋体"/>
          <w:sz w:val="24"/>
          <w:szCs w:val="24"/>
          <w:highlight w:val="none"/>
        </w:rPr>
      </w:pPr>
      <w:r>
        <w:rPr>
          <w:rFonts w:ascii="宋体" w:hAnsi="宋体" w:eastAsia="宋体" w:cs="宋体"/>
          <w:spacing w:val="-3"/>
          <w:sz w:val="24"/>
          <w:szCs w:val="24"/>
          <w:highlight w:val="none"/>
        </w:rPr>
        <w:t>12.3.3</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单价合同的计量</w:t>
      </w:r>
    </w:p>
    <w:p w14:paraId="1EBF167B">
      <w:pPr>
        <w:spacing w:before="182" w:line="218"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关于单价合同计量的约定：执行通用条款。</w:t>
      </w:r>
    </w:p>
    <w:p w14:paraId="381486EF">
      <w:pPr>
        <w:spacing w:before="185" w:line="218"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12.3.4</w:t>
      </w:r>
      <w:r>
        <w:rPr>
          <w:rFonts w:ascii="宋体" w:hAnsi="宋体" w:eastAsia="宋体" w:cs="宋体"/>
          <w:spacing w:val="-37"/>
          <w:sz w:val="24"/>
          <w:szCs w:val="24"/>
          <w:highlight w:val="none"/>
        </w:rPr>
        <w:t xml:space="preserve"> </w:t>
      </w:r>
      <w:r>
        <w:rPr>
          <w:rFonts w:ascii="宋体" w:hAnsi="宋体" w:eastAsia="宋体" w:cs="宋体"/>
          <w:spacing w:val="-4"/>
          <w:sz w:val="24"/>
          <w:szCs w:val="24"/>
          <w:highlight w:val="none"/>
        </w:rPr>
        <w:t>总价合同的计量</w:t>
      </w:r>
    </w:p>
    <w:p w14:paraId="6EA3CB71">
      <w:pPr>
        <w:spacing w:before="182" w:line="218"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关于总价合同计量的约定：/。</w:t>
      </w:r>
    </w:p>
    <w:p w14:paraId="7E62AEE7">
      <w:pPr>
        <w:spacing w:before="185" w:line="290" w:lineRule="auto"/>
        <w:ind w:left="6" w:right="6" w:firstLine="492"/>
        <w:rPr>
          <w:rFonts w:ascii="宋体" w:hAnsi="宋体" w:eastAsia="宋体" w:cs="宋体"/>
          <w:sz w:val="24"/>
          <w:szCs w:val="24"/>
          <w:highlight w:val="none"/>
        </w:rPr>
      </w:pPr>
      <w:r>
        <w:rPr>
          <w:rFonts w:ascii="宋体" w:hAnsi="宋体" w:eastAsia="宋体" w:cs="宋体"/>
          <w:spacing w:val="-5"/>
          <w:sz w:val="24"/>
          <w:szCs w:val="24"/>
          <w:highlight w:val="none"/>
        </w:rPr>
        <w:t>12.3.5</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总价合同采用支付分解表计量支付的，是否适用第</w:t>
      </w:r>
      <w:r>
        <w:rPr>
          <w:rFonts w:ascii="宋体" w:hAnsi="宋体" w:eastAsia="宋体" w:cs="宋体"/>
          <w:spacing w:val="-32"/>
          <w:sz w:val="24"/>
          <w:szCs w:val="24"/>
          <w:highlight w:val="none"/>
        </w:rPr>
        <w:t xml:space="preserve"> </w:t>
      </w:r>
      <w:r>
        <w:rPr>
          <w:rFonts w:ascii="宋体" w:hAnsi="宋体" w:eastAsia="宋体" w:cs="宋体"/>
          <w:spacing w:val="-5"/>
          <w:sz w:val="24"/>
          <w:szCs w:val="24"/>
          <w:highlight w:val="none"/>
        </w:rPr>
        <w:t>12.3.4</w:t>
      </w:r>
      <w:r>
        <w:rPr>
          <w:rFonts w:ascii="宋体" w:hAnsi="宋体" w:eastAsia="宋体" w:cs="宋体"/>
          <w:spacing w:val="-47"/>
          <w:sz w:val="24"/>
          <w:szCs w:val="24"/>
          <w:highlight w:val="none"/>
        </w:rPr>
        <w:t xml:space="preserve"> </w:t>
      </w:r>
      <w:r>
        <w:rPr>
          <w:rFonts w:ascii="宋体" w:hAnsi="宋体" w:eastAsia="宋体" w:cs="宋体"/>
          <w:spacing w:val="-6"/>
          <w:sz w:val="24"/>
          <w:szCs w:val="24"/>
          <w:highlight w:val="none"/>
        </w:rPr>
        <w:t>项〔总价合同的计量〕</w:t>
      </w:r>
      <w:r>
        <w:rPr>
          <w:rFonts w:ascii="宋体" w:hAnsi="宋体" w:eastAsia="宋体" w:cs="宋体"/>
          <w:spacing w:val="-2"/>
          <w:sz w:val="24"/>
          <w:szCs w:val="24"/>
          <w:highlight w:val="none"/>
        </w:rPr>
        <w:t>约定进行计量：/。</w:t>
      </w:r>
    </w:p>
    <w:p w14:paraId="46766079">
      <w:pPr>
        <w:spacing w:before="179" w:line="218" w:lineRule="auto"/>
        <w:ind w:left="499"/>
        <w:rPr>
          <w:rFonts w:ascii="宋体" w:hAnsi="宋体" w:eastAsia="宋体" w:cs="宋体"/>
          <w:sz w:val="24"/>
          <w:szCs w:val="24"/>
          <w:highlight w:val="none"/>
        </w:rPr>
      </w:pPr>
      <w:r>
        <w:rPr>
          <w:rFonts w:ascii="宋体" w:hAnsi="宋体" w:eastAsia="宋体" w:cs="宋体"/>
          <w:spacing w:val="-3"/>
          <w:sz w:val="24"/>
          <w:szCs w:val="24"/>
          <w:highlight w:val="none"/>
        </w:rPr>
        <w:t>12.3.6</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其他价格形式合同的计量</w:t>
      </w:r>
    </w:p>
    <w:p w14:paraId="3BB33B0C">
      <w:pPr>
        <w:spacing w:before="185" w:line="218"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其他价格形式的计量方式和程序：/。</w:t>
      </w:r>
    </w:p>
    <w:p w14:paraId="5BC7B172">
      <w:pPr>
        <w:spacing w:before="181" w:line="220"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12.4</w:t>
      </w:r>
      <w:r>
        <w:rPr>
          <w:rFonts w:ascii="宋体" w:hAnsi="宋体" w:eastAsia="宋体" w:cs="宋体"/>
          <w:spacing w:val="-43"/>
          <w:sz w:val="24"/>
          <w:szCs w:val="24"/>
          <w:highlight w:val="none"/>
        </w:rPr>
        <w:t xml:space="preserve"> </w:t>
      </w:r>
      <w:r>
        <w:rPr>
          <w:rFonts w:ascii="宋体" w:hAnsi="宋体" w:eastAsia="宋体" w:cs="宋体"/>
          <w:spacing w:val="-4"/>
          <w:sz w:val="24"/>
          <w:szCs w:val="24"/>
          <w:highlight w:val="none"/>
        </w:rPr>
        <w:t>工程进度款支付</w:t>
      </w:r>
    </w:p>
    <w:p w14:paraId="539E52AF">
      <w:pPr>
        <w:spacing w:before="182" w:line="220" w:lineRule="auto"/>
        <w:ind w:left="499"/>
        <w:rPr>
          <w:rFonts w:ascii="宋体" w:hAnsi="宋体" w:eastAsia="宋体" w:cs="宋体"/>
          <w:sz w:val="24"/>
          <w:szCs w:val="24"/>
          <w:highlight w:val="none"/>
        </w:rPr>
      </w:pPr>
      <w:r>
        <w:rPr>
          <w:rFonts w:ascii="宋体" w:hAnsi="宋体" w:eastAsia="宋体" w:cs="宋体"/>
          <w:spacing w:val="-4"/>
          <w:sz w:val="24"/>
          <w:szCs w:val="24"/>
          <w:highlight w:val="none"/>
        </w:rPr>
        <w:t>12.4.1</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付款周期</w:t>
      </w:r>
    </w:p>
    <w:p w14:paraId="0850F509">
      <w:pPr>
        <w:spacing w:before="183" w:line="359" w:lineRule="auto"/>
        <w:ind w:right="85" w:firstLine="484"/>
        <w:rPr>
          <w:rFonts w:ascii="宋体" w:hAnsi="宋体" w:eastAsia="宋体" w:cs="宋体"/>
          <w:sz w:val="24"/>
          <w:szCs w:val="24"/>
          <w:highlight w:val="red"/>
        </w:rPr>
      </w:pPr>
      <w:r>
        <w:rPr>
          <w:rFonts w:ascii="宋体" w:hAnsi="宋体" w:eastAsia="宋体" w:cs="宋体"/>
          <w:spacing w:val="-3"/>
          <w:sz w:val="24"/>
          <w:szCs w:val="24"/>
          <w:highlight w:val="none"/>
        </w:rPr>
        <w:t>关于付款周期的约定</w:t>
      </w:r>
      <w:r>
        <w:rPr>
          <w:rFonts w:ascii="宋体" w:hAnsi="宋体" w:eastAsia="宋体" w:cs="宋体"/>
          <w:spacing w:val="-16"/>
          <w:sz w:val="24"/>
          <w:szCs w:val="24"/>
          <w:highlight w:val="none"/>
        </w:rPr>
        <w:t>：</w:t>
      </w:r>
      <w:r>
        <w:rPr>
          <w:rFonts w:hint="eastAsia" w:ascii="宋体" w:hAnsi="宋体" w:eastAsia="宋体" w:cs="宋体"/>
          <w:spacing w:val="-16"/>
          <w:sz w:val="24"/>
          <w:szCs w:val="24"/>
          <w:highlight w:val="none"/>
          <w:u w:val="single"/>
        </w:rPr>
        <w:t>（1）本项目预付款为合同总价的30%；承包人每月25日前按照招标人提供的《建设项目资金支付审批表》填报工程价款，否则不予接收确认。经监理人、招标人确认后，招标人支付其完成合格工程价款的85%；工程结算完成后付至结算价款的98%；余款2%作为质量保证金，待质保期(2年)满后一次性付清【承包人可以通过工程款预留、现金转账、担保保函、保证保险、保函(含电子保函)等方式替代工程质量保证金。承包人用担保保函、保证保险、保函(含电子保函)等方式替代工程质量保证金的，发包人不再预留保证金】</w:t>
      </w:r>
      <w:r>
        <w:rPr>
          <w:rFonts w:hint="eastAsia" w:ascii="宋体" w:hAnsi="宋体" w:eastAsia="宋体" w:cs="宋体"/>
          <w:spacing w:val="-16"/>
          <w:sz w:val="24"/>
          <w:szCs w:val="24"/>
          <w:highlight w:val="none"/>
        </w:rPr>
        <w:t>。</w:t>
      </w:r>
    </w:p>
    <w:p w14:paraId="21312248">
      <w:pPr>
        <w:spacing w:before="1" w:line="360" w:lineRule="auto"/>
        <w:ind w:left="1" w:right="96" w:firstLine="521"/>
        <w:rPr>
          <w:rFonts w:ascii="宋体" w:hAnsi="宋体" w:eastAsia="宋体" w:cs="宋体"/>
          <w:sz w:val="24"/>
          <w:szCs w:val="24"/>
          <w:highlight w:val="none"/>
        </w:rPr>
      </w:pPr>
      <w:r>
        <w:rPr>
          <w:rFonts w:ascii="宋体" w:hAnsi="宋体" w:eastAsia="宋体" w:cs="宋体"/>
          <w:spacing w:val="-3"/>
          <w:sz w:val="24"/>
          <w:szCs w:val="24"/>
          <w:highlight w:val="none"/>
        </w:rPr>
        <w:t>(2）承包人申报工程款存在弄虚作假，除本次工程款不予支付外，承包人还须向发包人</w:t>
      </w:r>
      <w:r>
        <w:rPr>
          <w:rFonts w:ascii="宋体" w:hAnsi="宋体" w:eastAsia="宋体" w:cs="宋体"/>
          <w:spacing w:val="-2"/>
          <w:sz w:val="24"/>
          <w:szCs w:val="24"/>
          <w:highlight w:val="none"/>
        </w:rPr>
        <w:t>支付违约金，具体缴纳金额为虚报部分的金</w:t>
      </w:r>
      <w:r>
        <w:rPr>
          <w:rFonts w:ascii="宋体" w:hAnsi="宋体" w:eastAsia="宋体" w:cs="宋体"/>
          <w:spacing w:val="-3"/>
          <w:sz w:val="24"/>
          <w:szCs w:val="24"/>
          <w:highlight w:val="none"/>
        </w:rPr>
        <w:t>额。</w:t>
      </w:r>
    </w:p>
    <w:p w14:paraId="035A2DB4">
      <w:pPr>
        <w:spacing w:line="360" w:lineRule="auto"/>
        <w:rPr>
          <w:rFonts w:ascii="宋体" w:hAnsi="宋体" w:eastAsia="宋体" w:cs="宋体"/>
          <w:sz w:val="24"/>
          <w:szCs w:val="24"/>
          <w:highlight w:val="none"/>
        </w:rPr>
        <w:sectPr>
          <w:footerReference r:id="rId50" w:type="default"/>
          <w:pgSz w:w="11907" w:h="16839"/>
          <w:pgMar w:top="1425" w:right="1087" w:bottom="1129" w:left="1184" w:header="0" w:footer="898" w:gutter="0"/>
          <w:cols w:space="720" w:num="1"/>
        </w:sectPr>
      </w:pPr>
    </w:p>
    <w:p w14:paraId="5D37DACD">
      <w:pPr>
        <w:spacing w:before="47"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12.4.2</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进度付款申请单的编制</w:t>
      </w:r>
    </w:p>
    <w:p w14:paraId="7571F222">
      <w:pPr>
        <w:spacing w:before="182"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关于进度付款申请单编制的约定：执行通用条款并提供合格</w:t>
      </w:r>
      <w:r>
        <w:rPr>
          <w:rFonts w:ascii="宋体" w:hAnsi="宋体" w:eastAsia="宋体" w:cs="宋体"/>
          <w:spacing w:val="-2"/>
          <w:sz w:val="24"/>
          <w:szCs w:val="24"/>
          <w:highlight w:val="none"/>
        </w:rPr>
        <w:t>工程量的质量验收资料。</w:t>
      </w:r>
    </w:p>
    <w:p w14:paraId="52914509">
      <w:pPr>
        <w:spacing w:before="180"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12.4.3</w:t>
      </w:r>
      <w:r>
        <w:rPr>
          <w:rFonts w:ascii="宋体" w:hAnsi="宋体" w:eastAsia="宋体" w:cs="宋体"/>
          <w:spacing w:val="-41"/>
          <w:sz w:val="24"/>
          <w:szCs w:val="24"/>
          <w:highlight w:val="none"/>
        </w:rPr>
        <w:t xml:space="preserve"> </w:t>
      </w:r>
      <w:r>
        <w:rPr>
          <w:rFonts w:ascii="宋体" w:hAnsi="宋体" w:eastAsia="宋体" w:cs="宋体"/>
          <w:spacing w:val="-3"/>
          <w:sz w:val="24"/>
          <w:szCs w:val="24"/>
          <w:highlight w:val="none"/>
        </w:rPr>
        <w:t>进度付款申请单的提交</w:t>
      </w:r>
    </w:p>
    <w:p w14:paraId="3B74A004">
      <w:pPr>
        <w:spacing w:before="182" w:line="218"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（1）单价合同进度付款申请单提交的约定：执行通用条款。</w:t>
      </w:r>
    </w:p>
    <w:p w14:paraId="283E0DA5">
      <w:pPr>
        <w:spacing w:before="182" w:line="218"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（2）总价合同进度付款申请单提交的约定：执行通用条款。</w:t>
      </w:r>
    </w:p>
    <w:p w14:paraId="28FEFA5C">
      <w:pPr>
        <w:spacing w:before="185" w:line="218"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（3）其他价格形式合同进度付款申请单提交的约定：无。</w:t>
      </w:r>
    </w:p>
    <w:p w14:paraId="43C8B80D">
      <w:pPr>
        <w:spacing w:before="181"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12.4.4</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进度款审核和支付</w:t>
      </w:r>
    </w:p>
    <w:p w14:paraId="6A3DB3DC">
      <w:pPr>
        <w:spacing w:before="182" w:line="220" w:lineRule="auto"/>
        <w:ind w:left="488"/>
        <w:rPr>
          <w:rFonts w:ascii="宋体" w:hAnsi="宋体" w:eastAsia="宋体" w:cs="宋体"/>
          <w:sz w:val="24"/>
          <w:szCs w:val="24"/>
          <w:highlight w:val="none"/>
        </w:rPr>
      </w:pPr>
      <w:r>
        <w:rPr>
          <w:rFonts w:ascii="宋体" w:hAnsi="宋体" w:eastAsia="宋体" w:cs="宋体"/>
          <w:spacing w:val="-3"/>
          <w:sz w:val="24"/>
          <w:szCs w:val="24"/>
          <w:highlight w:val="none"/>
        </w:rPr>
        <w:t>（1）监理人审查并报送发包人的期限：7</w:t>
      </w:r>
      <w:r>
        <w:rPr>
          <w:rFonts w:ascii="宋体" w:hAnsi="宋体" w:eastAsia="宋体" w:cs="宋体"/>
          <w:spacing w:val="-29"/>
          <w:sz w:val="24"/>
          <w:szCs w:val="24"/>
          <w:highlight w:val="none"/>
        </w:rPr>
        <w:t xml:space="preserve"> </w:t>
      </w:r>
      <w:r>
        <w:rPr>
          <w:rFonts w:ascii="宋体" w:hAnsi="宋体" w:eastAsia="宋体" w:cs="宋体"/>
          <w:spacing w:val="-3"/>
          <w:sz w:val="24"/>
          <w:szCs w:val="24"/>
          <w:highlight w:val="none"/>
        </w:rPr>
        <w:t>天内。</w:t>
      </w:r>
    </w:p>
    <w:p w14:paraId="700BC8E3">
      <w:pPr>
        <w:spacing w:before="181"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发包人完成审批并签发进度款支付证书的期限：14</w:t>
      </w:r>
      <w:r>
        <w:rPr>
          <w:rFonts w:ascii="宋体" w:hAnsi="宋体" w:eastAsia="宋体" w:cs="宋体"/>
          <w:spacing w:val="-34"/>
          <w:sz w:val="24"/>
          <w:szCs w:val="24"/>
          <w:highlight w:val="none"/>
        </w:rPr>
        <w:t xml:space="preserve"> </w:t>
      </w:r>
      <w:r>
        <w:rPr>
          <w:rFonts w:ascii="宋体" w:hAnsi="宋体" w:eastAsia="宋体" w:cs="宋体"/>
          <w:spacing w:val="-2"/>
          <w:sz w:val="24"/>
          <w:szCs w:val="24"/>
          <w:highlight w:val="none"/>
        </w:rPr>
        <w:t>天。</w:t>
      </w:r>
    </w:p>
    <w:p w14:paraId="5C5EB253">
      <w:pPr>
        <w:spacing w:before="182" w:line="359" w:lineRule="auto"/>
        <w:ind w:right="71" w:firstLine="488"/>
        <w:rPr>
          <w:rFonts w:ascii="宋体" w:hAnsi="宋体" w:eastAsia="宋体" w:cs="宋体"/>
          <w:sz w:val="24"/>
          <w:szCs w:val="24"/>
          <w:highlight w:val="none"/>
        </w:rPr>
      </w:pPr>
      <w:r>
        <w:rPr>
          <w:rFonts w:ascii="宋体" w:hAnsi="宋体" w:eastAsia="宋体" w:cs="宋体"/>
          <w:spacing w:val="-3"/>
          <w:sz w:val="24"/>
          <w:szCs w:val="24"/>
          <w:highlight w:val="none"/>
        </w:rPr>
        <w:t>（2）发包人支付进度款的期限：发包人应在进度款支付证书签发后</w:t>
      </w:r>
      <w:r>
        <w:rPr>
          <w:rFonts w:ascii="宋体" w:hAnsi="宋体" w:eastAsia="宋体" w:cs="宋体"/>
          <w:spacing w:val="-27"/>
          <w:sz w:val="24"/>
          <w:szCs w:val="24"/>
          <w:highlight w:val="none"/>
        </w:rPr>
        <w:t xml:space="preserve"> </w:t>
      </w:r>
      <w:r>
        <w:rPr>
          <w:rFonts w:ascii="宋体" w:hAnsi="宋体" w:eastAsia="宋体" w:cs="宋体"/>
          <w:spacing w:val="-3"/>
          <w:sz w:val="24"/>
          <w:szCs w:val="24"/>
          <w:highlight w:val="none"/>
        </w:rPr>
        <w:t>28</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天内完成支付，</w:t>
      </w:r>
      <w:r>
        <w:rPr>
          <w:rFonts w:ascii="宋体" w:hAnsi="宋体" w:eastAsia="宋体" w:cs="宋体"/>
          <w:spacing w:val="-1"/>
          <w:sz w:val="24"/>
          <w:szCs w:val="24"/>
          <w:highlight w:val="none"/>
        </w:rPr>
        <w:t>但如因特殊情况逾期支付的不予支付违约金。</w:t>
      </w:r>
      <w:r>
        <w:rPr>
          <w:rFonts w:ascii="宋体" w:hAnsi="宋体" w:eastAsia="宋体" w:cs="宋体"/>
          <w:spacing w:val="-2"/>
          <w:sz w:val="24"/>
          <w:szCs w:val="24"/>
          <w:highlight w:val="none"/>
        </w:rPr>
        <w:t>发包人逾期支付进度款的违约金的计算方式：</w:t>
      </w:r>
      <w:r>
        <w:rPr>
          <w:rFonts w:ascii="宋体" w:hAnsi="宋体" w:eastAsia="宋体" w:cs="宋体"/>
          <w:spacing w:val="-11"/>
          <w:sz w:val="24"/>
          <w:szCs w:val="24"/>
          <w:highlight w:val="none"/>
        </w:rPr>
        <w:t>无。</w:t>
      </w:r>
    </w:p>
    <w:p w14:paraId="12957BBB">
      <w:pPr>
        <w:spacing w:before="1" w:line="219"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12.4.6</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支付分解表的编制</w:t>
      </w:r>
    </w:p>
    <w:p w14:paraId="6D1568B5">
      <w:pPr>
        <w:spacing w:before="183" w:line="218"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2、总价合同支付分解表的编制与审批：无。</w:t>
      </w:r>
    </w:p>
    <w:p w14:paraId="53832F35">
      <w:pPr>
        <w:spacing w:before="182" w:line="218"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3、单价合同的总价项目支付分解表的编制与审批：。</w:t>
      </w:r>
    </w:p>
    <w:p w14:paraId="28E343A6">
      <w:pPr>
        <w:spacing w:before="184"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12.4.7</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农民工工资管理</w:t>
      </w:r>
    </w:p>
    <w:p w14:paraId="5FD966DD">
      <w:pPr>
        <w:spacing w:before="182" w:line="290" w:lineRule="auto"/>
        <w:ind w:left="5" w:firstLine="483"/>
        <w:rPr>
          <w:rFonts w:ascii="宋体" w:hAnsi="宋体" w:eastAsia="宋体" w:cs="宋体"/>
          <w:sz w:val="24"/>
          <w:szCs w:val="24"/>
          <w:highlight w:val="none"/>
        </w:rPr>
      </w:pPr>
      <w:r>
        <w:rPr>
          <w:rFonts w:ascii="宋体" w:hAnsi="宋体" w:eastAsia="宋体" w:cs="宋体"/>
          <w:spacing w:val="-6"/>
          <w:sz w:val="24"/>
          <w:szCs w:val="24"/>
          <w:highlight w:val="none"/>
        </w:rPr>
        <w:t>（1）本工程农民工工资实行专用账户管理，承包人设立的专用账</w:t>
      </w:r>
      <w:r>
        <w:rPr>
          <w:rFonts w:ascii="宋体" w:hAnsi="宋体" w:eastAsia="宋体" w:cs="宋体"/>
          <w:spacing w:val="-7"/>
          <w:sz w:val="24"/>
          <w:szCs w:val="24"/>
          <w:highlight w:val="none"/>
        </w:rPr>
        <w:t>户开户行为</w:t>
      </w:r>
      <w:r>
        <w:rPr>
          <w:rFonts w:ascii="宋体" w:hAnsi="宋体" w:eastAsia="宋体" w:cs="宋体"/>
          <w:spacing w:val="-27"/>
          <w:sz w:val="24"/>
          <w:szCs w:val="24"/>
          <w:highlight w:val="none"/>
        </w:rPr>
        <w:t>：</w:t>
      </w:r>
      <w:r>
        <w:rPr>
          <w:rFonts w:ascii="宋体" w:hAnsi="宋体" w:eastAsia="宋体" w:cs="宋体"/>
          <w:spacing w:val="3"/>
          <w:sz w:val="24"/>
          <w:szCs w:val="24"/>
          <w:highlight w:val="none"/>
        </w:rPr>
        <w:t xml:space="preserve">       </w:t>
      </w:r>
      <w:r>
        <w:rPr>
          <w:rFonts w:ascii="宋体" w:hAnsi="宋体" w:eastAsia="宋体" w:cs="宋体"/>
          <w:spacing w:val="-27"/>
          <w:sz w:val="24"/>
          <w:szCs w:val="24"/>
          <w:highlight w:val="none"/>
        </w:rPr>
        <w:t>，</w:t>
      </w:r>
      <w:r>
        <w:rPr>
          <w:rFonts w:ascii="宋体" w:hAnsi="宋体" w:eastAsia="宋体" w:cs="宋体"/>
          <w:spacing w:val="-1"/>
          <w:sz w:val="24"/>
          <w:szCs w:val="24"/>
          <w:highlight w:val="none"/>
        </w:rPr>
        <w:t>账号：</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1"/>
          <w:sz w:val="24"/>
          <w:szCs w:val="24"/>
          <w:highlight w:val="none"/>
        </w:rPr>
        <w:t>。</w:t>
      </w:r>
    </w:p>
    <w:p w14:paraId="2838050E">
      <w:pPr>
        <w:spacing w:before="180" w:line="219" w:lineRule="auto"/>
        <w:ind w:left="524"/>
        <w:rPr>
          <w:rFonts w:ascii="宋体" w:hAnsi="宋体" w:eastAsia="宋体" w:cs="宋体"/>
          <w:sz w:val="24"/>
          <w:szCs w:val="24"/>
          <w:highlight w:val="none"/>
        </w:rPr>
      </w:pPr>
      <w:r>
        <w:rPr>
          <w:rFonts w:ascii="宋体" w:hAnsi="宋体" w:eastAsia="宋体" w:cs="宋体"/>
          <w:spacing w:val="-7"/>
          <w:sz w:val="24"/>
          <w:szCs w:val="24"/>
          <w:highlight w:val="none"/>
        </w:rPr>
        <w:t>(2）本工程工资性工程款</w:t>
      </w:r>
      <w:r>
        <w:rPr>
          <w:rFonts w:ascii="宋体" w:hAnsi="宋体" w:eastAsia="宋体" w:cs="宋体"/>
          <w:spacing w:val="5"/>
          <w:sz w:val="24"/>
          <w:szCs w:val="24"/>
          <w:highlight w:val="none"/>
        </w:rPr>
        <w:t xml:space="preserve"> </w:t>
      </w:r>
      <w:r>
        <w:rPr>
          <w:rFonts w:hint="eastAsia" w:ascii="宋体" w:hAnsi="宋体" w:eastAsia="宋体" w:cs="宋体"/>
          <w:spacing w:val="-6"/>
          <w:sz w:val="24"/>
          <w:szCs w:val="24"/>
          <w:highlight w:val="none"/>
          <w:u w:val="single"/>
          <w:lang w:val="en-US" w:eastAsia="zh-CN"/>
        </w:rPr>
        <w:t xml:space="preserve">                    </w:t>
      </w:r>
      <w:r>
        <w:rPr>
          <w:rFonts w:ascii="宋体" w:hAnsi="宋体" w:eastAsia="宋体" w:cs="宋体"/>
          <w:spacing w:val="-7"/>
          <w:sz w:val="24"/>
          <w:szCs w:val="24"/>
          <w:highlight w:val="none"/>
        </w:rPr>
        <w:t>元。</w:t>
      </w:r>
    </w:p>
    <w:p w14:paraId="2EE7F8F4">
      <w:pPr>
        <w:spacing w:before="181" w:line="220" w:lineRule="auto"/>
        <w:ind w:left="488"/>
        <w:rPr>
          <w:rFonts w:ascii="宋体" w:hAnsi="宋体" w:eastAsia="宋体" w:cs="宋体"/>
          <w:sz w:val="24"/>
          <w:szCs w:val="24"/>
          <w:highlight w:val="none"/>
        </w:rPr>
      </w:pPr>
      <w:r>
        <w:rPr>
          <w:rFonts w:ascii="宋体" w:hAnsi="宋体" w:eastAsia="宋体" w:cs="宋体"/>
          <w:spacing w:val="-5"/>
          <w:sz w:val="24"/>
          <w:szCs w:val="24"/>
          <w:highlight w:val="none"/>
        </w:rPr>
        <w:t>（3）发包人于每月 25 日前将工资性工程进度款转入农民工工资专用账户。</w:t>
      </w:r>
    </w:p>
    <w:p w14:paraId="68B10659">
      <w:pPr>
        <w:spacing w:before="182" w:line="289" w:lineRule="auto"/>
        <w:ind w:left="12" w:right="62" w:firstLine="476"/>
        <w:rPr>
          <w:rFonts w:ascii="宋体" w:hAnsi="宋体" w:eastAsia="宋体" w:cs="宋体"/>
          <w:sz w:val="24"/>
          <w:szCs w:val="24"/>
          <w:highlight w:val="none"/>
        </w:rPr>
      </w:pPr>
      <w:r>
        <w:rPr>
          <w:rFonts w:ascii="宋体" w:hAnsi="宋体" w:eastAsia="宋体" w:cs="宋体"/>
          <w:spacing w:val="-4"/>
          <w:sz w:val="24"/>
          <w:szCs w:val="24"/>
          <w:highlight w:val="none"/>
        </w:rPr>
        <w:t>（4）承包人每月 25 日前上报本工程农民工工资清单，每月 10 日前</w:t>
      </w:r>
      <w:r>
        <w:rPr>
          <w:rFonts w:ascii="宋体" w:hAnsi="宋体" w:eastAsia="宋体" w:cs="宋体"/>
          <w:spacing w:val="-5"/>
          <w:sz w:val="24"/>
          <w:szCs w:val="24"/>
          <w:highlight w:val="none"/>
        </w:rPr>
        <w:t>委托开设农民工工</w:t>
      </w:r>
      <w:r>
        <w:rPr>
          <w:rFonts w:ascii="宋体" w:hAnsi="宋体" w:eastAsia="宋体" w:cs="宋体"/>
          <w:spacing w:val="-4"/>
          <w:sz w:val="24"/>
          <w:szCs w:val="24"/>
          <w:highlight w:val="none"/>
        </w:rPr>
        <w:t>资专用账户的银行支付农民工工资。</w:t>
      </w:r>
    </w:p>
    <w:p w14:paraId="0779B523">
      <w:pPr>
        <w:spacing w:before="184" w:line="288" w:lineRule="auto"/>
        <w:ind w:left="1" w:right="61" w:firstLine="486"/>
        <w:rPr>
          <w:rFonts w:ascii="宋体" w:hAnsi="宋体" w:eastAsia="宋体" w:cs="宋体"/>
          <w:sz w:val="24"/>
          <w:szCs w:val="24"/>
          <w:highlight w:val="none"/>
        </w:rPr>
      </w:pPr>
      <w:r>
        <w:rPr>
          <w:rFonts w:ascii="宋体" w:hAnsi="宋体" w:eastAsia="宋体" w:cs="宋体"/>
          <w:spacing w:val="2"/>
          <w:sz w:val="24"/>
          <w:szCs w:val="24"/>
          <w:highlight w:val="none"/>
        </w:rPr>
        <w:t>（5）工程竣工后，经项目部农民工维权组确认无农</w:t>
      </w:r>
      <w:r>
        <w:rPr>
          <w:rFonts w:ascii="宋体" w:hAnsi="宋体" w:eastAsia="宋体" w:cs="宋体"/>
          <w:spacing w:val="1"/>
          <w:sz w:val="24"/>
          <w:szCs w:val="24"/>
          <w:highlight w:val="none"/>
        </w:rPr>
        <w:t>民工工资拖欠后，发、承双方办理</w:t>
      </w:r>
      <w:r>
        <w:rPr>
          <w:rFonts w:ascii="宋体" w:hAnsi="宋体" w:eastAsia="宋体" w:cs="宋体"/>
          <w:spacing w:val="-1"/>
          <w:sz w:val="24"/>
          <w:szCs w:val="24"/>
          <w:highlight w:val="none"/>
        </w:rPr>
        <w:t>农民工工资专用账户撤销手续，农民工工资专用账户余额划至本合同约定的</w:t>
      </w:r>
      <w:r>
        <w:rPr>
          <w:rFonts w:ascii="宋体" w:hAnsi="宋体" w:eastAsia="宋体" w:cs="宋体"/>
          <w:spacing w:val="-2"/>
          <w:sz w:val="24"/>
          <w:szCs w:val="24"/>
          <w:highlight w:val="none"/>
        </w:rPr>
        <w:t>承包人账户。</w:t>
      </w:r>
    </w:p>
    <w:p w14:paraId="750B6866">
      <w:pPr>
        <w:spacing w:before="183"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13.验收和工程试车</w:t>
      </w:r>
    </w:p>
    <w:p w14:paraId="0103355C">
      <w:pPr>
        <w:spacing w:before="180" w:line="220" w:lineRule="auto"/>
        <w:ind w:left="500"/>
        <w:rPr>
          <w:rFonts w:ascii="宋体" w:hAnsi="宋体" w:eastAsia="宋体" w:cs="宋体"/>
          <w:sz w:val="24"/>
          <w:szCs w:val="24"/>
          <w:highlight w:val="none"/>
        </w:rPr>
      </w:pPr>
      <w:r>
        <w:rPr>
          <w:rFonts w:ascii="宋体" w:hAnsi="宋体" w:eastAsia="宋体" w:cs="宋体"/>
          <w:spacing w:val="-4"/>
          <w:sz w:val="24"/>
          <w:szCs w:val="24"/>
          <w:highlight w:val="none"/>
        </w:rPr>
        <w:t>13.1</w:t>
      </w:r>
      <w:r>
        <w:rPr>
          <w:rFonts w:ascii="宋体" w:hAnsi="宋体" w:eastAsia="宋体" w:cs="宋体"/>
          <w:spacing w:val="-39"/>
          <w:sz w:val="24"/>
          <w:szCs w:val="24"/>
          <w:highlight w:val="none"/>
        </w:rPr>
        <w:t xml:space="preserve"> </w:t>
      </w:r>
      <w:r>
        <w:rPr>
          <w:rFonts w:ascii="宋体" w:hAnsi="宋体" w:eastAsia="宋体" w:cs="宋体"/>
          <w:spacing w:val="-4"/>
          <w:sz w:val="24"/>
          <w:szCs w:val="24"/>
          <w:highlight w:val="none"/>
        </w:rPr>
        <w:t>分部分项工程验收</w:t>
      </w:r>
    </w:p>
    <w:p w14:paraId="441749A6">
      <w:pPr>
        <w:spacing w:before="182" w:line="219"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13.1.2</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监理人不能按时进行验收时，应提前</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24</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小时提交书面延期要求。</w:t>
      </w:r>
    </w:p>
    <w:p w14:paraId="5B85E098">
      <w:pPr>
        <w:spacing w:before="181" w:line="220"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关于延期最长不得超过：48</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小时。</w:t>
      </w:r>
    </w:p>
    <w:p w14:paraId="2537C7F5">
      <w:pPr>
        <w:spacing w:before="182" w:line="220" w:lineRule="auto"/>
        <w:ind w:left="500"/>
        <w:rPr>
          <w:rFonts w:ascii="宋体" w:hAnsi="宋体" w:eastAsia="宋体" w:cs="宋体"/>
          <w:sz w:val="24"/>
          <w:szCs w:val="24"/>
          <w:highlight w:val="none"/>
        </w:rPr>
      </w:pPr>
      <w:r>
        <w:rPr>
          <w:rFonts w:ascii="宋体" w:hAnsi="宋体" w:eastAsia="宋体" w:cs="宋体"/>
          <w:spacing w:val="-5"/>
          <w:sz w:val="24"/>
          <w:szCs w:val="24"/>
          <w:highlight w:val="none"/>
        </w:rPr>
        <w:t>13.2</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竣工验收</w:t>
      </w:r>
    </w:p>
    <w:p w14:paraId="6E5A4131">
      <w:pPr>
        <w:spacing w:before="179"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13.2.2</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竣工验收程序</w:t>
      </w:r>
    </w:p>
    <w:p w14:paraId="62765695">
      <w:pPr>
        <w:spacing w:line="220" w:lineRule="auto"/>
        <w:rPr>
          <w:rFonts w:ascii="宋体" w:hAnsi="宋体" w:eastAsia="宋体" w:cs="宋体"/>
          <w:sz w:val="24"/>
          <w:szCs w:val="24"/>
          <w:highlight w:val="none"/>
        </w:rPr>
        <w:sectPr>
          <w:footerReference r:id="rId51" w:type="default"/>
          <w:pgSz w:w="11907" w:h="16839"/>
          <w:pgMar w:top="1425" w:right="1109" w:bottom="1129" w:left="1183" w:header="0" w:footer="898" w:gutter="0"/>
          <w:cols w:space="720" w:num="1"/>
        </w:sectPr>
      </w:pPr>
    </w:p>
    <w:p w14:paraId="3FA18532">
      <w:pPr>
        <w:spacing w:before="47" w:line="220"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关于竣工验收程序的约定：按通用条款和发包人有</w:t>
      </w:r>
      <w:r>
        <w:rPr>
          <w:rFonts w:ascii="宋体" w:hAnsi="宋体" w:eastAsia="宋体" w:cs="宋体"/>
          <w:spacing w:val="-2"/>
          <w:sz w:val="24"/>
          <w:szCs w:val="24"/>
          <w:highlight w:val="none"/>
        </w:rPr>
        <w:t>关竣工验收文件的规定执行。</w:t>
      </w:r>
    </w:p>
    <w:p w14:paraId="4D281B48">
      <w:pPr>
        <w:spacing w:before="182" w:line="219"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发包人不按照本项约定组织竣工验收、颁发工程接收证书的违约金的计算方法：</w:t>
      </w:r>
    </w:p>
    <w:p w14:paraId="3D97948E">
      <w:pPr>
        <w:spacing w:before="180" w:line="220" w:lineRule="auto"/>
        <w:ind w:left="483"/>
        <w:rPr>
          <w:rFonts w:ascii="宋体" w:hAnsi="宋体" w:eastAsia="宋体" w:cs="宋体"/>
          <w:sz w:val="24"/>
          <w:szCs w:val="24"/>
          <w:highlight w:val="none"/>
        </w:rPr>
      </w:pPr>
      <w:r>
        <w:rPr>
          <w:rFonts w:ascii="宋体" w:hAnsi="宋体" w:eastAsia="宋体" w:cs="宋体"/>
          <w:spacing w:val="-6"/>
          <w:sz w:val="24"/>
          <w:szCs w:val="24"/>
          <w:highlight w:val="none"/>
        </w:rPr>
        <w:t>不支付违约金。</w:t>
      </w:r>
    </w:p>
    <w:p w14:paraId="6C40BB69">
      <w:pPr>
        <w:spacing w:before="182" w:line="220" w:lineRule="auto"/>
        <w:ind w:left="497"/>
        <w:rPr>
          <w:rFonts w:ascii="宋体" w:hAnsi="宋体" w:eastAsia="宋体" w:cs="宋体"/>
          <w:sz w:val="24"/>
          <w:szCs w:val="24"/>
          <w:highlight w:val="none"/>
        </w:rPr>
      </w:pPr>
      <w:r>
        <w:rPr>
          <w:rFonts w:ascii="宋体" w:hAnsi="宋体" w:eastAsia="宋体" w:cs="宋体"/>
          <w:spacing w:val="-3"/>
          <w:sz w:val="24"/>
          <w:szCs w:val="24"/>
          <w:highlight w:val="none"/>
        </w:rPr>
        <w:t>13.2.5</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移交、接收全部与部分工程</w:t>
      </w:r>
    </w:p>
    <w:p w14:paraId="5C5FF909">
      <w:pPr>
        <w:spacing w:before="180" w:line="359" w:lineRule="auto"/>
        <w:ind w:left="2" w:firstLine="476"/>
        <w:rPr>
          <w:rFonts w:ascii="宋体" w:hAnsi="宋体" w:eastAsia="宋体" w:cs="宋体"/>
          <w:sz w:val="24"/>
          <w:szCs w:val="24"/>
          <w:highlight w:val="none"/>
        </w:rPr>
      </w:pPr>
      <w:r>
        <w:rPr>
          <w:rFonts w:ascii="宋体" w:hAnsi="宋体" w:eastAsia="宋体" w:cs="宋体"/>
          <w:spacing w:val="-5"/>
          <w:sz w:val="24"/>
          <w:szCs w:val="24"/>
          <w:highlight w:val="none"/>
        </w:rPr>
        <w:t>承包人向发包人移交工程的期限：同发包人完成向使</w:t>
      </w:r>
      <w:r>
        <w:rPr>
          <w:rFonts w:ascii="宋体" w:hAnsi="宋体" w:eastAsia="宋体" w:cs="宋体"/>
          <w:spacing w:val="-6"/>
          <w:sz w:val="24"/>
          <w:szCs w:val="24"/>
          <w:highlight w:val="none"/>
        </w:rPr>
        <w:t>用（管养）单位办理移交手续日期。</w:t>
      </w:r>
      <w:r>
        <w:rPr>
          <w:rFonts w:ascii="宋体" w:hAnsi="宋体" w:eastAsia="宋体" w:cs="宋体"/>
          <w:spacing w:val="-1"/>
          <w:sz w:val="24"/>
          <w:szCs w:val="24"/>
          <w:highlight w:val="none"/>
        </w:rPr>
        <w:t>该移交手续未完成前，由承包人承担工程照管、成品保护、保管</w:t>
      </w:r>
      <w:r>
        <w:rPr>
          <w:rFonts w:ascii="宋体" w:hAnsi="宋体" w:eastAsia="宋体" w:cs="宋体"/>
          <w:spacing w:val="-2"/>
          <w:sz w:val="24"/>
          <w:szCs w:val="24"/>
          <w:highlight w:val="none"/>
        </w:rPr>
        <w:t>等责任以及相应费用。</w:t>
      </w:r>
    </w:p>
    <w:p w14:paraId="11562026">
      <w:pPr>
        <w:spacing w:before="1" w:line="218"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发包人未按本合同约定接收全部或部分工程的，违约金的计算方法为：无。</w:t>
      </w:r>
    </w:p>
    <w:p w14:paraId="35D9E7D8">
      <w:pPr>
        <w:spacing w:before="184" w:line="359" w:lineRule="auto"/>
        <w:ind w:right="34" w:firstLine="479"/>
        <w:rPr>
          <w:rFonts w:ascii="宋体" w:hAnsi="宋体" w:eastAsia="宋体" w:cs="宋体"/>
          <w:sz w:val="24"/>
          <w:szCs w:val="24"/>
          <w:highlight w:val="none"/>
        </w:rPr>
      </w:pPr>
      <w:r>
        <w:rPr>
          <w:rFonts w:ascii="宋体" w:hAnsi="宋体" w:eastAsia="宋体" w:cs="宋体"/>
          <w:spacing w:val="-1"/>
          <w:sz w:val="24"/>
          <w:szCs w:val="24"/>
          <w:highlight w:val="none"/>
        </w:rPr>
        <w:t>承包人未按时移交工程的，违约金的计算方法</w:t>
      </w:r>
      <w:r>
        <w:rPr>
          <w:rFonts w:ascii="宋体" w:hAnsi="宋体" w:eastAsia="宋体" w:cs="宋体"/>
          <w:spacing w:val="-2"/>
          <w:sz w:val="24"/>
          <w:szCs w:val="24"/>
          <w:highlight w:val="none"/>
        </w:rPr>
        <w:t>为：除承担工程照管、成品保护、保管等与工程有关的各项费用外，每延期移交一天，承包人支付发包人合同价款</w:t>
      </w:r>
      <w:r>
        <w:rPr>
          <w:rFonts w:ascii="宋体" w:hAnsi="宋体" w:eastAsia="宋体" w:cs="宋体"/>
          <w:spacing w:val="-40"/>
          <w:sz w:val="24"/>
          <w:szCs w:val="24"/>
          <w:highlight w:val="none"/>
        </w:rPr>
        <w:t xml:space="preserve"> </w:t>
      </w:r>
      <w:r>
        <w:rPr>
          <w:rFonts w:ascii="宋体" w:hAnsi="宋体" w:eastAsia="宋体" w:cs="宋体"/>
          <w:spacing w:val="-2"/>
          <w:sz w:val="24"/>
          <w:szCs w:val="24"/>
          <w:highlight w:val="none"/>
        </w:rPr>
        <w:t>0.005%的违约金；</w:t>
      </w:r>
      <w:r>
        <w:rPr>
          <w:rFonts w:ascii="宋体" w:hAnsi="宋体" w:eastAsia="宋体" w:cs="宋体"/>
          <w:spacing w:val="-4"/>
          <w:sz w:val="24"/>
          <w:szCs w:val="24"/>
          <w:highlight w:val="none"/>
        </w:rPr>
        <w:t>工程延期</w:t>
      </w:r>
      <w:r>
        <w:rPr>
          <w:rFonts w:ascii="宋体" w:hAnsi="宋体" w:eastAsia="宋体" w:cs="宋体"/>
          <w:spacing w:val="-48"/>
          <w:sz w:val="24"/>
          <w:szCs w:val="24"/>
          <w:highlight w:val="none"/>
        </w:rPr>
        <w:t xml:space="preserve"> </w:t>
      </w:r>
      <w:r>
        <w:rPr>
          <w:rFonts w:ascii="宋体" w:hAnsi="宋体" w:eastAsia="宋体" w:cs="宋体"/>
          <w:spacing w:val="-4"/>
          <w:sz w:val="24"/>
          <w:szCs w:val="24"/>
          <w:highlight w:val="none"/>
        </w:rPr>
        <w:t>28 日以上的，每日按合同价款</w:t>
      </w:r>
      <w:r>
        <w:rPr>
          <w:rFonts w:ascii="宋体" w:hAnsi="宋体" w:eastAsia="宋体" w:cs="宋体"/>
          <w:spacing w:val="-48"/>
          <w:sz w:val="24"/>
          <w:szCs w:val="24"/>
          <w:highlight w:val="none"/>
        </w:rPr>
        <w:t xml:space="preserve"> </w:t>
      </w:r>
      <w:r>
        <w:rPr>
          <w:rFonts w:ascii="宋体" w:hAnsi="宋体" w:eastAsia="宋体" w:cs="宋体"/>
          <w:spacing w:val="-5"/>
          <w:sz w:val="24"/>
          <w:szCs w:val="24"/>
          <w:highlight w:val="none"/>
        </w:rPr>
        <w:t>0.01%向发包人支付违约金，除支付违约金外，履约</w:t>
      </w:r>
      <w:r>
        <w:rPr>
          <w:rFonts w:ascii="宋体" w:hAnsi="宋体" w:eastAsia="宋体" w:cs="宋体"/>
          <w:spacing w:val="-3"/>
          <w:sz w:val="24"/>
          <w:szCs w:val="24"/>
          <w:highlight w:val="none"/>
        </w:rPr>
        <w:t>保证金不予退还，并追究损失赔偿责任。</w:t>
      </w:r>
    </w:p>
    <w:p w14:paraId="26A4E63A">
      <w:pPr>
        <w:spacing w:before="1" w:line="219" w:lineRule="auto"/>
        <w:ind w:left="497"/>
        <w:rPr>
          <w:rFonts w:ascii="宋体" w:hAnsi="宋体" w:eastAsia="宋体" w:cs="宋体"/>
          <w:sz w:val="24"/>
          <w:szCs w:val="24"/>
          <w:highlight w:val="none"/>
        </w:rPr>
      </w:pPr>
      <w:r>
        <w:rPr>
          <w:rFonts w:ascii="宋体" w:hAnsi="宋体" w:eastAsia="宋体" w:cs="宋体"/>
          <w:spacing w:val="-5"/>
          <w:sz w:val="24"/>
          <w:szCs w:val="24"/>
          <w:highlight w:val="none"/>
        </w:rPr>
        <w:t>13.3</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工程试车</w:t>
      </w:r>
    </w:p>
    <w:p w14:paraId="4672DCA8">
      <w:pPr>
        <w:spacing w:before="179"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13.3.1</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试车程序</w:t>
      </w:r>
    </w:p>
    <w:p w14:paraId="7483A9C5">
      <w:pPr>
        <w:spacing w:before="182" w:line="220"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工程试车内容：/。</w:t>
      </w:r>
    </w:p>
    <w:p w14:paraId="37919056">
      <w:pPr>
        <w:spacing w:before="180" w:line="219"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（1）单机无负荷试车费用由承包人承担；</w:t>
      </w:r>
    </w:p>
    <w:p w14:paraId="28BD18EC">
      <w:pPr>
        <w:spacing w:before="183" w:line="220"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（2）无负荷联动试车费用由承包人承担。</w:t>
      </w:r>
    </w:p>
    <w:p w14:paraId="50A31653">
      <w:pPr>
        <w:spacing w:before="183"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13.3.3</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投料试车</w:t>
      </w:r>
    </w:p>
    <w:p w14:paraId="549C0EC7">
      <w:pPr>
        <w:spacing w:before="179" w:line="220" w:lineRule="auto"/>
        <w:ind w:left="483"/>
        <w:rPr>
          <w:rFonts w:ascii="宋体" w:hAnsi="宋体" w:eastAsia="宋体" w:cs="宋体"/>
          <w:sz w:val="24"/>
          <w:szCs w:val="24"/>
          <w:highlight w:val="none"/>
        </w:rPr>
      </w:pPr>
      <w:r>
        <w:rPr>
          <w:rFonts w:ascii="宋体" w:hAnsi="宋体" w:eastAsia="宋体" w:cs="宋体"/>
          <w:spacing w:val="-3"/>
          <w:sz w:val="24"/>
          <w:szCs w:val="24"/>
          <w:highlight w:val="none"/>
        </w:rPr>
        <w:t>关于投料试车相关事项的约定：执行通用条款。</w:t>
      </w:r>
    </w:p>
    <w:p w14:paraId="08000DFA">
      <w:pPr>
        <w:spacing w:before="182" w:line="220" w:lineRule="auto"/>
        <w:ind w:left="497"/>
        <w:rPr>
          <w:rFonts w:ascii="宋体" w:hAnsi="宋体" w:eastAsia="宋体" w:cs="宋体"/>
          <w:sz w:val="24"/>
          <w:szCs w:val="24"/>
          <w:highlight w:val="none"/>
        </w:rPr>
      </w:pPr>
      <w:r>
        <w:rPr>
          <w:rFonts w:ascii="宋体" w:hAnsi="宋体" w:eastAsia="宋体" w:cs="宋体"/>
          <w:spacing w:val="-5"/>
          <w:sz w:val="24"/>
          <w:szCs w:val="24"/>
          <w:highlight w:val="none"/>
        </w:rPr>
        <w:t>13.6</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竣工退场</w:t>
      </w:r>
    </w:p>
    <w:p w14:paraId="14B4AD22">
      <w:pPr>
        <w:spacing w:before="180"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13.6.1</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竣工退场</w:t>
      </w:r>
    </w:p>
    <w:p w14:paraId="6E044580">
      <w:pPr>
        <w:spacing w:before="182" w:line="220" w:lineRule="auto"/>
        <w:ind w:left="479"/>
        <w:rPr>
          <w:rFonts w:ascii="宋体" w:hAnsi="宋体" w:eastAsia="宋体" w:cs="宋体"/>
          <w:sz w:val="24"/>
          <w:szCs w:val="24"/>
          <w:highlight w:val="none"/>
        </w:rPr>
      </w:pPr>
      <w:r>
        <w:rPr>
          <w:rFonts w:ascii="宋体" w:hAnsi="宋体" w:eastAsia="宋体" w:cs="宋体"/>
          <w:spacing w:val="-3"/>
          <w:sz w:val="24"/>
          <w:szCs w:val="24"/>
          <w:highlight w:val="none"/>
        </w:rPr>
        <w:t>承包人完成竣工退场的期限：竣工验收合格后</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7</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天内。</w:t>
      </w:r>
    </w:p>
    <w:p w14:paraId="209BE625">
      <w:pPr>
        <w:spacing w:before="180"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14.竣工结算</w:t>
      </w:r>
    </w:p>
    <w:p w14:paraId="77FD1DC1">
      <w:pPr>
        <w:spacing w:before="182"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14.1</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竣工结算申请</w:t>
      </w:r>
    </w:p>
    <w:p w14:paraId="6D091F16">
      <w:pPr>
        <w:spacing w:before="182" w:line="359" w:lineRule="auto"/>
        <w:ind w:right="18" w:firstLine="479"/>
        <w:rPr>
          <w:rFonts w:ascii="宋体" w:hAnsi="宋体" w:eastAsia="宋体" w:cs="宋体"/>
          <w:sz w:val="24"/>
          <w:szCs w:val="24"/>
          <w:highlight w:val="none"/>
        </w:rPr>
      </w:pPr>
      <w:r>
        <w:rPr>
          <w:rFonts w:ascii="宋体" w:hAnsi="宋体" w:eastAsia="宋体" w:cs="宋体"/>
          <w:spacing w:val="-1"/>
          <w:sz w:val="24"/>
          <w:szCs w:val="24"/>
          <w:highlight w:val="none"/>
        </w:rPr>
        <w:t>承包人提交竣工结算申请单的期限：承包人在申报</w:t>
      </w:r>
      <w:r>
        <w:rPr>
          <w:rFonts w:ascii="宋体" w:hAnsi="宋体" w:eastAsia="宋体" w:cs="宋体"/>
          <w:spacing w:val="-2"/>
          <w:sz w:val="24"/>
          <w:szCs w:val="24"/>
          <w:highlight w:val="none"/>
        </w:rPr>
        <w:t>工程竣工结算前，无条件完成现场所</w:t>
      </w:r>
      <w:r>
        <w:rPr>
          <w:rFonts w:ascii="宋体" w:hAnsi="宋体" w:eastAsia="宋体" w:cs="宋体"/>
          <w:spacing w:val="-10"/>
          <w:sz w:val="24"/>
          <w:szCs w:val="24"/>
          <w:highlight w:val="none"/>
        </w:rPr>
        <w:t>有临设（如工人宿舍、办公用房、配电房等）</w:t>
      </w:r>
      <w:r>
        <w:rPr>
          <w:rFonts w:ascii="宋体" w:hAnsi="宋体" w:eastAsia="宋体" w:cs="宋体"/>
          <w:spacing w:val="47"/>
          <w:sz w:val="24"/>
          <w:szCs w:val="24"/>
          <w:highlight w:val="none"/>
        </w:rPr>
        <w:t xml:space="preserve"> </w:t>
      </w:r>
      <w:r>
        <w:rPr>
          <w:rFonts w:ascii="宋体" w:hAnsi="宋体" w:eastAsia="宋体" w:cs="宋体"/>
          <w:spacing w:val="-10"/>
          <w:sz w:val="24"/>
          <w:szCs w:val="24"/>
          <w:highlight w:val="none"/>
        </w:rPr>
        <w:t>以及属于承包方所用房屋的拆除、清理，</w:t>
      </w:r>
      <w:r>
        <w:rPr>
          <w:rFonts w:ascii="宋体" w:hAnsi="宋体" w:eastAsia="宋体" w:cs="宋体"/>
          <w:spacing w:val="58"/>
          <w:sz w:val="24"/>
          <w:szCs w:val="24"/>
          <w:highlight w:val="none"/>
        </w:rPr>
        <w:t xml:space="preserve"> </w:t>
      </w:r>
      <w:r>
        <w:rPr>
          <w:rFonts w:ascii="宋体" w:hAnsi="宋体" w:eastAsia="宋体" w:cs="宋体"/>
          <w:spacing w:val="-10"/>
          <w:sz w:val="24"/>
          <w:szCs w:val="24"/>
          <w:highlight w:val="none"/>
        </w:rPr>
        <w:t>垃圾</w:t>
      </w:r>
      <w:r>
        <w:rPr>
          <w:rFonts w:ascii="宋体" w:hAnsi="宋体" w:eastAsia="宋体" w:cs="宋体"/>
          <w:spacing w:val="-6"/>
          <w:sz w:val="24"/>
          <w:szCs w:val="24"/>
          <w:highlight w:val="none"/>
        </w:rPr>
        <w:t>等设施需运出现场，否则工程结算不予报送至审核部门，造成的后果由承包人承担一切责任；</w:t>
      </w:r>
      <w:r>
        <w:rPr>
          <w:rFonts w:ascii="宋体" w:hAnsi="宋体" w:eastAsia="宋体" w:cs="宋体"/>
          <w:spacing w:val="-1"/>
          <w:sz w:val="24"/>
          <w:szCs w:val="24"/>
          <w:highlight w:val="none"/>
        </w:rPr>
        <w:t>符合报审条件的，应在工程竣工验收合格后 28 天内，将竣工结</w:t>
      </w:r>
      <w:r>
        <w:rPr>
          <w:rFonts w:ascii="宋体" w:hAnsi="宋体" w:eastAsia="宋体" w:cs="宋体"/>
          <w:spacing w:val="-2"/>
          <w:sz w:val="24"/>
          <w:szCs w:val="24"/>
          <w:highlight w:val="none"/>
        </w:rPr>
        <w:t>算书提交监理人、发包人审</w:t>
      </w:r>
      <w:r>
        <w:rPr>
          <w:rFonts w:ascii="宋体" w:hAnsi="宋体" w:eastAsia="宋体" w:cs="宋体"/>
          <w:spacing w:val="-3"/>
          <w:sz w:val="24"/>
          <w:szCs w:val="24"/>
          <w:highlight w:val="none"/>
        </w:rPr>
        <w:t>核合格后，报有关审核部门进行审核。</w:t>
      </w:r>
    </w:p>
    <w:p w14:paraId="64012E2F">
      <w:pPr>
        <w:spacing w:before="1"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竣工结算申请单应包括的内容：执行通用条</w:t>
      </w:r>
      <w:r>
        <w:rPr>
          <w:rFonts w:ascii="宋体" w:hAnsi="宋体" w:eastAsia="宋体" w:cs="宋体"/>
          <w:spacing w:val="-3"/>
          <w:sz w:val="24"/>
          <w:szCs w:val="24"/>
          <w:highlight w:val="none"/>
        </w:rPr>
        <w:t>款。</w:t>
      </w:r>
    </w:p>
    <w:p w14:paraId="6356B1DC">
      <w:pPr>
        <w:spacing w:before="179"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14.2</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竣工结算审核</w:t>
      </w:r>
    </w:p>
    <w:p w14:paraId="4BE1A8AD">
      <w:pPr>
        <w:spacing w:line="220" w:lineRule="auto"/>
        <w:rPr>
          <w:rFonts w:ascii="宋体" w:hAnsi="宋体" w:eastAsia="宋体" w:cs="宋体"/>
          <w:sz w:val="24"/>
          <w:szCs w:val="24"/>
          <w:highlight w:val="none"/>
        </w:rPr>
        <w:sectPr>
          <w:footerReference r:id="rId52" w:type="default"/>
          <w:pgSz w:w="11907" w:h="16839"/>
          <w:pgMar w:top="1425" w:right="1090" w:bottom="1129" w:left="1186" w:header="0" w:footer="898" w:gutter="0"/>
          <w:cols w:space="720" w:num="1"/>
        </w:sectPr>
      </w:pPr>
    </w:p>
    <w:p w14:paraId="163B7EDF">
      <w:pPr>
        <w:spacing w:before="49" w:line="359" w:lineRule="auto"/>
        <w:ind w:left="4" w:right="86"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发包人审批竣工付款申请单的期限：监理人在收到承包人递交的竣工结算申请单及完整</w:t>
      </w:r>
      <w:r>
        <w:rPr>
          <w:rFonts w:ascii="宋体" w:hAnsi="宋体" w:eastAsia="宋体" w:cs="宋体"/>
          <w:spacing w:val="-1"/>
          <w:sz w:val="24"/>
          <w:szCs w:val="24"/>
          <w:highlight w:val="none"/>
        </w:rPr>
        <w:t>的结算资料后 14 天内完成核查并报发包人，由发包</w:t>
      </w:r>
      <w:r>
        <w:rPr>
          <w:rFonts w:ascii="宋体" w:hAnsi="宋体" w:eastAsia="宋体" w:cs="宋体"/>
          <w:spacing w:val="-2"/>
          <w:sz w:val="24"/>
          <w:szCs w:val="24"/>
          <w:highlight w:val="none"/>
        </w:rPr>
        <w:t>人复核后报有关审核部门组织审核，审</w:t>
      </w:r>
      <w:r>
        <w:rPr>
          <w:rFonts w:ascii="宋体" w:hAnsi="宋体" w:eastAsia="宋体" w:cs="宋体"/>
          <w:spacing w:val="-4"/>
          <w:sz w:val="24"/>
          <w:szCs w:val="24"/>
          <w:highlight w:val="none"/>
        </w:rPr>
        <w:t>核时间由审核部门确定。</w:t>
      </w:r>
    </w:p>
    <w:p w14:paraId="235F6BCC">
      <w:pPr>
        <w:spacing w:line="359" w:lineRule="auto"/>
        <w:ind w:left="1" w:right="85" w:firstLine="484"/>
        <w:rPr>
          <w:rFonts w:ascii="宋体" w:hAnsi="宋体" w:eastAsia="宋体" w:cs="宋体"/>
          <w:sz w:val="24"/>
          <w:szCs w:val="24"/>
          <w:highlight w:val="none"/>
        </w:rPr>
      </w:pPr>
      <w:r>
        <w:rPr>
          <w:rFonts w:ascii="宋体" w:hAnsi="宋体" w:eastAsia="宋体" w:cs="宋体"/>
          <w:spacing w:val="-1"/>
          <w:sz w:val="24"/>
          <w:szCs w:val="24"/>
          <w:highlight w:val="none"/>
        </w:rPr>
        <w:t>发包人完成竣工付款的期限：应在签发竣工付款</w:t>
      </w:r>
      <w:r>
        <w:rPr>
          <w:rFonts w:ascii="宋体" w:hAnsi="宋体" w:eastAsia="宋体" w:cs="宋体"/>
          <w:spacing w:val="-2"/>
          <w:sz w:val="24"/>
          <w:szCs w:val="24"/>
          <w:highlight w:val="none"/>
        </w:rPr>
        <w:t>证书后 90 日内，完成对承包人的竣工付款，但如因特殊情况逾期支付的发包人不予支付违约金。</w:t>
      </w:r>
    </w:p>
    <w:p w14:paraId="595E5932">
      <w:pPr>
        <w:spacing w:before="1" w:line="218"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关于竣工付款证书异议部分复核的方式和程序：执行通用条款。</w:t>
      </w:r>
    </w:p>
    <w:p w14:paraId="3082A5EB">
      <w:pPr>
        <w:spacing w:before="180" w:line="220" w:lineRule="auto"/>
        <w:ind w:left="500"/>
        <w:rPr>
          <w:rFonts w:ascii="宋体" w:hAnsi="宋体" w:eastAsia="宋体" w:cs="宋体"/>
          <w:sz w:val="24"/>
          <w:szCs w:val="24"/>
          <w:highlight w:val="none"/>
        </w:rPr>
      </w:pPr>
      <w:r>
        <w:rPr>
          <w:rFonts w:ascii="宋体" w:hAnsi="宋体" w:eastAsia="宋体" w:cs="宋体"/>
          <w:spacing w:val="-5"/>
          <w:sz w:val="24"/>
          <w:szCs w:val="24"/>
          <w:highlight w:val="none"/>
        </w:rPr>
        <w:t>14.4</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最终结清</w:t>
      </w:r>
    </w:p>
    <w:p w14:paraId="5E0BC9C4">
      <w:pPr>
        <w:spacing w:before="181"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14.4.1</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最终结清申请单</w:t>
      </w:r>
    </w:p>
    <w:p w14:paraId="1655521C">
      <w:pPr>
        <w:spacing w:before="180"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承包人提交最终结清申请单的份数：叁份。</w:t>
      </w:r>
    </w:p>
    <w:p w14:paraId="2A878957">
      <w:pPr>
        <w:spacing w:before="183" w:line="219" w:lineRule="auto"/>
        <w:jc w:val="right"/>
        <w:rPr>
          <w:rFonts w:ascii="宋体" w:hAnsi="宋体" w:eastAsia="宋体" w:cs="宋体"/>
          <w:sz w:val="24"/>
          <w:szCs w:val="24"/>
          <w:highlight w:val="none"/>
        </w:rPr>
      </w:pPr>
      <w:r>
        <w:rPr>
          <w:rFonts w:ascii="宋体" w:hAnsi="宋体" w:eastAsia="宋体" w:cs="宋体"/>
          <w:spacing w:val="-11"/>
          <w:sz w:val="24"/>
          <w:szCs w:val="24"/>
          <w:highlight w:val="none"/>
        </w:rPr>
        <w:t>承包人提交最终结算申请单的期限：缺陷责任期终止证书颁发后</w:t>
      </w:r>
      <w:r>
        <w:rPr>
          <w:rFonts w:ascii="宋体" w:hAnsi="宋体" w:eastAsia="宋体" w:cs="宋体"/>
          <w:spacing w:val="-63"/>
          <w:sz w:val="24"/>
          <w:szCs w:val="24"/>
          <w:highlight w:val="none"/>
        </w:rPr>
        <w:t xml:space="preserve"> </w:t>
      </w:r>
      <w:r>
        <w:rPr>
          <w:rFonts w:ascii="宋体" w:hAnsi="宋体" w:eastAsia="宋体" w:cs="宋体"/>
          <w:spacing w:val="-11"/>
          <w:sz w:val="24"/>
          <w:szCs w:val="24"/>
          <w:highlight w:val="none"/>
        </w:rPr>
        <w:t>7</w:t>
      </w:r>
      <w:r>
        <w:rPr>
          <w:rFonts w:ascii="宋体" w:hAnsi="宋体" w:eastAsia="宋体" w:cs="宋体"/>
          <w:spacing w:val="-67"/>
          <w:sz w:val="24"/>
          <w:szCs w:val="24"/>
          <w:highlight w:val="none"/>
        </w:rPr>
        <w:t xml:space="preserve"> </w:t>
      </w:r>
      <w:r>
        <w:rPr>
          <w:rFonts w:ascii="宋体" w:hAnsi="宋体" w:eastAsia="宋体" w:cs="宋体"/>
          <w:spacing w:val="-11"/>
          <w:sz w:val="24"/>
          <w:szCs w:val="24"/>
          <w:highlight w:val="none"/>
        </w:rPr>
        <w:t>天内（执行通用条款）。</w:t>
      </w:r>
    </w:p>
    <w:p w14:paraId="25187BF5">
      <w:pPr>
        <w:spacing w:before="181" w:line="219"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14.4.2</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最终结清证书和支付</w:t>
      </w:r>
    </w:p>
    <w:p w14:paraId="63BFE646">
      <w:pPr>
        <w:spacing w:before="184" w:line="288" w:lineRule="auto"/>
        <w:ind w:left="21" w:right="91" w:firstLine="467"/>
        <w:rPr>
          <w:rFonts w:ascii="宋体" w:hAnsi="宋体" w:eastAsia="宋体" w:cs="宋体"/>
          <w:sz w:val="24"/>
          <w:szCs w:val="24"/>
          <w:highlight w:val="none"/>
        </w:rPr>
      </w:pPr>
      <w:r>
        <w:rPr>
          <w:rFonts w:ascii="宋体" w:hAnsi="宋体" w:eastAsia="宋体" w:cs="宋体"/>
          <w:spacing w:val="1"/>
          <w:sz w:val="24"/>
          <w:szCs w:val="24"/>
          <w:highlight w:val="none"/>
        </w:rPr>
        <w:t>（1）发包人完成最终结清申请单的审批并颁发最终结清证书的期限：收到承包人提交</w:t>
      </w:r>
      <w:r>
        <w:rPr>
          <w:rFonts w:ascii="宋体" w:hAnsi="宋体" w:eastAsia="宋体" w:cs="宋体"/>
          <w:spacing w:val="-7"/>
          <w:sz w:val="24"/>
          <w:szCs w:val="24"/>
          <w:highlight w:val="none"/>
        </w:rPr>
        <w:t>的最终结清证书</w:t>
      </w:r>
      <w:r>
        <w:rPr>
          <w:rFonts w:ascii="宋体" w:hAnsi="宋体" w:eastAsia="宋体" w:cs="宋体"/>
          <w:spacing w:val="-39"/>
          <w:sz w:val="24"/>
          <w:szCs w:val="24"/>
          <w:highlight w:val="none"/>
        </w:rPr>
        <w:t xml:space="preserve"> </w:t>
      </w:r>
      <w:r>
        <w:rPr>
          <w:rFonts w:ascii="宋体" w:hAnsi="宋体" w:eastAsia="宋体" w:cs="宋体"/>
          <w:spacing w:val="-7"/>
          <w:sz w:val="24"/>
          <w:szCs w:val="24"/>
          <w:highlight w:val="none"/>
        </w:rPr>
        <w:t>28</w:t>
      </w:r>
      <w:r>
        <w:rPr>
          <w:rFonts w:ascii="宋体" w:hAnsi="宋体" w:eastAsia="宋体" w:cs="宋体"/>
          <w:spacing w:val="-46"/>
          <w:sz w:val="24"/>
          <w:szCs w:val="24"/>
          <w:highlight w:val="none"/>
        </w:rPr>
        <w:t xml:space="preserve"> </w:t>
      </w:r>
      <w:r>
        <w:rPr>
          <w:rFonts w:ascii="宋体" w:hAnsi="宋体" w:eastAsia="宋体" w:cs="宋体"/>
          <w:spacing w:val="-7"/>
          <w:sz w:val="24"/>
          <w:szCs w:val="24"/>
          <w:highlight w:val="none"/>
        </w:rPr>
        <w:t>天内。</w:t>
      </w:r>
    </w:p>
    <w:p w14:paraId="2DC652B7">
      <w:pPr>
        <w:spacing w:before="184" w:line="289" w:lineRule="auto"/>
        <w:ind w:right="82" w:firstLine="488"/>
        <w:rPr>
          <w:rFonts w:ascii="宋体" w:hAnsi="宋体" w:eastAsia="宋体" w:cs="宋体"/>
          <w:sz w:val="24"/>
          <w:szCs w:val="24"/>
          <w:highlight w:val="none"/>
        </w:rPr>
      </w:pPr>
      <w:r>
        <w:rPr>
          <w:rFonts w:ascii="宋体" w:hAnsi="宋体" w:eastAsia="宋体" w:cs="宋体"/>
          <w:spacing w:val="-2"/>
          <w:sz w:val="24"/>
          <w:szCs w:val="24"/>
          <w:highlight w:val="none"/>
        </w:rPr>
        <w:t>（2）发包人完成支付的期限：颁发最终结清证书后</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56</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天内完</w:t>
      </w:r>
      <w:r>
        <w:rPr>
          <w:rFonts w:ascii="宋体" w:hAnsi="宋体" w:eastAsia="宋体" w:cs="宋体"/>
          <w:spacing w:val="-3"/>
          <w:sz w:val="24"/>
          <w:szCs w:val="24"/>
          <w:highlight w:val="none"/>
        </w:rPr>
        <w:t>成支付，但如因特殊情况逾期支付的不予支付违约金。</w:t>
      </w:r>
    </w:p>
    <w:p w14:paraId="45FD4F4B">
      <w:pPr>
        <w:spacing w:before="182"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15.缺陷责任期与保修</w:t>
      </w:r>
    </w:p>
    <w:p w14:paraId="6A7235E1">
      <w:pPr>
        <w:spacing w:before="182" w:line="220" w:lineRule="auto"/>
        <w:ind w:left="500"/>
        <w:rPr>
          <w:rFonts w:ascii="宋体" w:hAnsi="宋体" w:eastAsia="宋体" w:cs="宋体"/>
          <w:sz w:val="24"/>
          <w:szCs w:val="24"/>
          <w:highlight w:val="none"/>
        </w:rPr>
      </w:pPr>
      <w:r>
        <w:rPr>
          <w:rFonts w:ascii="宋体" w:hAnsi="宋体" w:eastAsia="宋体" w:cs="宋体"/>
          <w:spacing w:val="-4"/>
          <w:sz w:val="24"/>
          <w:szCs w:val="24"/>
          <w:highlight w:val="none"/>
        </w:rPr>
        <w:t>15.2</w:t>
      </w:r>
      <w:r>
        <w:rPr>
          <w:rFonts w:ascii="宋体" w:hAnsi="宋体" w:eastAsia="宋体" w:cs="宋体"/>
          <w:spacing w:val="-51"/>
          <w:sz w:val="24"/>
          <w:szCs w:val="24"/>
          <w:highlight w:val="none"/>
        </w:rPr>
        <w:t xml:space="preserve"> </w:t>
      </w:r>
      <w:r>
        <w:rPr>
          <w:rFonts w:ascii="宋体" w:hAnsi="宋体" w:eastAsia="宋体" w:cs="宋体"/>
          <w:spacing w:val="-4"/>
          <w:sz w:val="24"/>
          <w:szCs w:val="24"/>
          <w:highlight w:val="none"/>
        </w:rPr>
        <w:t>缺陷责任期</w:t>
      </w:r>
    </w:p>
    <w:p w14:paraId="1011B37A">
      <w:pPr>
        <w:spacing w:before="180"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缺陷责任期的具体期限：</w:t>
      </w:r>
      <w:r>
        <w:rPr>
          <w:rFonts w:ascii="宋体" w:hAnsi="宋体" w:eastAsia="宋体" w:cs="宋体"/>
          <w:spacing w:val="-62"/>
          <w:sz w:val="24"/>
          <w:szCs w:val="24"/>
          <w:highlight w:val="none"/>
        </w:rPr>
        <w:t xml:space="preserve"> </w:t>
      </w:r>
      <w:r>
        <w:rPr>
          <w:rFonts w:ascii="宋体" w:hAnsi="宋体" w:eastAsia="宋体" w:cs="宋体"/>
          <w:spacing w:val="-3"/>
          <w:sz w:val="24"/>
          <w:szCs w:val="24"/>
          <w:highlight w:val="none"/>
        </w:rPr>
        <w:t>自工程竣工验收合格之日起计算</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24</w:t>
      </w:r>
      <w:r>
        <w:rPr>
          <w:rFonts w:ascii="宋体" w:hAnsi="宋体" w:eastAsia="宋体" w:cs="宋体"/>
          <w:spacing w:val="-51"/>
          <w:sz w:val="24"/>
          <w:szCs w:val="24"/>
          <w:highlight w:val="none"/>
        </w:rPr>
        <w:t xml:space="preserve"> </w:t>
      </w:r>
      <w:r>
        <w:rPr>
          <w:rFonts w:ascii="宋体" w:hAnsi="宋体" w:eastAsia="宋体" w:cs="宋体"/>
          <w:spacing w:val="-3"/>
          <w:sz w:val="24"/>
          <w:szCs w:val="24"/>
          <w:highlight w:val="none"/>
        </w:rPr>
        <w:t>个月。</w:t>
      </w:r>
    </w:p>
    <w:p w14:paraId="7FE0282C">
      <w:pPr>
        <w:spacing w:before="183" w:line="220" w:lineRule="auto"/>
        <w:ind w:left="500"/>
        <w:rPr>
          <w:rFonts w:ascii="宋体" w:hAnsi="宋体" w:eastAsia="宋体" w:cs="宋体"/>
          <w:sz w:val="24"/>
          <w:szCs w:val="24"/>
          <w:highlight w:val="none"/>
        </w:rPr>
      </w:pPr>
      <w:r>
        <w:rPr>
          <w:rFonts w:ascii="宋体" w:hAnsi="宋体" w:eastAsia="宋体" w:cs="宋体"/>
          <w:spacing w:val="-4"/>
          <w:sz w:val="24"/>
          <w:szCs w:val="24"/>
          <w:highlight w:val="none"/>
        </w:rPr>
        <w:t>15.3</w:t>
      </w:r>
      <w:r>
        <w:rPr>
          <w:rFonts w:ascii="宋体" w:hAnsi="宋体" w:eastAsia="宋体" w:cs="宋体"/>
          <w:spacing w:val="-50"/>
          <w:sz w:val="24"/>
          <w:szCs w:val="24"/>
          <w:highlight w:val="none"/>
        </w:rPr>
        <w:t xml:space="preserve"> </w:t>
      </w:r>
      <w:r>
        <w:rPr>
          <w:rFonts w:ascii="宋体" w:hAnsi="宋体" w:eastAsia="宋体" w:cs="宋体"/>
          <w:spacing w:val="-4"/>
          <w:sz w:val="24"/>
          <w:szCs w:val="24"/>
          <w:highlight w:val="none"/>
        </w:rPr>
        <w:t>质量保证金</w:t>
      </w:r>
    </w:p>
    <w:p w14:paraId="55798EBB">
      <w:pPr>
        <w:spacing w:before="179" w:line="359" w:lineRule="auto"/>
        <w:ind w:left="3" w:right="84" w:firstLine="482"/>
        <w:rPr>
          <w:rFonts w:ascii="宋体" w:hAnsi="宋体" w:eastAsia="宋体" w:cs="宋体"/>
          <w:sz w:val="24"/>
          <w:szCs w:val="24"/>
          <w:highlight w:val="none"/>
        </w:rPr>
      </w:pPr>
      <w:r>
        <w:rPr>
          <w:rFonts w:ascii="宋体" w:hAnsi="宋体" w:eastAsia="宋体" w:cs="宋体"/>
          <w:spacing w:val="-3"/>
          <w:sz w:val="24"/>
          <w:szCs w:val="24"/>
          <w:highlight w:val="none"/>
        </w:rPr>
        <w:t>关于是否扣留质量保证金的约定：/。在工程项目竣工前，</w:t>
      </w:r>
      <w:r>
        <w:rPr>
          <w:rFonts w:ascii="宋体" w:hAnsi="宋体" w:eastAsia="宋体" w:cs="宋体"/>
          <w:spacing w:val="-4"/>
          <w:sz w:val="24"/>
          <w:szCs w:val="24"/>
          <w:highlight w:val="none"/>
        </w:rPr>
        <w:t>承包人按专用合同条款第</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3.7</w:t>
      </w:r>
      <w:r>
        <w:rPr>
          <w:rFonts w:ascii="宋体" w:hAnsi="宋体" w:eastAsia="宋体" w:cs="宋体"/>
          <w:spacing w:val="-2"/>
          <w:sz w:val="24"/>
          <w:szCs w:val="24"/>
          <w:highlight w:val="none"/>
        </w:rPr>
        <w:t>条提供履约担保的，发包人不得同时预留工程质量保证金。</w:t>
      </w:r>
    </w:p>
    <w:p w14:paraId="76295329">
      <w:pPr>
        <w:spacing w:before="1" w:line="218"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15.3.1</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承包人提供质量保证金的方式</w:t>
      </w:r>
    </w:p>
    <w:p w14:paraId="4635129E">
      <w:pPr>
        <w:spacing w:before="183" w:line="289" w:lineRule="auto"/>
        <w:ind w:left="2" w:right="92" w:firstLine="485"/>
        <w:rPr>
          <w:rFonts w:ascii="宋体" w:hAnsi="宋体" w:eastAsia="宋体" w:cs="宋体"/>
          <w:sz w:val="24"/>
          <w:szCs w:val="24"/>
          <w:highlight w:val="none"/>
        </w:rPr>
      </w:pPr>
      <w:r>
        <w:rPr>
          <w:rFonts w:ascii="宋体" w:hAnsi="宋体" w:eastAsia="宋体" w:cs="宋体"/>
          <w:spacing w:val="1"/>
          <w:sz w:val="24"/>
          <w:szCs w:val="24"/>
          <w:highlight w:val="none"/>
        </w:rPr>
        <w:t>（1）质量保证金方式：工程款预留、现金转账、担保保函、保证保险、保函（含电子</w:t>
      </w:r>
      <w:r>
        <w:rPr>
          <w:rFonts w:ascii="宋体" w:hAnsi="宋体" w:eastAsia="宋体" w:cs="宋体"/>
          <w:spacing w:val="-11"/>
          <w:sz w:val="24"/>
          <w:szCs w:val="24"/>
          <w:highlight w:val="none"/>
        </w:rPr>
        <w:t>保函）等；</w:t>
      </w:r>
    </w:p>
    <w:p w14:paraId="5C2C1F6F">
      <w:pPr>
        <w:spacing w:before="183" w:line="220" w:lineRule="auto"/>
        <w:ind w:left="488"/>
        <w:rPr>
          <w:rFonts w:ascii="宋体" w:hAnsi="宋体" w:eastAsia="宋体" w:cs="宋体"/>
          <w:sz w:val="24"/>
          <w:szCs w:val="24"/>
          <w:highlight w:val="none"/>
        </w:rPr>
      </w:pPr>
      <w:r>
        <w:rPr>
          <w:rFonts w:ascii="宋体" w:hAnsi="宋体" w:eastAsia="宋体" w:cs="宋体"/>
          <w:spacing w:val="-4"/>
          <w:sz w:val="24"/>
          <w:szCs w:val="24"/>
          <w:highlight w:val="none"/>
        </w:rPr>
        <w:t>（2）质量保证金数额：2%的工程款；</w:t>
      </w:r>
    </w:p>
    <w:p w14:paraId="2A7AA61B">
      <w:pPr>
        <w:spacing w:before="180" w:line="220" w:lineRule="auto"/>
        <w:ind w:left="488"/>
        <w:rPr>
          <w:rFonts w:ascii="宋体" w:hAnsi="宋体" w:eastAsia="宋体" w:cs="宋体"/>
          <w:sz w:val="24"/>
          <w:szCs w:val="24"/>
          <w:highlight w:val="none"/>
        </w:rPr>
      </w:pPr>
      <w:r>
        <w:rPr>
          <w:rFonts w:ascii="宋体" w:hAnsi="宋体" w:eastAsia="宋体" w:cs="宋体"/>
          <w:spacing w:val="-8"/>
          <w:sz w:val="24"/>
          <w:szCs w:val="24"/>
          <w:highlight w:val="none"/>
        </w:rPr>
        <w:t>（3）其他方式</w:t>
      </w:r>
      <w:r>
        <w:rPr>
          <w:rFonts w:ascii="宋体" w:hAnsi="宋体" w:eastAsia="宋体" w:cs="宋体"/>
          <w:spacing w:val="-65"/>
          <w:sz w:val="24"/>
          <w:szCs w:val="24"/>
          <w:highlight w:val="none"/>
        </w:rPr>
        <w:t xml:space="preserve"> </w:t>
      </w:r>
      <w:r>
        <w:rPr>
          <w:rFonts w:ascii="宋体" w:hAnsi="宋体" w:eastAsia="宋体" w:cs="宋体"/>
          <w:spacing w:val="-8"/>
          <w:sz w:val="24"/>
          <w:szCs w:val="24"/>
          <w:highlight w:val="none"/>
        </w:rPr>
        <w:t>:。</w:t>
      </w:r>
    </w:p>
    <w:p w14:paraId="5BB329E4">
      <w:pPr>
        <w:spacing w:before="182" w:line="359" w:lineRule="auto"/>
        <w:ind w:left="3" w:right="86" w:firstLine="479"/>
        <w:rPr>
          <w:rFonts w:ascii="宋体" w:hAnsi="宋体" w:eastAsia="宋体" w:cs="宋体"/>
          <w:sz w:val="24"/>
          <w:szCs w:val="24"/>
          <w:highlight w:val="none"/>
        </w:rPr>
      </w:pPr>
      <w:r>
        <w:rPr>
          <w:rFonts w:ascii="宋体" w:hAnsi="宋体" w:eastAsia="宋体" w:cs="宋体"/>
          <w:spacing w:val="-1"/>
          <w:sz w:val="24"/>
          <w:szCs w:val="24"/>
          <w:highlight w:val="none"/>
        </w:rPr>
        <w:t>质量保证金的具体缴纳方式由合同双方协商</w:t>
      </w:r>
      <w:r>
        <w:rPr>
          <w:rFonts w:ascii="宋体" w:hAnsi="宋体" w:eastAsia="宋体" w:cs="宋体"/>
          <w:spacing w:val="-2"/>
          <w:sz w:val="24"/>
          <w:szCs w:val="24"/>
          <w:highlight w:val="none"/>
        </w:rPr>
        <w:t>确定。但发包方不得强行扣留工程质量保证</w:t>
      </w:r>
      <w:r>
        <w:rPr>
          <w:rFonts w:ascii="宋体" w:hAnsi="宋体" w:eastAsia="宋体" w:cs="宋体"/>
          <w:spacing w:val="-12"/>
          <w:sz w:val="24"/>
          <w:szCs w:val="24"/>
          <w:highlight w:val="none"/>
        </w:rPr>
        <w:t>金。</w:t>
      </w:r>
    </w:p>
    <w:p w14:paraId="6CCBB045">
      <w:pPr>
        <w:spacing w:before="2" w:line="359" w:lineRule="auto"/>
        <w:ind w:left="5" w:right="84" w:firstLine="480"/>
        <w:rPr>
          <w:rFonts w:ascii="宋体" w:hAnsi="宋体" w:eastAsia="宋体" w:cs="宋体"/>
          <w:sz w:val="24"/>
          <w:szCs w:val="24"/>
          <w:highlight w:val="none"/>
        </w:rPr>
      </w:pPr>
      <w:r>
        <w:rPr>
          <w:rFonts w:ascii="宋体" w:hAnsi="宋体" w:eastAsia="宋体" w:cs="宋体"/>
          <w:spacing w:val="-2"/>
          <w:sz w:val="24"/>
          <w:szCs w:val="24"/>
          <w:highlight w:val="none"/>
        </w:rPr>
        <w:t>关于质量保证金的补充约定：工程无质量问题，缺陷责任期满后，承包人书面申请，经</w:t>
      </w:r>
      <w:r>
        <w:rPr>
          <w:rFonts w:ascii="宋体" w:hAnsi="宋体" w:eastAsia="宋体" w:cs="宋体"/>
          <w:spacing w:val="-1"/>
          <w:sz w:val="24"/>
          <w:szCs w:val="24"/>
          <w:highlight w:val="none"/>
        </w:rPr>
        <w:t>发包人审核后，将相应金额的质量保证金本息返还</w:t>
      </w:r>
      <w:r>
        <w:rPr>
          <w:rFonts w:ascii="宋体" w:hAnsi="宋体" w:eastAsia="宋体" w:cs="宋体"/>
          <w:spacing w:val="-2"/>
          <w:sz w:val="24"/>
          <w:szCs w:val="24"/>
          <w:highlight w:val="none"/>
        </w:rPr>
        <w:t>给承包人或解除承包人的担保保函，但并</w:t>
      </w:r>
    </w:p>
    <w:p w14:paraId="329DFA0A">
      <w:pPr>
        <w:spacing w:line="359" w:lineRule="auto"/>
        <w:rPr>
          <w:rFonts w:ascii="宋体" w:hAnsi="宋体" w:eastAsia="宋体" w:cs="宋体"/>
          <w:sz w:val="24"/>
          <w:szCs w:val="24"/>
          <w:highlight w:val="none"/>
        </w:rPr>
        <w:sectPr>
          <w:footerReference r:id="rId53" w:type="default"/>
          <w:pgSz w:w="11907" w:h="16839"/>
          <w:pgMar w:top="1425" w:right="1089" w:bottom="1129" w:left="1183" w:header="0" w:footer="898" w:gutter="0"/>
          <w:cols w:space="720" w:num="1"/>
        </w:sectPr>
      </w:pPr>
    </w:p>
    <w:p w14:paraId="5112583E">
      <w:pPr>
        <w:spacing w:before="47" w:line="220" w:lineRule="auto"/>
        <w:ind w:left="5"/>
        <w:rPr>
          <w:rFonts w:ascii="宋体" w:hAnsi="宋体" w:eastAsia="宋体" w:cs="宋体"/>
          <w:sz w:val="24"/>
          <w:szCs w:val="24"/>
          <w:highlight w:val="none"/>
        </w:rPr>
      </w:pPr>
      <w:r>
        <w:rPr>
          <w:rFonts w:ascii="宋体" w:hAnsi="宋体" w:eastAsia="宋体" w:cs="宋体"/>
          <w:spacing w:val="-3"/>
          <w:sz w:val="24"/>
          <w:szCs w:val="24"/>
          <w:highlight w:val="none"/>
        </w:rPr>
        <w:t>不免除承包人在质保期内的保修责任。</w:t>
      </w:r>
    </w:p>
    <w:p w14:paraId="24524C45">
      <w:pPr>
        <w:spacing w:before="182" w:line="220" w:lineRule="auto"/>
        <w:ind w:left="500"/>
        <w:rPr>
          <w:rFonts w:ascii="宋体" w:hAnsi="宋体" w:eastAsia="宋体" w:cs="宋体"/>
          <w:sz w:val="24"/>
          <w:szCs w:val="24"/>
          <w:highlight w:val="none"/>
        </w:rPr>
      </w:pPr>
      <w:r>
        <w:rPr>
          <w:rFonts w:ascii="宋体" w:hAnsi="宋体" w:eastAsia="宋体" w:cs="宋体"/>
          <w:spacing w:val="-6"/>
          <w:sz w:val="24"/>
          <w:szCs w:val="24"/>
          <w:highlight w:val="none"/>
        </w:rPr>
        <w:t>15.4</w:t>
      </w:r>
      <w:r>
        <w:rPr>
          <w:rFonts w:ascii="宋体" w:hAnsi="宋体" w:eastAsia="宋体" w:cs="宋体"/>
          <w:spacing w:val="-48"/>
          <w:sz w:val="24"/>
          <w:szCs w:val="24"/>
          <w:highlight w:val="none"/>
        </w:rPr>
        <w:t xml:space="preserve"> </w:t>
      </w:r>
      <w:r>
        <w:rPr>
          <w:rFonts w:ascii="宋体" w:hAnsi="宋体" w:eastAsia="宋体" w:cs="宋体"/>
          <w:spacing w:val="-6"/>
          <w:sz w:val="24"/>
          <w:szCs w:val="24"/>
          <w:highlight w:val="none"/>
        </w:rPr>
        <w:t>保修</w:t>
      </w:r>
    </w:p>
    <w:p w14:paraId="29538A52">
      <w:pPr>
        <w:spacing w:before="179"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15.4.1 保修责任</w:t>
      </w:r>
    </w:p>
    <w:p w14:paraId="23193501">
      <w:pPr>
        <w:spacing w:before="182" w:line="220"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工程保修期为： 执行国家现行规定   。</w:t>
      </w:r>
    </w:p>
    <w:p w14:paraId="3D9410BD">
      <w:pPr>
        <w:spacing w:before="179" w:line="220" w:lineRule="auto"/>
        <w:ind w:left="500"/>
        <w:rPr>
          <w:rFonts w:ascii="宋体" w:hAnsi="宋体" w:eastAsia="宋体" w:cs="宋体"/>
          <w:sz w:val="24"/>
          <w:szCs w:val="24"/>
          <w:highlight w:val="none"/>
        </w:rPr>
      </w:pPr>
      <w:r>
        <w:rPr>
          <w:rFonts w:ascii="宋体" w:hAnsi="宋体" w:eastAsia="宋体" w:cs="宋体"/>
          <w:spacing w:val="-4"/>
          <w:sz w:val="24"/>
          <w:szCs w:val="24"/>
          <w:highlight w:val="none"/>
        </w:rPr>
        <w:t>15.4.3</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修复通知</w:t>
      </w:r>
    </w:p>
    <w:p w14:paraId="605879C6">
      <w:pPr>
        <w:spacing w:before="182" w:line="359" w:lineRule="auto"/>
        <w:ind w:firstLine="482"/>
        <w:rPr>
          <w:rFonts w:ascii="宋体" w:hAnsi="宋体" w:eastAsia="宋体" w:cs="宋体"/>
          <w:sz w:val="24"/>
          <w:szCs w:val="24"/>
          <w:highlight w:val="none"/>
        </w:rPr>
      </w:pPr>
      <w:r>
        <w:rPr>
          <w:rFonts w:ascii="宋体" w:hAnsi="宋体" w:eastAsia="宋体" w:cs="宋体"/>
          <w:spacing w:val="-1"/>
          <w:sz w:val="24"/>
          <w:szCs w:val="24"/>
          <w:highlight w:val="none"/>
        </w:rPr>
        <w:t>承包人收到保修通知并到达工程现场的合理时</w:t>
      </w:r>
      <w:r>
        <w:rPr>
          <w:rFonts w:ascii="宋体" w:hAnsi="宋体" w:eastAsia="宋体" w:cs="宋体"/>
          <w:spacing w:val="-2"/>
          <w:sz w:val="24"/>
          <w:szCs w:val="24"/>
          <w:highlight w:val="none"/>
        </w:rPr>
        <w:t>间：发包人可以口头通知承包人并在口头通知后</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48</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小时内书面确认，承包人应在</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2</w:t>
      </w:r>
      <w:r>
        <w:rPr>
          <w:rFonts w:ascii="宋体" w:hAnsi="宋体" w:eastAsia="宋体" w:cs="宋体"/>
          <w:spacing w:val="-3"/>
          <w:sz w:val="24"/>
          <w:szCs w:val="24"/>
          <w:highlight w:val="none"/>
        </w:rPr>
        <w:t>4</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小时期限内到达工程现场并修复缺陷或损坏；紧</w:t>
      </w:r>
      <w:r>
        <w:rPr>
          <w:rFonts w:ascii="宋体" w:hAnsi="宋体" w:eastAsia="宋体" w:cs="宋体"/>
          <w:spacing w:val="-1"/>
          <w:sz w:val="24"/>
          <w:szCs w:val="24"/>
          <w:highlight w:val="none"/>
        </w:rPr>
        <w:t>急情况必须于 12 小时内到达。若承包人未按约定时间达到现场并</w:t>
      </w:r>
      <w:r>
        <w:rPr>
          <w:rFonts w:ascii="宋体" w:hAnsi="宋体" w:eastAsia="宋体" w:cs="宋体"/>
          <w:spacing w:val="-2"/>
          <w:sz w:val="24"/>
          <w:szCs w:val="24"/>
          <w:highlight w:val="none"/>
        </w:rPr>
        <w:t>修复缺陷或损坏，发包人</w:t>
      </w:r>
      <w:r>
        <w:rPr>
          <w:rFonts w:ascii="宋体" w:hAnsi="宋体" w:eastAsia="宋体" w:cs="宋体"/>
          <w:spacing w:val="-1"/>
          <w:sz w:val="24"/>
          <w:szCs w:val="24"/>
          <w:highlight w:val="none"/>
        </w:rPr>
        <w:t>将承包人违约事实形成证据，记不良行为记录，按经主管部门备</w:t>
      </w:r>
      <w:r>
        <w:rPr>
          <w:rFonts w:ascii="宋体" w:hAnsi="宋体" w:eastAsia="宋体" w:cs="宋体"/>
          <w:spacing w:val="-2"/>
          <w:sz w:val="24"/>
          <w:szCs w:val="24"/>
          <w:highlight w:val="none"/>
        </w:rPr>
        <w:t>案的扣分标准予以扣分，并</w:t>
      </w:r>
      <w:r>
        <w:rPr>
          <w:rFonts w:ascii="宋体" w:hAnsi="宋体" w:eastAsia="宋体" w:cs="宋体"/>
          <w:spacing w:val="-1"/>
          <w:sz w:val="24"/>
          <w:szCs w:val="24"/>
          <w:highlight w:val="none"/>
        </w:rPr>
        <w:t>将不良记录处理信息推送相关部门，按有关规定落实不良行为信</w:t>
      </w:r>
      <w:r>
        <w:rPr>
          <w:rFonts w:ascii="宋体" w:hAnsi="宋体" w:eastAsia="宋体" w:cs="宋体"/>
          <w:spacing w:val="-2"/>
          <w:sz w:val="24"/>
          <w:szCs w:val="24"/>
          <w:highlight w:val="none"/>
        </w:rPr>
        <w:t>息披露期限。属承包人原因</w:t>
      </w:r>
      <w:r>
        <w:rPr>
          <w:rFonts w:ascii="宋体" w:hAnsi="宋体" w:eastAsia="宋体" w:cs="宋体"/>
          <w:spacing w:val="-1"/>
          <w:sz w:val="24"/>
          <w:szCs w:val="24"/>
          <w:highlight w:val="none"/>
        </w:rPr>
        <w:t>造成的缺陷或损坏的，发包人有权自行或委托第三方进行修复缺</w:t>
      </w:r>
      <w:r>
        <w:rPr>
          <w:rFonts w:ascii="宋体" w:hAnsi="宋体" w:eastAsia="宋体" w:cs="宋体"/>
          <w:spacing w:val="-2"/>
          <w:sz w:val="24"/>
          <w:szCs w:val="24"/>
          <w:highlight w:val="none"/>
        </w:rPr>
        <w:t>陷或损坏，因此产生的维修</w:t>
      </w:r>
      <w:r>
        <w:rPr>
          <w:rFonts w:ascii="宋体" w:hAnsi="宋体" w:eastAsia="宋体" w:cs="宋体"/>
          <w:spacing w:val="-1"/>
          <w:sz w:val="24"/>
          <w:szCs w:val="24"/>
          <w:highlight w:val="none"/>
        </w:rPr>
        <w:t>费用或损失经有资质的审核部门审核确认后，发包人有权</w:t>
      </w:r>
      <w:r>
        <w:rPr>
          <w:rFonts w:ascii="宋体" w:hAnsi="宋体" w:eastAsia="宋体" w:cs="宋体"/>
          <w:spacing w:val="-2"/>
          <w:sz w:val="24"/>
          <w:szCs w:val="24"/>
          <w:highlight w:val="none"/>
        </w:rPr>
        <w:t>在未经承包人同意的情况下自行从</w:t>
      </w:r>
      <w:r>
        <w:rPr>
          <w:rFonts w:ascii="宋体" w:hAnsi="宋体" w:eastAsia="宋体" w:cs="宋体"/>
          <w:spacing w:val="-1"/>
          <w:sz w:val="24"/>
          <w:szCs w:val="24"/>
          <w:highlight w:val="none"/>
        </w:rPr>
        <w:t>结算款或质量保证金中扣除该修复缺陷或损坏所产生的费用；价</w:t>
      </w:r>
      <w:r>
        <w:rPr>
          <w:rFonts w:ascii="宋体" w:hAnsi="宋体" w:eastAsia="宋体" w:cs="宋体"/>
          <w:spacing w:val="-2"/>
          <w:sz w:val="24"/>
          <w:szCs w:val="24"/>
          <w:highlight w:val="none"/>
        </w:rPr>
        <w:t>款已结清的，承包人须在接到发包人书面通知后将审核确认的金额转入发包人指定的账户。</w:t>
      </w:r>
    </w:p>
    <w:p w14:paraId="236C6675">
      <w:pPr>
        <w:spacing w:before="1" w:line="224" w:lineRule="auto"/>
        <w:ind w:left="500"/>
        <w:rPr>
          <w:rFonts w:ascii="宋体" w:hAnsi="宋体" w:eastAsia="宋体" w:cs="宋体"/>
          <w:sz w:val="24"/>
          <w:szCs w:val="24"/>
          <w:highlight w:val="none"/>
        </w:rPr>
      </w:pPr>
      <w:r>
        <w:rPr>
          <w:rFonts w:ascii="宋体" w:hAnsi="宋体" w:eastAsia="宋体" w:cs="宋体"/>
          <w:spacing w:val="-6"/>
          <w:sz w:val="24"/>
          <w:szCs w:val="24"/>
          <w:highlight w:val="none"/>
        </w:rPr>
        <w:t>16.违约</w:t>
      </w:r>
    </w:p>
    <w:p w14:paraId="5A09AAF6">
      <w:pPr>
        <w:spacing w:before="177" w:line="220" w:lineRule="auto"/>
        <w:ind w:left="500"/>
        <w:rPr>
          <w:rFonts w:ascii="宋体" w:hAnsi="宋体" w:eastAsia="宋体" w:cs="宋体"/>
          <w:sz w:val="24"/>
          <w:szCs w:val="24"/>
          <w:highlight w:val="none"/>
        </w:rPr>
      </w:pPr>
      <w:r>
        <w:rPr>
          <w:rFonts w:ascii="宋体" w:hAnsi="宋体" w:eastAsia="宋体" w:cs="宋体"/>
          <w:spacing w:val="-5"/>
          <w:sz w:val="24"/>
          <w:szCs w:val="24"/>
          <w:highlight w:val="none"/>
        </w:rPr>
        <w:t>16.1</w:t>
      </w:r>
      <w:r>
        <w:rPr>
          <w:rFonts w:ascii="宋体" w:hAnsi="宋体" w:eastAsia="宋体" w:cs="宋体"/>
          <w:spacing w:val="-41"/>
          <w:sz w:val="24"/>
          <w:szCs w:val="24"/>
          <w:highlight w:val="none"/>
        </w:rPr>
        <w:t xml:space="preserve"> </w:t>
      </w:r>
      <w:r>
        <w:rPr>
          <w:rFonts w:ascii="宋体" w:hAnsi="宋体" w:eastAsia="宋体" w:cs="宋体"/>
          <w:spacing w:val="-5"/>
          <w:sz w:val="24"/>
          <w:szCs w:val="24"/>
          <w:highlight w:val="none"/>
        </w:rPr>
        <w:t>发包人违约</w:t>
      </w:r>
    </w:p>
    <w:p w14:paraId="4B8A7C3A">
      <w:pPr>
        <w:spacing w:before="182"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16.1.1</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发包人违约的情形</w:t>
      </w:r>
    </w:p>
    <w:p w14:paraId="4EC4F22E">
      <w:pPr>
        <w:spacing w:before="180" w:line="220"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发包人违约的其他情形：/。</w:t>
      </w:r>
    </w:p>
    <w:p w14:paraId="2AB05F04">
      <w:pPr>
        <w:spacing w:before="181" w:line="220"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16.1.2</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发包人违约的责任</w:t>
      </w:r>
    </w:p>
    <w:p w14:paraId="74FA7596">
      <w:pPr>
        <w:spacing w:before="179" w:line="220" w:lineRule="auto"/>
        <w:ind w:left="486"/>
        <w:rPr>
          <w:rFonts w:ascii="宋体" w:hAnsi="宋体" w:eastAsia="宋体" w:cs="宋体"/>
          <w:sz w:val="24"/>
          <w:szCs w:val="24"/>
          <w:highlight w:val="none"/>
        </w:rPr>
      </w:pPr>
      <w:r>
        <w:rPr>
          <w:rFonts w:ascii="宋体" w:hAnsi="宋体" w:eastAsia="宋体" w:cs="宋体"/>
          <w:spacing w:val="-4"/>
          <w:sz w:val="24"/>
          <w:szCs w:val="24"/>
          <w:highlight w:val="none"/>
        </w:rPr>
        <w:t>发包人违约责任的承担方式和计算方法：</w:t>
      </w:r>
    </w:p>
    <w:p w14:paraId="2F431148">
      <w:pPr>
        <w:spacing w:before="183" w:line="289" w:lineRule="auto"/>
        <w:ind w:left="2" w:firstLine="485"/>
        <w:rPr>
          <w:rFonts w:ascii="宋体" w:hAnsi="宋体" w:eastAsia="宋体" w:cs="宋体"/>
          <w:sz w:val="24"/>
          <w:szCs w:val="24"/>
          <w:highlight w:val="none"/>
        </w:rPr>
      </w:pPr>
      <w:r>
        <w:rPr>
          <w:rFonts w:ascii="宋体" w:hAnsi="宋体" w:eastAsia="宋体" w:cs="宋体"/>
          <w:spacing w:val="-1"/>
          <w:sz w:val="24"/>
          <w:szCs w:val="24"/>
          <w:highlight w:val="none"/>
        </w:rPr>
        <w:t xml:space="preserve">（1）因发包人原因未能在计划开工日期前 </w:t>
      </w:r>
      <w:r>
        <w:rPr>
          <w:rFonts w:ascii="宋体" w:hAnsi="宋体" w:eastAsia="宋体" w:cs="宋体"/>
          <w:spacing w:val="-2"/>
          <w:sz w:val="24"/>
          <w:szCs w:val="24"/>
          <w:highlight w:val="none"/>
        </w:rPr>
        <w:t>7 天内下达开工通知的违约责任：计划工期</w:t>
      </w:r>
      <w:r>
        <w:rPr>
          <w:rFonts w:ascii="宋体" w:hAnsi="宋体" w:eastAsia="宋体" w:cs="宋体"/>
          <w:spacing w:val="-11"/>
          <w:sz w:val="24"/>
          <w:szCs w:val="24"/>
          <w:highlight w:val="none"/>
        </w:rPr>
        <w:t>顺延。</w:t>
      </w:r>
    </w:p>
    <w:p w14:paraId="3208614C">
      <w:pPr>
        <w:spacing w:before="182" w:line="218"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（2）因发包人原因未能按合同约定支付合</w:t>
      </w:r>
      <w:r>
        <w:rPr>
          <w:rFonts w:ascii="宋体" w:hAnsi="宋体" w:eastAsia="宋体" w:cs="宋体"/>
          <w:spacing w:val="-2"/>
          <w:sz w:val="24"/>
          <w:szCs w:val="24"/>
          <w:highlight w:val="none"/>
        </w:rPr>
        <w:t>同价款的违约责任：双方协商解决。</w:t>
      </w:r>
    </w:p>
    <w:p w14:paraId="11A4FACF">
      <w:pPr>
        <w:spacing w:before="182" w:line="290" w:lineRule="auto"/>
        <w:ind w:left="2" w:right="11" w:firstLine="485"/>
        <w:rPr>
          <w:rFonts w:ascii="宋体" w:hAnsi="宋体" w:eastAsia="宋体" w:cs="宋体"/>
          <w:sz w:val="24"/>
          <w:szCs w:val="24"/>
          <w:highlight w:val="none"/>
        </w:rPr>
      </w:pPr>
      <w:r>
        <w:rPr>
          <w:rFonts w:ascii="宋体" w:hAnsi="宋体" w:eastAsia="宋体" w:cs="宋体"/>
          <w:spacing w:val="-2"/>
          <w:sz w:val="24"/>
          <w:szCs w:val="24"/>
          <w:highlight w:val="none"/>
        </w:rPr>
        <w:t>（3）发包人违反第 10.1 款〔变更的范围〕第（2）项约定，自行实施被取消的工作或</w:t>
      </w:r>
      <w:r>
        <w:rPr>
          <w:rFonts w:ascii="宋体" w:hAnsi="宋体" w:eastAsia="宋体" w:cs="宋体"/>
          <w:spacing w:val="-3"/>
          <w:sz w:val="24"/>
          <w:szCs w:val="24"/>
          <w:highlight w:val="none"/>
        </w:rPr>
        <w:t>转由他人实施的违约责任：双方协商解决。</w:t>
      </w:r>
    </w:p>
    <w:p w14:paraId="0ACF29D5">
      <w:pPr>
        <w:spacing w:before="181" w:line="289" w:lineRule="auto"/>
        <w:ind w:left="20" w:right="18" w:firstLine="468"/>
        <w:rPr>
          <w:rFonts w:ascii="宋体" w:hAnsi="宋体" w:eastAsia="宋体" w:cs="宋体"/>
          <w:sz w:val="24"/>
          <w:szCs w:val="24"/>
          <w:highlight w:val="none"/>
        </w:rPr>
      </w:pPr>
      <w:r>
        <w:rPr>
          <w:rFonts w:ascii="宋体" w:hAnsi="宋体" w:eastAsia="宋体" w:cs="宋体"/>
          <w:spacing w:val="1"/>
          <w:sz w:val="24"/>
          <w:szCs w:val="24"/>
          <w:highlight w:val="none"/>
        </w:rPr>
        <w:t>（4）发包人提供的材料、工程设备的规格、数量或质量不符合合同约定，或发包人原</w:t>
      </w:r>
      <w:r>
        <w:rPr>
          <w:rFonts w:ascii="宋体" w:hAnsi="宋体" w:eastAsia="宋体" w:cs="宋体"/>
          <w:spacing w:val="-2"/>
          <w:sz w:val="24"/>
          <w:szCs w:val="24"/>
          <w:highlight w:val="none"/>
        </w:rPr>
        <w:t>因导致交货日期延误或交货地点变更等情况的违约责任：双方协商解决。</w:t>
      </w:r>
    </w:p>
    <w:p w14:paraId="2EA63E6C">
      <w:pPr>
        <w:spacing w:before="181" w:line="220"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（5）因发包人违反合同约定造成暂停施工的违约责任：双方协商解决。</w:t>
      </w:r>
    </w:p>
    <w:p w14:paraId="5EB22FB0">
      <w:pPr>
        <w:spacing w:before="182" w:line="289" w:lineRule="auto"/>
        <w:ind w:left="10" w:right="20" w:firstLine="478"/>
        <w:rPr>
          <w:rFonts w:ascii="宋体" w:hAnsi="宋体" w:eastAsia="宋体" w:cs="宋体"/>
          <w:sz w:val="24"/>
          <w:szCs w:val="24"/>
          <w:highlight w:val="none"/>
        </w:rPr>
      </w:pPr>
      <w:r>
        <w:rPr>
          <w:rFonts w:ascii="宋体" w:hAnsi="宋体" w:eastAsia="宋体" w:cs="宋体"/>
          <w:spacing w:val="1"/>
          <w:sz w:val="24"/>
          <w:szCs w:val="24"/>
          <w:highlight w:val="none"/>
        </w:rPr>
        <w:t>（6）发包人无正当理由没有在约定期限内发出复工指示，导致承包人无法复工的违约</w:t>
      </w:r>
      <w:r>
        <w:rPr>
          <w:rFonts w:ascii="宋体" w:hAnsi="宋体" w:eastAsia="宋体" w:cs="宋体"/>
          <w:spacing w:val="-5"/>
          <w:sz w:val="24"/>
          <w:szCs w:val="24"/>
          <w:highlight w:val="none"/>
        </w:rPr>
        <w:t>责任：双方协商解决。</w:t>
      </w:r>
    </w:p>
    <w:p w14:paraId="042D83A9">
      <w:pPr>
        <w:spacing w:line="289" w:lineRule="auto"/>
        <w:rPr>
          <w:rFonts w:ascii="宋体" w:hAnsi="宋体" w:eastAsia="宋体" w:cs="宋体"/>
          <w:sz w:val="24"/>
          <w:szCs w:val="24"/>
          <w:highlight w:val="none"/>
        </w:rPr>
        <w:sectPr>
          <w:footerReference r:id="rId54" w:type="default"/>
          <w:pgSz w:w="11907" w:h="16839"/>
          <w:pgMar w:top="1425" w:right="1172" w:bottom="1129" w:left="1183" w:header="0" w:footer="898" w:gutter="0"/>
          <w:cols w:space="720" w:num="1"/>
        </w:sectPr>
      </w:pPr>
    </w:p>
    <w:p w14:paraId="26DD8834">
      <w:pPr>
        <w:spacing w:before="48" w:line="220"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（7）其他：/。</w:t>
      </w:r>
    </w:p>
    <w:p w14:paraId="6321195D">
      <w:pPr>
        <w:spacing w:before="181" w:line="220"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16.1.3</w:t>
      </w:r>
      <w:r>
        <w:rPr>
          <w:rFonts w:ascii="宋体" w:hAnsi="宋体" w:eastAsia="宋体" w:cs="宋体"/>
          <w:spacing w:val="-22"/>
          <w:sz w:val="24"/>
          <w:szCs w:val="24"/>
          <w:highlight w:val="none"/>
        </w:rPr>
        <w:t xml:space="preserve"> </w:t>
      </w:r>
      <w:r>
        <w:rPr>
          <w:rFonts w:ascii="宋体" w:hAnsi="宋体" w:eastAsia="宋体" w:cs="宋体"/>
          <w:spacing w:val="-4"/>
          <w:sz w:val="24"/>
          <w:szCs w:val="24"/>
          <w:highlight w:val="none"/>
        </w:rPr>
        <w:t>因发包人违约解除合同</w:t>
      </w:r>
    </w:p>
    <w:p w14:paraId="39BCF130">
      <w:pPr>
        <w:spacing w:before="180" w:line="359" w:lineRule="auto"/>
        <w:ind w:left="5" w:right="2" w:firstLine="474"/>
        <w:rPr>
          <w:rFonts w:ascii="宋体" w:hAnsi="宋体" w:eastAsia="宋体" w:cs="宋体"/>
          <w:sz w:val="24"/>
          <w:szCs w:val="24"/>
          <w:highlight w:val="none"/>
        </w:rPr>
      </w:pPr>
      <w:r>
        <w:rPr>
          <w:rFonts w:ascii="宋体" w:hAnsi="宋体" w:eastAsia="宋体" w:cs="宋体"/>
          <w:spacing w:val="-3"/>
          <w:sz w:val="24"/>
          <w:szCs w:val="24"/>
          <w:highlight w:val="none"/>
        </w:rPr>
        <w:t>承包人按</w:t>
      </w:r>
      <w:r>
        <w:rPr>
          <w:rFonts w:ascii="宋体" w:hAnsi="宋体" w:eastAsia="宋体" w:cs="宋体"/>
          <w:spacing w:val="-29"/>
          <w:sz w:val="24"/>
          <w:szCs w:val="24"/>
          <w:highlight w:val="none"/>
        </w:rPr>
        <w:t xml:space="preserve"> </w:t>
      </w:r>
      <w:r>
        <w:rPr>
          <w:rFonts w:ascii="宋体" w:hAnsi="宋体" w:eastAsia="宋体" w:cs="宋体"/>
          <w:spacing w:val="-3"/>
          <w:sz w:val="24"/>
          <w:szCs w:val="24"/>
          <w:highlight w:val="none"/>
        </w:rPr>
        <w:t>16.1.1</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项〔发包人违约的情形〕约定暂停施工满</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90</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天后发包人仍不纠正其违</w:t>
      </w:r>
      <w:r>
        <w:rPr>
          <w:rFonts w:ascii="宋体" w:hAnsi="宋体" w:eastAsia="宋体" w:cs="宋体"/>
          <w:spacing w:val="-2"/>
          <w:sz w:val="24"/>
          <w:szCs w:val="24"/>
          <w:highlight w:val="none"/>
        </w:rPr>
        <w:t>约行为并致使合同目的不能实现的，承包人有权解除合同。</w:t>
      </w:r>
    </w:p>
    <w:p w14:paraId="0705D9B6">
      <w:pPr>
        <w:spacing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16.2</w:t>
      </w:r>
      <w:r>
        <w:rPr>
          <w:rFonts w:ascii="宋体" w:hAnsi="宋体" w:eastAsia="宋体" w:cs="宋体"/>
          <w:spacing w:val="-51"/>
          <w:sz w:val="24"/>
          <w:szCs w:val="24"/>
          <w:highlight w:val="none"/>
        </w:rPr>
        <w:t xml:space="preserve"> </w:t>
      </w:r>
      <w:r>
        <w:rPr>
          <w:rFonts w:ascii="宋体" w:hAnsi="宋体" w:eastAsia="宋体" w:cs="宋体"/>
          <w:spacing w:val="-4"/>
          <w:sz w:val="24"/>
          <w:szCs w:val="24"/>
          <w:highlight w:val="none"/>
        </w:rPr>
        <w:t>承包人违约</w:t>
      </w:r>
    </w:p>
    <w:p w14:paraId="3301F810">
      <w:pPr>
        <w:spacing w:before="182"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16.2.1</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承包人违约的情形</w:t>
      </w:r>
    </w:p>
    <w:p w14:paraId="78D4EC8F">
      <w:pPr>
        <w:spacing w:before="181" w:line="359" w:lineRule="auto"/>
        <w:ind w:left="5" w:right="3" w:firstLine="474"/>
        <w:rPr>
          <w:rFonts w:ascii="宋体" w:hAnsi="宋体" w:eastAsia="宋体" w:cs="宋体"/>
          <w:sz w:val="24"/>
          <w:szCs w:val="24"/>
          <w:highlight w:val="none"/>
        </w:rPr>
      </w:pPr>
      <w:r>
        <w:rPr>
          <w:rFonts w:ascii="宋体" w:hAnsi="宋体" w:eastAsia="宋体" w:cs="宋体"/>
          <w:spacing w:val="-1"/>
          <w:sz w:val="24"/>
          <w:szCs w:val="24"/>
          <w:highlight w:val="none"/>
        </w:rPr>
        <w:t>承包人违约的其他情形：本项目合同专用条款约定</w:t>
      </w:r>
      <w:r>
        <w:rPr>
          <w:rFonts w:ascii="宋体" w:hAnsi="宋体" w:eastAsia="宋体" w:cs="宋体"/>
          <w:spacing w:val="-2"/>
          <w:sz w:val="24"/>
          <w:szCs w:val="24"/>
          <w:highlight w:val="none"/>
        </w:rPr>
        <w:t>的情形，以及违反地方政府及相关主</w:t>
      </w:r>
      <w:r>
        <w:rPr>
          <w:rFonts w:ascii="宋体" w:hAnsi="宋体" w:eastAsia="宋体" w:cs="宋体"/>
          <w:spacing w:val="-4"/>
          <w:sz w:val="24"/>
          <w:szCs w:val="24"/>
          <w:highlight w:val="none"/>
        </w:rPr>
        <w:t>管部门有关文件规定的情形。</w:t>
      </w:r>
    </w:p>
    <w:p w14:paraId="5709E5BC">
      <w:pPr>
        <w:spacing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16.2.2</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承包人违约的责任</w:t>
      </w:r>
    </w:p>
    <w:p w14:paraId="5E0697A6">
      <w:pPr>
        <w:spacing w:before="183" w:line="359" w:lineRule="auto"/>
        <w:ind w:left="5" w:right="5" w:firstLine="474"/>
        <w:rPr>
          <w:rFonts w:ascii="宋体" w:hAnsi="宋体" w:eastAsia="宋体" w:cs="宋体"/>
          <w:sz w:val="24"/>
          <w:szCs w:val="24"/>
          <w:highlight w:val="none"/>
        </w:rPr>
      </w:pPr>
      <w:r>
        <w:rPr>
          <w:rFonts w:ascii="宋体" w:hAnsi="宋体" w:eastAsia="宋体" w:cs="宋体"/>
          <w:spacing w:val="-1"/>
          <w:sz w:val="24"/>
          <w:szCs w:val="24"/>
          <w:highlight w:val="none"/>
        </w:rPr>
        <w:t>承包人违约责任的承担方式和计算方法：执行</w:t>
      </w:r>
      <w:r>
        <w:rPr>
          <w:rFonts w:ascii="宋体" w:hAnsi="宋体" w:eastAsia="宋体" w:cs="宋体"/>
          <w:spacing w:val="-2"/>
          <w:sz w:val="24"/>
          <w:szCs w:val="24"/>
          <w:highlight w:val="none"/>
        </w:rPr>
        <w:t>本项目合同条款及相关法律法规的有关规</w:t>
      </w:r>
      <w:r>
        <w:rPr>
          <w:rFonts w:ascii="宋体" w:hAnsi="宋体" w:eastAsia="宋体" w:cs="宋体"/>
          <w:spacing w:val="-13"/>
          <w:sz w:val="24"/>
          <w:szCs w:val="24"/>
          <w:highlight w:val="none"/>
        </w:rPr>
        <w:t>定。</w:t>
      </w:r>
    </w:p>
    <w:p w14:paraId="31C5E23E">
      <w:pPr>
        <w:spacing w:before="1"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16.2.3</w:t>
      </w:r>
      <w:r>
        <w:rPr>
          <w:rFonts w:ascii="宋体" w:hAnsi="宋体" w:eastAsia="宋体" w:cs="宋体"/>
          <w:spacing w:val="-22"/>
          <w:sz w:val="24"/>
          <w:szCs w:val="24"/>
          <w:highlight w:val="none"/>
        </w:rPr>
        <w:t xml:space="preserve"> </w:t>
      </w:r>
      <w:r>
        <w:rPr>
          <w:rFonts w:ascii="宋体" w:hAnsi="宋体" w:eastAsia="宋体" w:cs="宋体"/>
          <w:spacing w:val="-4"/>
          <w:sz w:val="24"/>
          <w:szCs w:val="24"/>
          <w:highlight w:val="none"/>
        </w:rPr>
        <w:t>因承包人违约解除合同</w:t>
      </w:r>
    </w:p>
    <w:p w14:paraId="2A4B64B7">
      <w:pPr>
        <w:spacing w:before="179"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关于承包人违约解除合同的特别约定：执行通用条款。</w:t>
      </w:r>
    </w:p>
    <w:p w14:paraId="37471488">
      <w:pPr>
        <w:spacing w:before="185" w:line="359" w:lineRule="auto"/>
        <w:ind w:left="13" w:right="3" w:firstLine="471"/>
        <w:rPr>
          <w:rFonts w:ascii="宋体" w:hAnsi="宋体" w:eastAsia="宋体" w:cs="宋体"/>
          <w:sz w:val="24"/>
          <w:szCs w:val="24"/>
          <w:highlight w:val="none"/>
        </w:rPr>
      </w:pPr>
      <w:r>
        <w:rPr>
          <w:rFonts w:ascii="宋体" w:hAnsi="宋体" w:eastAsia="宋体" w:cs="宋体"/>
          <w:spacing w:val="-2"/>
          <w:sz w:val="24"/>
          <w:szCs w:val="24"/>
          <w:highlight w:val="none"/>
        </w:rPr>
        <w:t>发包人继续使用承包人在施工现场的材料、设备、临时工程、承包人文件和由承包人或</w:t>
      </w:r>
      <w:r>
        <w:rPr>
          <w:rFonts w:ascii="宋体" w:hAnsi="宋体" w:eastAsia="宋体" w:cs="宋体"/>
          <w:spacing w:val="-6"/>
          <w:sz w:val="24"/>
          <w:szCs w:val="24"/>
          <w:highlight w:val="none"/>
        </w:rPr>
        <w:t>以其名义编制的其他文件的费用承担方式：除材料、设备双方另行</w:t>
      </w:r>
      <w:r>
        <w:rPr>
          <w:rFonts w:hint="eastAsia" w:ascii="宋体" w:hAnsi="宋体" w:eastAsia="宋体" w:cs="宋体"/>
          <w:spacing w:val="-6"/>
          <w:sz w:val="24"/>
          <w:szCs w:val="24"/>
          <w:highlight w:val="none"/>
          <w:lang w:eastAsia="zh-CN"/>
        </w:rPr>
        <w:t>协议</w:t>
      </w:r>
      <w:r>
        <w:rPr>
          <w:rFonts w:ascii="宋体" w:hAnsi="宋体" w:eastAsia="宋体" w:cs="宋体"/>
          <w:spacing w:val="-6"/>
          <w:sz w:val="24"/>
          <w:szCs w:val="24"/>
          <w:highlight w:val="none"/>
        </w:rPr>
        <w:t>外，</w:t>
      </w:r>
      <w:r>
        <w:rPr>
          <w:rFonts w:ascii="宋体" w:hAnsi="宋体" w:eastAsia="宋体" w:cs="宋体"/>
          <w:spacing w:val="53"/>
          <w:sz w:val="24"/>
          <w:szCs w:val="24"/>
          <w:highlight w:val="none"/>
        </w:rPr>
        <w:t xml:space="preserve"> </w:t>
      </w:r>
      <w:r>
        <w:rPr>
          <w:rFonts w:ascii="宋体" w:hAnsi="宋体" w:eastAsia="宋体" w:cs="宋体"/>
          <w:spacing w:val="-6"/>
          <w:sz w:val="24"/>
          <w:szCs w:val="24"/>
          <w:highlight w:val="none"/>
        </w:rPr>
        <w:t>其余的由发包人免</w:t>
      </w:r>
      <w:r>
        <w:rPr>
          <w:rFonts w:ascii="宋体" w:hAnsi="宋体" w:eastAsia="宋体" w:cs="宋体"/>
          <w:spacing w:val="-11"/>
          <w:sz w:val="24"/>
          <w:szCs w:val="24"/>
          <w:highlight w:val="none"/>
        </w:rPr>
        <w:t>费使用。</w:t>
      </w:r>
    </w:p>
    <w:p w14:paraId="4F899615">
      <w:pPr>
        <w:spacing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17.不可抗力</w:t>
      </w:r>
    </w:p>
    <w:p w14:paraId="0C8FB7D5">
      <w:pPr>
        <w:spacing w:before="180" w:line="220"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17.1</w:t>
      </w:r>
      <w:r>
        <w:rPr>
          <w:rFonts w:ascii="宋体" w:hAnsi="宋体" w:eastAsia="宋体" w:cs="宋体"/>
          <w:spacing w:val="-43"/>
          <w:sz w:val="24"/>
          <w:szCs w:val="24"/>
          <w:highlight w:val="none"/>
        </w:rPr>
        <w:t xml:space="preserve"> </w:t>
      </w:r>
      <w:r>
        <w:rPr>
          <w:rFonts w:ascii="宋体" w:hAnsi="宋体" w:eastAsia="宋体" w:cs="宋体"/>
          <w:spacing w:val="-4"/>
          <w:sz w:val="24"/>
          <w:szCs w:val="24"/>
          <w:highlight w:val="none"/>
        </w:rPr>
        <w:t>不可抗力的确认</w:t>
      </w:r>
    </w:p>
    <w:p w14:paraId="0933F0C5">
      <w:pPr>
        <w:spacing w:before="183" w:line="359" w:lineRule="auto"/>
        <w:ind w:firstLine="494"/>
        <w:rPr>
          <w:rFonts w:ascii="宋体" w:hAnsi="宋体" w:eastAsia="宋体" w:cs="宋体"/>
          <w:sz w:val="24"/>
          <w:szCs w:val="24"/>
          <w:highlight w:val="none"/>
        </w:rPr>
      </w:pPr>
      <w:r>
        <w:rPr>
          <w:rFonts w:ascii="宋体" w:hAnsi="宋体" w:eastAsia="宋体" w:cs="宋体"/>
          <w:spacing w:val="1"/>
          <w:sz w:val="24"/>
          <w:szCs w:val="24"/>
          <w:highlight w:val="none"/>
        </w:rPr>
        <w:t>除通用合同条款约定的不可抗力事件之外，视为不可抗</w:t>
      </w:r>
      <w:r>
        <w:rPr>
          <w:rFonts w:ascii="宋体" w:hAnsi="宋体" w:eastAsia="宋体" w:cs="宋体"/>
          <w:sz w:val="24"/>
          <w:szCs w:val="24"/>
          <w:highlight w:val="none"/>
        </w:rPr>
        <w:t>力的其他情形：⑴</w:t>
      </w:r>
      <w:r>
        <w:rPr>
          <w:rFonts w:ascii="宋体" w:hAnsi="宋体" w:eastAsia="宋体" w:cs="宋体"/>
          <w:spacing w:val="-89"/>
          <w:sz w:val="24"/>
          <w:szCs w:val="24"/>
          <w:highlight w:val="none"/>
        </w:rPr>
        <w:t xml:space="preserve"> </w:t>
      </w:r>
      <w:r>
        <w:rPr>
          <w:rFonts w:ascii="宋体" w:hAnsi="宋体" w:eastAsia="宋体" w:cs="宋体"/>
          <w:sz w:val="24"/>
          <w:szCs w:val="24"/>
          <w:highlight w:val="none"/>
        </w:rPr>
        <w:t>.六安市周边</w:t>
      </w:r>
      <w:r>
        <w:rPr>
          <w:rFonts w:ascii="宋体" w:hAnsi="宋体" w:eastAsia="宋体" w:cs="宋体"/>
          <w:spacing w:val="-4"/>
          <w:sz w:val="24"/>
          <w:szCs w:val="24"/>
          <w:highlight w:val="none"/>
        </w:rPr>
        <w:t>地区发生</w:t>
      </w:r>
      <w:r>
        <w:rPr>
          <w:rFonts w:ascii="宋体" w:hAnsi="宋体" w:eastAsia="宋体" w:cs="宋体"/>
          <w:spacing w:val="-32"/>
          <w:sz w:val="24"/>
          <w:szCs w:val="24"/>
          <w:highlight w:val="none"/>
        </w:rPr>
        <w:t xml:space="preserve"> </w:t>
      </w:r>
      <w:r>
        <w:rPr>
          <w:rFonts w:ascii="宋体" w:hAnsi="宋体" w:eastAsia="宋体" w:cs="宋体"/>
          <w:spacing w:val="-4"/>
          <w:sz w:val="24"/>
          <w:szCs w:val="24"/>
          <w:highlight w:val="none"/>
        </w:rPr>
        <w:t>7</w:t>
      </w:r>
      <w:r>
        <w:rPr>
          <w:rFonts w:ascii="宋体" w:hAnsi="宋体" w:eastAsia="宋体" w:cs="宋体"/>
          <w:spacing w:val="-35"/>
          <w:sz w:val="24"/>
          <w:szCs w:val="24"/>
          <w:highlight w:val="none"/>
        </w:rPr>
        <w:t xml:space="preserve"> </w:t>
      </w:r>
      <w:r>
        <w:rPr>
          <w:rFonts w:ascii="宋体" w:hAnsi="宋体" w:eastAsia="宋体" w:cs="宋体"/>
          <w:spacing w:val="-4"/>
          <w:sz w:val="24"/>
          <w:szCs w:val="24"/>
          <w:highlight w:val="none"/>
        </w:rPr>
        <w:t>级以上的地震；⑵.六安市区持续 1</w:t>
      </w:r>
      <w:r>
        <w:rPr>
          <w:rFonts w:ascii="宋体" w:hAnsi="宋体" w:eastAsia="宋体" w:cs="宋体"/>
          <w:spacing w:val="-34"/>
          <w:sz w:val="24"/>
          <w:szCs w:val="24"/>
          <w:highlight w:val="none"/>
        </w:rPr>
        <w:t xml:space="preserve"> </w:t>
      </w:r>
      <w:r>
        <w:rPr>
          <w:rFonts w:ascii="宋体" w:hAnsi="宋体" w:eastAsia="宋体" w:cs="宋体"/>
          <w:spacing w:val="-4"/>
          <w:sz w:val="24"/>
          <w:szCs w:val="24"/>
          <w:highlight w:val="none"/>
        </w:rPr>
        <w:t>天 10</w:t>
      </w:r>
      <w:r>
        <w:rPr>
          <w:rFonts w:ascii="宋体" w:hAnsi="宋体" w:eastAsia="宋体" w:cs="宋体"/>
          <w:spacing w:val="-34"/>
          <w:sz w:val="24"/>
          <w:szCs w:val="24"/>
          <w:highlight w:val="none"/>
        </w:rPr>
        <w:t xml:space="preserve"> </w:t>
      </w:r>
      <w:r>
        <w:rPr>
          <w:rFonts w:ascii="宋体" w:hAnsi="宋体" w:eastAsia="宋体" w:cs="宋体"/>
          <w:spacing w:val="-4"/>
          <w:sz w:val="24"/>
          <w:szCs w:val="24"/>
          <w:highlight w:val="none"/>
        </w:rPr>
        <w:t>级以</w:t>
      </w:r>
      <w:r>
        <w:rPr>
          <w:rFonts w:ascii="宋体" w:hAnsi="宋体" w:eastAsia="宋体" w:cs="宋体"/>
          <w:spacing w:val="-5"/>
          <w:sz w:val="24"/>
          <w:szCs w:val="24"/>
          <w:highlight w:val="none"/>
        </w:rPr>
        <w:t>上的大风；⑶</w:t>
      </w:r>
      <w:r>
        <w:rPr>
          <w:rFonts w:ascii="宋体" w:hAnsi="宋体" w:eastAsia="宋体" w:cs="宋体"/>
          <w:spacing w:val="-93"/>
          <w:sz w:val="24"/>
          <w:szCs w:val="24"/>
          <w:highlight w:val="none"/>
        </w:rPr>
        <w:t xml:space="preserve"> </w:t>
      </w:r>
      <w:r>
        <w:rPr>
          <w:rFonts w:ascii="宋体" w:hAnsi="宋体" w:eastAsia="宋体" w:cs="宋体"/>
          <w:spacing w:val="-5"/>
          <w:sz w:val="24"/>
          <w:szCs w:val="24"/>
          <w:highlight w:val="none"/>
        </w:rPr>
        <w:t>.六安市区持续降水</w:t>
      </w:r>
      <w:r>
        <w:rPr>
          <w:rFonts w:ascii="宋体" w:hAnsi="宋体" w:eastAsia="宋体" w:cs="宋体"/>
          <w:spacing w:val="-2"/>
          <w:sz w:val="24"/>
          <w:szCs w:val="24"/>
          <w:highlight w:val="none"/>
        </w:rPr>
        <w:t>24</w:t>
      </w:r>
      <w:r>
        <w:rPr>
          <w:rFonts w:ascii="宋体" w:hAnsi="宋体" w:eastAsia="宋体" w:cs="宋体"/>
          <w:spacing w:val="-38"/>
          <w:sz w:val="24"/>
          <w:szCs w:val="24"/>
          <w:highlight w:val="none"/>
        </w:rPr>
        <w:t xml:space="preserve"> </w:t>
      </w:r>
      <w:r>
        <w:rPr>
          <w:rFonts w:ascii="宋体" w:hAnsi="宋体" w:eastAsia="宋体" w:cs="宋体"/>
          <w:spacing w:val="-2"/>
          <w:sz w:val="24"/>
          <w:szCs w:val="24"/>
          <w:highlight w:val="none"/>
        </w:rPr>
        <w:t>小时且降雨量为</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200mm 以上；⑷.其它：政府部门发文禁止施工的情况（如</w:t>
      </w:r>
      <w:r>
        <w:rPr>
          <w:rFonts w:ascii="宋体" w:hAnsi="宋体" w:eastAsia="宋体" w:cs="宋体"/>
          <w:spacing w:val="-3"/>
          <w:sz w:val="24"/>
          <w:szCs w:val="24"/>
          <w:highlight w:val="none"/>
        </w:rPr>
        <w:t>环保督察、重污染天气Ⅱ级橙色预警以上要求停工等）。</w:t>
      </w:r>
    </w:p>
    <w:p w14:paraId="0242D6A2">
      <w:pPr>
        <w:spacing w:before="1"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17.4</w:t>
      </w:r>
      <w:r>
        <w:rPr>
          <w:rFonts w:ascii="宋体" w:hAnsi="宋体" w:eastAsia="宋体" w:cs="宋体"/>
          <w:spacing w:val="-21"/>
          <w:sz w:val="24"/>
          <w:szCs w:val="24"/>
          <w:highlight w:val="none"/>
        </w:rPr>
        <w:t xml:space="preserve"> </w:t>
      </w:r>
      <w:r>
        <w:rPr>
          <w:rFonts w:ascii="宋体" w:hAnsi="宋体" w:eastAsia="宋体" w:cs="宋体"/>
          <w:spacing w:val="-5"/>
          <w:sz w:val="24"/>
          <w:szCs w:val="24"/>
          <w:highlight w:val="none"/>
        </w:rPr>
        <w:t>因不可抗力解除合同</w:t>
      </w:r>
    </w:p>
    <w:p w14:paraId="4391AB25">
      <w:pPr>
        <w:spacing w:before="179"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合同解除后，发包人应在商定或确定发包人应支付款项后</w:t>
      </w:r>
      <w:r>
        <w:rPr>
          <w:rFonts w:ascii="宋体" w:hAnsi="宋体" w:eastAsia="宋体" w:cs="宋体"/>
          <w:spacing w:val="-41"/>
          <w:sz w:val="24"/>
          <w:szCs w:val="24"/>
          <w:highlight w:val="none"/>
        </w:rPr>
        <w:t xml:space="preserve"> </w:t>
      </w:r>
      <w:r>
        <w:rPr>
          <w:rFonts w:ascii="宋体" w:hAnsi="宋体" w:eastAsia="宋体" w:cs="宋体"/>
          <w:spacing w:val="-2"/>
          <w:sz w:val="24"/>
          <w:szCs w:val="24"/>
          <w:highlight w:val="none"/>
        </w:rPr>
        <w:t>90</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天内完成款项的支付。</w:t>
      </w:r>
    </w:p>
    <w:p w14:paraId="33D421C9">
      <w:pPr>
        <w:spacing w:before="184" w:line="220"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18.保险</w:t>
      </w:r>
    </w:p>
    <w:p w14:paraId="575A97AE">
      <w:pPr>
        <w:spacing w:before="179" w:line="220"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18.1</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工程保险</w:t>
      </w:r>
    </w:p>
    <w:p w14:paraId="2294651D">
      <w:pPr>
        <w:spacing w:before="182" w:line="359" w:lineRule="auto"/>
        <w:ind w:left="13" w:right="14" w:firstLine="471"/>
        <w:rPr>
          <w:rFonts w:ascii="宋体" w:hAnsi="宋体" w:eastAsia="宋体" w:cs="宋体"/>
          <w:sz w:val="24"/>
          <w:szCs w:val="24"/>
          <w:highlight w:val="none"/>
        </w:rPr>
      </w:pPr>
      <w:r>
        <w:rPr>
          <w:rFonts w:ascii="宋体" w:hAnsi="宋体" w:eastAsia="宋体" w:cs="宋体"/>
          <w:spacing w:val="5"/>
          <w:sz w:val="24"/>
          <w:szCs w:val="24"/>
          <w:highlight w:val="none"/>
        </w:rPr>
        <w:t>关于工程保险的特别约定：法律法规规定的保险即建</w:t>
      </w:r>
      <w:r>
        <w:rPr>
          <w:rFonts w:ascii="宋体" w:hAnsi="宋体" w:eastAsia="宋体" w:cs="宋体"/>
          <w:spacing w:val="4"/>
          <w:sz w:val="24"/>
          <w:szCs w:val="24"/>
          <w:highlight w:val="none"/>
        </w:rPr>
        <w:t>筑工程一切险（包含第三者责任</w:t>
      </w:r>
      <w:r>
        <w:rPr>
          <w:rFonts w:ascii="宋体" w:hAnsi="宋体" w:eastAsia="宋体" w:cs="宋体"/>
          <w:spacing w:val="-2"/>
          <w:sz w:val="24"/>
          <w:szCs w:val="24"/>
          <w:highlight w:val="none"/>
        </w:rPr>
        <w:t>险），意外伤害险；法律法规规定的其他保险，所有保险均</w:t>
      </w:r>
      <w:r>
        <w:rPr>
          <w:rFonts w:hint="eastAsia" w:ascii="宋体" w:hAnsi="宋体" w:eastAsia="宋体" w:cs="宋体"/>
          <w:spacing w:val="-2"/>
          <w:sz w:val="24"/>
          <w:szCs w:val="24"/>
          <w:highlight w:val="none"/>
          <w:lang w:eastAsia="zh-CN"/>
        </w:rPr>
        <w:t>由</w:t>
      </w:r>
      <w:r>
        <w:rPr>
          <w:rFonts w:ascii="宋体" w:hAnsi="宋体" w:eastAsia="宋体" w:cs="宋体"/>
          <w:spacing w:val="-2"/>
          <w:sz w:val="24"/>
          <w:szCs w:val="24"/>
          <w:highlight w:val="none"/>
        </w:rPr>
        <w:t>承包人</w:t>
      </w:r>
      <w:r>
        <w:rPr>
          <w:rFonts w:ascii="宋体" w:hAnsi="宋体" w:eastAsia="宋体" w:cs="宋体"/>
          <w:spacing w:val="-3"/>
          <w:sz w:val="24"/>
          <w:szCs w:val="24"/>
          <w:highlight w:val="none"/>
        </w:rPr>
        <w:t>自行投保，</w:t>
      </w:r>
    </w:p>
    <w:p w14:paraId="52E59E8E">
      <w:pPr>
        <w:spacing w:before="1" w:line="220" w:lineRule="auto"/>
        <w:ind w:left="493"/>
        <w:rPr>
          <w:rFonts w:ascii="宋体" w:hAnsi="宋体" w:eastAsia="宋体" w:cs="宋体"/>
          <w:sz w:val="24"/>
          <w:szCs w:val="24"/>
          <w:highlight w:val="none"/>
        </w:rPr>
      </w:pPr>
      <w:r>
        <w:rPr>
          <w:rFonts w:ascii="宋体" w:hAnsi="宋体" w:eastAsia="宋体" w:cs="宋体"/>
          <w:spacing w:val="-10"/>
          <w:sz w:val="24"/>
          <w:szCs w:val="24"/>
          <w:highlight w:val="none"/>
        </w:rPr>
        <w:t>费用自理。</w:t>
      </w:r>
    </w:p>
    <w:p w14:paraId="3FF62D94">
      <w:pPr>
        <w:spacing w:before="179" w:line="220"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18.3</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其他保险</w:t>
      </w:r>
    </w:p>
    <w:p w14:paraId="29CEC693">
      <w:pPr>
        <w:spacing w:line="220" w:lineRule="auto"/>
        <w:rPr>
          <w:rFonts w:ascii="宋体" w:hAnsi="宋体" w:eastAsia="宋体" w:cs="宋体"/>
          <w:sz w:val="24"/>
          <w:szCs w:val="24"/>
          <w:highlight w:val="none"/>
        </w:rPr>
        <w:sectPr>
          <w:footerReference r:id="rId55" w:type="default"/>
          <w:pgSz w:w="11907" w:h="16839"/>
          <w:pgMar w:top="1425" w:right="1169" w:bottom="1129" w:left="1185" w:header="0" w:footer="898" w:gutter="0"/>
          <w:cols w:space="720" w:num="1"/>
        </w:sectPr>
      </w:pPr>
    </w:p>
    <w:p w14:paraId="1A13A480">
      <w:pPr>
        <w:spacing w:before="49" w:line="359" w:lineRule="auto"/>
        <w:ind w:left="94" w:firstLine="485"/>
        <w:jc w:val="both"/>
        <w:rPr>
          <w:rFonts w:ascii="宋体" w:hAnsi="宋体" w:eastAsia="宋体" w:cs="宋体"/>
          <w:sz w:val="24"/>
          <w:szCs w:val="24"/>
          <w:highlight w:val="none"/>
        </w:rPr>
      </w:pPr>
      <w:r>
        <w:rPr>
          <w:rFonts w:ascii="宋体" w:hAnsi="宋体" w:eastAsia="宋体" w:cs="宋体"/>
          <w:spacing w:val="-2"/>
          <w:sz w:val="24"/>
          <w:szCs w:val="24"/>
          <w:highlight w:val="none"/>
        </w:rPr>
        <w:t>关于其他保险的约定：承包人须为其施工现场的全部人员办理意外伤害保险、第三者责</w:t>
      </w:r>
      <w:r>
        <w:rPr>
          <w:rFonts w:ascii="宋体" w:hAnsi="宋体" w:eastAsia="宋体" w:cs="宋体"/>
          <w:spacing w:val="-6"/>
          <w:sz w:val="24"/>
          <w:szCs w:val="24"/>
          <w:highlight w:val="none"/>
        </w:rPr>
        <w:t>任险，并支付保险费。意外伤害险保险期限从建设工程开工之日起至竣工验收合格止；</w:t>
      </w:r>
      <w:r>
        <w:rPr>
          <w:rFonts w:ascii="宋体" w:hAnsi="宋体" w:eastAsia="宋体" w:cs="宋体"/>
          <w:spacing w:val="67"/>
          <w:sz w:val="24"/>
          <w:szCs w:val="24"/>
          <w:highlight w:val="none"/>
        </w:rPr>
        <w:t xml:space="preserve"> </w:t>
      </w:r>
      <w:r>
        <w:rPr>
          <w:rFonts w:ascii="宋体" w:hAnsi="宋体" w:eastAsia="宋体" w:cs="宋体"/>
          <w:spacing w:val="-6"/>
          <w:sz w:val="24"/>
          <w:szCs w:val="24"/>
          <w:highlight w:val="none"/>
        </w:rPr>
        <w:t>如果</w:t>
      </w:r>
      <w:r>
        <w:rPr>
          <w:rFonts w:ascii="宋体" w:hAnsi="宋体" w:eastAsia="宋体" w:cs="宋体"/>
          <w:spacing w:val="-1"/>
          <w:sz w:val="24"/>
          <w:szCs w:val="24"/>
          <w:highlight w:val="none"/>
        </w:rPr>
        <w:t>发生人员意外事故，由保险单位进行处理赔偿，赔偿不足的部分由施工单</w:t>
      </w:r>
      <w:r>
        <w:rPr>
          <w:rFonts w:ascii="宋体" w:hAnsi="宋体" w:eastAsia="宋体" w:cs="宋体"/>
          <w:spacing w:val="-2"/>
          <w:sz w:val="24"/>
          <w:szCs w:val="24"/>
          <w:highlight w:val="none"/>
        </w:rPr>
        <w:t>位进行负责。</w:t>
      </w:r>
    </w:p>
    <w:p w14:paraId="3A3E760B">
      <w:pPr>
        <w:spacing w:line="219" w:lineRule="auto"/>
        <w:ind w:left="575"/>
        <w:rPr>
          <w:rFonts w:ascii="宋体" w:hAnsi="宋体" w:eastAsia="宋体" w:cs="宋体"/>
          <w:sz w:val="24"/>
          <w:szCs w:val="24"/>
          <w:highlight w:val="none"/>
        </w:rPr>
      </w:pPr>
      <w:r>
        <w:rPr>
          <w:rFonts w:ascii="宋体" w:hAnsi="宋体" w:eastAsia="宋体" w:cs="宋体"/>
          <w:spacing w:val="-2"/>
          <w:sz w:val="24"/>
          <w:szCs w:val="24"/>
          <w:highlight w:val="none"/>
        </w:rPr>
        <w:t>承包人是否应为其施工设备等办理财产保险：执行通用条款。</w:t>
      </w:r>
    </w:p>
    <w:p w14:paraId="02C34F9E">
      <w:pPr>
        <w:spacing w:before="179" w:line="220" w:lineRule="auto"/>
        <w:ind w:left="593"/>
        <w:rPr>
          <w:rFonts w:ascii="宋体" w:hAnsi="宋体" w:eastAsia="宋体" w:cs="宋体"/>
          <w:sz w:val="24"/>
          <w:szCs w:val="24"/>
          <w:highlight w:val="none"/>
        </w:rPr>
      </w:pPr>
      <w:r>
        <w:rPr>
          <w:rFonts w:ascii="宋体" w:hAnsi="宋体" w:eastAsia="宋体" w:cs="宋体"/>
          <w:spacing w:val="-5"/>
          <w:sz w:val="24"/>
          <w:szCs w:val="24"/>
          <w:highlight w:val="none"/>
        </w:rPr>
        <w:t>18.7</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通知义务</w:t>
      </w:r>
    </w:p>
    <w:p w14:paraId="5CB9BF29">
      <w:pPr>
        <w:spacing w:before="182" w:line="220" w:lineRule="auto"/>
        <w:ind w:left="579"/>
        <w:rPr>
          <w:rFonts w:ascii="宋体" w:hAnsi="宋体" w:eastAsia="宋体" w:cs="宋体"/>
          <w:sz w:val="24"/>
          <w:szCs w:val="24"/>
          <w:highlight w:val="none"/>
        </w:rPr>
      </w:pPr>
      <w:r>
        <w:rPr>
          <w:rFonts w:ascii="宋体" w:hAnsi="宋体" w:eastAsia="宋体" w:cs="宋体"/>
          <w:spacing w:val="-2"/>
          <w:sz w:val="24"/>
          <w:szCs w:val="24"/>
          <w:highlight w:val="none"/>
        </w:rPr>
        <w:t>关于变更保险合同时的通知义务的约定：执行通用条款。</w:t>
      </w:r>
    </w:p>
    <w:p w14:paraId="22D1BF97">
      <w:pPr>
        <w:spacing w:before="179" w:line="220" w:lineRule="auto"/>
        <w:ind w:left="578"/>
        <w:rPr>
          <w:rFonts w:ascii="宋体" w:hAnsi="宋体" w:eastAsia="宋体" w:cs="宋体"/>
          <w:sz w:val="24"/>
          <w:szCs w:val="24"/>
          <w:highlight w:val="none"/>
        </w:rPr>
      </w:pPr>
      <w:r>
        <w:rPr>
          <w:rFonts w:ascii="宋体" w:hAnsi="宋体" w:eastAsia="宋体" w:cs="宋体"/>
          <w:spacing w:val="-2"/>
          <w:sz w:val="24"/>
          <w:szCs w:val="24"/>
          <w:highlight w:val="none"/>
        </w:rPr>
        <w:t>20.争议解决</w:t>
      </w:r>
    </w:p>
    <w:p w14:paraId="49D6C23C">
      <w:pPr>
        <w:spacing w:before="182" w:line="220" w:lineRule="auto"/>
        <w:ind w:left="578"/>
        <w:rPr>
          <w:rFonts w:ascii="宋体" w:hAnsi="宋体" w:eastAsia="宋体" w:cs="宋体"/>
          <w:sz w:val="24"/>
          <w:szCs w:val="24"/>
          <w:highlight w:val="none"/>
        </w:rPr>
      </w:pPr>
      <w:r>
        <w:rPr>
          <w:rFonts w:ascii="宋体" w:hAnsi="宋体" w:eastAsia="宋体" w:cs="宋体"/>
          <w:spacing w:val="-3"/>
          <w:sz w:val="24"/>
          <w:szCs w:val="24"/>
          <w:highlight w:val="none"/>
        </w:rPr>
        <w:t>20.3</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争议评审</w:t>
      </w:r>
    </w:p>
    <w:p w14:paraId="70116C3B">
      <w:pPr>
        <w:spacing w:before="180" w:line="220" w:lineRule="auto"/>
        <w:ind w:left="576"/>
        <w:rPr>
          <w:rFonts w:ascii="宋体" w:hAnsi="宋体" w:eastAsia="宋体" w:cs="宋体"/>
          <w:sz w:val="24"/>
          <w:szCs w:val="24"/>
          <w:highlight w:val="none"/>
        </w:rPr>
      </w:pPr>
      <w:r>
        <w:rPr>
          <w:rFonts w:ascii="宋体" w:hAnsi="宋体" w:eastAsia="宋体" w:cs="宋体"/>
          <w:spacing w:val="-1"/>
          <w:sz w:val="24"/>
          <w:szCs w:val="24"/>
          <w:highlight w:val="none"/>
        </w:rPr>
        <w:t>合同当事人是否同意将工程争议提交争议评审小组决定：/。</w:t>
      </w:r>
    </w:p>
    <w:p w14:paraId="322DBC6B">
      <w:pPr>
        <w:spacing w:before="182" w:line="220" w:lineRule="auto"/>
        <w:ind w:left="578"/>
        <w:rPr>
          <w:rFonts w:ascii="宋体" w:hAnsi="宋体" w:eastAsia="宋体" w:cs="宋体"/>
          <w:sz w:val="24"/>
          <w:szCs w:val="24"/>
          <w:highlight w:val="none"/>
        </w:rPr>
      </w:pPr>
      <w:r>
        <w:rPr>
          <w:rFonts w:ascii="宋体" w:hAnsi="宋体" w:eastAsia="宋体" w:cs="宋体"/>
          <w:spacing w:val="-2"/>
          <w:sz w:val="24"/>
          <w:szCs w:val="24"/>
          <w:highlight w:val="none"/>
        </w:rPr>
        <w:t>20.3.1</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争议评审小组的确定</w:t>
      </w:r>
    </w:p>
    <w:p w14:paraId="523760E7">
      <w:pPr>
        <w:spacing w:before="181" w:line="359" w:lineRule="auto"/>
        <w:ind w:left="95" w:right="10" w:firstLine="484"/>
        <w:rPr>
          <w:rFonts w:ascii="宋体" w:hAnsi="宋体" w:eastAsia="宋体" w:cs="宋体"/>
          <w:sz w:val="24"/>
          <w:szCs w:val="24"/>
          <w:highlight w:val="none"/>
        </w:rPr>
      </w:pPr>
      <w:r>
        <w:rPr>
          <w:rFonts w:ascii="宋体" w:hAnsi="宋体" w:eastAsia="宋体" w:cs="宋体"/>
          <w:spacing w:val="-2"/>
          <w:sz w:val="24"/>
          <w:szCs w:val="24"/>
          <w:highlight w:val="none"/>
        </w:rPr>
        <w:t>争议评审小组成员的确定：/。选定争议评审员的期限：/。争议评审小组成员的报酬承担方式：/。</w:t>
      </w:r>
    </w:p>
    <w:p w14:paraId="71942FE2">
      <w:pPr>
        <w:spacing w:line="220" w:lineRule="auto"/>
        <w:ind w:left="576"/>
        <w:rPr>
          <w:rFonts w:ascii="宋体" w:hAnsi="宋体" w:eastAsia="宋体" w:cs="宋体"/>
          <w:sz w:val="24"/>
          <w:szCs w:val="24"/>
          <w:highlight w:val="none"/>
        </w:rPr>
      </w:pPr>
      <w:r>
        <w:rPr>
          <w:rFonts w:ascii="宋体" w:hAnsi="宋体" w:eastAsia="宋体" w:cs="宋体"/>
          <w:spacing w:val="-2"/>
          <w:sz w:val="24"/>
          <w:szCs w:val="24"/>
          <w:highlight w:val="none"/>
        </w:rPr>
        <w:t>其他事项的约定：/。</w:t>
      </w:r>
    </w:p>
    <w:p w14:paraId="5AC985E5">
      <w:pPr>
        <w:spacing w:before="181" w:line="220" w:lineRule="auto"/>
        <w:ind w:left="578"/>
        <w:rPr>
          <w:rFonts w:ascii="宋体" w:hAnsi="宋体" w:eastAsia="宋体" w:cs="宋体"/>
          <w:sz w:val="24"/>
          <w:szCs w:val="24"/>
          <w:highlight w:val="none"/>
        </w:rPr>
      </w:pPr>
      <w:r>
        <w:rPr>
          <w:rFonts w:ascii="宋体" w:hAnsi="宋体" w:eastAsia="宋体" w:cs="宋体"/>
          <w:spacing w:val="-2"/>
          <w:sz w:val="24"/>
          <w:szCs w:val="24"/>
          <w:highlight w:val="none"/>
        </w:rPr>
        <w:t>20.3.2</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争议评审小组的决定</w:t>
      </w:r>
    </w:p>
    <w:p w14:paraId="0ED496A5">
      <w:pPr>
        <w:spacing w:before="180" w:line="219" w:lineRule="auto"/>
        <w:ind w:left="576"/>
        <w:rPr>
          <w:rFonts w:ascii="宋体" w:hAnsi="宋体" w:eastAsia="宋体" w:cs="宋体"/>
          <w:sz w:val="24"/>
          <w:szCs w:val="24"/>
          <w:highlight w:val="none"/>
        </w:rPr>
      </w:pPr>
      <w:r>
        <w:rPr>
          <w:rFonts w:ascii="宋体" w:hAnsi="宋体" w:eastAsia="宋体" w:cs="宋体"/>
          <w:spacing w:val="-1"/>
          <w:sz w:val="24"/>
          <w:szCs w:val="24"/>
          <w:highlight w:val="none"/>
        </w:rPr>
        <w:t>合同当事人关于本项的约定：/。</w:t>
      </w:r>
    </w:p>
    <w:p w14:paraId="4A3E0A73">
      <w:pPr>
        <w:spacing w:before="183" w:line="220" w:lineRule="auto"/>
        <w:ind w:left="578"/>
        <w:rPr>
          <w:rFonts w:ascii="宋体" w:hAnsi="宋体" w:eastAsia="宋体" w:cs="宋体"/>
          <w:sz w:val="24"/>
          <w:szCs w:val="24"/>
          <w:highlight w:val="none"/>
        </w:rPr>
      </w:pPr>
      <w:r>
        <w:rPr>
          <w:rFonts w:ascii="宋体" w:hAnsi="宋体" w:eastAsia="宋体" w:cs="宋体"/>
          <w:spacing w:val="-3"/>
          <w:sz w:val="24"/>
          <w:szCs w:val="24"/>
          <w:highlight w:val="none"/>
        </w:rPr>
        <w:t>20.4</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仲裁或诉讼</w:t>
      </w:r>
    </w:p>
    <w:p w14:paraId="32380A46">
      <w:pPr>
        <w:spacing w:before="183" w:line="220" w:lineRule="auto"/>
        <w:ind w:left="594"/>
        <w:rPr>
          <w:rFonts w:ascii="宋体" w:hAnsi="宋体" w:eastAsia="宋体" w:cs="宋体"/>
          <w:sz w:val="24"/>
          <w:szCs w:val="24"/>
          <w:highlight w:val="none"/>
        </w:rPr>
      </w:pPr>
      <w:r>
        <w:rPr>
          <w:rFonts w:ascii="宋体" w:hAnsi="宋体" w:eastAsia="宋体" w:cs="宋体"/>
          <w:spacing w:val="-3"/>
          <w:sz w:val="24"/>
          <w:szCs w:val="24"/>
          <w:highlight w:val="none"/>
        </w:rPr>
        <w:t>因合同及合同有关事项发生的争议，按下列第（2）种方式解决：</w:t>
      </w:r>
    </w:p>
    <w:p w14:paraId="580996C2">
      <w:pPr>
        <w:spacing w:before="180" w:line="219" w:lineRule="auto"/>
        <w:ind w:left="581"/>
        <w:rPr>
          <w:rFonts w:ascii="宋体" w:hAnsi="宋体" w:eastAsia="宋体" w:cs="宋体"/>
          <w:sz w:val="24"/>
          <w:szCs w:val="24"/>
          <w:highlight w:val="none"/>
        </w:rPr>
      </w:pPr>
      <w:r>
        <w:rPr>
          <w:rFonts w:ascii="宋体" w:hAnsi="宋体" w:eastAsia="宋体" w:cs="宋体"/>
          <w:spacing w:val="-3"/>
          <w:sz w:val="24"/>
          <w:szCs w:val="24"/>
          <w:highlight w:val="none"/>
        </w:rPr>
        <w:t>（1）向甲乙双方协商一致的仲裁委员会申请仲裁；</w:t>
      </w:r>
    </w:p>
    <w:p w14:paraId="57FB4A77">
      <w:pPr>
        <w:spacing w:before="183" w:line="220" w:lineRule="auto"/>
        <w:ind w:left="581"/>
        <w:rPr>
          <w:rFonts w:ascii="宋体" w:hAnsi="宋体" w:eastAsia="宋体" w:cs="宋体"/>
          <w:sz w:val="24"/>
          <w:szCs w:val="24"/>
          <w:highlight w:val="none"/>
        </w:rPr>
      </w:pPr>
      <w:r>
        <w:rPr>
          <w:rFonts w:ascii="宋体" w:hAnsi="宋体" w:eastAsia="宋体" w:cs="宋体"/>
          <w:spacing w:val="-3"/>
          <w:sz w:val="24"/>
          <w:szCs w:val="24"/>
          <w:highlight w:val="none"/>
        </w:rPr>
        <w:t>（2）向工程所在地的人民法院起诉。</w:t>
      </w:r>
    </w:p>
    <w:p w14:paraId="44B6B695">
      <w:pPr>
        <w:pStyle w:val="3"/>
        <w:spacing w:line="262" w:lineRule="auto"/>
        <w:rPr>
          <w:highlight w:val="none"/>
        </w:rPr>
      </w:pPr>
    </w:p>
    <w:p w14:paraId="28130B1A">
      <w:pPr>
        <w:spacing w:before="79" w:line="219" w:lineRule="auto"/>
        <w:ind w:left="34"/>
        <w:rPr>
          <w:rFonts w:ascii="宋体" w:hAnsi="宋体" w:eastAsia="宋体" w:cs="宋体"/>
          <w:sz w:val="24"/>
          <w:szCs w:val="24"/>
          <w:highlight w:val="none"/>
        </w:rPr>
      </w:pPr>
      <w:r>
        <w:rPr>
          <w:rFonts w:ascii="宋体" w:hAnsi="宋体" w:eastAsia="宋体" w:cs="宋体"/>
          <w:spacing w:val="-11"/>
          <w:sz w:val="24"/>
          <w:szCs w:val="24"/>
          <w:highlight w:val="none"/>
        </w:rPr>
        <w:t>附件</w:t>
      </w:r>
    </w:p>
    <w:p w14:paraId="2D827B21">
      <w:pPr>
        <w:spacing w:before="181" w:line="219" w:lineRule="auto"/>
        <w:rPr>
          <w:rFonts w:ascii="宋体" w:hAnsi="宋体" w:eastAsia="宋体" w:cs="宋体"/>
          <w:sz w:val="24"/>
          <w:szCs w:val="24"/>
          <w:highlight w:val="none"/>
        </w:rPr>
      </w:pPr>
      <w:r>
        <w:rPr>
          <w:rFonts w:ascii="宋体" w:hAnsi="宋体" w:eastAsia="宋体" w:cs="宋体"/>
          <w:spacing w:val="-15"/>
          <w:sz w:val="24"/>
          <w:szCs w:val="24"/>
          <w:highlight w:val="none"/>
        </w:rPr>
        <w:t>协议书附件：</w:t>
      </w:r>
    </w:p>
    <w:p w14:paraId="13F9BBB3">
      <w:pPr>
        <w:spacing w:before="166" w:line="219" w:lineRule="auto"/>
        <w:ind w:left="34"/>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40"/>
          <w:sz w:val="24"/>
          <w:szCs w:val="24"/>
          <w:highlight w:val="none"/>
        </w:rPr>
        <w:t xml:space="preserve"> </w:t>
      </w:r>
      <w:r>
        <w:rPr>
          <w:rFonts w:ascii="宋体" w:hAnsi="宋体" w:eastAsia="宋体" w:cs="宋体"/>
          <w:spacing w:val="-10"/>
          <w:sz w:val="24"/>
          <w:szCs w:val="24"/>
          <w:highlight w:val="none"/>
        </w:rPr>
        <w:t>1：承包人承揽工程项目一览表</w:t>
      </w:r>
    </w:p>
    <w:p w14:paraId="51636E3B">
      <w:pPr>
        <w:spacing w:before="203" w:line="219" w:lineRule="auto"/>
        <w:rPr>
          <w:rFonts w:ascii="宋体" w:hAnsi="宋体" w:eastAsia="宋体" w:cs="宋体"/>
          <w:sz w:val="24"/>
          <w:szCs w:val="24"/>
          <w:highlight w:val="none"/>
        </w:rPr>
      </w:pPr>
      <w:r>
        <w:rPr>
          <w:rFonts w:ascii="宋体" w:hAnsi="宋体" w:eastAsia="宋体" w:cs="宋体"/>
          <w:spacing w:val="-13"/>
          <w:sz w:val="24"/>
          <w:szCs w:val="24"/>
          <w:highlight w:val="none"/>
        </w:rPr>
        <w:t>专用合同条款附件：</w:t>
      </w:r>
    </w:p>
    <w:p w14:paraId="35FFB72C">
      <w:pPr>
        <w:spacing w:before="181" w:line="219" w:lineRule="auto"/>
        <w:ind w:left="17"/>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50"/>
          <w:sz w:val="24"/>
          <w:szCs w:val="24"/>
          <w:highlight w:val="none"/>
        </w:rPr>
        <w:t xml:space="preserve"> </w:t>
      </w:r>
      <w:r>
        <w:rPr>
          <w:rFonts w:ascii="宋体" w:hAnsi="宋体" w:eastAsia="宋体" w:cs="宋体"/>
          <w:spacing w:val="-11"/>
          <w:sz w:val="24"/>
          <w:szCs w:val="24"/>
          <w:highlight w:val="none"/>
        </w:rPr>
        <w:t>2：发包人供应材料设备一览表</w:t>
      </w:r>
    </w:p>
    <w:p w14:paraId="5705CE05">
      <w:pPr>
        <w:spacing w:before="181" w:line="219" w:lineRule="auto"/>
        <w:ind w:left="17"/>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54"/>
          <w:sz w:val="24"/>
          <w:szCs w:val="24"/>
          <w:highlight w:val="none"/>
        </w:rPr>
        <w:t xml:space="preserve"> </w:t>
      </w:r>
      <w:r>
        <w:rPr>
          <w:rFonts w:ascii="宋体" w:hAnsi="宋体" w:eastAsia="宋体" w:cs="宋体"/>
          <w:spacing w:val="-11"/>
          <w:sz w:val="24"/>
          <w:szCs w:val="24"/>
          <w:highlight w:val="none"/>
        </w:rPr>
        <w:t>3：工程质量保修书</w:t>
      </w:r>
    </w:p>
    <w:p w14:paraId="25DDEE46">
      <w:pPr>
        <w:spacing w:before="184" w:line="219" w:lineRule="auto"/>
        <w:ind w:left="17"/>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53"/>
          <w:sz w:val="24"/>
          <w:szCs w:val="24"/>
          <w:highlight w:val="none"/>
        </w:rPr>
        <w:t xml:space="preserve"> </w:t>
      </w:r>
      <w:r>
        <w:rPr>
          <w:rFonts w:ascii="宋体" w:hAnsi="宋体" w:eastAsia="宋体" w:cs="宋体"/>
          <w:spacing w:val="-11"/>
          <w:sz w:val="24"/>
          <w:szCs w:val="24"/>
          <w:highlight w:val="none"/>
        </w:rPr>
        <w:t>4：主要建设工程文件目录</w:t>
      </w:r>
    </w:p>
    <w:p w14:paraId="124B6F59">
      <w:pPr>
        <w:spacing w:before="183" w:line="219" w:lineRule="auto"/>
        <w:ind w:left="17"/>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44"/>
          <w:sz w:val="24"/>
          <w:szCs w:val="24"/>
          <w:highlight w:val="none"/>
        </w:rPr>
        <w:t xml:space="preserve"> </w:t>
      </w:r>
      <w:r>
        <w:rPr>
          <w:rFonts w:ascii="宋体" w:hAnsi="宋体" w:eastAsia="宋体" w:cs="宋体"/>
          <w:spacing w:val="-11"/>
          <w:sz w:val="24"/>
          <w:szCs w:val="24"/>
          <w:highlight w:val="none"/>
        </w:rPr>
        <w:t>5：承包人用于本工程施工的机械设备表</w:t>
      </w:r>
    </w:p>
    <w:p w14:paraId="5C69B87E">
      <w:pPr>
        <w:spacing w:before="181" w:line="219" w:lineRule="auto"/>
        <w:ind w:left="17"/>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50"/>
          <w:sz w:val="24"/>
          <w:szCs w:val="24"/>
          <w:highlight w:val="none"/>
        </w:rPr>
        <w:t xml:space="preserve"> </w:t>
      </w:r>
      <w:r>
        <w:rPr>
          <w:rFonts w:ascii="宋体" w:hAnsi="宋体" w:eastAsia="宋体" w:cs="宋体"/>
          <w:spacing w:val="-11"/>
          <w:sz w:val="24"/>
          <w:szCs w:val="24"/>
          <w:highlight w:val="none"/>
        </w:rPr>
        <w:t>6：承包人主要施工管理人员表</w:t>
      </w:r>
    </w:p>
    <w:p w14:paraId="3320CC97">
      <w:pPr>
        <w:spacing w:before="183" w:line="219" w:lineRule="auto"/>
        <w:ind w:left="17"/>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50"/>
          <w:sz w:val="24"/>
          <w:szCs w:val="24"/>
          <w:highlight w:val="none"/>
        </w:rPr>
        <w:t xml:space="preserve"> </w:t>
      </w:r>
      <w:r>
        <w:rPr>
          <w:rFonts w:ascii="宋体" w:hAnsi="宋体" w:eastAsia="宋体" w:cs="宋体"/>
          <w:spacing w:val="-11"/>
          <w:sz w:val="24"/>
          <w:szCs w:val="24"/>
          <w:highlight w:val="none"/>
        </w:rPr>
        <w:t>7：分包人主要施工管理人员表</w:t>
      </w:r>
    </w:p>
    <w:p w14:paraId="75EECDB7">
      <w:pPr>
        <w:spacing w:line="219" w:lineRule="auto"/>
        <w:rPr>
          <w:rFonts w:ascii="宋体" w:hAnsi="宋体" w:eastAsia="宋体" w:cs="宋体"/>
          <w:sz w:val="24"/>
          <w:szCs w:val="24"/>
          <w:highlight w:val="none"/>
        </w:rPr>
        <w:sectPr>
          <w:footerReference r:id="rId56" w:type="default"/>
          <w:pgSz w:w="11907" w:h="16839"/>
          <w:pgMar w:top="1425" w:right="1173" w:bottom="1129" w:left="1090" w:header="0" w:footer="898" w:gutter="0"/>
          <w:cols w:space="720" w:num="1"/>
        </w:sectPr>
      </w:pPr>
    </w:p>
    <w:p w14:paraId="6E12386F">
      <w:pPr>
        <w:spacing w:before="47" w:line="219" w:lineRule="auto"/>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54"/>
          <w:sz w:val="24"/>
          <w:szCs w:val="24"/>
          <w:highlight w:val="none"/>
        </w:rPr>
        <w:t xml:space="preserve"> </w:t>
      </w:r>
      <w:r>
        <w:rPr>
          <w:rFonts w:ascii="宋体" w:hAnsi="宋体" w:eastAsia="宋体" w:cs="宋体"/>
          <w:spacing w:val="-11"/>
          <w:sz w:val="24"/>
          <w:szCs w:val="24"/>
          <w:highlight w:val="none"/>
        </w:rPr>
        <w:t>8：履约担保格式</w:t>
      </w:r>
    </w:p>
    <w:p w14:paraId="208FA461">
      <w:pPr>
        <w:spacing w:before="181" w:line="219" w:lineRule="auto"/>
        <w:rPr>
          <w:rFonts w:ascii="宋体" w:hAnsi="宋体" w:eastAsia="宋体" w:cs="宋体"/>
          <w:sz w:val="24"/>
          <w:szCs w:val="24"/>
          <w:highlight w:val="none"/>
        </w:rPr>
      </w:pPr>
      <w:r>
        <w:rPr>
          <w:rFonts w:ascii="宋体" w:hAnsi="宋体" w:eastAsia="宋体" w:cs="宋体"/>
          <w:spacing w:val="-11"/>
          <w:sz w:val="24"/>
          <w:szCs w:val="24"/>
          <w:highlight w:val="none"/>
        </w:rPr>
        <w:t>附件</w:t>
      </w:r>
      <w:r>
        <w:rPr>
          <w:rFonts w:ascii="宋体" w:hAnsi="宋体" w:eastAsia="宋体" w:cs="宋体"/>
          <w:spacing w:val="-54"/>
          <w:sz w:val="24"/>
          <w:szCs w:val="24"/>
          <w:highlight w:val="none"/>
        </w:rPr>
        <w:t xml:space="preserve"> </w:t>
      </w:r>
      <w:r>
        <w:rPr>
          <w:rFonts w:ascii="宋体" w:hAnsi="宋体" w:eastAsia="宋体" w:cs="宋体"/>
          <w:spacing w:val="-11"/>
          <w:sz w:val="24"/>
          <w:szCs w:val="24"/>
          <w:highlight w:val="none"/>
        </w:rPr>
        <w:t>9：预付款担保格式</w:t>
      </w:r>
    </w:p>
    <w:p w14:paraId="13C13F97">
      <w:pPr>
        <w:spacing w:before="183" w:line="219" w:lineRule="auto"/>
        <w:rPr>
          <w:rFonts w:ascii="宋体" w:hAnsi="宋体" w:eastAsia="宋体" w:cs="宋体"/>
          <w:sz w:val="24"/>
          <w:szCs w:val="24"/>
          <w:highlight w:val="none"/>
        </w:rPr>
      </w:pPr>
      <w:r>
        <w:rPr>
          <w:rFonts w:ascii="宋体" w:hAnsi="宋体" w:eastAsia="宋体" w:cs="宋体"/>
          <w:spacing w:val="-14"/>
          <w:sz w:val="24"/>
          <w:szCs w:val="24"/>
          <w:highlight w:val="none"/>
        </w:rPr>
        <w:t>附件</w:t>
      </w:r>
      <w:r>
        <w:rPr>
          <w:rFonts w:ascii="宋体" w:hAnsi="宋体" w:eastAsia="宋体" w:cs="宋体"/>
          <w:spacing w:val="-43"/>
          <w:sz w:val="24"/>
          <w:szCs w:val="24"/>
          <w:highlight w:val="none"/>
        </w:rPr>
        <w:t xml:space="preserve"> </w:t>
      </w:r>
      <w:r>
        <w:rPr>
          <w:rFonts w:ascii="宋体" w:hAnsi="宋体" w:eastAsia="宋体" w:cs="宋体"/>
          <w:spacing w:val="-14"/>
          <w:sz w:val="24"/>
          <w:szCs w:val="24"/>
          <w:highlight w:val="none"/>
        </w:rPr>
        <w:t>10：支付担保格式</w:t>
      </w:r>
    </w:p>
    <w:p w14:paraId="1AB5166F">
      <w:pPr>
        <w:spacing w:before="183" w:line="218" w:lineRule="auto"/>
        <w:rPr>
          <w:rFonts w:ascii="宋体" w:hAnsi="宋体" w:eastAsia="宋体" w:cs="宋体"/>
          <w:sz w:val="24"/>
          <w:szCs w:val="24"/>
          <w:highlight w:val="none"/>
        </w:rPr>
      </w:pPr>
      <w:r>
        <w:rPr>
          <w:rFonts w:ascii="宋体" w:hAnsi="宋体" w:eastAsia="宋体" w:cs="宋体"/>
          <w:spacing w:val="-13"/>
          <w:sz w:val="24"/>
          <w:szCs w:val="24"/>
          <w:highlight w:val="none"/>
        </w:rPr>
        <w:t>附件</w:t>
      </w:r>
      <w:r>
        <w:rPr>
          <w:rFonts w:ascii="宋体" w:hAnsi="宋体" w:eastAsia="宋体" w:cs="宋体"/>
          <w:spacing w:val="-45"/>
          <w:sz w:val="24"/>
          <w:szCs w:val="24"/>
          <w:highlight w:val="none"/>
        </w:rPr>
        <w:t xml:space="preserve"> </w:t>
      </w:r>
      <w:r>
        <w:rPr>
          <w:rFonts w:ascii="宋体" w:hAnsi="宋体" w:eastAsia="宋体" w:cs="宋体"/>
          <w:spacing w:val="-13"/>
          <w:sz w:val="24"/>
          <w:szCs w:val="24"/>
          <w:highlight w:val="none"/>
        </w:rPr>
        <w:t>11：暂估价一览表</w:t>
      </w:r>
    </w:p>
    <w:p w14:paraId="71996601">
      <w:pPr>
        <w:spacing w:line="218" w:lineRule="auto"/>
        <w:rPr>
          <w:rFonts w:ascii="宋体" w:hAnsi="宋体" w:eastAsia="宋体" w:cs="宋体"/>
          <w:sz w:val="24"/>
          <w:szCs w:val="24"/>
          <w:highlight w:val="none"/>
        </w:rPr>
        <w:sectPr>
          <w:footerReference r:id="rId57" w:type="default"/>
          <w:pgSz w:w="11907" w:h="16839"/>
          <w:pgMar w:top="1406" w:right="1785" w:bottom="1129" w:left="1108" w:header="0" w:footer="898" w:gutter="0"/>
          <w:cols w:space="720" w:num="1"/>
        </w:sectPr>
      </w:pPr>
    </w:p>
    <w:p w14:paraId="7FF111EF">
      <w:pPr>
        <w:pStyle w:val="3"/>
        <w:spacing w:line="438" w:lineRule="auto"/>
        <w:rPr>
          <w:highlight w:val="none"/>
        </w:rPr>
      </w:pPr>
    </w:p>
    <w:p w14:paraId="0E890C91">
      <w:pPr>
        <w:spacing w:before="78" w:line="219" w:lineRule="auto"/>
        <w:ind w:left="496"/>
        <w:rPr>
          <w:rFonts w:ascii="宋体" w:hAnsi="宋体" w:eastAsia="宋体" w:cs="宋体"/>
          <w:sz w:val="24"/>
          <w:szCs w:val="24"/>
          <w:highlight w:val="none"/>
        </w:rPr>
      </w:pPr>
      <w:r>
        <w:rPr>
          <w:rFonts w:ascii="宋体" w:hAnsi="宋体" w:eastAsia="宋体" w:cs="宋体"/>
          <w:spacing w:val="-9"/>
          <w:sz w:val="24"/>
          <w:szCs w:val="24"/>
          <w:highlight w:val="none"/>
        </w:rPr>
        <w:t>附件1：</w:t>
      </w:r>
    </w:p>
    <w:p w14:paraId="7F99D9A5">
      <w:pPr>
        <w:spacing w:before="310" w:line="220" w:lineRule="auto"/>
        <w:ind w:left="5902"/>
        <w:rPr>
          <w:rFonts w:ascii="宋体" w:hAnsi="宋体" w:eastAsia="宋体" w:cs="宋体"/>
          <w:sz w:val="24"/>
          <w:szCs w:val="24"/>
          <w:highlight w:val="none"/>
        </w:rPr>
      </w:pPr>
      <w:r>
        <w:rPr>
          <w:rFonts w:ascii="宋体" w:hAnsi="宋体" w:eastAsia="宋体" w:cs="宋体"/>
          <w:spacing w:val="-3"/>
          <w:sz w:val="24"/>
          <w:szCs w:val="24"/>
          <w:highlight w:val="none"/>
        </w:rPr>
        <w:t>承包人承揽工程项目一览表</w:t>
      </w:r>
    </w:p>
    <w:p w14:paraId="63F0DF79">
      <w:pPr>
        <w:spacing w:line="151" w:lineRule="exact"/>
        <w:rPr>
          <w:highlight w:val="none"/>
        </w:rPr>
      </w:pPr>
    </w:p>
    <w:tbl>
      <w:tblPr>
        <w:tblStyle w:val="24"/>
        <w:tblW w:w="146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1835"/>
        <w:gridCol w:w="1414"/>
        <w:gridCol w:w="2401"/>
        <w:gridCol w:w="846"/>
        <w:gridCol w:w="1555"/>
        <w:gridCol w:w="2119"/>
        <w:gridCol w:w="1411"/>
        <w:gridCol w:w="848"/>
        <w:gridCol w:w="874"/>
      </w:tblGrid>
      <w:tr w14:paraId="6B083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304" w:type="dxa"/>
            <w:tcBorders>
              <w:top w:val="single" w:color="000000" w:sz="10" w:space="0"/>
              <w:left w:val="single" w:color="000000" w:sz="10" w:space="0"/>
            </w:tcBorders>
            <w:vAlign w:val="top"/>
          </w:tcPr>
          <w:p w14:paraId="1C12EDB5">
            <w:pPr>
              <w:spacing w:before="141" w:line="285" w:lineRule="auto"/>
              <w:ind w:left="413" w:right="183" w:hanging="240"/>
              <w:rPr>
                <w:rFonts w:ascii="宋体" w:hAnsi="宋体" w:eastAsia="宋体" w:cs="宋体"/>
                <w:sz w:val="24"/>
                <w:szCs w:val="24"/>
                <w:highlight w:val="none"/>
              </w:rPr>
            </w:pPr>
            <w:r>
              <w:rPr>
                <w:rFonts w:ascii="宋体" w:hAnsi="宋体" w:eastAsia="宋体" w:cs="宋体"/>
                <w:spacing w:val="-8"/>
                <w:sz w:val="24"/>
                <w:szCs w:val="24"/>
                <w:highlight w:val="none"/>
              </w:rPr>
              <w:t>单位工程</w:t>
            </w:r>
            <w:r>
              <w:rPr>
                <w:rFonts w:ascii="宋体" w:hAnsi="宋体" w:eastAsia="宋体" w:cs="宋体"/>
                <w:spacing w:val="-6"/>
                <w:sz w:val="24"/>
                <w:szCs w:val="24"/>
                <w:highlight w:val="none"/>
              </w:rPr>
              <w:t>名称</w:t>
            </w:r>
          </w:p>
        </w:tc>
        <w:tc>
          <w:tcPr>
            <w:tcW w:w="1835" w:type="dxa"/>
            <w:tcBorders>
              <w:top w:val="single" w:color="000000" w:sz="10" w:space="0"/>
            </w:tcBorders>
            <w:vAlign w:val="top"/>
          </w:tcPr>
          <w:p w14:paraId="06523E2D">
            <w:pPr>
              <w:spacing w:line="302" w:lineRule="auto"/>
              <w:rPr>
                <w:rFonts w:ascii="Arial"/>
                <w:sz w:val="21"/>
                <w:highlight w:val="none"/>
              </w:rPr>
            </w:pPr>
          </w:p>
          <w:p w14:paraId="21C2E0A6">
            <w:pPr>
              <w:spacing w:before="78" w:line="220" w:lineRule="auto"/>
              <w:ind w:left="438"/>
              <w:rPr>
                <w:rFonts w:ascii="宋体" w:hAnsi="宋体" w:eastAsia="宋体" w:cs="宋体"/>
                <w:sz w:val="24"/>
                <w:szCs w:val="24"/>
                <w:highlight w:val="none"/>
              </w:rPr>
            </w:pPr>
            <w:r>
              <w:rPr>
                <w:rFonts w:ascii="宋体" w:hAnsi="宋体" w:eastAsia="宋体" w:cs="宋体"/>
                <w:spacing w:val="-6"/>
                <w:sz w:val="24"/>
                <w:szCs w:val="24"/>
                <w:highlight w:val="none"/>
              </w:rPr>
              <w:t>建设规模</w:t>
            </w:r>
          </w:p>
        </w:tc>
        <w:tc>
          <w:tcPr>
            <w:tcW w:w="1414" w:type="dxa"/>
            <w:tcBorders>
              <w:top w:val="single" w:color="000000" w:sz="10" w:space="0"/>
            </w:tcBorders>
            <w:vAlign w:val="top"/>
          </w:tcPr>
          <w:p w14:paraId="35461A49">
            <w:pPr>
              <w:spacing w:before="141" w:line="285" w:lineRule="auto"/>
              <w:ind w:left="312" w:right="242" w:hanging="77"/>
              <w:rPr>
                <w:rFonts w:ascii="宋体" w:hAnsi="宋体" w:eastAsia="宋体" w:cs="宋体"/>
                <w:sz w:val="24"/>
                <w:szCs w:val="24"/>
                <w:highlight w:val="none"/>
              </w:rPr>
            </w:pPr>
            <w:r>
              <w:rPr>
                <w:rFonts w:ascii="宋体" w:hAnsi="宋体" w:eastAsia="宋体" w:cs="宋体"/>
                <w:spacing w:val="-8"/>
                <w:sz w:val="24"/>
                <w:szCs w:val="24"/>
                <w:highlight w:val="none"/>
              </w:rPr>
              <w:t>建筑面积</w:t>
            </w:r>
            <w:r>
              <w:rPr>
                <w:rFonts w:ascii="宋体" w:hAnsi="宋体" w:eastAsia="宋体" w:cs="宋体"/>
                <w:spacing w:val="-18"/>
                <w:w w:val="95"/>
                <w:sz w:val="24"/>
                <w:szCs w:val="24"/>
                <w:highlight w:val="none"/>
              </w:rPr>
              <w:t>(平方米)</w:t>
            </w:r>
          </w:p>
        </w:tc>
        <w:tc>
          <w:tcPr>
            <w:tcW w:w="2401" w:type="dxa"/>
            <w:tcBorders>
              <w:top w:val="single" w:color="000000" w:sz="10" w:space="0"/>
            </w:tcBorders>
            <w:vAlign w:val="top"/>
          </w:tcPr>
          <w:p w14:paraId="5D885D9A">
            <w:pPr>
              <w:spacing w:line="303" w:lineRule="auto"/>
              <w:rPr>
                <w:rFonts w:ascii="Arial"/>
                <w:sz w:val="21"/>
                <w:highlight w:val="none"/>
              </w:rPr>
            </w:pPr>
          </w:p>
          <w:p w14:paraId="40A804F6">
            <w:pPr>
              <w:spacing w:before="78" w:line="220" w:lineRule="auto"/>
              <w:ind w:left="742"/>
              <w:rPr>
                <w:rFonts w:ascii="宋体" w:hAnsi="宋体" w:eastAsia="宋体" w:cs="宋体"/>
                <w:sz w:val="24"/>
                <w:szCs w:val="24"/>
                <w:highlight w:val="none"/>
              </w:rPr>
            </w:pPr>
            <w:r>
              <w:rPr>
                <w:rFonts w:ascii="宋体" w:hAnsi="宋体" w:eastAsia="宋体" w:cs="宋体"/>
                <w:spacing w:val="-7"/>
                <w:sz w:val="24"/>
                <w:szCs w:val="24"/>
                <w:highlight w:val="none"/>
              </w:rPr>
              <w:t>结构形式</w:t>
            </w:r>
          </w:p>
        </w:tc>
        <w:tc>
          <w:tcPr>
            <w:tcW w:w="846" w:type="dxa"/>
            <w:tcBorders>
              <w:top w:val="single" w:color="000000" w:sz="10" w:space="0"/>
            </w:tcBorders>
            <w:vAlign w:val="top"/>
          </w:tcPr>
          <w:p w14:paraId="731002C0">
            <w:pPr>
              <w:spacing w:line="302" w:lineRule="auto"/>
              <w:rPr>
                <w:rFonts w:ascii="Arial"/>
                <w:sz w:val="21"/>
                <w:highlight w:val="none"/>
              </w:rPr>
            </w:pPr>
          </w:p>
          <w:p w14:paraId="7268DD94">
            <w:pPr>
              <w:spacing w:before="78" w:line="220" w:lineRule="auto"/>
              <w:ind w:left="198"/>
              <w:rPr>
                <w:rFonts w:ascii="宋体" w:hAnsi="宋体" w:eastAsia="宋体" w:cs="宋体"/>
                <w:sz w:val="24"/>
                <w:szCs w:val="24"/>
                <w:highlight w:val="none"/>
              </w:rPr>
            </w:pPr>
            <w:r>
              <w:rPr>
                <w:rFonts w:ascii="宋体" w:hAnsi="宋体" w:eastAsia="宋体" w:cs="宋体"/>
                <w:spacing w:val="-4"/>
                <w:sz w:val="24"/>
                <w:szCs w:val="24"/>
                <w:highlight w:val="none"/>
              </w:rPr>
              <w:t>层数</w:t>
            </w:r>
          </w:p>
        </w:tc>
        <w:tc>
          <w:tcPr>
            <w:tcW w:w="1555" w:type="dxa"/>
            <w:tcBorders>
              <w:top w:val="single" w:color="000000" w:sz="10" w:space="0"/>
            </w:tcBorders>
            <w:vAlign w:val="top"/>
          </w:tcPr>
          <w:p w14:paraId="52C224EC">
            <w:pPr>
              <w:spacing w:line="302" w:lineRule="auto"/>
              <w:rPr>
                <w:rFonts w:ascii="Arial"/>
                <w:sz w:val="21"/>
                <w:highlight w:val="none"/>
              </w:rPr>
            </w:pPr>
          </w:p>
          <w:p w14:paraId="36CD70E2">
            <w:pPr>
              <w:spacing w:before="78" w:line="220" w:lineRule="auto"/>
              <w:ind w:left="321"/>
              <w:rPr>
                <w:rFonts w:ascii="宋体" w:hAnsi="宋体" w:eastAsia="宋体" w:cs="宋体"/>
                <w:sz w:val="24"/>
                <w:szCs w:val="24"/>
                <w:highlight w:val="none"/>
              </w:rPr>
            </w:pPr>
            <w:r>
              <w:rPr>
                <w:rFonts w:ascii="宋体" w:hAnsi="宋体" w:eastAsia="宋体" w:cs="宋体"/>
                <w:spacing w:val="-6"/>
                <w:sz w:val="24"/>
                <w:szCs w:val="24"/>
                <w:highlight w:val="none"/>
              </w:rPr>
              <w:t>生产能力</w:t>
            </w:r>
          </w:p>
        </w:tc>
        <w:tc>
          <w:tcPr>
            <w:tcW w:w="2119" w:type="dxa"/>
            <w:tcBorders>
              <w:top w:val="single" w:color="000000" w:sz="10" w:space="0"/>
            </w:tcBorders>
            <w:vAlign w:val="top"/>
          </w:tcPr>
          <w:p w14:paraId="2E175094">
            <w:pPr>
              <w:spacing w:line="302" w:lineRule="auto"/>
              <w:rPr>
                <w:rFonts w:ascii="Arial"/>
                <w:sz w:val="21"/>
                <w:highlight w:val="none"/>
              </w:rPr>
            </w:pPr>
          </w:p>
          <w:p w14:paraId="4A720CAF">
            <w:pPr>
              <w:spacing w:before="78" w:line="220" w:lineRule="auto"/>
              <w:ind w:left="371"/>
              <w:rPr>
                <w:rFonts w:ascii="宋体" w:hAnsi="宋体" w:eastAsia="宋体" w:cs="宋体"/>
                <w:sz w:val="24"/>
                <w:szCs w:val="24"/>
                <w:highlight w:val="none"/>
              </w:rPr>
            </w:pPr>
            <w:r>
              <w:rPr>
                <w:rFonts w:ascii="宋体" w:hAnsi="宋体" w:eastAsia="宋体" w:cs="宋体"/>
                <w:spacing w:val="-5"/>
                <w:sz w:val="24"/>
                <w:szCs w:val="24"/>
                <w:highlight w:val="none"/>
              </w:rPr>
              <w:t>设备安装内容</w:t>
            </w:r>
          </w:p>
        </w:tc>
        <w:tc>
          <w:tcPr>
            <w:tcW w:w="1411" w:type="dxa"/>
            <w:tcBorders>
              <w:top w:val="single" w:color="000000" w:sz="10" w:space="0"/>
            </w:tcBorders>
            <w:vAlign w:val="top"/>
          </w:tcPr>
          <w:p w14:paraId="77A43B84">
            <w:pPr>
              <w:spacing w:before="141" w:line="285" w:lineRule="auto"/>
              <w:ind w:left="391" w:right="211" w:hanging="132"/>
              <w:rPr>
                <w:rFonts w:ascii="宋体" w:hAnsi="宋体" w:eastAsia="宋体" w:cs="宋体"/>
                <w:sz w:val="24"/>
                <w:szCs w:val="24"/>
                <w:highlight w:val="none"/>
              </w:rPr>
            </w:pPr>
            <w:r>
              <w:rPr>
                <w:rFonts w:ascii="宋体" w:hAnsi="宋体" w:eastAsia="宋体" w:cs="宋体"/>
                <w:spacing w:val="-7"/>
                <w:sz w:val="24"/>
                <w:szCs w:val="24"/>
                <w:highlight w:val="none"/>
              </w:rPr>
              <w:t>合同价格</w:t>
            </w:r>
            <w:r>
              <w:rPr>
                <w:rFonts w:ascii="宋体" w:hAnsi="宋体" w:eastAsia="宋体" w:cs="宋体"/>
                <w:spacing w:val="-11"/>
                <w:sz w:val="24"/>
                <w:szCs w:val="24"/>
                <w:highlight w:val="none"/>
              </w:rPr>
              <w:t>（元）</w:t>
            </w:r>
          </w:p>
        </w:tc>
        <w:tc>
          <w:tcPr>
            <w:tcW w:w="848" w:type="dxa"/>
            <w:tcBorders>
              <w:top w:val="single" w:color="000000" w:sz="10" w:space="0"/>
            </w:tcBorders>
            <w:vAlign w:val="top"/>
          </w:tcPr>
          <w:p w14:paraId="5A01D374">
            <w:pPr>
              <w:spacing w:before="143" w:line="221" w:lineRule="auto"/>
              <w:ind w:left="223"/>
              <w:rPr>
                <w:rFonts w:ascii="宋体" w:hAnsi="宋体" w:eastAsia="宋体" w:cs="宋体"/>
                <w:sz w:val="24"/>
                <w:szCs w:val="24"/>
                <w:highlight w:val="none"/>
              </w:rPr>
            </w:pPr>
            <w:r>
              <w:rPr>
                <w:rFonts w:ascii="宋体" w:hAnsi="宋体" w:eastAsia="宋体" w:cs="宋体"/>
                <w:spacing w:val="-4"/>
                <w:sz w:val="24"/>
                <w:szCs w:val="24"/>
                <w:highlight w:val="none"/>
              </w:rPr>
              <w:t>开工</w:t>
            </w:r>
          </w:p>
          <w:p w14:paraId="052FB140">
            <w:pPr>
              <w:spacing w:before="171" w:line="216" w:lineRule="auto"/>
              <w:ind w:left="304"/>
              <w:rPr>
                <w:rFonts w:ascii="宋体" w:hAnsi="宋体" w:eastAsia="宋体" w:cs="宋体"/>
                <w:sz w:val="24"/>
                <w:szCs w:val="24"/>
                <w:highlight w:val="none"/>
              </w:rPr>
            </w:pPr>
            <w:r>
              <w:rPr>
                <w:rFonts w:ascii="宋体" w:hAnsi="宋体" w:eastAsia="宋体" w:cs="宋体"/>
                <w:spacing w:val="-20"/>
                <w:sz w:val="24"/>
                <w:szCs w:val="24"/>
                <w:highlight w:val="none"/>
              </w:rPr>
              <w:t>日期</w:t>
            </w:r>
          </w:p>
        </w:tc>
        <w:tc>
          <w:tcPr>
            <w:tcW w:w="874" w:type="dxa"/>
            <w:tcBorders>
              <w:top w:val="single" w:color="000000" w:sz="10" w:space="0"/>
              <w:right w:val="single" w:color="000000" w:sz="10" w:space="0"/>
            </w:tcBorders>
            <w:vAlign w:val="top"/>
          </w:tcPr>
          <w:p w14:paraId="17B7A144">
            <w:pPr>
              <w:spacing w:before="142" w:line="220" w:lineRule="auto"/>
              <w:ind w:left="227"/>
              <w:rPr>
                <w:rFonts w:ascii="宋体" w:hAnsi="宋体" w:eastAsia="宋体" w:cs="宋体"/>
                <w:sz w:val="24"/>
                <w:szCs w:val="24"/>
                <w:highlight w:val="none"/>
              </w:rPr>
            </w:pPr>
            <w:r>
              <w:rPr>
                <w:rFonts w:ascii="宋体" w:hAnsi="宋体" w:eastAsia="宋体" w:cs="宋体"/>
                <w:spacing w:val="-4"/>
                <w:sz w:val="24"/>
                <w:szCs w:val="24"/>
                <w:highlight w:val="none"/>
              </w:rPr>
              <w:t>竣工</w:t>
            </w:r>
          </w:p>
          <w:p w14:paraId="75B2D2E2">
            <w:pPr>
              <w:spacing w:before="173" w:line="216" w:lineRule="auto"/>
              <w:ind w:left="308"/>
              <w:rPr>
                <w:rFonts w:ascii="宋体" w:hAnsi="宋体" w:eastAsia="宋体" w:cs="宋体"/>
                <w:sz w:val="24"/>
                <w:szCs w:val="24"/>
                <w:highlight w:val="none"/>
              </w:rPr>
            </w:pPr>
            <w:r>
              <w:rPr>
                <w:rFonts w:ascii="宋体" w:hAnsi="宋体" w:eastAsia="宋体" w:cs="宋体"/>
                <w:spacing w:val="-20"/>
                <w:sz w:val="24"/>
                <w:szCs w:val="24"/>
                <w:highlight w:val="none"/>
              </w:rPr>
              <w:t>日期</w:t>
            </w:r>
          </w:p>
        </w:tc>
      </w:tr>
      <w:tr w14:paraId="58EA3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304" w:type="dxa"/>
            <w:tcBorders>
              <w:left w:val="single" w:color="000000" w:sz="10" w:space="0"/>
            </w:tcBorders>
            <w:vAlign w:val="top"/>
          </w:tcPr>
          <w:p w14:paraId="5D73AC11">
            <w:pPr>
              <w:rPr>
                <w:rFonts w:ascii="Arial"/>
                <w:sz w:val="21"/>
                <w:highlight w:val="none"/>
              </w:rPr>
            </w:pPr>
          </w:p>
        </w:tc>
        <w:tc>
          <w:tcPr>
            <w:tcW w:w="1835" w:type="dxa"/>
            <w:vAlign w:val="top"/>
          </w:tcPr>
          <w:p w14:paraId="47B35633">
            <w:pPr>
              <w:rPr>
                <w:rFonts w:ascii="Arial"/>
                <w:sz w:val="21"/>
                <w:highlight w:val="none"/>
              </w:rPr>
            </w:pPr>
          </w:p>
        </w:tc>
        <w:tc>
          <w:tcPr>
            <w:tcW w:w="1414" w:type="dxa"/>
            <w:vAlign w:val="top"/>
          </w:tcPr>
          <w:p w14:paraId="2382BFB9">
            <w:pPr>
              <w:rPr>
                <w:rFonts w:ascii="Arial"/>
                <w:sz w:val="21"/>
                <w:highlight w:val="none"/>
              </w:rPr>
            </w:pPr>
          </w:p>
        </w:tc>
        <w:tc>
          <w:tcPr>
            <w:tcW w:w="2401" w:type="dxa"/>
            <w:vAlign w:val="top"/>
          </w:tcPr>
          <w:p w14:paraId="21C82D6F">
            <w:pPr>
              <w:rPr>
                <w:rFonts w:ascii="Arial"/>
                <w:sz w:val="21"/>
                <w:highlight w:val="none"/>
              </w:rPr>
            </w:pPr>
          </w:p>
        </w:tc>
        <w:tc>
          <w:tcPr>
            <w:tcW w:w="846" w:type="dxa"/>
            <w:vAlign w:val="top"/>
          </w:tcPr>
          <w:p w14:paraId="31B61CA4">
            <w:pPr>
              <w:rPr>
                <w:rFonts w:ascii="Arial"/>
                <w:sz w:val="21"/>
                <w:highlight w:val="none"/>
              </w:rPr>
            </w:pPr>
          </w:p>
        </w:tc>
        <w:tc>
          <w:tcPr>
            <w:tcW w:w="1555" w:type="dxa"/>
            <w:vAlign w:val="top"/>
          </w:tcPr>
          <w:p w14:paraId="6B1636E1">
            <w:pPr>
              <w:rPr>
                <w:rFonts w:ascii="Arial"/>
                <w:sz w:val="21"/>
                <w:highlight w:val="none"/>
              </w:rPr>
            </w:pPr>
          </w:p>
        </w:tc>
        <w:tc>
          <w:tcPr>
            <w:tcW w:w="2119" w:type="dxa"/>
            <w:vAlign w:val="top"/>
          </w:tcPr>
          <w:p w14:paraId="4D1CE8EC">
            <w:pPr>
              <w:rPr>
                <w:rFonts w:ascii="Arial"/>
                <w:sz w:val="21"/>
                <w:highlight w:val="none"/>
              </w:rPr>
            </w:pPr>
          </w:p>
        </w:tc>
        <w:tc>
          <w:tcPr>
            <w:tcW w:w="1411" w:type="dxa"/>
            <w:vAlign w:val="top"/>
          </w:tcPr>
          <w:p w14:paraId="41D9E4E5">
            <w:pPr>
              <w:rPr>
                <w:rFonts w:ascii="Arial"/>
                <w:sz w:val="21"/>
                <w:highlight w:val="none"/>
              </w:rPr>
            </w:pPr>
          </w:p>
        </w:tc>
        <w:tc>
          <w:tcPr>
            <w:tcW w:w="848" w:type="dxa"/>
            <w:vAlign w:val="top"/>
          </w:tcPr>
          <w:p w14:paraId="619C1004">
            <w:pPr>
              <w:rPr>
                <w:rFonts w:ascii="Arial"/>
                <w:sz w:val="21"/>
                <w:highlight w:val="none"/>
              </w:rPr>
            </w:pPr>
          </w:p>
        </w:tc>
        <w:tc>
          <w:tcPr>
            <w:tcW w:w="874" w:type="dxa"/>
            <w:tcBorders>
              <w:right w:val="single" w:color="000000" w:sz="10" w:space="0"/>
            </w:tcBorders>
            <w:vAlign w:val="top"/>
          </w:tcPr>
          <w:p w14:paraId="57E54ED4">
            <w:pPr>
              <w:rPr>
                <w:rFonts w:ascii="Arial"/>
                <w:sz w:val="21"/>
                <w:highlight w:val="none"/>
              </w:rPr>
            </w:pPr>
          </w:p>
        </w:tc>
      </w:tr>
      <w:tr w14:paraId="54972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04" w:type="dxa"/>
            <w:tcBorders>
              <w:left w:val="single" w:color="000000" w:sz="10" w:space="0"/>
            </w:tcBorders>
            <w:vAlign w:val="top"/>
          </w:tcPr>
          <w:p w14:paraId="4F45681A">
            <w:pPr>
              <w:rPr>
                <w:rFonts w:ascii="Arial"/>
                <w:sz w:val="21"/>
                <w:highlight w:val="none"/>
              </w:rPr>
            </w:pPr>
          </w:p>
        </w:tc>
        <w:tc>
          <w:tcPr>
            <w:tcW w:w="1835" w:type="dxa"/>
            <w:vAlign w:val="top"/>
          </w:tcPr>
          <w:p w14:paraId="7C14689E">
            <w:pPr>
              <w:rPr>
                <w:rFonts w:ascii="Arial"/>
                <w:sz w:val="21"/>
                <w:highlight w:val="none"/>
              </w:rPr>
            </w:pPr>
          </w:p>
        </w:tc>
        <w:tc>
          <w:tcPr>
            <w:tcW w:w="1414" w:type="dxa"/>
            <w:vAlign w:val="top"/>
          </w:tcPr>
          <w:p w14:paraId="1D194F1C">
            <w:pPr>
              <w:rPr>
                <w:rFonts w:ascii="Arial"/>
                <w:sz w:val="21"/>
                <w:highlight w:val="none"/>
              </w:rPr>
            </w:pPr>
          </w:p>
        </w:tc>
        <w:tc>
          <w:tcPr>
            <w:tcW w:w="2401" w:type="dxa"/>
            <w:vAlign w:val="top"/>
          </w:tcPr>
          <w:p w14:paraId="6562FB9C">
            <w:pPr>
              <w:rPr>
                <w:rFonts w:ascii="Arial"/>
                <w:sz w:val="21"/>
                <w:highlight w:val="none"/>
              </w:rPr>
            </w:pPr>
          </w:p>
        </w:tc>
        <w:tc>
          <w:tcPr>
            <w:tcW w:w="846" w:type="dxa"/>
            <w:vAlign w:val="top"/>
          </w:tcPr>
          <w:p w14:paraId="134CC5AF">
            <w:pPr>
              <w:rPr>
                <w:rFonts w:ascii="Arial"/>
                <w:sz w:val="21"/>
                <w:highlight w:val="none"/>
              </w:rPr>
            </w:pPr>
          </w:p>
        </w:tc>
        <w:tc>
          <w:tcPr>
            <w:tcW w:w="1555" w:type="dxa"/>
            <w:vAlign w:val="top"/>
          </w:tcPr>
          <w:p w14:paraId="0A2E21EE">
            <w:pPr>
              <w:rPr>
                <w:rFonts w:ascii="Arial"/>
                <w:sz w:val="21"/>
                <w:highlight w:val="none"/>
              </w:rPr>
            </w:pPr>
          </w:p>
        </w:tc>
        <w:tc>
          <w:tcPr>
            <w:tcW w:w="2119" w:type="dxa"/>
            <w:vAlign w:val="top"/>
          </w:tcPr>
          <w:p w14:paraId="1F3DCA9E">
            <w:pPr>
              <w:rPr>
                <w:rFonts w:ascii="Arial"/>
                <w:sz w:val="21"/>
                <w:highlight w:val="none"/>
              </w:rPr>
            </w:pPr>
          </w:p>
        </w:tc>
        <w:tc>
          <w:tcPr>
            <w:tcW w:w="1411" w:type="dxa"/>
            <w:vAlign w:val="top"/>
          </w:tcPr>
          <w:p w14:paraId="3EAAD0BC">
            <w:pPr>
              <w:rPr>
                <w:rFonts w:ascii="Arial"/>
                <w:sz w:val="21"/>
                <w:highlight w:val="none"/>
              </w:rPr>
            </w:pPr>
          </w:p>
        </w:tc>
        <w:tc>
          <w:tcPr>
            <w:tcW w:w="848" w:type="dxa"/>
            <w:vAlign w:val="top"/>
          </w:tcPr>
          <w:p w14:paraId="0E0237BD">
            <w:pPr>
              <w:rPr>
                <w:rFonts w:ascii="Arial"/>
                <w:sz w:val="21"/>
                <w:highlight w:val="none"/>
              </w:rPr>
            </w:pPr>
          </w:p>
        </w:tc>
        <w:tc>
          <w:tcPr>
            <w:tcW w:w="874" w:type="dxa"/>
            <w:tcBorders>
              <w:right w:val="single" w:color="000000" w:sz="10" w:space="0"/>
            </w:tcBorders>
            <w:vAlign w:val="top"/>
          </w:tcPr>
          <w:p w14:paraId="022BC58E">
            <w:pPr>
              <w:rPr>
                <w:rFonts w:ascii="Arial"/>
                <w:sz w:val="21"/>
                <w:highlight w:val="none"/>
              </w:rPr>
            </w:pPr>
          </w:p>
        </w:tc>
      </w:tr>
      <w:tr w14:paraId="418E3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04" w:type="dxa"/>
            <w:tcBorders>
              <w:left w:val="single" w:color="000000" w:sz="10" w:space="0"/>
            </w:tcBorders>
            <w:vAlign w:val="top"/>
          </w:tcPr>
          <w:p w14:paraId="679748D6">
            <w:pPr>
              <w:rPr>
                <w:rFonts w:ascii="Arial"/>
                <w:sz w:val="21"/>
                <w:highlight w:val="none"/>
              </w:rPr>
            </w:pPr>
          </w:p>
        </w:tc>
        <w:tc>
          <w:tcPr>
            <w:tcW w:w="1835" w:type="dxa"/>
            <w:vAlign w:val="top"/>
          </w:tcPr>
          <w:p w14:paraId="3CF70264">
            <w:pPr>
              <w:rPr>
                <w:rFonts w:ascii="Arial"/>
                <w:sz w:val="21"/>
                <w:highlight w:val="none"/>
              </w:rPr>
            </w:pPr>
          </w:p>
        </w:tc>
        <w:tc>
          <w:tcPr>
            <w:tcW w:w="1414" w:type="dxa"/>
            <w:vAlign w:val="top"/>
          </w:tcPr>
          <w:p w14:paraId="72C6EAD8">
            <w:pPr>
              <w:rPr>
                <w:rFonts w:ascii="Arial"/>
                <w:sz w:val="21"/>
                <w:highlight w:val="none"/>
              </w:rPr>
            </w:pPr>
          </w:p>
        </w:tc>
        <w:tc>
          <w:tcPr>
            <w:tcW w:w="2401" w:type="dxa"/>
            <w:vAlign w:val="top"/>
          </w:tcPr>
          <w:p w14:paraId="3B80F562">
            <w:pPr>
              <w:rPr>
                <w:rFonts w:ascii="Arial"/>
                <w:sz w:val="21"/>
                <w:highlight w:val="none"/>
              </w:rPr>
            </w:pPr>
          </w:p>
        </w:tc>
        <w:tc>
          <w:tcPr>
            <w:tcW w:w="846" w:type="dxa"/>
            <w:vAlign w:val="top"/>
          </w:tcPr>
          <w:p w14:paraId="7779CD18">
            <w:pPr>
              <w:rPr>
                <w:rFonts w:ascii="Arial"/>
                <w:sz w:val="21"/>
                <w:highlight w:val="none"/>
              </w:rPr>
            </w:pPr>
          </w:p>
        </w:tc>
        <w:tc>
          <w:tcPr>
            <w:tcW w:w="1555" w:type="dxa"/>
            <w:vAlign w:val="top"/>
          </w:tcPr>
          <w:p w14:paraId="59747BB4">
            <w:pPr>
              <w:rPr>
                <w:rFonts w:ascii="Arial"/>
                <w:sz w:val="21"/>
                <w:highlight w:val="none"/>
              </w:rPr>
            </w:pPr>
          </w:p>
        </w:tc>
        <w:tc>
          <w:tcPr>
            <w:tcW w:w="2119" w:type="dxa"/>
            <w:vAlign w:val="top"/>
          </w:tcPr>
          <w:p w14:paraId="411B6EAB">
            <w:pPr>
              <w:rPr>
                <w:rFonts w:ascii="Arial"/>
                <w:sz w:val="21"/>
                <w:highlight w:val="none"/>
              </w:rPr>
            </w:pPr>
          </w:p>
        </w:tc>
        <w:tc>
          <w:tcPr>
            <w:tcW w:w="1411" w:type="dxa"/>
            <w:vAlign w:val="top"/>
          </w:tcPr>
          <w:p w14:paraId="15CF069C">
            <w:pPr>
              <w:rPr>
                <w:rFonts w:ascii="Arial"/>
                <w:sz w:val="21"/>
                <w:highlight w:val="none"/>
              </w:rPr>
            </w:pPr>
          </w:p>
        </w:tc>
        <w:tc>
          <w:tcPr>
            <w:tcW w:w="848" w:type="dxa"/>
            <w:vAlign w:val="top"/>
          </w:tcPr>
          <w:p w14:paraId="13FF2835">
            <w:pPr>
              <w:rPr>
                <w:rFonts w:ascii="Arial"/>
                <w:sz w:val="21"/>
                <w:highlight w:val="none"/>
              </w:rPr>
            </w:pPr>
          </w:p>
        </w:tc>
        <w:tc>
          <w:tcPr>
            <w:tcW w:w="874" w:type="dxa"/>
            <w:tcBorders>
              <w:right w:val="single" w:color="000000" w:sz="10" w:space="0"/>
            </w:tcBorders>
            <w:vAlign w:val="top"/>
          </w:tcPr>
          <w:p w14:paraId="7BB0817D">
            <w:pPr>
              <w:rPr>
                <w:rFonts w:ascii="Arial"/>
                <w:sz w:val="21"/>
                <w:highlight w:val="none"/>
              </w:rPr>
            </w:pPr>
          </w:p>
        </w:tc>
      </w:tr>
      <w:tr w14:paraId="1B924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04" w:type="dxa"/>
            <w:tcBorders>
              <w:left w:val="single" w:color="000000" w:sz="10" w:space="0"/>
            </w:tcBorders>
            <w:vAlign w:val="top"/>
          </w:tcPr>
          <w:p w14:paraId="3B745709">
            <w:pPr>
              <w:rPr>
                <w:rFonts w:ascii="Arial"/>
                <w:sz w:val="21"/>
                <w:highlight w:val="none"/>
              </w:rPr>
            </w:pPr>
          </w:p>
        </w:tc>
        <w:tc>
          <w:tcPr>
            <w:tcW w:w="1835" w:type="dxa"/>
            <w:vAlign w:val="top"/>
          </w:tcPr>
          <w:p w14:paraId="188A4BEF">
            <w:pPr>
              <w:rPr>
                <w:rFonts w:ascii="Arial"/>
                <w:sz w:val="21"/>
                <w:highlight w:val="none"/>
              </w:rPr>
            </w:pPr>
          </w:p>
        </w:tc>
        <w:tc>
          <w:tcPr>
            <w:tcW w:w="1414" w:type="dxa"/>
            <w:vAlign w:val="top"/>
          </w:tcPr>
          <w:p w14:paraId="1896169C">
            <w:pPr>
              <w:rPr>
                <w:rFonts w:ascii="Arial"/>
                <w:sz w:val="21"/>
                <w:highlight w:val="none"/>
              </w:rPr>
            </w:pPr>
          </w:p>
        </w:tc>
        <w:tc>
          <w:tcPr>
            <w:tcW w:w="2401" w:type="dxa"/>
            <w:vAlign w:val="top"/>
          </w:tcPr>
          <w:p w14:paraId="45CF8AFF">
            <w:pPr>
              <w:rPr>
                <w:rFonts w:ascii="Arial"/>
                <w:sz w:val="21"/>
                <w:highlight w:val="none"/>
              </w:rPr>
            </w:pPr>
          </w:p>
        </w:tc>
        <w:tc>
          <w:tcPr>
            <w:tcW w:w="846" w:type="dxa"/>
            <w:vAlign w:val="top"/>
          </w:tcPr>
          <w:p w14:paraId="2ED192D2">
            <w:pPr>
              <w:rPr>
                <w:rFonts w:ascii="Arial"/>
                <w:sz w:val="21"/>
                <w:highlight w:val="none"/>
              </w:rPr>
            </w:pPr>
          </w:p>
        </w:tc>
        <w:tc>
          <w:tcPr>
            <w:tcW w:w="1555" w:type="dxa"/>
            <w:vAlign w:val="top"/>
          </w:tcPr>
          <w:p w14:paraId="330C5048">
            <w:pPr>
              <w:rPr>
                <w:rFonts w:ascii="Arial"/>
                <w:sz w:val="21"/>
                <w:highlight w:val="none"/>
              </w:rPr>
            </w:pPr>
          </w:p>
        </w:tc>
        <w:tc>
          <w:tcPr>
            <w:tcW w:w="2119" w:type="dxa"/>
            <w:vAlign w:val="top"/>
          </w:tcPr>
          <w:p w14:paraId="5A48E74B">
            <w:pPr>
              <w:rPr>
                <w:rFonts w:ascii="Arial"/>
                <w:sz w:val="21"/>
                <w:highlight w:val="none"/>
              </w:rPr>
            </w:pPr>
          </w:p>
        </w:tc>
        <w:tc>
          <w:tcPr>
            <w:tcW w:w="1411" w:type="dxa"/>
            <w:vAlign w:val="top"/>
          </w:tcPr>
          <w:p w14:paraId="7DD2BD90">
            <w:pPr>
              <w:rPr>
                <w:rFonts w:ascii="Arial"/>
                <w:sz w:val="21"/>
                <w:highlight w:val="none"/>
              </w:rPr>
            </w:pPr>
          </w:p>
        </w:tc>
        <w:tc>
          <w:tcPr>
            <w:tcW w:w="848" w:type="dxa"/>
            <w:vAlign w:val="top"/>
          </w:tcPr>
          <w:p w14:paraId="1C14AB5E">
            <w:pPr>
              <w:rPr>
                <w:rFonts w:ascii="Arial"/>
                <w:sz w:val="21"/>
                <w:highlight w:val="none"/>
              </w:rPr>
            </w:pPr>
          </w:p>
        </w:tc>
        <w:tc>
          <w:tcPr>
            <w:tcW w:w="874" w:type="dxa"/>
            <w:tcBorders>
              <w:right w:val="single" w:color="000000" w:sz="10" w:space="0"/>
            </w:tcBorders>
            <w:vAlign w:val="top"/>
          </w:tcPr>
          <w:p w14:paraId="58366E8F">
            <w:pPr>
              <w:rPr>
                <w:rFonts w:ascii="Arial"/>
                <w:sz w:val="21"/>
                <w:highlight w:val="none"/>
              </w:rPr>
            </w:pPr>
          </w:p>
        </w:tc>
      </w:tr>
      <w:tr w14:paraId="3FCB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04" w:type="dxa"/>
            <w:tcBorders>
              <w:left w:val="single" w:color="000000" w:sz="10" w:space="0"/>
            </w:tcBorders>
            <w:vAlign w:val="top"/>
          </w:tcPr>
          <w:p w14:paraId="08AF7DF2">
            <w:pPr>
              <w:rPr>
                <w:rFonts w:ascii="Arial"/>
                <w:sz w:val="21"/>
                <w:highlight w:val="none"/>
              </w:rPr>
            </w:pPr>
          </w:p>
        </w:tc>
        <w:tc>
          <w:tcPr>
            <w:tcW w:w="1835" w:type="dxa"/>
            <w:vAlign w:val="top"/>
          </w:tcPr>
          <w:p w14:paraId="456DAF03">
            <w:pPr>
              <w:rPr>
                <w:rFonts w:ascii="Arial"/>
                <w:sz w:val="21"/>
                <w:highlight w:val="none"/>
              </w:rPr>
            </w:pPr>
          </w:p>
        </w:tc>
        <w:tc>
          <w:tcPr>
            <w:tcW w:w="1414" w:type="dxa"/>
            <w:vAlign w:val="top"/>
          </w:tcPr>
          <w:p w14:paraId="6766353D">
            <w:pPr>
              <w:rPr>
                <w:rFonts w:ascii="Arial"/>
                <w:sz w:val="21"/>
                <w:highlight w:val="none"/>
              </w:rPr>
            </w:pPr>
          </w:p>
        </w:tc>
        <w:tc>
          <w:tcPr>
            <w:tcW w:w="2401" w:type="dxa"/>
            <w:vAlign w:val="top"/>
          </w:tcPr>
          <w:p w14:paraId="6F7F3711">
            <w:pPr>
              <w:rPr>
                <w:rFonts w:ascii="Arial"/>
                <w:sz w:val="21"/>
                <w:highlight w:val="none"/>
              </w:rPr>
            </w:pPr>
          </w:p>
        </w:tc>
        <w:tc>
          <w:tcPr>
            <w:tcW w:w="846" w:type="dxa"/>
            <w:vAlign w:val="top"/>
          </w:tcPr>
          <w:p w14:paraId="74427A0C">
            <w:pPr>
              <w:rPr>
                <w:rFonts w:ascii="Arial"/>
                <w:sz w:val="21"/>
                <w:highlight w:val="none"/>
              </w:rPr>
            </w:pPr>
          </w:p>
        </w:tc>
        <w:tc>
          <w:tcPr>
            <w:tcW w:w="1555" w:type="dxa"/>
            <w:vAlign w:val="top"/>
          </w:tcPr>
          <w:p w14:paraId="691C3716">
            <w:pPr>
              <w:rPr>
                <w:rFonts w:ascii="Arial"/>
                <w:sz w:val="21"/>
                <w:highlight w:val="none"/>
              </w:rPr>
            </w:pPr>
          </w:p>
        </w:tc>
        <w:tc>
          <w:tcPr>
            <w:tcW w:w="2119" w:type="dxa"/>
            <w:vAlign w:val="top"/>
          </w:tcPr>
          <w:p w14:paraId="1D11527C">
            <w:pPr>
              <w:rPr>
                <w:rFonts w:ascii="Arial"/>
                <w:sz w:val="21"/>
                <w:highlight w:val="none"/>
              </w:rPr>
            </w:pPr>
          </w:p>
        </w:tc>
        <w:tc>
          <w:tcPr>
            <w:tcW w:w="1411" w:type="dxa"/>
            <w:vAlign w:val="top"/>
          </w:tcPr>
          <w:p w14:paraId="3557AA47">
            <w:pPr>
              <w:rPr>
                <w:rFonts w:ascii="Arial"/>
                <w:sz w:val="21"/>
                <w:highlight w:val="none"/>
              </w:rPr>
            </w:pPr>
          </w:p>
        </w:tc>
        <w:tc>
          <w:tcPr>
            <w:tcW w:w="848" w:type="dxa"/>
            <w:vAlign w:val="top"/>
          </w:tcPr>
          <w:p w14:paraId="77B4784E">
            <w:pPr>
              <w:rPr>
                <w:rFonts w:ascii="Arial"/>
                <w:sz w:val="21"/>
                <w:highlight w:val="none"/>
              </w:rPr>
            </w:pPr>
          </w:p>
        </w:tc>
        <w:tc>
          <w:tcPr>
            <w:tcW w:w="874" w:type="dxa"/>
            <w:tcBorders>
              <w:right w:val="single" w:color="000000" w:sz="10" w:space="0"/>
            </w:tcBorders>
            <w:vAlign w:val="top"/>
          </w:tcPr>
          <w:p w14:paraId="573C594D">
            <w:pPr>
              <w:rPr>
                <w:rFonts w:ascii="Arial"/>
                <w:sz w:val="21"/>
                <w:highlight w:val="none"/>
              </w:rPr>
            </w:pPr>
          </w:p>
        </w:tc>
      </w:tr>
      <w:tr w14:paraId="05304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04" w:type="dxa"/>
            <w:tcBorders>
              <w:left w:val="single" w:color="000000" w:sz="10" w:space="0"/>
            </w:tcBorders>
            <w:vAlign w:val="top"/>
          </w:tcPr>
          <w:p w14:paraId="3DF971C2">
            <w:pPr>
              <w:rPr>
                <w:rFonts w:ascii="Arial"/>
                <w:sz w:val="21"/>
                <w:highlight w:val="none"/>
              </w:rPr>
            </w:pPr>
          </w:p>
        </w:tc>
        <w:tc>
          <w:tcPr>
            <w:tcW w:w="1835" w:type="dxa"/>
            <w:vAlign w:val="top"/>
          </w:tcPr>
          <w:p w14:paraId="78259197">
            <w:pPr>
              <w:rPr>
                <w:rFonts w:ascii="Arial"/>
                <w:sz w:val="21"/>
                <w:highlight w:val="none"/>
              </w:rPr>
            </w:pPr>
          </w:p>
        </w:tc>
        <w:tc>
          <w:tcPr>
            <w:tcW w:w="1414" w:type="dxa"/>
            <w:vAlign w:val="top"/>
          </w:tcPr>
          <w:p w14:paraId="7E3BA460">
            <w:pPr>
              <w:rPr>
                <w:rFonts w:ascii="Arial"/>
                <w:sz w:val="21"/>
                <w:highlight w:val="none"/>
              </w:rPr>
            </w:pPr>
          </w:p>
        </w:tc>
        <w:tc>
          <w:tcPr>
            <w:tcW w:w="2401" w:type="dxa"/>
            <w:vAlign w:val="top"/>
          </w:tcPr>
          <w:p w14:paraId="63FB12BC">
            <w:pPr>
              <w:rPr>
                <w:rFonts w:ascii="Arial"/>
                <w:sz w:val="21"/>
                <w:highlight w:val="none"/>
              </w:rPr>
            </w:pPr>
          </w:p>
        </w:tc>
        <w:tc>
          <w:tcPr>
            <w:tcW w:w="846" w:type="dxa"/>
            <w:vAlign w:val="top"/>
          </w:tcPr>
          <w:p w14:paraId="29D6F074">
            <w:pPr>
              <w:rPr>
                <w:rFonts w:ascii="Arial"/>
                <w:sz w:val="21"/>
                <w:highlight w:val="none"/>
              </w:rPr>
            </w:pPr>
          </w:p>
        </w:tc>
        <w:tc>
          <w:tcPr>
            <w:tcW w:w="1555" w:type="dxa"/>
            <w:vAlign w:val="top"/>
          </w:tcPr>
          <w:p w14:paraId="23016382">
            <w:pPr>
              <w:rPr>
                <w:rFonts w:ascii="Arial"/>
                <w:sz w:val="21"/>
                <w:highlight w:val="none"/>
              </w:rPr>
            </w:pPr>
          </w:p>
        </w:tc>
        <w:tc>
          <w:tcPr>
            <w:tcW w:w="2119" w:type="dxa"/>
            <w:vAlign w:val="top"/>
          </w:tcPr>
          <w:p w14:paraId="1E97D628">
            <w:pPr>
              <w:rPr>
                <w:rFonts w:ascii="Arial"/>
                <w:sz w:val="21"/>
                <w:highlight w:val="none"/>
              </w:rPr>
            </w:pPr>
          </w:p>
        </w:tc>
        <w:tc>
          <w:tcPr>
            <w:tcW w:w="1411" w:type="dxa"/>
            <w:vAlign w:val="top"/>
          </w:tcPr>
          <w:p w14:paraId="153FFA3D">
            <w:pPr>
              <w:rPr>
                <w:rFonts w:ascii="Arial"/>
                <w:sz w:val="21"/>
                <w:highlight w:val="none"/>
              </w:rPr>
            </w:pPr>
          </w:p>
        </w:tc>
        <w:tc>
          <w:tcPr>
            <w:tcW w:w="848" w:type="dxa"/>
            <w:vAlign w:val="top"/>
          </w:tcPr>
          <w:p w14:paraId="76D739F3">
            <w:pPr>
              <w:rPr>
                <w:rFonts w:ascii="Arial"/>
                <w:sz w:val="21"/>
                <w:highlight w:val="none"/>
              </w:rPr>
            </w:pPr>
          </w:p>
        </w:tc>
        <w:tc>
          <w:tcPr>
            <w:tcW w:w="874" w:type="dxa"/>
            <w:tcBorders>
              <w:right w:val="single" w:color="000000" w:sz="10" w:space="0"/>
            </w:tcBorders>
            <w:vAlign w:val="top"/>
          </w:tcPr>
          <w:p w14:paraId="4EA17715">
            <w:pPr>
              <w:rPr>
                <w:rFonts w:ascii="Arial"/>
                <w:sz w:val="21"/>
                <w:highlight w:val="none"/>
              </w:rPr>
            </w:pPr>
          </w:p>
        </w:tc>
      </w:tr>
      <w:tr w14:paraId="6F766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04" w:type="dxa"/>
            <w:tcBorders>
              <w:left w:val="single" w:color="000000" w:sz="10" w:space="0"/>
            </w:tcBorders>
            <w:vAlign w:val="top"/>
          </w:tcPr>
          <w:p w14:paraId="6B83D60F">
            <w:pPr>
              <w:rPr>
                <w:rFonts w:ascii="Arial"/>
                <w:sz w:val="21"/>
                <w:highlight w:val="none"/>
              </w:rPr>
            </w:pPr>
          </w:p>
        </w:tc>
        <w:tc>
          <w:tcPr>
            <w:tcW w:w="1835" w:type="dxa"/>
            <w:vAlign w:val="top"/>
          </w:tcPr>
          <w:p w14:paraId="4D89EED6">
            <w:pPr>
              <w:rPr>
                <w:rFonts w:ascii="Arial"/>
                <w:sz w:val="21"/>
                <w:highlight w:val="none"/>
              </w:rPr>
            </w:pPr>
          </w:p>
        </w:tc>
        <w:tc>
          <w:tcPr>
            <w:tcW w:w="1414" w:type="dxa"/>
            <w:vAlign w:val="top"/>
          </w:tcPr>
          <w:p w14:paraId="6DB620D2">
            <w:pPr>
              <w:rPr>
                <w:rFonts w:ascii="Arial"/>
                <w:sz w:val="21"/>
                <w:highlight w:val="none"/>
              </w:rPr>
            </w:pPr>
          </w:p>
        </w:tc>
        <w:tc>
          <w:tcPr>
            <w:tcW w:w="2401" w:type="dxa"/>
            <w:vAlign w:val="top"/>
          </w:tcPr>
          <w:p w14:paraId="0882C6D9">
            <w:pPr>
              <w:rPr>
                <w:rFonts w:ascii="Arial"/>
                <w:sz w:val="21"/>
                <w:highlight w:val="none"/>
              </w:rPr>
            </w:pPr>
          </w:p>
        </w:tc>
        <w:tc>
          <w:tcPr>
            <w:tcW w:w="846" w:type="dxa"/>
            <w:vAlign w:val="top"/>
          </w:tcPr>
          <w:p w14:paraId="5CCB5EB3">
            <w:pPr>
              <w:rPr>
                <w:rFonts w:ascii="Arial"/>
                <w:sz w:val="21"/>
                <w:highlight w:val="none"/>
              </w:rPr>
            </w:pPr>
          </w:p>
        </w:tc>
        <w:tc>
          <w:tcPr>
            <w:tcW w:w="1555" w:type="dxa"/>
            <w:vAlign w:val="top"/>
          </w:tcPr>
          <w:p w14:paraId="7BD745DF">
            <w:pPr>
              <w:rPr>
                <w:rFonts w:ascii="Arial"/>
                <w:sz w:val="21"/>
                <w:highlight w:val="none"/>
              </w:rPr>
            </w:pPr>
          </w:p>
        </w:tc>
        <w:tc>
          <w:tcPr>
            <w:tcW w:w="2119" w:type="dxa"/>
            <w:vAlign w:val="top"/>
          </w:tcPr>
          <w:p w14:paraId="4C188D82">
            <w:pPr>
              <w:rPr>
                <w:rFonts w:ascii="Arial"/>
                <w:sz w:val="21"/>
                <w:highlight w:val="none"/>
              </w:rPr>
            </w:pPr>
          </w:p>
        </w:tc>
        <w:tc>
          <w:tcPr>
            <w:tcW w:w="1411" w:type="dxa"/>
            <w:vAlign w:val="top"/>
          </w:tcPr>
          <w:p w14:paraId="7DB7ECD7">
            <w:pPr>
              <w:rPr>
                <w:rFonts w:ascii="Arial"/>
                <w:sz w:val="21"/>
                <w:highlight w:val="none"/>
              </w:rPr>
            </w:pPr>
          </w:p>
        </w:tc>
        <w:tc>
          <w:tcPr>
            <w:tcW w:w="848" w:type="dxa"/>
            <w:vAlign w:val="top"/>
          </w:tcPr>
          <w:p w14:paraId="5AAA000E">
            <w:pPr>
              <w:rPr>
                <w:rFonts w:ascii="Arial"/>
                <w:sz w:val="21"/>
                <w:highlight w:val="none"/>
              </w:rPr>
            </w:pPr>
          </w:p>
        </w:tc>
        <w:tc>
          <w:tcPr>
            <w:tcW w:w="874" w:type="dxa"/>
            <w:tcBorders>
              <w:right w:val="single" w:color="000000" w:sz="10" w:space="0"/>
            </w:tcBorders>
            <w:vAlign w:val="top"/>
          </w:tcPr>
          <w:p w14:paraId="6A6CE13C">
            <w:pPr>
              <w:rPr>
                <w:rFonts w:ascii="Arial"/>
                <w:sz w:val="21"/>
                <w:highlight w:val="none"/>
              </w:rPr>
            </w:pPr>
          </w:p>
        </w:tc>
      </w:tr>
      <w:tr w14:paraId="4C95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04" w:type="dxa"/>
            <w:tcBorders>
              <w:left w:val="single" w:color="000000" w:sz="10" w:space="0"/>
            </w:tcBorders>
            <w:vAlign w:val="top"/>
          </w:tcPr>
          <w:p w14:paraId="1341E468">
            <w:pPr>
              <w:rPr>
                <w:rFonts w:ascii="Arial"/>
                <w:sz w:val="21"/>
                <w:highlight w:val="none"/>
              </w:rPr>
            </w:pPr>
          </w:p>
        </w:tc>
        <w:tc>
          <w:tcPr>
            <w:tcW w:w="1835" w:type="dxa"/>
            <w:vAlign w:val="top"/>
          </w:tcPr>
          <w:p w14:paraId="7C7CA972">
            <w:pPr>
              <w:rPr>
                <w:rFonts w:ascii="Arial"/>
                <w:sz w:val="21"/>
                <w:highlight w:val="none"/>
              </w:rPr>
            </w:pPr>
          </w:p>
        </w:tc>
        <w:tc>
          <w:tcPr>
            <w:tcW w:w="1414" w:type="dxa"/>
            <w:vAlign w:val="top"/>
          </w:tcPr>
          <w:p w14:paraId="11204D86">
            <w:pPr>
              <w:rPr>
                <w:rFonts w:ascii="Arial"/>
                <w:sz w:val="21"/>
                <w:highlight w:val="none"/>
              </w:rPr>
            </w:pPr>
          </w:p>
        </w:tc>
        <w:tc>
          <w:tcPr>
            <w:tcW w:w="2401" w:type="dxa"/>
            <w:vAlign w:val="top"/>
          </w:tcPr>
          <w:p w14:paraId="7A0EA1CC">
            <w:pPr>
              <w:rPr>
                <w:rFonts w:ascii="Arial"/>
                <w:sz w:val="21"/>
                <w:highlight w:val="none"/>
              </w:rPr>
            </w:pPr>
          </w:p>
        </w:tc>
        <w:tc>
          <w:tcPr>
            <w:tcW w:w="846" w:type="dxa"/>
            <w:vAlign w:val="top"/>
          </w:tcPr>
          <w:p w14:paraId="3F9A3D55">
            <w:pPr>
              <w:rPr>
                <w:rFonts w:ascii="Arial"/>
                <w:sz w:val="21"/>
                <w:highlight w:val="none"/>
              </w:rPr>
            </w:pPr>
          </w:p>
        </w:tc>
        <w:tc>
          <w:tcPr>
            <w:tcW w:w="1555" w:type="dxa"/>
            <w:vAlign w:val="top"/>
          </w:tcPr>
          <w:p w14:paraId="134F40EC">
            <w:pPr>
              <w:rPr>
                <w:rFonts w:ascii="Arial"/>
                <w:sz w:val="21"/>
                <w:highlight w:val="none"/>
              </w:rPr>
            </w:pPr>
          </w:p>
        </w:tc>
        <w:tc>
          <w:tcPr>
            <w:tcW w:w="2119" w:type="dxa"/>
            <w:vAlign w:val="top"/>
          </w:tcPr>
          <w:p w14:paraId="124FF066">
            <w:pPr>
              <w:rPr>
                <w:rFonts w:ascii="Arial"/>
                <w:sz w:val="21"/>
                <w:highlight w:val="none"/>
              </w:rPr>
            </w:pPr>
          </w:p>
        </w:tc>
        <w:tc>
          <w:tcPr>
            <w:tcW w:w="1411" w:type="dxa"/>
            <w:vAlign w:val="top"/>
          </w:tcPr>
          <w:p w14:paraId="127A0A43">
            <w:pPr>
              <w:rPr>
                <w:rFonts w:ascii="Arial"/>
                <w:sz w:val="21"/>
                <w:highlight w:val="none"/>
              </w:rPr>
            </w:pPr>
          </w:p>
        </w:tc>
        <w:tc>
          <w:tcPr>
            <w:tcW w:w="848" w:type="dxa"/>
            <w:vAlign w:val="top"/>
          </w:tcPr>
          <w:p w14:paraId="5C79F9C7">
            <w:pPr>
              <w:rPr>
                <w:rFonts w:ascii="Arial"/>
                <w:sz w:val="21"/>
                <w:highlight w:val="none"/>
              </w:rPr>
            </w:pPr>
          </w:p>
        </w:tc>
        <w:tc>
          <w:tcPr>
            <w:tcW w:w="874" w:type="dxa"/>
            <w:tcBorders>
              <w:right w:val="single" w:color="000000" w:sz="10" w:space="0"/>
            </w:tcBorders>
            <w:vAlign w:val="top"/>
          </w:tcPr>
          <w:p w14:paraId="7F254630">
            <w:pPr>
              <w:rPr>
                <w:rFonts w:ascii="Arial"/>
                <w:sz w:val="21"/>
                <w:highlight w:val="none"/>
              </w:rPr>
            </w:pPr>
          </w:p>
        </w:tc>
      </w:tr>
      <w:tr w14:paraId="073B9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04" w:type="dxa"/>
            <w:tcBorders>
              <w:left w:val="single" w:color="000000" w:sz="10" w:space="0"/>
            </w:tcBorders>
            <w:vAlign w:val="top"/>
          </w:tcPr>
          <w:p w14:paraId="03130110">
            <w:pPr>
              <w:rPr>
                <w:rFonts w:ascii="Arial"/>
                <w:sz w:val="21"/>
                <w:highlight w:val="none"/>
              </w:rPr>
            </w:pPr>
          </w:p>
        </w:tc>
        <w:tc>
          <w:tcPr>
            <w:tcW w:w="1835" w:type="dxa"/>
            <w:vAlign w:val="top"/>
          </w:tcPr>
          <w:p w14:paraId="03E39A88">
            <w:pPr>
              <w:rPr>
                <w:rFonts w:ascii="Arial"/>
                <w:sz w:val="21"/>
                <w:highlight w:val="none"/>
              </w:rPr>
            </w:pPr>
          </w:p>
        </w:tc>
        <w:tc>
          <w:tcPr>
            <w:tcW w:w="1414" w:type="dxa"/>
            <w:vAlign w:val="top"/>
          </w:tcPr>
          <w:p w14:paraId="1BA237DC">
            <w:pPr>
              <w:rPr>
                <w:rFonts w:ascii="Arial"/>
                <w:sz w:val="21"/>
                <w:highlight w:val="none"/>
              </w:rPr>
            </w:pPr>
          </w:p>
        </w:tc>
        <w:tc>
          <w:tcPr>
            <w:tcW w:w="2401" w:type="dxa"/>
            <w:vAlign w:val="top"/>
          </w:tcPr>
          <w:p w14:paraId="15ED5446">
            <w:pPr>
              <w:rPr>
                <w:rFonts w:ascii="Arial"/>
                <w:sz w:val="21"/>
                <w:highlight w:val="none"/>
              </w:rPr>
            </w:pPr>
          </w:p>
        </w:tc>
        <w:tc>
          <w:tcPr>
            <w:tcW w:w="846" w:type="dxa"/>
            <w:vAlign w:val="top"/>
          </w:tcPr>
          <w:p w14:paraId="62B8E30A">
            <w:pPr>
              <w:rPr>
                <w:rFonts w:ascii="Arial"/>
                <w:sz w:val="21"/>
                <w:highlight w:val="none"/>
              </w:rPr>
            </w:pPr>
          </w:p>
        </w:tc>
        <w:tc>
          <w:tcPr>
            <w:tcW w:w="1555" w:type="dxa"/>
            <w:vAlign w:val="top"/>
          </w:tcPr>
          <w:p w14:paraId="67F186B9">
            <w:pPr>
              <w:rPr>
                <w:rFonts w:ascii="Arial"/>
                <w:sz w:val="21"/>
                <w:highlight w:val="none"/>
              </w:rPr>
            </w:pPr>
          </w:p>
        </w:tc>
        <w:tc>
          <w:tcPr>
            <w:tcW w:w="2119" w:type="dxa"/>
            <w:vAlign w:val="top"/>
          </w:tcPr>
          <w:p w14:paraId="6209E769">
            <w:pPr>
              <w:rPr>
                <w:rFonts w:ascii="Arial"/>
                <w:sz w:val="21"/>
                <w:highlight w:val="none"/>
              </w:rPr>
            </w:pPr>
          </w:p>
        </w:tc>
        <w:tc>
          <w:tcPr>
            <w:tcW w:w="1411" w:type="dxa"/>
            <w:vAlign w:val="top"/>
          </w:tcPr>
          <w:p w14:paraId="37C5F563">
            <w:pPr>
              <w:rPr>
                <w:rFonts w:ascii="Arial"/>
                <w:sz w:val="21"/>
                <w:highlight w:val="none"/>
              </w:rPr>
            </w:pPr>
          </w:p>
        </w:tc>
        <w:tc>
          <w:tcPr>
            <w:tcW w:w="848" w:type="dxa"/>
            <w:vAlign w:val="top"/>
          </w:tcPr>
          <w:p w14:paraId="7F199181">
            <w:pPr>
              <w:rPr>
                <w:rFonts w:ascii="Arial"/>
                <w:sz w:val="21"/>
                <w:highlight w:val="none"/>
              </w:rPr>
            </w:pPr>
          </w:p>
        </w:tc>
        <w:tc>
          <w:tcPr>
            <w:tcW w:w="874" w:type="dxa"/>
            <w:tcBorders>
              <w:right w:val="single" w:color="000000" w:sz="10" w:space="0"/>
            </w:tcBorders>
            <w:vAlign w:val="top"/>
          </w:tcPr>
          <w:p w14:paraId="0717C77D">
            <w:pPr>
              <w:rPr>
                <w:rFonts w:ascii="Arial"/>
                <w:sz w:val="21"/>
                <w:highlight w:val="none"/>
              </w:rPr>
            </w:pPr>
          </w:p>
        </w:tc>
      </w:tr>
      <w:tr w14:paraId="157F2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04" w:type="dxa"/>
            <w:tcBorders>
              <w:left w:val="single" w:color="000000" w:sz="10" w:space="0"/>
            </w:tcBorders>
            <w:vAlign w:val="top"/>
          </w:tcPr>
          <w:p w14:paraId="1411072C">
            <w:pPr>
              <w:rPr>
                <w:rFonts w:ascii="Arial"/>
                <w:sz w:val="21"/>
                <w:highlight w:val="none"/>
              </w:rPr>
            </w:pPr>
          </w:p>
        </w:tc>
        <w:tc>
          <w:tcPr>
            <w:tcW w:w="1835" w:type="dxa"/>
            <w:vAlign w:val="top"/>
          </w:tcPr>
          <w:p w14:paraId="5D76D6F3">
            <w:pPr>
              <w:rPr>
                <w:rFonts w:ascii="Arial"/>
                <w:sz w:val="21"/>
                <w:highlight w:val="none"/>
              </w:rPr>
            </w:pPr>
          </w:p>
        </w:tc>
        <w:tc>
          <w:tcPr>
            <w:tcW w:w="1414" w:type="dxa"/>
            <w:vAlign w:val="top"/>
          </w:tcPr>
          <w:p w14:paraId="0619EC49">
            <w:pPr>
              <w:rPr>
                <w:rFonts w:ascii="Arial"/>
                <w:sz w:val="21"/>
                <w:highlight w:val="none"/>
              </w:rPr>
            </w:pPr>
          </w:p>
        </w:tc>
        <w:tc>
          <w:tcPr>
            <w:tcW w:w="2401" w:type="dxa"/>
            <w:vAlign w:val="top"/>
          </w:tcPr>
          <w:p w14:paraId="0E7EC15E">
            <w:pPr>
              <w:rPr>
                <w:rFonts w:ascii="Arial"/>
                <w:sz w:val="21"/>
                <w:highlight w:val="none"/>
              </w:rPr>
            </w:pPr>
          </w:p>
        </w:tc>
        <w:tc>
          <w:tcPr>
            <w:tcW w:w="846" w:type="dxa"/>
            <w:vAlign w:val="top"/>
          </w:tcPr>
          <w:p w14:paraId="7B31E1D7">
            <w:pPr>
              <w:rPr>
                <w:rFonts w:ascii="Arial"/>
                <w:sz w:val="21"/>
                <w:highlight w:val="none"/>
              </w:rPr>
            </w:pPr>
          </w:p>
        </w:tc>
        <w:tc>
          <w:tcPr>
            <w:tcW w:w="1555" w:type="dxa"/>
            <w:vAlign w:val="top"/>
          </w:tcPr>
          <w:p w14:paraId="48F080BA">
            <w:pPr>
              <w:rPr>
                <w:rFonts w:ascii="Arial"/>
                <w:sz w:val="21"/>
                <w:highlight w:val="none"/>
              </w:rPr>
            </w:pPr>
          </w:p>
        </w:tc>
        <w:tc>
          <w:tcPr>
            <w:tcW w:w="2119" w:type="dxa"/>
            <w:vAlign w:val="top"/>
          </w:tcPr>
          <w:p w14:paraId="6F35EE76">
            <w:pPr>
              <w:rPr>
                <w:rFonts w:ascii="Arial"/>
                <w:sz w:val="21"/>
                <w:highlight w:val="none"/>
              </w:rPr>
            </w:pPr>
          </w:p>
        </w:tc>
        <w:tc>
          <w:tcPr>
            <w:tcW w:w="1411" w:type="dxa"/>
            <w:vAlign w:val="top"/>
          </w:tcPr>
          <w:p w14:paraId="17762265">
            <w:pPr>
              <w:rPr>
                <w:rFonts w:ascii="Arial"/>
                <w:sz w:val="21"/>
                <w:highlight w:val="none"/>
              </w:rPr>
            </w:pPr>
          </w:p>
        </w:tc>
        <w:tc>
          <w:tcPr>
            <w:tcW w:w="848" w:type="dxa"/>
            <w:vAlign w:val="top"/>
          </w:tcPr>
          <w:p w14:paraId="60DA8D39">
            <w:pPr>
              <w:rPr>
                <w:rFonts w:ascii="Arial"/>
                <w:sz w:val="21"/>
                <w:highlight w:val="none"/>
              </w:rPr>
            </w:pPr>
          </w:p>
        </w:tc>
        <w:tc>
          <w:tcPr>
            <w:tcW w:w="874" w:type="dxa"/>
            <w:tcBorders>
              <w:right w:val="single" w:color="000000" w:sz="10" w:space="0"/>
            </w:tcBorders>
            <w:vAlign w:val="top"/>
          </w:tcPr>
          <w:p w14:paraId="731BEBEF">
            <w:pPr>
              <w:rPr>
                <w:rFonts w:ascii="Arial"/>
                <w:sz w:val="21"/>
                <w:highlight w:val="none"/>
              </w:rPr>
            </w:pPr>
          </w:p>
        </w:tc>
      </w:tr>
      <w:tr w14:paraId="3A852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304" w:type="dxa"/>
            <w:tcBorders>
              <w:left w:val="single" w:color="000000" w:sz="10" w:space="0"/>
              <w:bottom w:val="single" w:color="000000" w:sz="10" w:space="0"/>
            </w:tcBorders>
            <w:vAlign w:val="top"/>
          </w:tcPr>
          <w:p w14:paraId="33B24620">
            <w:pPr>
              <w:rPr>
                <w:rFonts w:ascii="Arial"/>
                <w:sz w:val="21"/>
                <w:highlight w:val="none"/>
              </w:rPr>
            </w:pPr>
          </w:p>
        </w:tc>
        <w:tc>
          <w:tcPr>
            <w:tcW w:w="1835" w:type="dxa"/>
            <w:tcBorders>
              <w:bottom w:val="single" w:color="000000" w:sz="10" w:space="0"/>
            </w:tcBorders>
            <w:vAlign w:val="top"/>
          </w:tcPr>
          <w:p w14:paraId="63168DF0">
            <w:pPr>
              <w:rPr>
                <w:rFonts w:ascii="Arial"/>
                <w:sz w:val="21"/>
                <w:highlight w:val="none"/>
              </w:rPr>
            </w:pPr>
          </w:p>
        </w:tc>
        <w:tc>
          <w:tcPr>
            <w:tcW w:w="1414" w:type="dxa"/>
            <w:tcBorders>
              <w:bottom w:val="single" w:color="000000" w:sz="10" w:space="0"/>
            </w:tcBorders>
            <w:vAlign w:val="top"/>
          </w:tcPr>
          <w:p w14:paraId="714F3DE2">
            <w:pPr>
              <w:rPr>
                <w:rFonts w:ascii="Arial"/>
                <w:sz w:val="21"/>
                <w:highlight w:val="none"/>
              </w:rPr>
            </w:pPr>
          </w:p>
        </w:tc>
        <w:tc>
          <w:tcPr>
            <w:tcW w:w="2401" w:type="dxa"/>
            <w:tcBorders>
              <w:bottom w:val="single" w:color="000000" w:sz="10" w:space="0"/>
            </w:tcBorders>
            <w:vAlign w:val="top"/>
          </w:tcPr>
          <w:p w14:paraId="4D4CC4C6">
            <w:pPr>
              <w:rPr>
                <w:rFonts w:ascii="Arial"/>
                <w:sz w:val="21"/>
                <w:highlight w:val="none"/>
              </w:rPr>
            </w:pPr>
          </w:p>
        </w:tc>
        <w:tc>
          <w:tcPr>
            <w:tcW w:w="846" w:type="dxa"/>
            <w:tcBorders>
              <w:bottom w:val="single" w:color="000000" w:sz="10" w:space="0"/>
            </w:tcBorders>
            <w:vAlign w:val="top"/>
          </w:tcPr>
          <w:p w14:paraId="66177E46">
            <w:pPr>
              <w:rPr>
                <w:rFonts w:ascii="Arial"/>
                <w:sz w:val="21"/>
                <w:highlight w:val="none"/>
              </w:rPr>
            </w:pPr>
          </w:p>
        </w:tc>
        <w:tc>
          <w:tcPr>
            <w:tcW w:w="1555" w:type="dxa"/>
            <w:tcBorders>
              <w:bottom w:val="single" w:color="000000" w:sz="10" w:space="0"/>
            </w:tcBorders>
            <w:vAlign w:val="top"/>
          </w:tcPr>
          <w:p w14:paraId="3FBC599C">
            <w:pPr>
              <w:rPr>
                <w:rFonts w:ascii="Arial"/>
                <w:sz w:val="21"/>
                <w:highlight w:val="none"/>
              </w:rPr>
            </w:pPr>
          </w:p>
        </w:tc>
        <w:tc>
          <w:tcPr>
            <w:tcW w:w="2119" w:type="dxa"/>
            <w:tcBorders>
              <w:bottom w:val="single" w:color="000000" w:sz="10" w:space="0"/>
            </w:tcBorders>
            <w:vAlign w:val="top"/>
          </w:tcPr>
          <w:p w14:paraId="29B7728C">
            <w:pPr>
              <w:rPr>
                <w:rFonts w:ascii="Arial"/>
                <w:sz w:val="21"/>
                <w:highlight w:val="none"/>
              </w:rPr>
            </w:pPr>
          </w:p>
        </w:tc>
        <w:tc>
          <w:tcPr>
            <w:tcW w:w="1411" w:type="dxa"/>
            <w:tcBorders>
              <w:bottom w:val="single" w:color="000000" w:sz="10" w:space="0"/>
            </w:tcBorders>
            <w:vAlign w:val="top"/>
          </w:tcPr>
          <w:p w14:paraId="479EA4CD">
            <w:pPr>
              <w:rPr>
                <w:rFonts w:ascii="Arial"/>
                <w:sz w:val="21"/>
                <w:highlight w:val="none"/>
              </w:rPr>
            </w:pPr>
          </w:p>
        </w:tc>
        <w:tc>
          <w:tcPr>
            <w:tcW w:w="848" w:type="dxa"/>
            <w:tcBorders>
              <w:bottom w:val="single" w:color="000000" w:sz="10" w:space="0"/>
            </w:tcBorders>
            <w:vAlign w:val="top"/>
          </w:tcPr>
          <w:p w14:paraId="7D793D7A">
            <w:pPr>
              <w:rPr>
                <w:rFonts w:ascii="Arial"/>
                <w:sz w:val="21"/>
                <w:highlight w:val="none"/>
              </w:rPr>
            </w:pPr>
          </w:p>
        </w:tc>
        <w:tc>
          <w:tcPr>
            <w:tcW w:w="874" w:type="dxa"/>
            <w:tcBorders>
              <w:bottom w:val="single" w:color="000000" w:sz="10" w:space="0"/>
              <w:right w:val="single" w:color="000000" w:sz="10" w:space="0"/>
            </w:tcBorders>
            <w:vAlign w:val="top"/>
          </w:tcPr>
          <w:p w14:paraId="1348A9A1">
            <w:pPr>
              <w:rPr>
                <w:rFonts w:ascii="Arial"/>
                <w:sz w:val="21"/>
                <w:highlight w:val="none"/>
              </w:rPr>
            </w:pPr>
          </w:p>
        </w:tc>
      </w:tr>
    </w:tbl>
    <w:p w14:paraId="0F6E620F">
      <w:pPr>
        <w:pStyle w:val="3"/>
        <w:rPr>
          <w:highlight w:val="none"/>
        </w:rPr>
      </w:pPr>
    </w:p>
    <w:p w14:paraId="60C59016">
      <w:pPr>
        <w:rPr>
          <w:highlight w:val="none"/>
        </w:rPr>
        <w:sectPr>
          <w:footerReference r:id="rId58" w:type="default"/>
          <w:pgSz w:w="16839" w:h="11907"/>
          <w:pgMar w:top="1012" w:right="1126" w:bottom="1129" w:left="1080" w:header="0" w:footer="898" w:gutter="0"/>
          <w:cols w:space="720" w:num="1"/>
        </w:sectPr>
      </w:pPr>
    </w:p>
    <w:p w14:paraId="05BB557D">
      <w:pPr>
        <w:spacing w:before="68" w:line="219" w:lineRule="auto"/>
        <w:ind w:left="746"/>
        <w:rPr>
          <w:rFonts w:ascii="宋体" w:hAnsi="宋体" w:eastAsia="宋体" w:cs="宋体"/>
          <w:sz w:val="24"/>
          <w:szCs w:val="24"/>
          <w:highlight w:val="none"/>
        </w:rPr>
      </w:pPr>
      <w:r>
        <w:rPr>
          <w:rFonts w:ascii="宋体" w:hAnsi="宋体" w:eastAsia="宋体" w:cs="宋体"/>
          <w:spacing w:val="-5"/>
          <w:sz w:val="24"/>
          <w:szCs w:val="24"/>
          <w:highlight w:val="none"/>
        </w:rPr>
        <w:t>附件2：</w:t>
      </w:r>
    </w:p>
    <w:p w14:paraId="70BB2BA1">
      <w:pPr>
        <w:spacing w:before="288" w:line="219" w:lineRule="auto"/>
        <w:ind w:left="3955"/>
        <w:rPr>
          <w:rFonts w:ascii="宋体" w:hAnsi="宋体" w:eastAsia="宋体" w:cs="宋体"/>
          <w:sz w:val="24"/>
          <w:szCs w:val="24"/>
          <w:highlight w:val="none"/>
        </w:rPr>
      </w:pPr>
      <w:r>
        <w:rPr>
          <w:rFonts w:ascii="宋体" w:hAnsi="宋体" w:eastAsia="宋体" w:cs="宋体"/>
          <w:spacing w:val="-5"/>
          <w:sz w:val="24"/>
          <w:szCs w:val="24"/>
          <w:highlight w:val="none"/>
        </w:rPr>
        <w:t>发包人供应材料设备一览表</w:t>
      </w:r>
    </w:p>
    <w:p w14:paraId="74AB0779">
      <w:pPr>
        <w:spacing w:line="130" w:lineRule="exact"/>
        <w:rPr>
          <w:highlight w:val="none"/>
        </w:rPr>
      </w:pPr>
    </w:p>
    <w:tbl>
      <w:tblPr>
        <w:tblStyle w:val="24"/>
        <w:tblW w:w="96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146"/>
        <w:gridCol w:w="1274"/>
        <w:gridCol w:w="843"/>
        <w:gridCol w:w="764"/>
        <w:gridCol w:w="936"/>
        <w:gridCol w:w="890"/>
        <w:gridCol w:w="764"/>
        <w:gridCol w:w="1333"/>
        <w:gridCol w:w="920"/>
      </w:tblGrid>
      <w:tr w14:paraId="34DD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93" w:type="dxa"/>
            <w:tcBorders>
              <w:top w:val="single" w:color="000000" w:sz="10" w:space="0"/>
              <w:left w:val="single" w:color="000000" w:sz="10" w:space="0"/>
            </w:tcBorders>
            <w:vAlign w:val="top"/>
          </w:tcPr>
          <w:p w14:paraId="5C5B1EAD">
            <w:pPr>
              <w:spacing w:line="303" w:lineRule="auto"/>
              <w:rPr>
                <w:rFonts w:ascii="Arial"/>
                <w:sz w:val="21"/>
                <w:highlight w:val="none"/>
              </w:rPr>
            </w:pPr>
          </w:p>
          <w:p w14:paraId="79A9D899">
            <w:pPr>
              <w:spacing w:before="78" w:line="221" w:lineRule="auto"/>
              <w:ind w:left="192"/>
              <w:rPr>
                <w:rFonts w:ascii="宋体" w:hAnsi="宋体" w:eastAsia="宋体" w:cs="宋体"/>
                <w:sz w:val="24"/>
                <w:szCs w:val="24"/>
                <w:highlight w:val="none"/>
              </w:rPr>
            </w:pPr>
            <w:r>
              <w:rPr>
                <w:rFonts w:ascii="宋体" w:hAnsi="宋体" w:eastAsia="宋体" w:cs="宋体"/>
                <w:spacing w:val="-4"/>
                <w:sz w:val="24"/>
                <w:szCs w:val="24"/>
                <w:highlight w:val="none"/>
              </w:rPr>
              <w:t>序号</w:t>
            </w:r>
          </w:p>
        </w:tc>
        <w:tc>
          <w:tcPr>
            <w:tcW w:w="1146" w:type="dxa"/>
            <w:tcBorders>
              <w:top w:val="single" w:color="000000" w:sz="10" w:space="0"/>
            </w:tcBorders>
            <w:vAlign w:val="top"/>
          </w:tcPr>
          <w:p w14:paraId="4B025EBA">
            <w:pPr>
              <w:spacing w:before="146" w:line="307" w:lineRule="auto"/>
              <w:ind w:left="28" w:right="113" w:firstLine="360"/>
              <w:rPr>
                <w:rFonts w:ascii="宋体" w:hAnsi="宋体" w:eastAsia="宋体" w:cs="宋体"/>
                <w:sz w:val="24"/>
                <w:szCs w:val="24"/>
                <w:highlight w:val="none"/>
              </w:rPr>
            </w:pPr>
            <w:r>
              <w:rPr>
                <w:rFonts w:ascii="宋体" w:hAnsi="宋体" w:eastAsia="宋体" w:cs="宋体"/>
                <w:spacing w:val="-28"/>
                <w:sz w:val="24"/>
                <w:szCs w:val="24"/>
                <w:highlight w:val="none"/>
              </w:rPr>
              <w:t>材料、</w:t>
            </w:r>
            <w:r>
              <w:rPr>
                <w:rFonts w:ascii="宋体" w:hAnsi="宋体" w:eastAsia="宋体" w:cs="宋体"/>
                <w:spacing w:val="-6"/>
                <w:sz w:val="24"/>
                <w:szCs w:val="24"/>
                <w:highlight w:val="none"/>
              </w:rPr>
              <w:t>设备品种</w:t>
            </w:r>
          </w:p>
        </w:tc>
        <w:tc>
          <w:tcPr>
            <w:tcW w:w="1274" w:type="dxa"/>
            <w:tcBorders>
              <w:top w:val="single" w:color="000000" w:sz="10" w:space="0"/>
            </w:tcBorders>
            <w:vAlign w:val="top"/>
          </w:tcPr>
          <w:p w14:paraId="40EBBA2C">
            <w:pPr>
              <w:spacing w:line="302" w:lineRule="auto"/>
              <w:rPr>
                <w:rFonts w:ascii="Arial"/>
                <w:sz w:val="21"/>
                <w:highlight w:val="none"/>
              </w:rPr>
            </w:pPr>
          </w:p>
          <w:p w14:paraId="66A08A6C">
            <w:pPr>
              <w:spacing w:before="78" w:line="220" w:lineRule="auto"/>
              <w:ind w:left="228"/>
              <w:rPr>
                <w:rFonts w:ascii="宋体" w:hAnsi="宋体" w:eastAsia="宋体" w:cs="宋体"/>
                <w:sz w:val="24"/>
                <w:szCs w:val="24"/>
                <w:highlight w:val="none"/>
              </w:rPr>
            </w:pPr>
            <w:r>
              <w:rPr>
                <w:rFonts w:ascii="宋体" w:hAnsi="宋体" w:eastAsia="宋体" w:cs="宋体"/>
                <w:spacing w:val="-5"/>
                <w:sz w:val="24"/>
                <w:szCs w:val="24"/>
                <w:highlight w:val="none"/>
              </w:rPr>
              <w:t>规格型号</w:t>
            </w:r>
          </w:p>
        </w:tc>
        <w:tc>
          <w:tcPr>
            <w:tcW w:w="843" w:type="dxa"/>
            <w:tcBorders>
              <w:top w:val="single" w:color="000000" w:sz="10" w:space="0"/>
            </w:tcBorders>
            <w:vAlign w:val="top"/>
          </w:tcPr>
          <w:p w14:paraId="21EB1266">
            <w:pPr>
              <w:spacing w:line="303" w:lineRule="auto"/>
              <w:rPr>
                <w:rFonts w:ascii="Arial"/>
                <w:sz w:val="21"/>
                <w:highlight w:val="none"/>
              </w:rPr>
            </w:pPr>
          </w:p>
          <w:p w14:paraId="0D87C669">
            <w:pPr>
              <w:spacing w:before="78" w:line="220" w:lineRule="auto"/>
              <w:ind w:left="240"/>
              <w:rPr>
                <w:rFonts w:ascii="宋体" w:hAnsi="宋体" w:eastAsia="宋体" w:cs="宋体"/>
                <w:sz w:val="24"/>
                <w:szCs w:val="24"/>
                <w:highlight w:val="none"/>
              </w:rPr>
            </w:pPr>
            <w:r>
              <w:rPr>
                <w:rFonts w:ascii="宋体" w:hAnsi="宋体" w:eastAsia="宋体" w:cs="宋体"/>
                <w:spacing w:val="-5"/>
                <w:sz w:val="24"/>
                <w:szCs w:val="24"/>
                <w:highlight w:val="none"/>
              </w:rPr>
              <w:t>单位</w:t>
            </w:r>
          </w:p>
        </w:tc>
        <w:tc>
          <w:tcPr>
            <w:tcW w:w="764" w:type="dxa"/>
            <w:tcBorders>
              <w:top w:val="single" w:color="000000" w:sz="10" w:space="0"/>
            </w:tcBorders>
            <w:vAlign w:val="top"/>
          </w:tcPr>
          <w:p w14:paraId="68D9E1BA">
            <w:pPr>
              <w:spacing w:line="302" w:lineRule="auto"/>
              <w:rPr>
                <w:rFonts w:ascii="Arial"/>
                <w:sz w:val="21"/>
                <w:highlight w:val="none"/>
              </w:rPr>
            </w:pPr>
          </w:p>
          <w:p w14:paraId="2C13494E">
            <w:pPr>
              <w:spacing w:before="78" w:line="220" w:lineRule="auto"/>
              <w:ind w:left="198"/>
              <w:rPr>
                <w:rFonts w:ascii="宋体" w:hAnsi="宋体" w:eastAsia="宋体" w:cs="宋体"/>
                <w:sz w:val="24"/>
                <w:szCs w:val="24"/>
                <w:highlight w:val="none"/>
              </w:rPr>
            </w:pPr>
            <w:r>
              <w:rPr>
                <w:rFonts w:ascii="宋体" w:hAnsi="宋体" w:eastAsia="宋体" w:cs="宋体"/>
                <w:spacing w:val="-5"/>
                <w:sz w:val="24"/>
                <w:szCs w:val="24"/>
                <w:highlight w:val="none"/>
              </w:rPr>
              <w:t>数量</w:t>
            </w:r>
          </w:p>
        </w:tc>
        <w:tc>
          <w:tcPr>
            <w:tcW w:w="936" w:type="dxa"/>
            <w:tcBorders>
              <w:top w:val="single" w:color="000000" w:sz="10" w:space="0"/>
            </w:tcBorders>
            <w:vAlign w:val="top"/>
          </w:tcPr>
          <w:p w14:paraId="776673D4">
            <w:pPr>
              <w:spacing w:before="146" w:line="307" w:lineRule="auto"/>
              <w:ind w:left="191" w:right="82" w:firstLine="110"/>
              <w:rPr>
                <w:rFonts w:ascii="宋体" w:hAnsi="宋体" w:eastAsia="宋体" w:cs="宋体"/>
                <w:sz w:val="24"/>
                <w:szCs w:val="24"/>
                <w:highlight w:val="none"/>
              </w:rPr>
            </w:pPr>
            <w:r>
              <w:rPr>
                <w:rFonts w:ascii="宋体" w:hAnsi="宋体" w:eastAsia="宋体" w:cs="宋体"/>
                <w:spacing w:val="-9"/>
                <w:sz w:val="24"/>
                <w:szCs w:val="24"/>
                <w:highlight w:val="none"/>
              </w:rPr>
              <w:t>单价</w:t>
            </w:r>
            <w:r>
              <w:rPr>
                <w:rFonts w:ascii="宋体" w:hAnsi="宋体" w:eastAsia="宋体" w:cs="宋体"/>
                <w:spacing w:val="-21"/>
                <w:sz w:val="24"/>
                <w:szCs w:val="24"/>
                <w:highlight w:val="none"/>
              </w:rPr>
              <w:t>（元）</w:t>
            </w:r>
          </w:p>
        </w:tc>
        <w:tc>
          <w:tcPr>
            <w:tcW w:w="890" w:type="dxa"/>
            <w:tcBorders>
              <w:top w:val="single" w:color="000000" w:sz="10" w:space="0"/>
            </w:tcBorders>
            <w:vAlign w:val="top"/>
          </w:tcPr>
          <w:p w14:paraId="1A066DFA">
            <w:pPr>
              <w:spacing w:before="146" w:line="307" w:lineRule="auto"/>
              <w:ind w:left="404" w:right="25" w:hanging="245"/>
              <w:rPr>
                <w:rFonts w:ascii="宋体" w:hAnsi="宋体" w:eastAsia="宋体" w:cs="宋体"/>
                <w:sz w:val="24"/>
                <w:szCs w:val="24"/>
                <w:highlight w:val="none"/>
              </w:rPr>
            </w:pPr>
            <w:r>
              <w:rPr>
                <w:rFonts w:ascii="宋体" w:hAnsi="宋体" w:eastAsia="宋体" w:cs="宋体"/>
                <w:spacing w:val="-7"/>
                <w:sz w:val="24"/>
                <w:szCs w:val="24"/>
                <w:highlight w:val="none"/>
              </w:rPr>
              <w:t>质量等</w:t>
            </w:r>
            <w:r>
              <w:rPr>
                <w:rFonts w:ascii="宋体" w:hAnsi="宋体" w:eastAsia="宋体" w:cs="宋体"/>
                <w:sz w:val="24"/>
                <w:szCs w:val="24"/>
                <w:highlight w:val="none"/>
              </w:rPr>
              <w:t>级</w:t>
            </w:r>
          </w:p>
        </w:tc>
        <w:tc>
          <w:tcPr>
            <w:tcW w:w="764" w:type="dxa"/>
            <w:tcBorders>
              <w:top w:val="single" w:color="000000" w:sz="10" w:space="0"/>
            </w:tcBorders>
            <w:vAlign w:val="top"/>
          </w:tcPr>
          <w:p w14:paraId="55181C5C">
            <w:pPr>
              <w:spacing w:before="147" w:line="219" w:lineRule="auto"/>
              <w:ind w:left="211"/>
              <w:rPr>
                <w:rFonts w:ascii="宋体" w:hAnsi="宋体" w:eastAsia="宋体" w:cs="宋体"/>
                <w:sz w:val="24"/>
                <w:szCs w:val="24"/>
                <w:highlight w:val="none"/>
              </w:rPr>
            </w:pPr>
            <w:r>
              <w:rPr>
                <w:rFonts w:ascii="宋体" w:hAnsi="宋体" w:eastAsia="宋体" w:cs="宋体"/>
                <w:spacing w:val="-4"/>
                <w:sz w:val="24"/>
                <w:szCs w:val="24"/>
                <w:highlight w:val="none"/>
              </w:rPr>
              <w:t>供应</w:t>
            </w:r>
          </w:p>
          <w:p w14:paraId="0430BE4B">
            <w:pPr>
              <w:spacing w:before="173" w:line="222" w:lineRule="auto"/>
              <w:ind w:left="234"/>
              <w:rPr>
                <w:rFonts w:ascii="宋体" w:hAnsi="宋体" w:eastAsia="宋体" w:cs="宋体"/>
                <w:sz w:val="24"/>
                <w:szCs w:val="24"/>
                <w:highlight w:val="none"/>
              </w:rPr>
            </w:pPr>
            <w:r>
              <w:rPr>
                <w:rFonts w:ascii="宋体" w:hAnsi="宋体" w:eastAsia="宋体" w:cs="宋体"/>
                <w:spacing w:val="-9"/>
                <w:sz w:val="24"/>
                <w:szCs w:val="24"/>
                <w:highlight w:val="none"/>
              </w:rPr>
              <w:t>时间</w:t>
            </w:r>
          </w:p>
        </w:tc>
        <w:tc>
          <w:tcPr>
            <w:tcW w:w="1333" w:type="dxa"/>
            <w:tcBorders>
              <w:top w:val="single" w:color="000000" w:sz="10" w:space="0"/>
            </w:tcBorders>
            <w:vAlign w:val="top"/>
          </w:tcPr>
          <w:p w14:paraId="61B90C4C">
            <w:pPr>
              <w:spacing w:line="307" w:lineRule="auto"/>
              <w:rPr>
                <w:rFonts w:ascii="Arial"/>
                <w:sz w:val="21"/>
                <w:highlight w:val="none"/>
              </w:rPr>
            </w:pPr>
          </w:p>
          <w:p w14:paraId="15C3D316">
            <w:pPr>
              <w:spacing w:before="78" w:line="224" w:lineRule="auto"/>
              <w:ind w:left="290"/>
              <w:rPr>
                <w:rFonts w:ascii="宋体" w:hAnsi="宋体" w:eastAsia="宋体" w:cs="宋体"/>
                <w:sz w:val="24"/>
                <w:szCs w:val="24"/>
                <w:highlight w:val="none"/>
              </w:rPr>
            </w:pPr>
            <w:r>
              <w:rPr>
                <w:rFonts w:ascii="宋体" w:hAnsi="宋体" w:eastAsia="宋体" w:cs="宋体"/>
                <w:spacing w:val="-5"/>
                <w:sz w:val="24"/>
                <w:szCs w:val="24"/>
                <w:highlight w:val="none"/>
              </w:rPr>
              <w:t>送达地点</w:t>
            </w:r>
          </w:p>
        </w:tc>
        <w:tc>
          <w:tcPr>
            <w:tcW w:w="920" w:type="dxa"/>
            <w:tcBorders>
              <w:top w:val="single" w:color="000000" w:sz="10" w:space="0"/>
              <w:right w:val="single" w:color="000000" w:sz="10" w:space="0"/>
            </w:tcBorders>
            <w:vAlign w:val="top"/>
          </w:tcPr>
          <w:p w14:paraId="7DA520D4">
            <w:pPr>
              <w:spacing w:line="303" w:lineRule="auto"/>
              <w:rPr>
                <w:rFonts w:ascii="Arial"/>
                <w:sz w:val="21"/>
                <w:highlight w:val="none"/>
              </w:rPr>
            </w:pPr>
          </w:p>
          <w:p w14:paraId="6EB59709">
            <w:pPr>
              <w:spacing w:before="78" w:line="221" w:lineRule="auto"/>
              <w:ind w:left="301"/>
              <w:rPr>
                <w:rFonts w:ascii="宋体" w:hAnsi="宋体" w:eastAsia="宋体" w:cs="宋体"/>
                <w:sz w:val="24"/>
                <w:szCs w:val="24"/>
                <w:highlight w:val="none"/>
              </w:rPr>
            </w:pPr>
            <w:r>
              <w:rPr>
                <w:rFonts w:ascii="宋体" w:hAnsi="宋体" w:eastAsia="宋体" w:cs="宋体"/>
                <w:spacing w:val="-6"/>
                <w:sz w:val="24"/>
                <w:szCs w:val="24"/>
                <w:highlight w:val="none"/>
              </w:rPr>
              <w:t>备注</w:t>
            </w:r>
          </w:p>
        </w:tc>
      </w:tr>
      <w:tr w14:paraId="5D88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93" w:type="dxa"/>
            <w:tcBorders>
              <w:left w:val="single" w:color="000000" w:sz="10" w:space="0"/>
            </w:tcBorders>
            <w:vAlign w:val="top"/>
          </w:tcPr>
          <w:p w14:paraId="7C4F7835">
            <w:pPr>
              <w:rPr>
                <w:rFonts w:ascii="Arial"/>
                <w:sz w:val="21"/>
                <w:highlight w:val="none"/>
              </w:rPr>
            </w:pPr>
          </w:p>
        </w:tc>
        <w:tc>
          <w:tcPr>
            <w:tcW w:w="1146" w:type="dxa"/>
            <w:vAlign w:val="top"/>
          </w:tcPr>
          <w:p w14:paraId="0511C491">
            <w:pPr>
              <w:rPr>
                <w:rFonts w:ascii="Arial"/>
                <w:sz w:val="21"/>
                <w:highlight w:val="none"/>
              </w:rPr>
            </w:pPr>
          </w:p>
        </w:tc>
        <w:tc>
          <w:tcPr>
            <w:tcW w:w="1274" w:type="dxa"/>
            <w:vAlign w:val="top"/>
          </w:tcPr>
          <w:p w14:paraId="5908DBD2">
            <w:pPr>
              <w:rPr>
                <w:rFonts w:ascii="Arial"/>
                <w:sz w:val="21"/>
                <w:highlight w:val="none"/>
              </w:rPr>
            </w:pPr>
          </w:p>
        </w:tc>
        <w:tc>
          <w:tcPr>
            <w:tcW w:w="843" w:type="dxa"/>
            <w:vAlign w:val="top"/>
          </w:tcPr>
          <w:p w14:paraId="6421A7A2">
            <w:pPr>
              <w:rPr>
                <w:rFonts w:ascii="Arial"/>
                <w:sz w:val="21"/>
                <w:highlight w:val="none"/>
              </w:rPr>
            </w:pPr>
          </w:p>
        </w:tc>
        <w:tc>
          <w:tcPr>
            <w:tcW w:w="764" w:type="dxa"/>
            <w:vAlign w:val="top"/>
          </w:tcPr>
          <w:p w14:paraId="0AF70113">
            <w:pPr>
              <w:rPr>
                <w:rFonts w:ascii="Arial"/>
                <w:sz w:val="21"/>
                <w:highlight w:val="none"/>
              </w:rPr>
            </w:pPr>
          </w:p>
        </w:tc>
        <w:tc>
          <w:tcPr>
            <w:tcW w:w="936" w:type="dxa"/>
            <w:vAlign w:val="top"/>
          </w:tcPr>
          <w:p w14:paraId="3D2E7927">
            <w:pPr>
              <w:rPr>
                <w:rFonts w:ascii="Arial"/>
                <w:sz w:val="21"/>
                <w:highlight w:val="none"/>
              </w:rPr>
            </w:pPr>
          </w:p>
        </w:tc>
        <w:tc>
          <w:tcPr>
            <w:tcW w:w="890" w:type="dxa"/>
            <w:vAlign w:val="top"/>
          </w:tcPr>
          <w:p w14:paraId="3CEA7AB5">
            <w:pPr>
              <w:rPr>
                <w:rFonts w:ascii="Arial"/>
                <w:sz w:val="21"/>
                <w:highlight w:val="none"/>
              </w:rPr>
            </w:pPr>
          </w:p>
        </w:tc>
        <w:tc>
          <w:tcPr>
            <w:tcW w:w="764" w:type="dxa"/>
            <w:vAlign w:val="top"/>
          </w:tcPr>
          <w:p w14:paraId="5F3E6298">
            <w:pPr>
              <w:rPr>
                <w:rFonts w:ascii="Arial"/>
                <w:sz w:val="21"/>
                <w:highlight w:val="none"/>
              </w:rPr>
            </w:pPr>
          </w:p>
        </w:tc>
        <w:tc>
          <w:tcPr>
            <w:tcW w:w="1333" w:type="dxa"/>
            <w:vAlign w:val="top"/>
          </w:tcPr>
          <w:p w14:paraId="7B7BE15F">
            <w:pPr>
              <w:rPr>
                <w:rFonts w:ascii="Arial"/>
                <w:sz w:val="21"/>
                <w:highlight w:val="none"/>
              </w:rPr>
            </w:pPr>
          </w:p>
        </w:tc>
        <w:tc>
          <w:tcPr>
            <w:tcW w:w="920" w:type="dxa"/>
            <w:tcBorders>
              <w:right w:val="single" w:color="000000" w:sz="10" w:space="0"/>
            </w:tcBorders>
            <w:vAlign w:val="top"/>
          </w:tcPr>
          <w:p w14:paraId="3623AEC1">
            <w:pPr>
              <w:rPr>
                <w:rFonts w:ascii="Arial"/>
                <w:sz w:val="21"/>
                <w:highlight w:val="none"/>
              </w:rPr>
            </w:pPr>
          </w:p>
        </w:tc>
      </w:tr>
      <w:tr w14:paraId="4B1B8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11326686">
            <w:pPr>
              <w:rPr>
                <w:rFonts w:ascii="Arial"/>
                <w:sz w:val="21"/>
                <w:highlight w:val="none"/>
              </w:rPr>
            </w:pPr>
          </w:p>
        </w:tc>
        <w:tc>
          <w:tcPr>
            <w:tcW w:w="1146" w:type="dxa"/>
            <w:vAlign w:val="top"/>
          </w:tcPr>
          <w:p w14:paraId="4BB6F324">
            <w:pPr>
              <w:rPr>
                <w:rFonts w:ascii="Arial"/>
                <w:sz w:val="21"/>
                <w:highlight w:val="none"/>
              </w:rPr>
            </w:pPr>
          </w:p>
        </w:tc>
        <w:tc>
          <w:tcPr>
            <w:tcW w:w="1274" w:type="dxa"/>
            <w:vAlign w:val="top"/>
          </w:tcPr>
          <w:p w14:paraId="75535165">
            <w:pPr>
              <w:rPr>
                <w:rFonts w:ascii="Arial"/>
                <w:sz w:val="21"/>
                <w:highlight w:val="none"/>
              </w:rPr>
            </w:pPr>
          </w:p>
        </w:tc>
        <w:tc>
          <w:tcPr>
            <w:tcW w:w="843" w:type="dxa"/>
            <w:vAlign w:val="top"/>
          </w:tcPr>
          <w:p w14:paraId="0F483C3B">
            <w:pPr>
              <w:rPr>
                <w:rFonts w:ascii="Arial"/>
                <w:sz w:val="21"/>
                <w:highlight w:val="none"/>
              </w:rPr>
            </w:pPr>
          </w:p>
        </w:tc>
        <w:tc>
          <w:tcPr>
            <w:tcW w:w="764" w:type="dxa"/>
            <w:vAlign w:val="top"/>
          </w:tcPr>
          <w:p w14:paraId="73441259">
            <w:pPr>
              <w:rPr>
                <w:rFonts w:ascii="Arial"/>
                <w:sz w:val="21"/>
                <w:highlight w:val="none"/>
              </w:rPr>
            </w:pPr>
          </w:p>
        </w:tc>
        <w:tc>
          <w:tcPr>
            <w:tcW w:w="936" w:type="dxa"/>
            <w:vAlign w:val="top"/>
          </w:tcPr>
          <w:p w14:paraId="2CE0B074">
            <w:pPr>
              <w:rPr>
                <w:rFonts w:ascii="Arial"/>
                <w:sz w:val="21"/>
                <w:highlight w:val="none"/>
              </w:rPr>
            </w:pPr>
          </w:p>
        </w:tc>
        <w:tc>
          <w:tcPr>
            <w:tcW w:w="890" w:type="dxa"/>
            <w:vAlign w:val="top"/>
          </w:tcPr>
          <w:p w14:paraId="169AB093">
            <w:pPr>
              <w:rPr>
                <w:rFonts w:ascii="Arial"/>
                <w:sz w:val="21"/>
                <w:highlight w:val="none"/>
              </w:rPr>
            </w:pPr>
          </w:p>
        </w:tc>
        <w:tc>
          <w:tcPr>
            <w:tcW w:w="764" w:type="dxa"/>
            <w:vAlign w:val="top"/>
          </w:tcPr>
          <w:p w14:paraId="65CDE39D">
            <w:pPr>
              <w:rPr>
                <w:rFonts w:ascii="Arial"/>
                <w:sz w:val="21"/>
                <w:highlight w:val="none"/>
              </w:rPr>
            </w:pPr>
          </w:p>
        </w:tc>
        <w:tc>
          <w:tcPr>
            <w:tcW w:w="1333" w:type="dxa"/>
            <w:vAlign w:val="top"/>
          </w:tcPr>
          <w:p w14:paraId="2B2E8641">
            <w:pPr>
              <w:rPr>
                <w:rFonts w:ascii="Arial"/>
                <w:sz w:val="21"/>
                <w:highlight w:val="none"/>
              </w:rPr>
            </w:pPr>
          </w:p>
        </w:tc>
        <w:tc>
          <w:tcPr>
            <w:tcW w:w="920" w:type="dxa"/>
            <w:tcBorders>
              <w:right w:val="single" w:color="000000" w:sz="10" w:space="0"/>
            </w:tcBorders>
            <w:vAlign w:val="top"/>
          </w:tcPr>
          <w:p w14:paraId="3E8388E2">
            <w:pPr>
              <w:rPr>
                <w:rFonts w:ascii="Arial"/>
                <w:sz w:val="21"/>
                <w:highlight w:val="none"/>
              </w:rPr>
            </w:pPr>
          </w:p>
        </w:tc>
      </w:tr>
      <w:tr w14:paraId="4366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93" w:type="dxa"/>
            <w:tcBorders>
              <w:left w:val="single" w:color="000000" w:sz="10" w:space="0"/>
            </w:tcBorders>
            <w:vAlign w:val="top"/>
          </w:tcPr>
          <w:p w14:paraId="0DD8BB8E">
            <w:pPr>
              <w:rPr>
                <w:rFonts w:ascii="Arial"/>
                <w:sz w:val="21"/>
                <w:highlight w:val="none"/>
              </w:rPr>
            </w:pPr>
          </w:p>
        </w:tc>
        <w:tc>
          <w:tcPr>
            <w:tcW w:w="1146" w:type="dxa"/>
            <w:vAlign w:val="top"/>
          </w:tcPr>
          <w:p w14:paraId="5CDB3D39">
            <w:pPr>
              <w:rPr>
                <w:rFonts w:ascii="Arial"/>
                <w:sz w:val="21"/>
                <w:highlight w:val="none"/>
              </w:rPr>
            </w:pPr>
          </w:p>
        </w:tc>
        <w:tc>
          <w:tcPr>
            <w:tcW w:w="1274" w:type="dxa"/>
            <w:vAlign w:val="top"/>
          </w:tcPr>
          <w:p w14:paraId="7E077101">
            <w:pPr>
              <w:rPr>
                <w:rFonts w:ascii="Arial"/>
                <w:sz w:val="21"/>
                <w:highlight w:val="none"/>
              </w:rPr>
            </w:pPr>
          </w:p>
        </w:tc>
        <w:tc>
          <w:tcPr>
            <w:tcW w:w="843" w:type="dxa"/>
            <w:vAlign w:val="top"/>
          </w:tcPr>
          <w:p w14:paraId="43999EFB">
            <w:pPr>
              <w:rPr>
                <w:rFonts w:ascii="Arial"/>
                <w:sz w:val="21"/>
                <w:highlight w:val="none"/>
              </w:rPr>
            </w:pPr>
          </w:p>
        </w:tc>
        <w:tc>
          <w:tcPr>
            <w:tcW w:w="764" w:type="dxa"/>
            <w:vAlign w:val="top"/>
          </w:tcPr>
          <w:p w14:paraId="386075A1">
            <w:pPr>
              <w:rPr>
                <w:rFonts w:ascii="Arial"/>
                <w:sz w:val="21"/>
                <w:highlight w:val="none"/>
              </w:rPr>
            </w:pPr>
          </w:p>
        </w:tc>
        <w:tc>
          <w:tcPr>
            <w:tcW w:w="936" w:type="dxa"/>
            <w:vAlign w:val="top"/>
          </w:tcPr>
          <w:p w14:paraId="1384BB7D">
            <w:pPr>
              <w:rPr>
                <w:rFonts w:ascii="Arial"/>
                <w:sz w:val="21"/>
                <w:highlight w:val="none"/>
              </w:rPr>
            </w:pPr>
          </w:p>
        </w:tc>
        <w:tc>
          <w:tcPr>
            <w:tcW w:w="890" w:type="dxa"/>
            <w:vAlign w:val="top"/>
          </w:tcPr>
          <w:p w14:paraId="3B8CDB6B">
            <w:pPr>
              <w:rPr>
                <w:rFonts w:ascii="Arial"/>
                <w:sz w:val="21"/>
                <w:highlight w:val="none"/>
              </w:rPr>
            </w:pPr>
          </w:p>
        </w:tc>
        <w:tc>
          <w:tcPr>
            <w:tcW w:w="764" w:type="dxa"/>
            <w:vAlign w:val="top"/>
          </w:tcPr>
          <w:p w14:paraId="252E120A">
            <w:pPr>
              <w:rPr>
                <w:rFonts w:ascii="Arial"/>
                <w:sz w:val="21"/>
                <w:highlight w:val="none"/>
              </w:rPr>
            </w:pPr>
          </w:p>
        </w:tc>
        <w:tc>
          <w:tcPr>
            <w:tcW w:w="1333" w:type="dxa"/>
            <w:vAlign w:val="top"/>
          </w:tcPr>
          <w:p w14:paraId="3AE1C489">
            <w:pPr>
              <w:rPr>
                <w:rFonts w:ascii="Arial"/>
                <w:sz w:val="21"/>
                <w:highlight w:val="none"/>
              </w:rPr>
            </w:pPr>
          </w:p>
        </w:tc>
        <w:tc>
          <w:tcPr>
            <w:tcW w:w="920" w:type="dxa"/>
            <w:tcBorders>
              <w:right w:val="single" w:color="000000" w:sz="10" w:space="0"/>
            </w:tcBorders>
            <w:vAlign w:val="top"/>
          </w:tcPr>
          <w:p w14:paraId="76C75998">
            <w:pPr>
              <w:rPr>
                <w:rFonts w:ascii="Arial"/>
                <w:sz w:val="21"/>
                <w:highlight w:val="none"/>
              </w:rPr>
            </w:pPr>
          </w:p>
        </w:tc>
      </w:tr>
      <w:tr w14:paraId="55FF7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0D2E4CB9">
            <w:pPr>
              <w:rPr>
                <w:rFonts w:ascii="Arial"/>
                <w:sz w:val="21"/>
                <w:highlight w:val="none"/>
              </w:rPr>
            </w:pPr>
          </w:p>
        </w:tc>
        <w:tc>
          <w:tcPr>
            <w:tcW w:w="1146" w:type="dxa"/>
            <w:vAlign w:val="top"/>
          </w:tcPr>
          <w:p w14:paraId="2B7C2BDC">
            <w:pPr>
              <w:rPr>
                <w:rFonts w:ascii="Arial"/>
                <w:sz w:val="21"/>
                <w:highlight w:val="none"/>
              </w:rPr>
            </w:pPr>
          </w:p>
        </w:tc>
        <w:tc>
          <w:tcPr>
            <w:tcW w:w="1274" w:type="dxa"/>
            <w:vAlign w:val="top"/>
          </w:tcPr>
          <w:p w14:paraId="5F0BC296">
            <w:pPr>
              <w:rPr>
                <w:rFonts w:ascii="Arial"/>
                <w:sz w:val="21"/>
                <w:highlight w:val="none"/>
              </w:rPr>
            </w:pPr>
          </w:p>
        </w:tc>
        <w:tc>
          <w:tcPr>
            <w:tcW w:w="843" w:type="dxa"/>
            <w:vAlign w:val="top"/>
          </w:tcPr>
          <w:p w14:paraId="75AEE69E">
            <w:pPr>
              <w:rPr>
                <w:rFonts w:ascii="Arial"/>
                <w:sz w:val="21"/>
                <w:highlight w:val="none"/>
              </w:rPr>
            </w:pPr>
          </w:p>
        </w:tc>
        <w:tc>
          <w:tcPr>
            <w:tcW w:w="764" w:type="dxa"/>
            <w:vAlign w:val="top"/>
          </w:tcPr>
          <w:p w14:paraId="027365E0">
            <w:pPr>
              <w:rPr>
                <w:rFonts w:ascii="Arial"/>
                <w:sz w:val="21"/>
                <w:highlight w:val="none"/>
              </w:rPr>
            </w:pPr>
          </w:p>
        </w:tc>
        <w:tc>
          <w:tcPr>
            <w:tcW w:w="936" w:type="dxa"/>
            <w:vAlign w:val="top"/>
          </w:tcPr>
          <w:p w14:paraId="66948716">
            <w:pPr>
              <w:rPr>
                <w:rFonts w:ascii="Arial"/>
                <w:sz w:val="21"/>
                <w:highlight w:val="none"/>
              </w:rPr>
            </w:pPr>
          </w:p>
        </w:tc>
        <w:tc>
          <w:tcPr>
            <w:tcW w:w="890" w:type="dxa"/>
            <w:vAlign w:val="top"/>
          </w:tcPr>
          <w:p w14:paraId="2669F1BF">
            <w:pPr>
              <w:rPr>
                <w:rFonts w:ascii="Arial"/>
                <w:sz w:val="21"/>
                <w:highlight w:val="none"/>
              </w:rPr>
            </w:pPr>
          </w:p>
        </w:tc>
        <w:tc>
          <w:tcPr>
            <w:tcW w:w="764" w:type="dxa"/>
            <w:vAlign w:val="top"/>
          </w:tcPr>
          <w:p w14:paraId="5F911970">
            <w:pPr>
              <w:rPr>
                <w:rFonts w:ascii="Arial"/>
                <w:sz w:val="21"/>
                <w:highlight w:val="none"/>
              </w:rPr>
            </w:pPr>
          </w:p>
        </w:tc>
        <w:tc>
          <w:tcPr>
            <w:tcW w:w="1333" w:type="dxa"/>
            <w:vAlign w:val="top"/>
          </w:tcPr>
          <w:p w14:paraId="41807274">
            <w:pPr>
              <w:rPr>
                <w:rFonts w:ascii="Arial"/>
                <w:sz w:val="21"/>
                <w:highlight w:val="none"/>
              </w:rPr>
            </w:pPr>
          </w:p>
        </w:tc>
        <w:tc>
          <w:tcPr>
            <w:tcW w:w="920" w:type="dxa"/>
            <w:tcBorders>
              <w:right w:val="single" w:color="000000" w:sz="10" w:space="0"/>
            </w:tcBorders>
            <w:vAlign w:val="top"/>
          </w:tcPr>
          <w:p w14:paraId="5DAFBF82">
            <w:pPr>
              <w:rPr>
                <w:rFonts w:ascii="Arial"/>
                <w:sz w:val="21"/>
                <w:highlight w:val="none"/>
              </w:rPr>
            </w:pPr>
          </w:p>
        </w:tc>
      </w:tr>
      <w:tr w14:paraId="474BB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00A0D7D6">
            <w:pPr>
              <w:rPr>
                <w:rFonts w:ascii="Arial"/>
                <w:sz w:val="21"/>
                <w:highlight w:val="none"/>
              </w:rPr>
            </w:pPr>
          </w:p>
        </w:tc>
        <w:tc>
          <w:tcPr>
            <w:tcW w:w="1146" w:type="dxa"/>
            <w:vAlign w:val="top"/>
          </w:tcPr>
          <w:p w14:paraId="149345E9">
            <w:pPr>
              <w:rPr>
                <w:rFonts w:ascii="Arial"/>
                <w:sz w:val="21"/>
                <w:highlight w:val="none"/>
              </w:rPr>
            </w:pPr>
          </w:p>
        </w:tc>
        <w:tc>
          <w:tcPr>
            <w:tcW w:w="1274" w:type="dxa"/>
            <w:vAlign w:val="top"/>
          </w:tcPr>
          <w:p w14:paraId="368037F3">
            <w:pPr>
              <w:rPr>
                <w:rFonts w:ascii="Arial"/>
                <w:sz w:val="21"/>
                <w:highlight w:val="none"/>
              </w:rPr>
            </w:pPr>
          </w:p>
        </w:tc>
        <w:tc>
          <w:tcPr>
            <w:tcW w:w="843" w:type="dxa"/>
            <w:vAlign w:val="top"/>
          </w:tcPr>
          <w:p w14:paraId="5347293D">
            <w:pPr>
              <w:rPr>
                <w:rFonts w:ascii="Arial"/>
                <w:sz w:val="21"/>
                <w:highlight w:val="none"/>
              </w:rPr>
            </w:pPr>
          </w:p>
        </w:tc>
        <w:tc>
          <w:tcPr>
            <w:tcW w:w="764" w:type="dxa"/>
            <w:vAlign w:val="top"/>
          </w:tcPr>
          <w:p w14:paraId="27847A8F">
            <w:pPr>
              <w:rPr>
                <w:rFonts w:ascii="Arial"/>
                <w:sz w:val="21"/>
                <w:highlight w:val="none"/>
              </w:rPr>
            </w:pPr>
          </w:p>
        </w:tc>
        <w:tc>
          <w:tcPr>
            <w:tcW w:w="936" w:type="dxa"/>
            <w:vAlign w:val="top"/>
          </w:tcPr>
          <w:p w14:paraId="1B5C2CE0">
            <w:pPr>
              <w:rPr>
                <w:rFonts w:ascii="Arial"/>
                <w:sz w:val="21"/>
                <w:highlight w:val="none"/>
              </w:rPr>
            </w:pPr>
          </w:p>
        </w:tc>
        <w:tc>
          <w:tcPr>
            <w:tcW w:w="890" w:type="dxa"/>
            <w:vAlign w:val="top"/>
          </w:tcPr>
          <w:p w14:paraId="2A300391">
            <w:pPr>
              <w:rPr>
                <w:rFonts w:ascii="Arial"/>
                <w:sz w:val="21"/>
                <w:highlight w:val="none"/>
              </w:rPr>
            </w:pPr>
          </w:p>
        </w:tc>
        <w:tc>
          <w:tcPr>
            <w:tcW w:w="764" w:type="dxa"/>
            <w:vAlign w:val="top"/>
          </w:tcPr>
          <w:p w14:paraId="594037D1">
            <w:pPr>
              <w:rPr>
                <w:rFonts w:ascii="Arial"/>
                <w:sz w:val="21"/>
                <w:highlight w:val="none"/>
              </w:rPr>
            </w:pPr>
          </w:p>
        </w:tc>
        <w:tc>
          <w:tcPr>
            <w:tcW w:w="1333" w:type="dxa"/>
            <w:vAlign w:val="top"/>
          </w:tcPr>
          <w:p w14:paraId="5FD974B1">
            <w:pPr>
              <w:rPr>
                <w:rFonts w:ascii="Arial"/>
                <w:sz w:val="21"/>
                <w:highlight w:val="none"/>
              </w:rPr>
            </w:pPr>
          </w:p>
        </w:tc>
        <w:tc>
          <w:tcPr>
            <w:tcW w:w="920" w:type="dxa"/>
            <w:tcBorders>
              <w:right w:val="single" w:color="000000" w:sz="10" w:space="0"/>
            </w:tcBorders>
            <w:vAlign w:val="top"/>
          </w:tcPr>
          <w:p w14:paraId="779B5FF8">
            <w:pPr>
              <w:rPr>
                <w:rFonts w:ascii="Arial"/>
                <w:sz w:val="21"/>
                <w:highlight w:val="none"/>
              </w:rPr>
            </w:pPr>
          </w:p>
        </w:tc>
      </w:tr>
      <w:tr w14:paraId="04B8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93" w:type="dxa"/>
            <w:tcBorders>
              <w:left w:val="single" w:color="000000" w:sz="10" w:space="0"/>
            </w:tcBorders>
            <w:vAlign w:val="top"/>
          </w:tcPr>
          <w:p w14:paraId="7EF3F76A">
            <w:pPr>
              <w:rPr>
                <w:rFonts w:ascii="Arial"/>
                <w:sz w:val="21"/>
                <w:highlight w:val="none"/>
              </w:rPr>
            </w:pPr>
          </w:p>
        </w:tc>
        <w:tc>
          <w:tcPr>
            <w:tcW w:w="1146" w:type="dxa"/>
            <w:vAlign w:val="top"/>
          </w:tcPr>
          <w:p w14:paraId="6338C632">
            <w:pPr>
              <w:rPr>
                <w:rFonts w:ascii="Arial"/>
                <w:sz w:val="21"/>
                <w:highlight w:val="none"/>
              </w:rPr>
            </w:pPr>
          </w:p>
        </w:tc>
        <w:tc>
          <w:tcPr>
            <w:tcW w:w="1274" w:type="dxa"/>
            <w:vAlign w:val="top"/>
          </w:tcPr>
          <w:p w14:paraId="7E6E29B3">
            <w:pPr>
              <w:rPr>
                <w:rFonts w:ascii="Arial"/>
                <w:sz w:val="21"/>
                <w:highlight w:val="none"/>
              </w:rPr>
            </w:pPr>
          </w:p>
        </w:tc>
        <w:tc>
          <w:tcPr>
            <w:tcW w:w="843" w:type="dxa"/>
            <w:vAlign w:val="top"/>
          </w:tcPr>
          <w:p w14:paraId="1AB3B53D">
            <w:pPr>
              <w:rPr>
                <w:rFonts w:ascii="Arial"/>
                <w:sz w:val="21"/>
                <w:highlight w:val="none"/>
              </w:rPr>
            </w:pPr>
          </w:p>
        </w:tc>
        <w:tc>
          <w:tcPr>
            <w:tcW w:w="764" w:type="dxa"/>
            <w:vAlign w:val="top"/>
          </w:tcPr>
          <w:p w14:paraId="70849275">
            <w:pPr>
              <w:rPr>
                <w:rFonts w:ascii="Arial"/>
                <w:sz w:val="21"/>
                <w:highlight w:val="none"/>
              </w:rPr>
            </w:pPr>
          </w:p>
        </w:tc>
        <w:tc>
          <w:tcPr>
            <w:tcW w:w="936" w:type="dxa"/>
            <w:vAlign w:val="top"/>
          </w:tcPr>
          <w:p w14:paraId="74314934">
            <w:pPr>
              <w:rPr>
                <w:rFonts w:ascii="Arial"/>
                <w:sz w:val="21"/>
                <w:highlight w:val="none"/>
              </w:rPr>
            </w:pPr>
          </w:p>
        </w:tc>
        <w:tc>
          <w:tcPr>
            <w:tcW w:w="890" w:type="dxa"/>
            <w:vAlign w:val="top"/>
          </w:tcPr>
          <w:p w14:paraId="03ABBD8C">
            <w:pPr>
              <w:rPr>
                <w:rFonts w:ascii="Arial"/>
                <w:sz w:val="21"/>
                <w:highlight w:val="none"/>
              </w:rPr>
            </w:pPr>
          </w:p>
        </w:tc>
        <w:tc>
          <w:tcPr>
            <w:tcW w:w="764" w:type="dxa"/>
            <w:vAlign w:val="top"/>
          </w:tcPr>
          <w:p w14:paraId="6A16B155">
            <w:pPr>
              <w:rPr>
                <w:rFonts w:ascii="Arial"/>
                <w:sz w:val="21"/>
                <w:highlight w:val="none"/>
              </w:rPr>
            </w:pPr>
          </w:p>
        </w:tc>
        <w:tc>
          <w:tcPr>
            <w:tcW w:w="1333" w:type="dxa"/>
            <w:vAlign w:val="top"/>
          </w:tcPr>
          <w:p w14:paraId="0B5A2CF7">
            <w:pPr>
              <w:rPr>
                <w:rFonts w:ascii="Arial"/>
                <w:sz w:val="21"/>
                <w:highlight w:val="none"/>
              </w:rPr>
            </w:pPr>
          </w:p>
        </w:tc>
        <w:tc>
          <w:tcPr>
            <w:tcW w:w="920" w:type="dxa"/>
            <w:tcBorders>
              <w:right w:val="single" w:color="000000" w:sz="10" w:space="0"/>
            </w:tcBorders>
            <w:vAlign w:val="top"/>
          </w:tcPr>
          <w:p w14:paraId="7A41496C">
            <w:pPr>
              <w:rPr>
                <w:rFonts w:ascii="Arial"/>
                <w:sz w:val="21"/>
                <w:highlight w:val="none"/>
              </w:rPr>
            </w:pPr>
          </w:p>
        </w:tc>
      </w:tr>
      <w:tr w14:paraId="26005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493B7B4B">
            <w:pPr>
              <w:rPr>
                <w:rFonts w:ascii="Arial"/>
                <w:sz w:val="21"/>
                <w:highlight w:val="none"/>
              </w:rPr>
            </w:pPr>
          </w:p>
        </w:tc>
        <w:tc>
          <w:tcPr>
            <w:tcW w:w="1146" w:type="dxa"/>
            <w:vAlign w:val="top"/>
          </w:tcPr>
          <w:p w14:paraId="748BDC91">
            <w:pPr>
              <w:rPr>
                <w:rFonts w:ascii="Arial"/>
                <w:sz w:val="21"/>
                <w:highlight w:val="none"/>
              </w:rPr>
            </w:pPr>
          </w:p>
        </w:tc>
        <w:tc>
          <w:tcPr>
            <w:tcW w:w="1274" w:type="dxa"/>
            <w:vAlign w:val="top"/>
          </w:tcPr>
          <w:p w14:paraId="0530CBBD">
            <w:pPr>
              <w:rPr>
                <w:rFonts w:ascii="Arial"/>
                <w:sz w:val="21"/>
                <w:highlight w:val="none"/>
              </w:rPr>
            </w:pPr>
          </w:p>
        </w:tc>
        <w:tc>
          <w:tcPr>
            <w:tcW w:w="843" w:type="dxa"/>
            <w:vAlign w:val="top"/>
          </w:tcPr>
          <w:p w14:paraId="7C661C19">
            <w:pPr>
              <w:rPr>
                <w:rFonts w:ascii="Arial"/>
                <w:sz w:val="21"/>
                <w:highlight w:val="none"/>
              </w:rPr>
            </w:pPr>
          </w:p>
        </w:tc>
        <w:tc>
          <w:tcPr>
            <w:tcW w:w="764" w:type="dxa"/>
            <w:vAlign w:val="top"/>
          </w:tcPr>
          <w:p w14:paraId="276A4156">
            <w:pPr>
              <w:rPr>
                <w:rFonts w:ascii="Arial"/>
                <w:sz w:val="21"/>
                <w:highlight w:val="none"/>
              </w:rPr>
            </w:pPr>
          </w:p>
        </w:tc>
        <w:tc>
          <w:tcPr>
            <w:tcW w:w="936" w:type="dxa"/>
            <w:vAlign w:val="top"/>
          </w:tcPr>
          <w:p w14:paraId="1CD50848">
            <w:pPr>
              <w:rPr>
                <w:rFonts w:ascii="Arial"/>
                <w:sz w:val="21"/>
                <w:highlight w:val="none"/>
              </w:rPr>
            </w:pPr>
          </w:p>
        </w:tc>
        <w:tc>
          <w:tcPr>
            <w:tcW w:w="890" w:type="dxa"/>
            <w:vAlign w:val="top"/>
          </w:tcPr>
          <w:p w14:paraId="20E30EF1">
            <w:pPr>
              <w:rPr>
                <w:rFonts w:ascii="Arial"/>
                <w:sz w:val="21"/>
                <w:highlight w:val="none"/>
              </w:rPr>
            </w:pPr>
          </w:p>
        </w:tc>
        <w:tc>
          <w:tcPr>
            <w:tcW w:w="764" w:type="dxa"/>
            <w:vAlign w:val="top"/>
          </w:tcPr>
          <w:p w14:paraId="34A4CF6C">
            <w:pPr>
              <w:rPr>
                <w:rFonts w:ascii="Arial"/>
                <w:sz w:val="21"/>
                <w:highlight w:val="none"/>
              </w:rPr>
            </w:pPr>
          </w:p>
        </w:tc>
        <w:tc>
          <w:tcPr>
            <w:tcW w:w="1333" w:type="dxa"/>
            <w:vAlign w:val="top"/>
          </w:tcPr>
          <w:p w14:paraId="0EC26131">
            <w:pPr>
              <w:rPr>
                <w:rFonts w:ascii="Arial"/>
                <w:sz w:val="21"/>
                <w:highlight w:val="none"/>
              </w:rPr>
            </w:pPr>
          </w:p>
        </w:tc>
        <w:tc>
          <w:tcPr>
            <w:tcW w:w="920" w:type="dxa"/>
            <w:tcBorders>
              <w:right w:val="single" w:color="000000" w:sz="10" w:space="0"/>
            </w:tcBorders>
            <w:vAlign w:val="top"/>
          </w:tcPr>
          <w:p w14:paraId="5F3CF304">
            <w:pPr>
              <w:rPr>
                <w:rFonts w:ascii="Arial"/>
                <w:sz w:val="21"/>
                <w:highlight w:val="none"/>
              </w:rPr>
            </w:pPr>
          </w:p>
        </w:tc>
      </w:tr>
      <w:tr w14:paraId="36C9C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5B03E497">
            <w:pPr>
              <w:rPr>
                <w:rFonts w:ascii="Arial"/>
                <w:sz w:val="21"/>
                <w:highlight w:val="none"/>
              </w:rPr>
            </w:pPr>
          </w:p>
        </w:tc>
        <w:tc>
          <w:tcPr>
            <w:tcW w:w="1146" w:type="dxa"/>
            <w:vAlign w:val="top"/>
          </w:tcPr>
          <w:p w14:paraId="4607FA5B">
            <w:pPr>
              <w:rPr>
                <w:rFonts w:ascii="Arial"/>
                <w:sz w:val="21"/>
                <w:highlight w:val="none"/>
              </w:rPr>
            </w:pPr>
          </w:p>
        </w:tc>
        <w:tc>
          <w:tcPr>
            <w:tcW w:w="1274" w:type="dxa"/>
            <w:vAlign w:val="top"/>
          </w:tcPr>
          <w:p w14:paraId="36EFF4C5">
            <w:pPr>
              <w:rPr>
                <w:rFonts w:ascii="Arial"/>
                <w:sz w:val="21"/>
                <w:highlight w:val="none"/>
              </w:rPr>
            </w:pPr>
          </w:p>
        </w:tc>
        <w:tc>
          <w:tcPr>
            <w:tcW w:w="843" w:type="dxa"/>
            <w:vAlign w:val="top"/>
          </w:tcPr>
          <w:p w14:paraId="62D7C454">
            <w:pPr>
              <w:rPr>
                <w:rFonts w:ascii="Arial"/>
                <w:sz w:val="21"/>
                <w:highlight w:val="none"/>
              </w:rPr>
            </w:pPr>
          </w:p>
        </w:tc>
        <w:tc>
          <w:tcPr>
            <w:tcW w:w="764" w:type="dxa"/>
            <w:vAlign w:val="top"/>
          </w:tcPr>
          <w:p w14:paraId="2E042591">
            <w:pPr>
              <w:rPr>
                <w:rFonts w:ascii="Arial"/>
                <w:sz w:val="21"/>
                <w:highlight w:val="none"/>
              </w:rPr>
            </w:pPr>
          </w:p>
        </w:tc>
        <w:tc>
          <w:tcPr>
            <w:tcW w:w="936" w:type="dxa"/>
            <w:vAlign w:val="top"/>
          </w:tcPr>
          <w:p w14:paraId="59D2A29C">
            <w:pPr>
              <w:rPr>
                <w:rFonts w:ascii="Arial"/>
                <w:sz w:val="21"/>
                <w:highlight w:val="none"/>
              </w:rPr>
            </w:pPr>
          </w:p>
        </w:tc>
        <w:tc>
          <w:tcPr>
            <w:tcW w:w="890" w:type="dxa"/>
            <w:vAlign w:val="top"/>
          </w:tcPr>
          <w:p w14:paraId="011A4E1D">
            <w:pPr>
              <w:rPr>
                <w:rFonts w:ascii="Arial"/>
                <w:sz w:val="21"/>
                <w:highlight w:val="none"/>
              </w:rPr>
            </w:pPr>
          </w:p>
        </w:tc>
        <w:tc>
          <w:tcPr>
            <w:tcW w:w="764" w:type="dxa"/>
            <w:vAlign w:val="top"/>
          </w:tcPr>
          <w:p w14:paraId="7A272A89">
            <w:pPr>
              <w:rPr>
                <w:rFonts w:ascii="Arial"/>
                <w:sz w:val="21"/>
                <w:highlight w:val="none"/>
              </w:rPr>
            </w:pPr>
          </w:p>
        </w:tc>
        <w:tc>
          <w:tcPr>
            <w:tcW w:w="1333" w:type="dxa"/>
            <w:vAlign w:val="top"/>
          </w:tcPr>
          <w:p w14:paraId="23788732">
            <w:pPr>
              <w:rPr>
                <w:rFonts w:ascii="Arial"/>
                <w:sz w:val="21"/>
                <w:highlight w:val="none"/>
              </w:rPr>
            </w:pPr>
          </w:p>
        </w:tc>
        <w:tc>
          <w:tcPr>
            <w:tcW w:w="920" w:type="dxa"/>
            <w:tcBorders>
              <w:right w:val="single" w:color="000000" w:sz="10" w:space="0"/>
            </w:tcBorders>
            <w:vAlign w:val="top"/>
          </w:tcPr>
          <w:p w14:paraId="3F7F429A">
            <w:pPr>
              <w:rPr>
                <w:rFonts w:ascii="Arial"/>
                <w:sz w:val="21"/>
                <w:highlight w:val="none"/>
              </w:rPr>
            </w:pPr>
          </w:p>
        </w:tc>
      </w:tr>
      <w:tr w14:paraId="70A46A07">
        <w:tblPrEx>
          <w:tblCellMar>
            <w:top w:w="0" w:type="dxa"/>
            <w:left w:w="0" w:type="dxa"/>
            <w:bottom w:w="0" w:type="dxa"/>
            <w:right w:w="0" w:type="dxa"/>
          </w:tblCellMar>
        </w:tblPrEx>
        <w:trPr>
          <w:trHeight w:val="604" w:hRule="atLeast"/>
        </w:trPr>
        <w:tc>
          <w:tcPr>
            <w:tcW w:w="793" w:type="dxa"/>
            <w:tcBorders>
              <w:left w:val="single" w:color="000000" w:sz="10" w:space="0"/>
            </w:tcBorders>
            <w:vAlign w:val="top"/>
          </w:tcPr>
          <w:p w14:paraId="66D4982D">
            <w:pPr>
              <w:rPr>
                <w:rFonts w:ascii="Arial"/>
                <w:sz w:val="21"/>
                <w:highlight w:val="none"/>
              </w:rPr>
            </w:pPr>
          </w:p>
        </w:tc>
        <w:tc>
          <w:tcPr>
            <w:tcW w:w="1146" w:type="dxa"/>
            <w:vAlign w:val="top"/>
          </w:tcPr>
          <w:p w14:paraId="777297ED">
            <w:pPr>
              <w:rPr>
                <w:rFonts w:ascii="Arial"/>
                <w:sz w:val="21"/>
                <w:highlight w:val="none"/>
              </w:rPr>
            </w:pPr>
          </w:p>
        </w:tc>
        <w:tc>
          <w:tcPr>
            <w:tcW w:w="1274" w:type="dxa"/>
            <w:vAlign w:val="top"/>
          </w:tcPr>
          <w:p w14:paraId="1B73929D">
            <w:pPr>
              <w:rPr>
                <w:rFonts w:ascii="Arial"/>
                <w:sz w:val="21"/>
                <w:highlight w:val="none"/>
              </w:rPr>
            </w:pPr>
          </w:p>
        </w:tc>
        <w:tc>
          <w:tcPr>
            <w:tcW w:w="843" w:type="dxa"/>
            <w:vAlign w:val="top"/>
          </w:tcPr>
          <w:p w14:paraId="5F5B3100">
            <w:pPr>
              <w:rPr>
                <w:rFonts w:ascii="Arial"/>
                <w:sz w:val="21"/>
                <w:highlight w:val="none"/>
              </w:rPr>
            </w:pPr>
          </w:p>
        </w:tc>
        <w:tc>
          <w:tcPr>
            <w:tcW w:w="764" w:type="dxa"/>
            <w:vAlign w:val="top"/>
          </w:tcPr>
          <w:p w14:paraId="22D7A018">
            <w:pPr>
              <w:rPr>
                <w:rFonts w:ascii="Arial"/>
                <w:sz w:val="21"/>
                <w:highlight w:val="none"/>
              </w:rPr>
            </w:pPr>
          </w:p>
        </w:tc>
        <w:tc>
          <w:tcPr>
            <w:tcW w:w="936" w:type="dxa"/>
            <w:vAlign w:val="top"/>
          </w:tcPr>
          <w:p w14:paraId="5806CBA8">
            <w:pPr>
              <w:rPr>
                <w:rFonts w:ascii="Arial"/>
                <w:sz w:val="21"/>
                <w:highlight w:val="none"/>
              </w:rPr>
            </w:pPr>
          </w:p>
        </w:tc>
        <w:tc>
          <w:tcPr>
            <w:tcW w:w="890" w:type="dxa"/>
            <w:vAlign w:val="top"/>
          </w:tcPr>
          <w:p w14:paraId="642348A7">
            <w:pPr>
              <w:rPr>
                <w:rFonts w:ascii="Arial"/>
                <w:sz w:val="21"/>
                <w:highlight w:val="none"/>
              </w:rPr>
            </w:pPr>
          </w:p>
        </w:tc>
        <w:tc>
          <w:tcPr>
            <w:tcW w:w="764" w:type="dxa"/>
            <w:vAlign w:val="top"/>
          </w:tcPr>
          <w:p w14:paraId="75F9E8BB">
            <w:pPr>
              <w:rPr>
                <w:rFonts w:ascii="Arial"/>
                <w:sz w:val="21"/>
                <w:highlight w:val="none"/>
              </w:rPr>
            </w:pPr>
          </w:p>
        </w:tc>
        <w:tc>
          <w:tcPr>
            <w:tcW w:w="1333" w:type="dxa"/>
            <w:vAlign w:val="top"/>
          </w:tcPr>
          <w:p w14:paraId="2A5966D2">
            <w:pPr>
              <w:rPr>
                <w:rFonts w:ascii="Arial"/>
                <w:sz w:val="21"/>
                <w:highlight w:val="none"/>
              </w:rPr>
            </w:pPr>
          </w:p>
        </w:tc>
        <w:tc>
          <w:tcPr>
            <w:tcW w:w="920" w:type="dxa"/>
            <w:tcBorders>
              <w:right w:val="single" w:color="000000" w:sz="10" w:space="0"/>
            </w:tcBorders>
            <w:vAlign w:val="top"/>
          </w:tcPr>
          <w:p w14:paraId="06B741DE">
            <w:pPr>
              <w:rPr>
                <w:rFonts w:ascii="Arial"/>
                <w:sz w:val="21"/>
                <w:highlight w:val="none"/>
              </w:rPr>
            </w:pPr>
          </w:p>
        </w:tc>
      </w:tr>
      <w:tr w14:paraId="0403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93" w:type="dxa"/>
            <w:tcBorders>
              <w:left w:val="single" w:color="000000" w:sz="10" w:space="0"/>
            </w:tcBorders>
            <w:vAlign w:val="top"/>
          </w:tcPr>
          <w:p w14:paraId="6381536E">
            <w:pPr>
              <w:rPr>
                <w:rFonts w:ascii="Arial"/>
                <w:sz w:val="21"/>
                <w:highlight w:val="none"/>
              </w:rPr>
            </w:pPr>
          </w:p>
        </w:tc>
        <w:tc>
          <w:tcPr>
            <w:tcW w:w="1146" w:type="dxa"/>
            <w:vAlign w:val="top"/>
          </w:tcPr>
          <w:p w14:paraId="7B43D7C4">
            <w:pPr>
              <w:rPr>
                <w:rFonts w:ascii="Arial"/>
                <w:sz w:val="21"/>
                <w:highlight w:val="none"/>
              </w:rPr>
            </w:pPr>
          </w:p>
        </w:tc>
        <w:tc>
          <w:tcPr>
            <w:tcW w:w="1274" w:type="dxa"/>
            <w:vAlign w:val="top"/>
          </w:tcPr>
          <w:p w14:paraId="26E8CEE1">
            <w:pPr>
              <w:rPr>
                <w:rFonts w:ascii="Arial"/>
                <w:sz w:val="21"/>
                <w:highlight w:val="none"/>
              </w:rPr>
            </w:pPr>
          </w:p>
        </w:tc>
        <w:tc>
          <w:tcPr>
            <w:tcW w:w="843" w:type="dxa"/>
            <w:vAlign w:val="top"/>
          </w:tcPr>
          <w:p w14:paraId="42C1C82B">
            <w:pPr>
              <w:rPr>
                <w:rFonts w:ascii="Arial"/>
                <w:sz w:val="21"/>
                <w:highlight w:val="none"/>
              </w:rPr>
            </w:pPr>
          </w:p>
        </w:tc>
        <w:tc>
          <w:tcPr>
            <w:tcW w:w="764" w:type="dxa"/>
            <w:vAlign w:val="top"/>
          </w:tcPr>
          <w:p w14:paraId="04D9AA0F">
            <w:pPr>
              <w:rPr>
                <w:rFonts w:ascii="Arial"/>
                <w:sz w:val="21"/>
                <w:highlight w:val="none"/>
              </w:rPr>
            </w:pPr>
          </w:p>
        </w:tc>
        <w:tc>
          <w:tcPr>
            <w:tcW w:w="936" w:type="dxa"/>
            <w:vAlign w:val="top"/>
          </w:tcPr>
          <w:p w14:paraId="29EA925F">
            <w:pPr>
              <w:rPr>
                <w:rFonts w:ascii="Arial"/>
                <w:sz w:val="21"/>
                <w:highlight w:val="none"/>
              </w:rPr>
            </w:pPr>
          </w:p>
        </w:tc>
        <w:tc>
          <w:tcPr>
            <w:tcW w:w="890" w:type="dxa"/>
            <w:vAlign w:val="top"/>
          </w:tcPr>
          <w:p w14:paraId="1BB81CCB">
            <w:pPr>
              <w:rPr>
                <w:rFonts w:ascii="Arial"/>
                <w:sz w:val="21"/>
                <w:highlight w:val="none"/>
              </w:rPr>
            </w:pPr>
          </w:p>
        </w:tc>
        <w:tc>
          <w:tcPr>
            <w:tcW w:w="764" w:type="dxa"/>
            <w:vAlign w:val="top"/>
          </w:tcPr>
          <w:p w14:paraId="4A23A285">
            <w:pPr>
              <w:rPr>
                <w:rFonts w:ascii="Arial"/>
                <w:sz w:val="21"/>
                <w:highlight w:val="none"/>
              </w:rPr>
            </w:pPr>
          </w:p>
        </w:tc>
        <w:tc>
          <w:tcPr>
            <w:tcW w:w="1333" w:type="dxa"/>
            <w:vAlign w:val="top"/>
          </w:tcPr>
          <w:p w14:paraId="7BF7A81D">
            <w:pPr>
              <w:rPr>
                <w:rFonts w:ascii="Arial"/>
                <w:sz w:val="21"/>
                <w:highlight w:val="none"/>
              </w:rPr>
            </w:pPr>
          </w:p>
        </w:tc>
        <w:tc>
          <w:tcPr>
            <w:tcW w:w="920" w:type="dxa"/>
            <w:tcBorders>
              <w:right w:val="single" w:color="000000" w:sz="10" w:space="0"/>
            </w:tcBorders>
            <w:vAlign w:val="top"/>
          </w:tcPr>
          <w:p w14:paraId="5C0D7B71">
            <w:pPr>
              <w:rPr>
                <w:rFonts w:ascii="Arial"/>
                <w:sz w:val="21"/>
                <w:highlight w:val="none"/>
              </w:rPr>
            </w:pPr>
          </w:p>
        </w:tc>
      </w:tr>
      <w:tr w14:paraId="4487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07AEB97E">
            <w:pPr>
              <w:rPr>
                <w:rFonts w:ascii="Arial"/>
                <w:sz w:val="21"/>
                <w:highlight w:val="none"/>
              </w:rPr>
            </w:pPr>
          </w:p>
        </w:tc>
        <w:tc>
          <w:tcPr>
            <w:tcW w:w="1146" w:type="dxa"/>
            <w:vAlign w:val="top"/>
          </w:tcPr>
          <w:p w14:paraId="455F7251">
            <w:pPr>
              <w:rPr>
                <w:rFonts w:ascii="Arial"/>
                <w:sz w:val="21"/>
                <w:highlight w:val="none"/>
              </w:rPr>
            </w:pPr>
          </w:p>
        </w:tc>
        <w:tc>
          <w:tcPr>
            <w:tcW w:w="1274" w:type="dxa"/>
            <w:vAlign w:val="top"/>
          </w:tcPr>
          <w:p w14:paraId="58CD2E43">
            <w:pPr>
              <w:rPr>
                <w:rFonts w:ascii="Arial"/>
                <w:sz w:val="21"/>
                <w:highlight w:val="none"/>
              </w:rPr>
            </w:pPr>
          </w:p>
        </w:tc>
        <w:tc>
          <w:tcPr>
            <w:tcW w:w="843" w:type="dxa"/>
            <w:vAlign w:val="top"/>
          </w:tcPr>
          <w:p w14:paraId="3C4FCA00">
            <w:pPr>
              <w:rPr>
                <w:rFonts w:ascii="Arial"/>
                <w:sz w:val="21"/>
                <w:highlight w:val="none"/>
              </w:rPr>
            </w:pPr>
          </w:p>
        </w:tc>
        <w:tc>
          <w:tcPr>
            <w:tcW w:w="764" w:type="dxa"/>
            <w:vAlign w:val="top"/>
          </w:tcPr>
          <w:p w14:paraId="5010E2E8">
            <w:pPr>
              <w:rPr>
                <w:rFonts w:ascii="Arial"/>
                <w:sz w:val="21"/>
                <w:highlight w:val="none"/>
              </w:rPr>
            </w:pPr>
          </w:p>
        </w:tc>
        <w:tc>
          <w:tcPr>
            <w:tcW w:w="936" w:type="dxa"/>
            <w:vAlign w:val="top"/>
          </w:tcPr>
          <w:p w14:paraId="19286456">
            <w:pPr>
              <w:rPr>
                <w:rFonts w:ascii="Arial"/>
                <w:sz w:val="21"/>
                <w:highlight w:val="none"/>
              </w:rPr>
            </w:pPr>
          </w:p>
        </w:tc>
        <w:tc>
          <w:tcPr>
            <w:tcW w:w="890" w:type="dxa"/>
            <w:vAlign w:val="top"/>
          </w:tcPr>
          <w:p w14:paraId="748279CC">
            <w:pPr>
              <w:rPr>
                <w:rFonts w:ascii="Arial"/>
                <w:sz w:val="21"/>
                <w:highlight w:val="none"/>
              </w:rPr>
            </w:pPr>
          </w:p>
        </w:tc>
        <w:tc>
          <w:tcPr>
            <w:tcW w:w="764" w:type="dxa"/>
            <w:vAlign w:val="top"/>
          </w:tcPr>
          <w:p w14:paraId="65494E5B">
            <w:pPr>
              <w:rPr>
                <w:rFonts w:ascii="Arial"/>
                <w:sz w:val="21"/>
                <w:highlight w:val="none"/>
              </w:rPr>
            </w:pPr>
          </w:p>
        </w:tc>
        <w:tc>
          <w:tcPr>
            <w:tcW w:w="1333" w:type="dxa"/>
            <w:vAlign w:val="top"/>
          </w:tcPr>
          <w:p w14:paraId="2767F70E">
            <w:pPr>
              <w:rPr>
                <w:rFonts w:ascii="Arial"/>
                <w:sz w:val="21"/>
                <w:highlight w:val="none"/>
              </w:rPr>
            </w:pPr>
          </w:p>
        </w:tc>
        <w:tc>
          <w:tcPr>
            <w:tcW w:w="920" w:type="dxa"/>
            <w:tcBorders>
              <w:right w:val="single" w:color="000000" w:sz="10" w:space="0"/>
            </w:tcBorders>
            <w:vAlign w:val="top"/>
          </w:tcPr>
          <w:p w14:paraId="268157BC">
            <w:pPr>
              <w:rPr>
                <w:rFonts w:ascii="Arial"/>
                <w:sz w:val="21"/>
                <w:highlight w:val="none"/>
              </w:rPr>
            </w:pPr>
          </w:p>
        </w:tc>
      </w:tr>
      <w:tr w14:paraId="68486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93" w:type="dxa"/>
            <w:tcBorders>
              <w:left w:val="single" w:color="000000" w:sz="10" w:space="0"/>
            </w:tcBorders>
            <w:vAlign w:val="top"/>
          </w:tcPr>
          <w:p w14:paraId="03F3CC97">
            <w:pPr>
              <w:rPr>
                <w:rFonts w:ascii="Arial"/>
                <w:sz w:val="21"/>
                <w:highlight w:val="none"/>
              </w:rPr>
            </w:pPr>
          </w:p>
        </w:tc>
        <w:tc>
          <w:tcPr>
            <w:tcW w:w="1146" w:type="dxa"/>
            <w:vAlign w:val="top"/>
          </w:tcPr>
          <w:p w14:paraId="494964DD">
            <w:pPr>
              <w:rPr>
                <w:rFonts w:ascii="Arial"/>
                <w:sz w:val="21"/>
                <w:highlight w:val="none"/>
              </w:rPr>
            </w:pPr>
          </w:p>
        </w:tc>
        <w:tc>
          <w:tcPr>
            <w:tcW w:w="1274" w:type="dxa"/>
            <w:vAlign w:val="top"/>
          </w:tcPr>
          <w:p w14:paraId="6AD279DB">
            <w:pPr>
              <w:rPr>
                <w:rFonts w:ascii="Arial"/>
                <w:sz w:val="21"/>
                <w:highlight w:val="none"/>
              </w:rPr>
            </w:pPr>
          </w:p>
        </w:tc>
        <w:tc>
          <w:tcPr>
            <w:tcW w:w="843" w:type="dxa"/>
            <w:vAlign w:val="top"/>
          </w:tcPr>
          <w:p w14:paraId="47159320">
            <w:pPr>
              <w:rPr>
                <w:rFonts w:ascii="Arial"/>
                <w:sz w:val="21"/>
                <w:highlight w:val="none"/>
              </w:rPr>
            </w:pPr>
          </w:p>
        </w:tc>
        <w:tc>
          <w:tcPr>
            <w:tcW w:w="764" w:type="dxa"/>
            <w:vAlign w:val="top"/>
          </w:tcPr>
          <w:p w14:paraId="2F183CB7">
            <w:pPr>
              <w:rPr>
                <w:rFonts w:ascii="Arial"/>
                <w:sz w:val="21"/>
                <w:highlight w:val="none"/>
              </w:rPr>
            </w:pPr>
          </w:p>
        </w:tc>
        <w:tc>
          <w:tcPr>
            <w:tcW w:w="936" w:type="dxa"/>
            <w:vAlign w:val="top"/>
          </w:tcPr>
          <w:p w14:paraId="7F055EA2">
            <w:pPr>
              <w:rPr>
                <w:rFonts w:ascii="Arial"/>
                <w:sz w:val="21"/>
                <w:highlight w:val="none"/>
              </w:rPr>
            </w:pPr>
          </w:p>
        </w:tc>
        <w:tc>
          <w:tcPr>
            <w:tcW w:w="890" w:type="dxa"/>
            <w:vAlign w:val="top"/>
          </w:tcPr>
          <w:p w14:paraId="123B0D63">
            <w:pPr>
              <w:rPr>
                <w:rFonts w:ascii="Arial"/>
                <w:sz w:val="21"/>
                <w:highlight w:val="none"/>
              </w:rPr>
            </w:pPr>
          </w:p>
        </w:tc>
        <w:tc>
          <w:tcPr>
            <w:tcW w:w="764" w:type="dxa"/>
            <w:vAlign w:val="top"/>
          </w:tcPr>
          <w:p w14:paraId="63E73AF9">
            <w:pPr>
              <w:rPr>
                <w:rFonts w:ascii="Arial"/>
                <w:sz w:val="21"/>
                <w:highlight w:val="none"/>
              </w:rPr>
            </w:pPr>
          </w:p>
        </w:tc>
        <w:tc>
          <w:tcPr>
            <w:tcW w:w="1333" w:type="dxa"/>
            <w:vAlign w:val="top"/>
          </w:tcPr>
          <w:p w14:paraId="1019D5B6">
            <w:pPr>
              <w:rPr>
                <w:rFonts w:ascii="Arial"/>
                <w:sz w:val="21"/>
                <w:highlight w:val="none"/>
              </w:rPr>
            </w:pPr>
          </w:p>
        </w:tc>
        <w:tc>
          <w:tcPr>
            <w:tcW w:w="920" w:type="dxa"/>
            <w:tcBorders>
              <w:right w:val="single" w:color="000000" w:sz="10" w:space="0"/>
            </w:tcBorders>
            <w:vAlign w:val="top"/>
          </w:tcPr>
          <w:p w14:paraId="2AD903FB">
            <w:pPr>
              <w:rPr>
                <w:rFonts w:ascii="Arial"/>
                <w:sz w:val="21"/>
                <w:highlight w:val="none"/>
              </w:rPr>
            </w:pPr>
          </w:p>
        </w:tc>
      </w:tr>
      <w:tr w14:paraId="0F045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93" w:type="dxa"/>
            <w:tcBorders>
              <w:left w:val="single" w:color="000000" w:sz="10" w:space="0"/>
            </w:tcBorders>
            <w:vAlign w:val="top"/>
          </w:tcPr>
          <w:p w14:paraId="12C1248D">
            <w:pPr>
              <w:rPr>
                <w:rFonts w:ascii="Arial"/>
                <w:sz w:val="21"/>
                <w:highlight w:val="none"/>
              </w:rPr>
            </w:pPr>
          </w:p>
        </w:tc>
        <w:tc>
          <w:tcPr>
            <w:tcW w:w="1146" w:type="dxa"/>
            <w:vAlign w:val="top"/>
          </w:tcPr>
          <w:p w14:paraId="519DCA2B">
            <w:pPr>
              <w:rPr>
                <w:rFonts w:ascii="Arial"/>
                <w:sz w:val="21"/>
                <w:highlight w:val="none"/>
              </w:rPr>
            </w:pPr>
          </w:p>
        </w:tc>
        <w:tc>
          <w:tcPr>
            <w:tcW w:w="1274" w:type="dxa"/>
            <w:vAlign w:val="top"/>
          </w:tcPr>
          <w:p w14:paraId="0803485D">
            <w:pPr>
              <w:rPr>
                <w:rFonts w:ascii="Arial"/>
                <w:sz w:val="21"/>
                <w:highlight w:val="none"/>
              </w:rPr>
            </w:pPr>
          </w:p>
        </w:tc>
        <w:tc>
          <w:tcPr>
            <w:tcW w:w="843" w:type="dxa"/>
            <w:vAlign w:val="top"/>
          </w:tcPr>
          <w:p w14:paraId="31BFD3D7">
            <w:pPr>
              <w:rPr>
                <w:rFonts w:ascii="Arial"/>
                <w:sz w:val="21"/>
                <w:highlight w:val="none"/>
              </w:rPr>
            </w:pPr>
          </w:p>
        </w:tc>
        <w:tc>
          <w:tcPr>
            <w:tcW w:w="764" w:type="dxa"/>
            <w:vAlign w:val="top"/>
          </w:tcPr>
          <w:p w14:paraId="6ED62763">
            <w:pPr>
              <w:rPr>
                <w:rFonts w:ascii="Arial"/>
                <w:sz w:val="21"/>
                <w:highlight w:val="none"/>
              </w:rPr>
            </w:pPr>
          </w:p>
        </w:tc>
        <w:tc>
          <w:tcPr>
            <w:tcW w:w="936" w:type="dxa"/>
            <w:vAlign w:val="top"/>
          </w:tcPr>
          <w:p w14:paraId="4008AD3F">
            <w:pPr>
              <w:rPr>
                <w:rFonts w:ascii="Arial"/>
                <w:sz w:val="21"/>
                <w:highlight w:val="none"/>
              </w:rPr>
            </w:pPr>
          </w:p>
        </w:tc>
        <w:tc>
          <w:tcPr>
            <w:tcW w:w="890" w:type="dxa"/>
            <w:vAlign w:val="top"/>
          </w:tcPr>
          <w:p w14:paraId="777A1148">
            <w:pPr>
              <w:rPr>
                <w:rFonts w:ascii="Arial"/>
                <w:sz w:val="21"/>
                <w:highlight w:val="none"/>
              </w:rPr>
            </w:pPr>
          </w:p>
        </w:tc>
        <w:tc>
          <w:tcPr>
            <w:tcW w:w="764" w:type="dxa"/>
            <w:vAlign w:val="top"/>
          </w:tcPr>
          <w:p w14:paraId="59EDE05E">
            <w:pPr>
              <w:rPr>
                <w:rFonts w:ascii="Arial"/>
                <w:sz w:val="21"/>
                <w:highlight w:val="none"/>
              </w:rPr>
            </w:pPr>
          </w:p>
        </w:tc>
        <w:tc>
          <w:tcPr>
            <w:tcW w:w="1333" w:type="dxa"/>
            <w:vAlign w:val="top"/>
          </w:tcPr>
          <w:p w14:paraId="5A2DA3E4">
            <w:pPr>
              <w:rPr>
                <w:rFonts w:ascii="Arial"/>
                <w:sz w:val="21"/>
                <w:highlight w:val="none"/>
              </w:rPr>
            </w:pPr>
          </w:p>
        </w:tc>
        <w:tc>
          <w:tcPr>
            <w:tcW w:w="920" w:type="dxa"/>
            <w:tcBorders>
              <w:right w:val="single" w:color="000000" w:sz="10" w:space="0"/>
            </w:tcBorders>
            <w:vAlign w:val="top"/>
          </w:tcPr>
          <w:p w14:paraId="7167B1E8">
            <w:pPr>
              <w:rPr>
                <w:rFonts w:ascii="Arial"/>
                <w:sz w:val="21"/>
                <w:highlight w:val="none"/>
              </w:rPr>
            </w:pPr>
          </w:p>
        </w:tc>
      </w:tr>
      <w:tr w14:paraId="1F6F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93" w:type="dxa"/>
            <w:tcBorders>
              <w:left w:val="single" w:color="000000" w:sz="10" w:space="0"/>
            </w:tcBorders>
            <w:vAlign w:val="top"/>
          </w:tcPr>
          <w:p w14:paraId="58EF0AAA">
            <w:pPr>
              <w:rPr>
                <w:rFonts w:ascii="Arial"/>
                <w:sz w:val="21"/>
                <w:highlight w:val="none"/>
              </w:rPr>
            </w:pPr>
          </w:p>
        </w:tc>
        <w:tc>
          <w:tcPr>
            <w:tcW w:w="1146" w:type="dxa"/>
            <w:vAlign w:val="top"/>
          </w:tcPr>
          <w:p w14:paraId="0D109629">
            <w:pPr>
              <w:rPr>
                <w:rFonts w:ascii="Arial"/>
                <w:sz w:val="21"/>
                <w:highlight w:val="none"/>
              </w:rPr>
            </w:pPr>
          </w:p>
        </w:tc>
        <w:tc>
          <w:tcPr>
            <w:tcW w:w="1274" w:type="dxa"/>
            <w:vAlign w:val="top"/>
          </w:tcPr>
          <w:p w14:paraId="0515F074">
            <w:pPr>
              <w:rPr>
                <w:rFonts w:ascii="Arial"/>
                <w:sz w:val="21"/>
                <w:highlight w:val="none"/>
              </w:rPr>
            </w:pPr>
          </w:p>
        </w:tc>
        <w:tc>
          <w:tcPr>
            <w:tcW w:w="843" w:type="dxa"/>
            <w:vAlign w:val="top"/>
          </w:tcPr>
          <w:p w14:paraId="752289A6">
            <w:pPr>
              <w:rPr>
                <w:rFonts w:ascii="Arial"/>
                <w:sz w:val="21"/>
                <w:highlight w:val="none"/>
              </w:rPr>
            </w:pPr>
          </w:p>
        </w:tc>
        <w:tc>
          <w:tcPr>
            <w:tcW w:w="764" w:type="dxa"/>
            <w:vAlign w:val="top"/>
          </w:tcPr>
          <w:p w14:paraId="6F8AE91C">
            <w:pPr>
              <w:rPr>
                <w:rFonts w:ascii="Arial"/>
                <w:sz w:val="21"/>
                <w:highlight w:val="none"/>
              </w:rPr>
            </w:pPr>
          </w:p>
        </w:tc>
        <w:tc>
          <w:tcPr>
            <w:tcW w:w="936" w:type="dxa"/>
            <w:vAlign w:val="top"/>
          </w:tcPr>
          <w:p w14:paraId="2FA27BCE">
            <w:pPr>
              <w:rPr>
                <w:rFonts w:ascii="Arial"/>
                <w:sz w:val="21"/>
                <w:highlight w:val="none"/>
              </w:rPr>
            </w:pPr>
          </w:p>
        </w:tc>
        <w:tc>
          <w:tcPr>
            <w:tcW w:w="890" w:type="dxa"/>
            <w:vAlign w:val="top"/>
          </w:tcPr>
          <w:p w14:paraId="6B61DC4A">
            <w:pPr>
              <w:rPr>
                <w:rFonts w:ascii="Arial"/>
                <w:sz w:val="21"/>
                <w:highlight w:val="none"/>
              </w:rPr>
            </w:pPr>
          </w:p>
        </w:tc>
        <w:tc>
          <w:tcPr>
            <w:tcW w:w="764" w:type="dxa"/>
            <w:vAlign w:val="top"/>
          </w:tcPr>
          <w:p w14:paraId="7A792F7E">
            <w:pPr>
              <w:rPr>
                <w:rFonts w:ascii="Arial"/>
                <w:sz w:val="21"/>
                <w:highlight w:val="none"/>
              </w:rPr>
            </w:pPr>
          </w:p>
        </w:tc>
        <w:tc>
          <w:tcPr>
            <w:tcW w:w="1333" w:type="dxa"/>
            <w:vAlign w:val="top"/>
          </w:tcPr>
          <w:p w14:paraId="72F56EDB">
            <w:pPr>
              <w:rPr>
                <w:rFonts w:ascii="Arial"/>
                <w:sz w:val="21"/>
                <w:highlight w:val="none"/>
              </w:rPr>
            </w:pPr>
          </w:p>
        </w:tc>
        <w:tc>
          <w:tcPr>
            <w:tcW w:w="920" w:type="dxa"/>
            <w:tcBorders>
              <w:right w:val="single" w:color="000000" w:sz="10" w:space="0"/>
            </w:tcBorders>
            <w:vAlign w:val="top"/>
          </w:tcPr>
          <w:p w14:paraId="79B48C20">
            <w:pPr>
              <w:rPr>
                <w:rFonts w:ascii="Arial"/>
                <w:sz w:val="21"/>
                <w:highlight w:val="none"/>
              </w:rPr>
            </w:pPr>
          </w:p>
        </w:tc>
      </w:tr>
      <w:tr w14:paraId="4B25D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6CB50D41">
            <w:pPr>
              <w:rPr>
                <w:rFonts w:ascii="Arial"/>
                <w:sz w:val="21"/>
                <w:highlight w:val="none"/>
              </w:rPr>
            </w:pPr>
          </w:p>
        </w:tc>
        <w:tc>
          <w:tcPr>
            <w:tcW w:w="1146" w:type="dxa"/>
            <w:vAlign w:val="top"/>
          </w:tcPr>
          <w:p w14:paraId="1F77071B">
            <w:pPr>
              <w:rPr>
                <w:rFonts w:ascii="Arial"/>
                <w:sz w:val="21"/>
                <w:highlight w:val="none"/>
              </w:rPr>
            </w:pPr>
          </w:p>
        </w:tc>
        <w:tc>
          <w:tcPr>
            <w:tcW w:w="1274" w:type="dxa"/>
            <w:vAlign w:val="top"/>
          </w:tcPr>
          <w:p w14:paraId="17CA483C">
            <w:pPr>
              <w:rPr>
                <w:rFonts w:ascii="Arial"/>
                <w:sz w:val="21"/>
                <w:highlight w:val="none"/>
              </w:rPr>
            </w:pPr>
          </w:p>
        </w:tc>
        <w:tc>
          <w:tcPr>
            <w:tcW w:w="843" w:type="dxa"/>
            <w:vAlign w:val="top"/>
          </w:tcPr>
          <w:p w14:paraId="5E3B1205">
            <w:pPr>
              <w:rPr>
                <w:rFonts w:ascii="Arial"/>
                <w:sz w:val="21"/>
                <w:highlight w:val="none"/>
              </w:rPr>
            </w:pPr>
          </w:p>
        </w:tc>
        <w:tc>
          <w:tcPr>
            <w:tcW w:w="764" w:type="dxa"/>
            <w:vAlign w:val="top"/>
          </w:tcPr>
          <w:p w14:paraId="47010A68">
            <w:pPr>
              <w:rPr>
                <w:rFonts w:ascii="Arial"/>
                <w:sz w:val="21"/>
                <w:highlight w:val="none"/>
              </w:rPr>
            </w:pPr>
          </w:p>
        </w:tc>
        <w:tc>
          <w:tcPr>
            <w:tcW w:w="936" w:type="dxa"/>
            <w:vAlign w:val="top"/>
          </w:tcPr>
          <w:p w14:paraId="09D6444B">
            <w:pPr>
              <w:rPr>
                <w:rFonts w:ascii="Arial"/>
                <w:sz w:val="21"/>
                <w:highlight w:val="none"/>
              </w:rPr>
            </w:pPr>
          </w:p>
        </w:tc>
        <w:tc>
          <w:tcPr>
            <w:tcW w:w="890" w:type="dxa"/>
            <w:vAlign w:val="top"/>
          </w:tcPr>
          <w:p w14:paraId="4154FBA0">
            <w:pPr>
              <w:rPr>
                <w:rFonts w:ascii="Arial"/>
                <w:sz w:val="21"/>
                <w:highlight w:val="none"/>
              </w:rPr>
            </w:pPr>
          </w:p>
        </w:tc>
        <w:tc>
          <w:tcPr>
            <w:tcW w:w="764" w:type="dxa"/>
            <w:vAlign w:val="top"/>
          </w:tcPr>
          <w:p w14:paraId="09BABC63">
            <w:pPr>
              <w:rPr>
                <w:rFonts w:ascii="Arial"/>
                <w:sz w:val="21"/>
                <w:highlight w:val="none"/>
              </w:rPr>
            </w:pPr>
          </w:p>
        </w:tc>
        <w:tc>
          <w:tcPr>
            <w:tcW w:w="1333" w:type="dxa"/>
            <w:vAlign w:val="top"/>
          </w:tcPr>
          <w:p w14:paraId="0EB5C282">
            <w:pPr>
              <w:rPr>
                <w:rFonts w:ascii="Arial"/>
                <w:sz w:val="21"/>
                <w:highlight w:val="none"/>
              </w:rPr>
            </w:pPr>
          </w:p>
        </w:tc>
        <w:tc>
          <w:tcPr>
            <w:tcW w:w="920" w:type="dxa"/>
            <w:tcBorders>
              <w:right w:val="single" w:color="000000" w:sz="10" w:space="0"/>
            </w:tcBorders>
            <w:vAlign w:val="top"/>
          </w:tcPr>
          <w:p w14:paraId="4B3C4599">
            <w:pPr>
              <w:rPr>
                <w:rFonts w:ascii="Arial"/>
                <w:sz w:val="21"/>
                <w:highlight w:val="none"/>
              </w:rPr>
            </w:pPr>
          </w:p>
        </w:tc>
      </w:tr>
      <w:tr w14:paraId="39530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0ED18FD8">
            <w:pPr>
              <w:rPr>
                <w:rFonts w:ascii="Arial"/>
                <w:sz w:val="21"/>
                <w:highlight w:val="none"/>
              </w:rPr>
            </w:pPr>
          </w:p>
        </w:tc>
        <w:tc>
          <w:tcPr>
            <w:tcW w:w="1146" w:type="dxa"/>
            <w:vAlign w:val="top"/>
          </w:tcPr>
          <w:p w14:paraId="7DF360AC">
            <w:pPr>
              <w:rPr>
                <w:rFonts w:ascii="Arial"/>
                <w:sz w:val="21"/>
                <w:highlight w:val="none"/>
              </w:rPr>
            </w:pPr>
          </w:p>
        </w:tc>
        <w:tc>
          <w:tcPr>
            <w:tcW w:w="1274" w:type="dxa"/>
            <w:vAlign w:val="top"/>
          </w:tcPr>
          <w:p w14:paraId="2BD00A39">
            <w:pPr>
              <w:rPr>
                <w:rFonts w:ascii="Arial"/>
                <w:sz w:val="21"/>
                <w:highlight w:val="none"/>
              </w:rPr>
            </w:pPr>
          </w:p>
        </w:tc>
        <w:tc>
          <w:tcPr>
            <w:tcW w:w="843" w:type="dxa"/>
            <w:vAlign w:val="top"/>
          </w:tcPr>
          <w:p w14:paraId="0B44F038">
            <w:pPr>
              <w:rPr>
                <w:rFonts w:ascii="Arial"/>
                <w:sz w:val="21"/>
                <w:highlight w:val="none"/>
              </w:rPr>
            </w:pPr>
          </w:p>
        </w:tc>
        <w:tc>
          <w:tcPr>
            <w:tcW w:w="764" w:type="dxa"/>
            <w:vAlign w:val="top"/>
          </w:tcPr>
          <w:p w14:paraId="2BA9E596">
            <w:pPr>
              <w:rPr>
                <w:rFonts w:ascii="Arial"/>
                <w:sz w:val="21"/>
                <w:highlight w:val="none"/>
              </w:rPr>
            </w:pPr>
          </w:p>
        </w:tc>
        <w:tc>
          <w:tcPr>
            <w:tcW w:w="936" w:type="dxa"/>
            <w:vAlign w:val="top"/>
          </w:tcPr>
          <w:p w14:paraId="0A6624C3">
            <w:pPr>
              <w:rPr>
                <w:rFonts w:ascii="Arial"/>
                <w:sz w:val="21"/>
                <w:highlight w:val="none"/>
              </w:rPr>
            </w:pPr>
          </w:p>
        </w:tc>
        <w:tc>
          <w:tcPr>
            <w:tcW w:w="890" w:type="dxa"/>
            <w:vAlign w:val="top"/>
          </w:tcPr>
          <w:p w14:paraId="343E9832">
            <w:pPr>
              <w:rPr>
                <w:rFonts w:ascii="Arial"/>
                <w:sz w:val="21"/>
                <w:highlight w:val="none"/>
              </w:rPr>
            </w:pPr>
          </w:p>
        </w:tc>
        <w:tc>
          <w:tcPr>
            <w:tcW w:w="764" w:type="dxa"/>
            <w:vAlign w:val="top"/>
          </w:tcPr>
          <w:p w14:paraId="75C38181">
            <w:pPr>
              <w:rPr>
                <w:rFonts w:ascii="Arial"/>
                <w:sz w:val="21"/>
                <w:highlight w:val="none"/>
              </w:rPr>
            </w:pPr>
          </w:p>
        </w:tc>
        <w:tc>
          <w:tcPr>
            <w:tcW w:w="1333" w:type="dxa"/>
            <w:vAlign w:val="top"/>
          </w:tcPr>
          <w:p w14:paraId="0C697008">
            <w:pPr>
              <w:rPr>
                <w:rFonts w:ascii="Arial"/>
                <w:sz w:val="21"/>
                <w:highlight w:val="none"/>
              </w:rPr>
            </w:pPr>
          </w:p>
        </w:tc>
        <w:tc>
          <w:tcPr>
            <w:tcW w:w="920" w:type="dxa"/>
            <w:tcBorders>
              <w:right w:val="single" w:color="000000" w:sz="10" w:space="0"/>
            </w:tcBorders>
            <w:vAlign w:val="top"/>
          </w:tcPr>
          <w:p w14:paraId="44731350">
            <w:pPr>
              <w:rPr>
                <w:rFonts w:ascii="Arial"/>
                <w:sz w:val="21"/>
                <w:highlight w:val="none"/>
              </w:rPr>
            </w:pPr>
          </w:p>
        </w:tc>
      </w:tr>
      <w:tr w14:paraId="0EEB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3" w:type="dxa"/>
            <w:tcBorders>
              <w:left w:val="single" w:color="000000" w:sz="10" w:space="0"/>
            </w:tcBorders>
            <w:vAlign w:val="top"/>
          </w:tcPr>
          <w:p w14:paraId="1A09233F">
            <w:pPr>
              <w:rPr>
                <w:rFonts w:ascii="Arial"/>
                <w:sz w:val="21"/>
                <w:highlight w:val="none"/>
              </w:rPr>
            </w:pPr>
          </w:p>
        </w:tc>
        <w:tc>
          <w:tcPr>
            <w:tcW w:w="1146" w:type="dxa"/>
            <w:vAlign w:val="top"/>
          </w:tcPr>
          <w:p w14:paraId="247E4F70">
            <w:pPr>
              <w:rPr>
                <w:rFonts w:ascii="Arial"/>
                <w:sz w:val="21"/>
                <w:highlight w:val="none"/>
              </w:rPr>
            </w:pPr>
          </w:p>
        </w:tc>
        <w:tc>
          <w:tcPr>
            <w:tcW w:w="1274" w:type="dxa"/>
            <w:vAlign w:val="top"/>
          </w:tcPr>
          <w:p w14:paraId="3E7A40C7">
            <w:pPr>
              <w:rPr>
                <w:rFonts w:ascii="Arial"/>
                <w:sz w:val="21"/>
                <w:highlight w:val="none"/>
              </w:rPr>
            </w:pPr>
          </w:p>
        </w:tc>
        <w:tc>
          <w:tcPr>
            <w:tcW w:w="843" w:type="dxa"/>
            <w:vAlign w:val="top"/>
          </w:tcPr>
          <w:p w14:paraId="5EC54033">
            <w:pPr>
              <w:rPr>
                <w:rFonts w:ascii="Arial"/>
                <w:sz w:val="21"/>
                <w:highlight w:val="none"/>
              </w:rPr>
            </w:pPr>
          </w:p>
        </w:tc>
        <w:tc>
          <w:tcPr>
            <w:tcW w:w="764" w:type="dxa"/>
            <w:vAlign w:val="top"/>
          </w:tcPr>
          <w:p w14:paraId="7E84F620">
            <w:pPr>
              <w:rPr>
                <w:rFonts w:ascii="Arial"/>
                <w:sz w:val="21"/>
                <w:highlight w:val="none"/>
              </w:rPr>
            </w:pPr>
          </w:p>
        </w:tc>
        <w:tc>
          <w:tcPr>
            <w:tcW w:w="936" w:type="dxa"/>
            <w:vAlign w:val="top"/>
          </w:tcPr>
          <w:p w14:paraId="5C574B30">
            <w:pPr>
              <w:rPr>
                <w:rFonts w:ascii="Arial"/>
                <w:sz w:val="21"/>
                <w:highlight w:val="none"/>
              </w:rPr>
            </w:pPr>
          </w:p>
        </w:tc>
        <w:tc>
          <w:tcPr>
            <w:tcW w:w="890" w:type="dxa"/>
            <w:vAlign w:val="top"/>
          </w:tcPr>
          <w:p w14:paraId="498E52EF">
            <w:pPr>
              <w:rPr>
                <w:rFonts w:ascii="Arial"/>
                <w:sz w:val="21"/>
                <w:highlight w:val="none"/>
              </w:rPr>
            </w:pPr>
          </w:p>
        </w:tc>
        <w:tc>
          <w:tcPr>
            <w:tcW w:w="764" w:type="dxa"/>
            <w:vAlign w:val="top"/>
          </w:tcPr>
          <w:p w14:paraId="396802A0">
            <w:pPr>
              <w:rPr>
                <w:rFonts w:ascii="Arial"/>
                <w:sz w:val="21"/>
                <w:highlight w:val="none"/>
              </w:rPr>
            </w:pPr>
          </w:p>
        </w:tc>
        <w:tc>
          <w:tcPr>
            <w:tcW w:w="1333" w:type="dxa"/>
            <w:vAlign w:val="top"/>
          </w:tcPr>
          <w:p w14:paraId="54261BEE">
            <w:pPr>
              <w:rPr>
                <w:rFonts w:ascii="Arial"/>
                <w:sz w:val="21"/>
                <w:highlight w:val="none"/>
              </w:rPr>
            </w:pPr>
          </w:p>
        </w:tc>
        <w:tc>
          <w:tcPr>
            <w:tcW w:w="920" w:type="dxa"/>
            <w:tcBorders>
              <w:right w:val="single" w:color="000000" w:sz="10" w:space="0"/>
            </w:tcBorders>
            <w:vAlign w:val="top"/>
          </w:tcPr>
          <w:p w14:paraId="105026CA">
            <w:pPr>
              <w:rPr>
                <w:rFonts w:ascii="Arial"/>
                <w:sz w:val="21"/>
                <w:highlight w:val="none"/>
              </w:rPr>
            </w:pPr>
          </w:p>
        </w:tc>
      </w:tr>
      <w:tr w14:paraId="46B4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93" w:type="dxa"/>
            <w:tcBorders>
              <w:left w:val="single" w:color="000000" w:sz="10" w:space="0"/>
              <w:bottom w:val="single" w:color="000000" w:sz="10" w:space="0"/>
            </w:tcBorders>
            <w:vAlign w:val="top"/>
          </w:tcPr>
          <w:p w14:paraId="5CE80543">
            <w:pPr>
              <w:rPr>
                <w:rFonts w:ascii="Arial"/>
                <w:sz w:val="21"/>
                <w:highlight w:val="none"/>
              </w:rPr>
            </w:pPr>
          </w:p>
        </w:tc>
        <w:tc>
          <w:tcPr>
            <w:tcW w:w="1146" w:type="dxa"/>
            <w:tcBorders>
              <w:bottom w:val="single" w:color="000000" w:sz="10" w:space="0"/>
            </w:tcBorders>
            <w:vAlign w:val="top"/>
          </w:tcPr>
          <w:p w14:paraId="0189C781">
            <w:pPr>
              <w:rPr>
                <w:rFonts w:ascii="Arial"/>
                <w:sz w:val="21"/>
                <w:highlight w:val="none"/>
              </w:rPr>
            </w:pPr>
          </w:p>
        </w:tc>
        <w:tc>
          <w:tcPr>
            <w:tcW w:w="1274" w:type="dxa"/>
            <w:tcBorders>
              <w:bottom w:val="single" w:color="000000" w:sz="10" w:space="0"/>
            </w:tcBorders>
            <w:vAlign w:val="top"/>
          </w:tcPr>
          <w:p w14:paraId="7540A33E">
            <w:pPr>
              <w:rPr>
                <w:rFonts w:ascii="Arial"/>
                <w:sz w:val="21"/>
                <w:highlight w:val="none"/>
              </w:rPr>
            </w:pPr>
          </w:p>
        </w:tc>
        <w:tc>
          <w:tcPr>
            <w:tcW w:w="843" w:type="dxa"/>
            <w:tcBorders>
              <w:bottom w:val="single" w:color="000000" w:sz="10" w:space="0"/>
            </w:tcBorders>
            <w:vAlign w:val="top"/>
          </w:tcPr>
          <w:p w14:paraId="277156B9">
            <w:pPr>
              <w:rPr>
                <w:rFonts w:ascii="Arial"/>
                <w:sz w:val="21"/>
                <w:highlight w:val="none"/>
              </w:rPr>
            </w:pPr>
          </w:p>
        </w:tc>
        <w:tc>
          <w:tcPr>
            <w:tcW w:w="764" w:type="dxa"/>
            <w:tcBorders>
              <w:bottom w:val="single" w:color="000000" w:sz="10" w:space="0"/>
            </w:tcBorders>
            <w:vAlign w:val="top"/>
          </w:tcPr>
          <w:p w14:paraId="24122667">
            <w:pPr>
              <w:rPr>
                <w:rFonts w:ascii="Arial"/>
                <w:sz w:val="21"/>
                <w:highlight w:val="none"/>
              </w:rPr>
            </w:pPr>
          </w:p>
        </w:tc>
        <w:tc>
          <w:tcPr>
            <w:tcW w:w="936" w:type="dxa"/>
            <w:tcBorders>
              <w:bottom w:val="single" w:color="000000" w:sz="10" w:space="0"/>
            </w:tcBorders>
            <w:vAlign w:val="top"/>
          </w:tcPr>
          <w:p w14:paraId="2EB03E5D">
            <w:pPr>
              <w:rPr>
                <w:rFonts w:ascii="Arial"/>
                <w:sz w:val="21"/>
                <w:highlight w:val="none"/>
              </w:rPr>
            </w:pPr>
          </w:p>
        </w:tc>
        <w:tc>
          <w:tcPr>
            <w:tcW w:w="890" w:type="dxa"/>
            <w:tcBorders>
              <w:bottom w:val="single" w:color="000000" w:sz="10" w:space="0"/>
            </w:tcBorders>
            <w:vAlign w:val="top"/>
          </w:tcPr>
          <w:p w14:paraId="38808410">
            <w:pPr>
              <w:rPr>
                <w:rFonts w:ascii="Arial"/>
                <w:sz w:val="21"/>
                <w:highlight w:val="none"/>
              </w:rPr>
            </w:pPr>
          </w:p>
        </w:tc>
        <w:tc>
          <w:tcPr>
            <w:tcW w:w="764" w:type="dxa"/>
            <w:tcBorders>
              <w:bottom w:val="single" w:color="000000" w:sz="10" w:space="0"/>
            </w:tcBorders>
            <w:vAlign w:val="top"/>
          </w:tcPr>
          <w:p w14:paraId="7E06DCD5">
            <w:pPr>
              <w:rPr>
                <w:rFonts w:ascii="Arial"/>
                <w:sz w:val="21"/>
                <w:highlight w:val="none"/>
              </w:rPr>
            </w:pPr>
          </w:p>
        </w:tc>
        <w:tc>
          <w:tcPr>
            <w:tcW w:w="1333" w:type="dxa"/>
            <w:tcBorders>
              <w:bottom w:val="single" w:color="000000" w:sz="10" w:space="0"/>
            </w:tcBorders>
            <w:vAlign w:val="top"/>
          </w:tcPr>
          <w:p w14:paraId="2C41DC5F">
            <w:pPr>
              <w:rPr>
                <w:rFonts w:ascii="Arial"/>
                <w:sz w:val="21"/>
                <w:highlight w:val="none"/>
              </w:rPr>
            </w:pPr>
          </w:p>
        </w:tc>
        <w:tc>
          <w:tcPr>
            <w:tcW w:w="920" w:type="dxa"/>
            <w:tcBorders>
              <w:bottom w:val="single" w:color="000000" w:sz="10" w:space="0"/>
              <w:right w:val="single" w:color="000000" w:sz="10" w:space="0"/>
            </w:tcBorders>
            <w:vAlign w:val="top"/>
          </w:tcPr>
          <w:p w14:paraId="6A9B277B">
            <w:pPr>
              <w:rPr>
                <w:rFonts w:ascii="Arial"/>
                <w:sz w:val="21"/>
                <w:highlight w:val="none"/>
              </w:rPr>
            </w:pPr>
          </w:p>
        </w:tc>
      </w:tr>
    </w:tbl>
    <w:p w14:paraId="17F2357B">
      <w:pPr>
        <w:pStyle w:val="3"/>
        <w:rPr>
          <w:highlight w:val="none"/>
        </w:rPr>
      </w:pPr>
    </w:p>
    <w:p w14:paraId="680EEF81">
      <w:pPr>
        <w:rPr>
          <w:highlight w:val="none"/>
        </w:rPr>
        <w:sectPr>
          <w:footerReference r:id="rId59" w:type="default"/>
          <w:pgSz w:w="11909" w:h="16841"/>
          <w:pgMar w:top="1431" w:right="1140" w:bottom="1045" w:left="1080" w:header="0" w:footer="814" w:gutter="0"/>
          <w:cols w:space="720" w:num="1"/>
        </w:sectPr>
      </w:pPr>
    </w:p>
    <w:p w14:paraId="459B6D39">
      <w:pPr>
        <w:spacing w:before="68" w:line="219" w:lineRule="auto"/>
        <w:ind w:left="38"/>
        <w:rPr>
          <w:rFonts w:ascii="宋体" w:hAnsi="宋体" w:eastAsia="宋体" w:cs="宋体"/>
          <w:sz w:val="24"/>
          <w:szCs w:val="24"/>
          <w:highlight w:val="none"/>
        </w:rPr>
      </w:pPr>
      <w:r>
        <w:rPr>
          <w:rFonts w:ascii="宋体" w:hAnsi="宋体" w:eastAsia="宋体" w:cs="宋体"/>
          <w:spacing w:val="-17"/>
          <w:sz w:val="24"/>
          <w:szCs w:val="24"/>
          <w:highlight w:val="none"/>
        </w:rPr>
        <w:t>附件</w:t>
      </w:r>
      <w:r>
        <w:rPr>
          <w:rFonts w:ascii="宋体" w:hAnsi="宋体" w:eastAsia="宋体" w:cs="宋体"/>
          <w:spacing w:val="-72"/>
          <w:sz w:val="24"/>
          <w:szCs w:val="24"/>
          <w:highlight w:val="none"/>
        </w:rPr>
        <w:t xml:space="preserve"> </w:t>
      </w:r>
      <w:r>
        <w:rPr>
          <w:rFonts w:ascii="宋体" w:hAnsi="宋体" w:eastAsia="宋体" w:cs="宋体"/>
          <w:spacing w:val="-17"/>
          <w:sz w:val="24"/>
          <w:szCs w:val="24"/>
          <w:highlight w:val="none"/>
        </w:rPr>
        <w:t>3：</w:t>
      </w:r>
    </w:p>
    <w:p w14:paraId="2052B8A6">
      <w:pPr>
        <w:spacing w:before="99" w:line="219" w:lineRule="auto"/>
        <w:ind w:left="4279"/>
        <w:rPr>
          <w:rFonts w:ascii="宋体" w:hAnsi="宋体" w:eastAsia="宋体" w:cs="宋体"/>
          <w:sz w:val="24"/>
          <w:szCs w:val="24"/>
          <w:highlight w:val="none"/>
        </w:rPr>
      </w:pPr>
      <w:r>
        <w:rPr>
          <w:rFonts w:ascii="宋体" w:hAnsi="宋体" w:eastAsia="宋体" w:cs="宋体"/>
          <w:spacing w:val="-2"/>
          <w:sz w:val="24"/>
          <w:szCs w:val="24"/>
          <w:highlight w:val="none"/>
        </w:rPr>
        <w:t>工程质量保修书</w:t>
      </w:r>
    </w:p>
    <w:p w14:paraId="14B005F9">
      <w:pPr>
        <w:spacing w:before="116" w:line="220" w:lineRule="auto"/>
        <w:ind w:left="485"/>
        <w:rPr>
          <w:rFonts w:ascii="宋体" w:hAnsi="宋体" w:eastAsia="宋体" w:cs="宋体"/>
          <w:sz w:val="24"/>
          <w:szCs w:val="24"/>
          <w:highlight w:val="none"/>
        </w:rPr>
      </w:pPr>
      <w:r>
        <w:rPr>
          <w:rFonts w:ascii="宋体" w:hAnsi="宋体" w:eastAsia="宋体" w:cs="宋体"/>
          <w:spacing w:val="-9"/>
          <w:sz w:val="24"/>
          <w:szCs w:val="24"/>
          <w:highlight w:val="none"/>
        </w:rPr>
        <w:t>发包人（全称</w:t>
      </w:r>
      <w:r>
        <w:rPr>
          <w:rFonts w:ascii="宋体" w:hAnsi="宋体" w:eastAsia="宋体" w:cs="宋体"/>
          <w:spacing w:val="-4"/>
          <w:sz w:val="24"/>
          <w:szCs w:val="24"/>
          <w:highlight w:val="none"/>
        </w:rPr>
        <w:t>）：</w:t>
      </w:r>
    </w:p>
    <w:p w14:paraId="694A20BA">
      <w:pPr>
        <w:spacing w:before="111" w:line="220" w:lineRule="auto"/>
        <w:ind w:left="481"/>
        <w:rPr>
          <w:rFonts w:ascii="宋体" w:hAnsi="宋体" w:eastAsia="宋体" w:cs="宋体"/>
          <w:sz w:val="24"/>
          <w:szCs w:val="24"/>
          <w:highlight w:val="none"/>
        </w:rPr>
      </w:pPr>
      <w:r>
        <w:rPr>
          <w:rFonts w:ascii="宋体" w:hAnsi="宋体" w:eastAsia="宋体" w:cs="宋体"/>
          <w:spacing w:val="-9"/>
          <w:sz w:val="24"/>
          <w:szCs w:val="24"/>
          <w:highlight w:val="none"/>
        </w:rPr>
        <w:t>承包人（全称</w:t>
      </w:r>
      <w:r>
        <w:rPr>
          <w:rFonts w:ascii="宋体" w:hAnsi="宋体" w:eastAsia="宋体" w:cs="宋体"/>
          <w:spacing w:val="-2"/>
          <w:sz w:val="24"/>
          <w:szCs w:val="24"/>
          <w:highlight w:val="none"/>
        </w:rPr>
        <w:t>）：</w:t>
      </w:r>
    </w:p>
    <w:p w14:paraId="3CEF8893">
      <w:pPr>
        <w:pStyle w:val="3"/>
        <w:spacing w:line="436" w:lineRule="auto"/>
        <w:rPr>
          <w:highlight w:val="none"/>
        </w:rPr>
      </w:pPr>
    </w:p>
    <w:p w14:paraId="2FEAEF98">
      <w:pPr>
        <w:spacing w:before="78" w:line="307" w:lineRule="auto"/>
        <w:ind w:left="485" w:right="445"/>
        <w:rPr>
          <w:rFonts w:ascii="宋体" w:hAnsi="宋体" w:eastAsia="宋体" w:cs="宋体"/>
          <w:sz w:val="24"/>
          <w:szCs w:val="24"/>
          <w:highlight w:val="none"/>
        </w:rPr>
      </w:pPr>
      <w:r>
        <w:rPr>
          <w:rFonts w:ascii="宋体" w:hAnsi="宋体" w:eastAsia="宋体" w:cs="宋体"/>
          <w:sz w:val="24"/>
          <w:szCs w:val="24"/>
          <w:highlight w:val="none"/>
        </w:rPr>
        <w:t>发包人和承包人根据《中华人民共和国建筑法》和</w:t>
      </w:r>
      <w:r>
        <w:rPr>
          <w:rFonts w:ascii="宋体" w:hAnsi="宋体" w:eastAsia="宋体" w:cs="宋体"/>
          <w:spacing w:val="-1"/>
          <w:sz w:val="24"/>
          <w:szCs w:val="24"/>
          <w:highlight w:val="none"/>
        </w:rPr>
        <w:t>《建设工程质量管理条例》，经协</w:t>
      </w:r>
      <w:r>
        <w:rPr>
          <w:rFonts w:ascii="宋体" w:hAnsi="宋体" w:eastAsia="宋体" w:cs="宋体"/>
          <w:spacing w:val="-3"/>
          <w:sz w:val="24"/>
          <w:szCs w:val="24"/>
          <w:highlight w:val="none"/>
        </w:rPr>
        <w:t>商一致就（工程全称）签订工程质量保修书。</w:t>
      </w:r>
    </w:p>
    <w:p w14:paraId="4D076C01">
      <w:pPr>
        <w:spacing w:before="1"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一、工程质量保修范围和内容</w:t>
      </w:r>
    </w:p>
    <w:p w14:paraId="44718FB3">
      <w:pPr>
        <w:spacing w:before="115"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承包人在质量保修期内，按照有关法律规定和合同约定，承担工</w:t>
      </w:r>
      <w:r>
        <w:rPr>
          <w:rFonts w:ascii="宋体" w:hAnsi="宋体" w:eastAsia="宋体" w:cs="宋体"/>
          <w:spacing w:val="-2"/>
          <w:sz w:val="24"/>
          <w:szCs w:val="24"/>
          <w:highlight w:val="none"/>
        </w:rPr>
        <w:t>程质量保修责任。</w:t>
      </w:r>
    </w:p>
    <w:p w14:paraId="069A990E">
      <w:pPr>
        <w:spacing w:before="112" w:line="308" w:lineRule="auto"/>
        <w:ind w:firstLine="482"/>
        <w:rPr>
          <w:rFonts w:ascii="宋体" w:hAnsi="宋体" w:eastAsia="宋体" w:cs="宋体"/>
          <w:sz w:val="24"/>
          <w:szCs w:val="24"/>
          <w:highlight w:val="none"/>
        </w:rPr>
      </w:pPr>
      <w:r>
        <w:rPr>
          <w:rFonts w:ascii="宋体" w:hAnsi="宋体" w:eastAsia="宋体" w:cs="宋体"/>
          <w:spacing w:val="-1"/>
          <w:sz w:val="24"/>
          <w:szCs w:val="24"/>
          <w:highlight w:val="none"/>
        </w:rPr>
        <w:t>质量保修范围包括地基基础工程、主体结构工程，屋面防水工程、有防</w:t>
      </w:r>
      <w:r>
        <w:rPr>
          <w:rFonts w:ascii="宋体" w:hAnsi="宋体" w:eastAsia="宋体" w:cs="宋体"/>
          <w:spacing w:val="-2"/>
          <w:sz w:val="24"/>
          <w:szCs w:val="24"/>
          <w:highlight w:val="none"/>
        </w:rPr>
        <w:t>水要求的卫生间、</w:t>
      </w:r>
      <w:r>
        <w:rPr>
          <w:rFonts w:ascii="宋体" w:hAnsi="宋体" w:eastAsia="宋体" w:cs="宋体"/>
          <w:spacing w:val="-7"/>
          <w:sz w:val="24"/>
          <w:szCs w:val="24"/>
          <w:highlight w:val="none"/>
        </w:rPr>
        <w:t>房间和外墙面的防渗漏，供热与供冷系统，电气管线、给排水管道、设备安装和装修</w:t>
      </w:r>
      <w:r>
        <w:rPr>
          <w:rFonts w:ascii="宋体" w:hAnsi="宋体" w:eastAsia="宋体" w:cs="宋体"/>
          <w:spacing w:val="-8"/>
          <w:sz w:val="24"/>
          <w:szCs w:val="24"/>
          <w:highlight w:val="none"/>
        </w:rPr>
        <w:t>工程，</w:t>
      </w:r>
      <w:r>
        <w:rPr>
          <w:rFonts w:ascii="宋体" w:hAnsi="宋体" w:eastAsia="宋体" w:cs="宋体"/>
          <w:spacing w:val="71"/>
          <w:sz w:val="24"/>
          <w:szCs w:val="24"/>
          <w:highlight w:val="none"/>
        </w:rPr>
        <w:t xml:space="preserve"> </w:t>
      </w:r>
      <w:r>
        <w:rPr>
          <w:rFonts w:ascii="宋体" w:hAnsi="宋体" w:eastAsia="宋体" w:cs="宋体"/>
          <w:spacing w:val="-8"/>
          <w:sz w:val="24"/>
          <w:szCs w:val="24"/>
          <w:highlight w:val="none"/>
        </w:rPr>
        <w:t>以</w:t>
      </w:r>
      <w:r>
        <w:rPr>
          <w:rFonts w:ascii="宋体" w:hAnsi="宋体" w:eastAsia="宋体" w:cs="宋体"/>
          <w:spacing w:val="-1"/>
          <w:sz w:val="24"/>
          <w:szCs w:val="24"/>
          <w:highlight w:val="none"/>
        </w:rPr>
        <w:t>及双方约定的其他项目。具体保修的内容，双方约定如下：项目施工图、工程量清单</w:t>
      </w:r>
      <w:r>
        <w:rPr>
          <w:rFonts w:ascii="宋体" w:hAnsi="宋体" w:eastAsia="宋体" w:cs="宋体"/>
          <w:spacing w:val="-2"/>
          <w:sz w:val="24"/>
          <w:szCs w:val="24"/>
          <w:highlight w:val="none"/>
        </w:rPr>
        <w:t>内容等。</w:t>
      </w:r>
    </w:p>
    <w:p w14:paraId="078D8502">
      <w:pPr>
        <w:spacing w:before="1"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二、质量保修期</w:t>
      </w:r>
    </w:p>
    <w:p w14:paraId="7147BDA0">
      <w:pPr>
        <w:spacing w:before="115"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根据《建设工程质量管理条例》及有关规定，工程的质量保修期如</w:t>
      </w:r>
      <w:r>
        <w:rPr>
          <w:rFonts w:ascii="宋体" w:hAnsi="宋体" w:eastAsia="宋体" w:cs="宋体"/>
          <w:spacing w:val="-3"/>
          <w:sz w:val="24"/>
          <w:szCs w:val="24"/>
          <w:highlight w:val="none"/>
        </w:rPr>
        <w:t>下：</w:t>
      </w:r>
    </w:p>
    <w:p w14:paraId="540FFE0A">
      <w:pPr>
        <w:spacing w:before="115" w:line="220" w:lineRule="auto"/>
        <w:ind w:left="499"/>
        <w:rPr>
          <w:rFonts w:ascii="宋体" w:hAnsi="宋体" w:eastAsia="宋体" w:cs="宋体"/>
          <w:sz w:val="24"/>
          <w:szCs w:val="24"/>
          <w:highlight w:val="none"/>
        </w:rPr>
      </w:pPr>
      <w:r>
        <w:rPr>
          <w:rFonts w:ascii="宋体" w:hAnsi="宋体" w:eastAsia="宋体" w:cs="宋体"/>
          <w:spacing w:val="-3"/>
          <w:sz w:val="24"/>
          <w:szCs w:val="24"/>
          <w:highlight w:val="none"/>
        </w:rPr>
        <w:t>1．地基基础工程和主体结构工程为设计文件规定的工程合理使用年限；</w:t>
      </w:r>
    </w:p>
    <w:p w14:paraId="1D01C302">
      <w:pPr>
        <w:spacing w:before="112"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2．屋面防水工程、有防水要求的卫生间、房间和外墙面的防渗为</w:t>
      </w:r>
      <w:r>
        <w:rPr>
          <w:rFonts w:ascii="宋体" w:hAnsi="宋体" w:eastAsia="宋体" w:cs="宋体"/>
          <w:spacing w:val="-41"/>
          <w:sz w:val="24"/>
          <w:szCs w:val="24"/>
          <w:highlight w:val="none"/>
        </w:rPr>
        <w:t xml:space="preserve"> </w:t>
      </w:r>
      <w:r>
        <w:rPr>
          <w:rFonts w:ascii="宋体" w:hAnsi="宋体" w:eastAsia="宋体" w:cs="宋体"/>
          <w:spacing w:val="-2"/>
          <w:sz w:val="24"/>
          <w:szCs w:val="24"/>
          <w:highlight w:val="none"/>
        </w:rPr>
        <w:t>5</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年；</w:t>
      </w:r>
    </w:p>
    <w:p w14:paraId="041783C9">
      <w:pPr>
        <w:spacing w:before="115" w:line="220" w:lineRule="auto"/>
        <w:ind w:left="486"/>
        <w:rPr>
          <w:rFonts w:ascii="宋体" w:hAnsi="宋体" w:eastAsia="宋体" w:cs="宋体"/>
          <w:sz w:val="24"/>
          <w:szCs w:val="24"/>
          <w:highlight w:val="none"/>
        </w:rPr>
      </w:pPr>
      <w:r>
        <w:rPr>
          <w:rFonts w:ascii="宋体" w:hAnsi="宋体" w:eastAsia="宋体" w:cs="宋体"/>
          <w:spacing w:val="-6"/>
          <w:sz w:val="24"/>
          <w:szCs w:val="24"/>
          <w:highlight w:val="none"/>
        </w:rPr>
        <w:t>3．装修工程为</w:t>
      </w:r>
      <w:r>
        <w:rPr>
          <w:rFonts w:ascii="宋体" w:hAnsi="宋体" w:eastAsia="宋体" w:cs="宋体"/>
          <w:spacing w:val="-48"/>
          <w:sz w:val="24"/>
          <w:szCs w:val="24"/>
          <w:highlight w:val="none"/>
        </w:rPr>
        <w:t xml:space="preserve"> </w:t>
      </w:r>
      <w:r>
        <w:rPr>
          <w:rFonts w:ascii="宋体" w:hAnsi="宋体" w:eastAsia="宋体" w:cs="宋体"/>
          <w:spacing w:val="-6"/>
          <w:sz w:val="24"/>
          <w:szCs w:val="24"/>
          <w:highlight w:val="none"/>
        </w:rPr>
        <w:t>2</w:t>
      </w:r>
      <w:r>
        <w:rPr>
          <w:rFonts w:ascii="宋体" w:hAnsi="宋体" w:eastAsia="宋体" w:cs="宋体"/>
          <w:spacing w:val="-50"/>
          <w:sz w:val="24"/>
          <w:szCs w:val="24"/>
          <w:highlight w:val="none"/>
        </w:rPr>
        <w:t xml:space="preserve"> </w:t>
      </w:r>
      <w:r>
        <w:rPr>
          <w:rFonts w:ascii="宋体" w:hAnsi="宋体" w:eastAsia="宋体" w:cs="宋体"/>
          <w:spacing w:val="-6"/>
          <w:sz w:val="24"/>
          <w:szCs w:val="24"/>
          <w:highlight w:val="none"/>
        </w:rPr>
        <w:t>年；</w:t>
      </w:r>
    </w:p>
    <w:p w14:paraId="410971D5">
      <w:pPr>
        <w:spacing w:before="115" w:line="220" w:lineRule="auto"/>
        <w:ind w:left="480"/>
        <w:rPr>
          <w:rFonts w:ascii="宋体" w:hAnsi="宋体" w:eastAsia="宋体" w:cs="宋体"/>
          <w:sz w:val="24"/>
          <w:szCs w:val="24"/>
          <w:highlight w:val="none"/>
        </w:rPr>
      </w:pPr>
      <w:r>
        <w:rPr>
          <w:rFonts w:ascii="宋体" w:hAnsi="宋体" w:eastAsia="宋体" w:cs="宋体"/>
          <w:spacing w:val="-3"/>
          <w:sz w:val="24"/>
          <w:szCs w:val="24"/>
          <w:highlight w:val="none"/>
        </w:rPr>
        <w:t>4．电气管线、给排水管道、设备安装工程为</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年；</w:t>
      </w:r>
    </w:p>
    <w:p w14:paraId="7519BE21">
      <w:pPr>
        <w:spacing w:before="113" w:line="219" w:lineRule="auto"/>
        <w:ind w:left="486"/>
        <w:rPr>
          <w:rFonts w:ascii="宋体" w:hAnsi="宋体" w:eastAsia="宋体" w:cs="宋体"/>
          <w:sz w:val="24"/>
          <w:szCs w:val="24"/>
          <w:highlight w:val="none"/>
        </w:rPr>
      </w:pPr>
      <w:r>
        <w:rPr>
          <w:rFonts w:ascii="宋体" w:hAnsi="宋体" w:eastAsia="宋体" w:cs="宋体"/>
          <w:spacing w:val="-5"/>
          <w:sz w:val="24"/>
          <w:szCs w:val="24"/>
          <w:highlight w:val="none"/>
        </w:rPr>
        <w:t>5．供热与供冷系统为</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2</w:t>
      </w:r>
      <w:r>
        <w:rPr>
          <w:rFonts w:ascii="宋体" w:hAnsi="宋体" w:eastAsia="宋体" w:cs="宋体"/>
          <w:spacing w:val="-51"/>
          <w:sz w:val="24"/>
          <w:szCs w:val="24"/>
          <w:highlight w:val="none"/>
        </w:rPr>
        <w:t xml:space="preserve"> </w:t>
      </w:r>
      <w:r>
        <w:rPr>
          <w:rFonts w:ascii="宋体" w:hAnsi="宋体" w:eastAsia="宋体" w:cs="宋体"/>
          <w:spacing w:val="-5"/>
          <w:sz w:val="24"/>
          <w:szCs w:val="24"/>
          <w:highlight w:val="none"/>
        </w:rPr>
        <w:t>个采暖期、供冷期；</w:t>
      </w:r>
    </w:p>
    <w:p w14:paraId="08157790">
      <w:pPr>
        <w:spacing w:before="115" w:line="220" w:lineRule="auto"/>
        <w:ind w:left="483"/>
        <w:rPr>
          <w:rFonts w:ascii="宋体" w:hAnsi="宋体" w:eastAsia="宋体" w:cs="宋体"/>
          <w:sz w:val="24"/>
          <w:szCs w:val="24"/>
          <w:highlight w:val="none"/>
        </w:rPr>
      </w:pPr>
      <w:r>
        <w:rPr>
          <w:rFonts w:ascii="宋体" w:hAnsi="宋体" w:eastAsia="宋体" w:cs="宋体"/>
          <w:spacing w:val="-3"/>
          <w:sz w:val="24"/>
          <w:szCs w:val="24"/>
          <w:highlight w:val="none"/>
        </w:rPr>
        <w:t>6．住宅小区内的给排水设施、道路等配套工程为</w:t>
      </w:r>
      <w:r>
        <w:rPr>
          <w:rFonts w:ascii="宋体" w:hAnsi="宋体" w:eastAsia="宋体" w:cs="宋体"/>
          <w:spacing w:val="-30"/>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年；</w:t>
      </w:r>
    </w:p>
    <w:p w14:paraId="61553B5D">
      <w:pPr>
        <w:spacing w:before="115"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7．其他项目保修期限约定如下：节能保温工程</w:t>
      </w:r>
      <w:r>
        <w:rPr>
          <w:rFonts w:ascii="宋体" w:hAnsi="宋体" w:eastAsia="宋体" w:cs="宋体"/>
          <w:spacing w:val="-28"/>
          <w:sz w:val="24"/>
          <w:szCs w:val="24"/>
          <w:highlight w:val="none"/>
        </w:rPr>
        <w:t xml:space="preserve"> </w:t>
      </w:r>
      <w:r>
        <w:rPr>
          <w:rFonts w:ascii="宋体" w:hAnsi="宋体" w:eastAsia="宋体" w:cs="宋体"/>
          <w:spacing w:val="-3"/>
          <w:sz w:val="24"/>
          <w:szCs w:val="24"/>
          <w:highlight w:val="none"/>
        </w:rPr>
        <w:t>5</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年，其他项目</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年。</w:t>
      </w:r>
    </w:p>
    <w:p w14:paraId="181A1F97">
      <w:pPr>
        <w:spacing w:before="113"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质量保修期自工程竣工验收合格之日起计算。</w:t>
      </w:r>
    </w:p>
    <w:p w14:paraId="2A5EF4D5">
      <w:pPr>
        <w:spacing w:before="114"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三、缺陷责任期</w:t>
      </w:r>
    </w:p>
    <w:p w14:paraId="74FB0BB0">
      <w:pPr>
        <w:spacing w:before="117" w:line="307" w:lineRule="auto"/>
        <w:ind w:right="55" w:firstLine="483"/>
        <w:rPr>
          <w:rFonts w:ascii="宋体" w:hAnsi="宋体" w:eastAsia="宋体" w:cs="宋体"/>
          <w:sz w:val="24"/>
          <w:szCs w:val="24"/>
          <w:highlight w:val="none"/>
        </w:rPr>
      </w:pPr>
      <w:r>
        <w:rPr>
          <w:rFonts w:ascii="宋体" w:hAnsi="宋体" w:eastAsia="宋体" w:cs="宋体"/>
          <w:spacing w:val="-1"/>
          <w:sz w:val="24"/>
          <w:szCs w:val="24"/>
          <w:highlight w:val="none"/>
        </w:rPr>
        <w:t>工程缺陷责任期为</w:t>
      </w:r>
      <w:r>
        <w:rPr>
          <w:rFonts w:ascii="宋体" w:hAnsi="宋体" w:eastAsia="宋体" w:cs="宋体"/>
          <w:spacing w:val="-30"/>
          <w:sz w:val="24"/>
          <w:szCs w:val="24"/>
          <w:highlight w:val="none"/>
        </w:rPr>
        <w:t xml:space="preserve"> </w:t>
      </w:r>
      <w:r>
        <w:rPr>
          <w:rFonts w:ascii="宋体" w:hAnsi="宋体" w:eastAsia="宋体" w:cs="宋体"/>
          <w:spacing w:val="-1"/>
          <w:sz w:val="24"/>
          <w:szCs w:val="24"/>
          <w:highlight w:val="none"/>
        </w:rPr>
        <w:t>24</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个月，缺陷责任期自工程通过竣工验收之日起计算。单位工程先于全部工程进行验收，单位工程缺陷责任期自单</w:t>
      </w:r>
      <w:r>
        <w:rPr>
          <w:rFonts w:ascii="宋体" w:hAnsi="宋体" w:eastAsia="宋体" w:cs="宋体"/>
          <w:spacing w:val="-2"/>
          <w:sz w:val="24"/>
          <w:szCs w:val="24"/>
          <w:highlight w:val="none"/>
        </w:rPr>
        <w:t>位工程验收合格之日起算。</w:t>
      </w:r>
    </w:p>
    <w:p w14:paraId="2D3EC64B">
      <w:pPr>
        <w:spacing w:before="1"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缺陷责任期终止后，发包人应退还剩余的质量保证金。</w:t>
      </w:r>
    </w:p>
    <w:p w14:paraId="4465492D">
      <w:pPr>
        <w:spacing w:before="115" w:line="220" w:lineRule="auto"/>
        <w:ind w:left="503"/>
        <w:rPr>
          <w:rFonts w:ascii="宋体" w:hAnsi="宋体" w:eastAsia="宋体" w:cs="宋体"/>
          <w:sz w:val="24"/>
          <w:szCs w:val="24"/>
          <w:highlight w:val="none"/>
        </w:rPr>
      </w:pPr>
      <w:r>
        <w:rPr>
          <w:rFonts w:ascii="宋体" w:hAnsi="宋体" w:eastAsia="宋体" w:cs="宋体"/>
          <w:spacing w:val="-4"/>
          <w:sz w:val="24"/>
          <w:szCs w:val="24"/>
          <w:highlight w:val="none"/>
        </w:rPr>
        <w:t>四、质量保修责任</w:t>
      </w:r>
    </w:p>
    <w:p w14:paraId="1F5F9952">
      <w:pPr>
        <w:spacing w:before="112" w:line="220" w:lineRule="auto"/>
        <w:ind w:left="499"/>
        <w:rPr>
          <w:rFonts w:ascii="宋体" w:hAnsi="宋体" w:eastAsia="宋体" w:cs="宋体"/>
          <w:sz w:val="24"/>
          <w:szCs w:val="24"/>
          <w:highlight w:val="none"/>
        </w:rPr>
      </w:pPr>
      <w:r>
        <w:rPr>
          <w:rFonts w:ascii="宋体" w:hAnsi="宋体" w:eastAsia="宋体" w:cs="宋体"/>
          <w:spacing w:val="-2"/>
          <w:sz w:val="24"/>
          <w:szCs w:val="24"/>
          <w:highlight w:val="none"/>
        </w:rPr>
        <w:t>1．属于保修范围、内容的项目，承包人应当在接到保修通知之</w:t>
      </w:r>
      <w:r>
        <w:rPr>
          <w:rFonts w:ascii="宋体" w:hAnsi="宋体" w:eastAsia="宋体" w:cs="宋体"/>
          <w:spacing w:val="-3"/>
          <w:sz w:val="24"/>
          <w:szCs w:val="24"/>
          <w:highlight w:val="none"/>
        </w:rPr>
        <w:t>日起</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7</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天内派人保修。</w:t>
      </w:r>
    </w:p>
    <w:p w14:paraId="67D670EC">
      <w:pPr>
        <w:spacing w:before="115"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承包人不在约定期限内派人保修的，发包人可以委托他人修理。</w:t>
      </w:r>
    </w:p>
    <w:p w14:paraId="267FA25D">
      <w:pPr>
        <w:spacing w:before="115" w:line="220"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2．发生紧急事故需抢修的，承包人在接到事故通知后，应当立即到达</w:t>
      </w:r>
      <w:r>
        <w:rPr>
          <w:rFonts w:ascii="宋体" w:hAnsi="宋体" w:eastAsia="宋体" w:cs="宋体"/>
          <w:spacing w:val="-2"/>
          <w:sz w:val="24"/>
          <w:szCs w:val="24"/>
          <w:highlight w:val="none"/>
        </w:rPr>
        <w:t>事故现场抢修。</w:t>
      </w:r>
    </w:p>
    <w:p w14:paraId="042F5B40">
      <w:pPr>
        <w:spacing w:before="112" w:line="279" w:lineRule="auto"/>
        <w:ind w:left="2" w:right="56" w:firstLine="483"/>
        <w:rPr>
          <w:rFonts w:ascii="宋体" w:hAnsi="宋体" w:eastAsia="宋体" w:cs="宋体"/>
          <w:sz w:val="24"/>
          <w:szCs w:val="24"/>
          <w:highlight w:val="none"/>
        </w:rPr>
      </w:pPr>
      <w:r>
        <w:rPr>
          <w:rFonts w:ascii="宋体" w:hAnsi="宋体" w:eastAsia="宋体" w:cs="宋体"/>
          <w:sz w:val="24"/>
          <w:szCs w:val="24"/>
          <w:highlight w:val="none"/>
        </w:rPr>
        <w:t>3．对于涉及结构安全的质量问题，应当按照《建设工程质量管理条例》的规定，立即向</w:t>
      </w:r>
      <w:r>
        <w:rPr>
          <w:rFonts w:ascii="宋体" w:hAnsi="宋体" w:eastAsia="宋体" w:cs="宋体"/>
          <w:spacing w:val="-2"/>
          <w:sz w:val="24"/>
          <w:szCs w:val="24"/>
          <w:highlight w:val="none"/>
        </w:rPr>
        <w:t>当地建设行政主管部门和有关部门报告，采</w:t>
      </w:r>
      <w:r>
        <w:rPr>
          <w:rFonts w:ascii="宋体" w:hAnsi="宋体" w:eastAsia="宋体" w:cs="宋体"/>
          <w:spacing w:val="-3"/>
          <w:sz w:val="24"/>
          <w:szCs w:val="24"/>
          <w:highlight w:val="none"/>
        </w:rPr>
        <w:t>取安全防范措施，并由原设计人或者具有相应资质等级的设计人提出保修方案，承包人实施保修。</w:t>
      </w:r>
    </w:p>
    <w:p w14:paraId="64055DEF">
      <w:pPr>
        <w:spacing w:before="112" w:line="220" w:lineRule="auto"/>
        <w:ind w:left="480"/>
        <w:rPr>
          <w:rFonts w:ascii="宋体" w:hAnsi="宋体" w:eastAsia="宋体" w:cs="宋体"/>
          <w:sz w:val="24"/>
          <w:szCs w:val="24"/>
          <w:highlight w:val="none"/>
        </w:rPr>
      </w:pPr>
      <w:r>
        <w:rPr>
          <w:rFonts w:ascii="宋体" w:hAnsi="宋体" w:eastAsia="宋体" w:cs="宋体"/>
          <w:spacing w:val="-3"/>
          <w:sz w:val="24"/>
          <w:szCs w:val="24"/>
          <w:highlight w:val="none"/>
        </w:rPr>
        <w:t>4．质量保修完成后，由发包人组织验收。</w:t>
      </w:r>
    </w:p>
    <w:p w14:paraId="3842E687">
      <w:pPr>
        <w:spacing w:before="115"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五、保修费用</w:t>
      </w:r>
    </w:p>
    <w:p w14:paraId="4ED8C75F">
      <w:pPr>
        <w:spacing w:line="220" w:lineRule="auto"/>
        <w:rPr>
          <w:rFonts w:ascii="宋体" w:hAnsi="宋体" w:eastAsia="宋体" w:cs="宋体"/>
          <w:sz w:val="24"/>
          <w:szCs w:val="24"/>
          <w:highlight w:val="none"/>
        </w:rPr>
        <w:sectPr>
          <w:footerReference r:id="rId60" w:type="default"/>
          <w:pgSz w:w="11909" w:h="16841"/>
          <w:pgMar w:top="1431" w:right="1023" w:bottom="1045" w:left="1088" w:header="0" w:footer="814" w:gutter="0"/>
          <w:cols w:space="720" w:num="1"/>
        </w:sectPr>
      </w:pPr>
    </w:p>
    <w:p w14:paraId="2C1BD904">
      <w:pPr>
        <w:spacing w:before="121" w:line="220" w:lineRule="auto"/>
        <w:ind w:left="2"/>
        <w:rPr>
          <w:rFonts w:ascii="宋体" w:hAnsi="宋体" w:eastAsia="宋体" w:cs="宋体"/>
          <w:sz w:val="24"/>
          <w:szCs w:val="24"/>
          <w:highlight w:val="none"/>
        </w:rPr>
      </w:pPr>
      <w:r>
        <w:rPr>
          <w:rFonts w:ascii="宋体" w:hAnsi="宋体" w:eastAsia="宋体" w:cs="宋体"/>
          <w:spacing w:val="-3"/>
          <w:sz w:val="24"/>
          <w:szCs w:val="24"/>
          <w:highlight w:val="none"/>
        </w:rPr>
        <w:t>保修费用由造成质量缺陷的责任方承担。</w:t>
      </w:r>
    </w:p>
    <w:p w14:paraId="1EE4A23D">
      <w:pPr>
        <w:spacing w:before="114" w:line="220" w:lineRule="auto"/>
        <w:ind w:left="3"/>
        <w:rPr>
          <w:rFonts w:ascii="宋体" w:hAnsi="宋体" w:eastAsia="宋体" w:cs="宋体"/>
          <w:sz w:val="24"/>
          <w:szCs w:val="24"/>
          <w:highlight w:val="none"/>
        </w:rPr>
      </w:pPr>
      <w:r>
        <w:rPr>
          <w:rFonts w:ascii="宋体" w:hAnsi="宋体" w:eastAsia="宋体" w:cs="宋体"/>
          <w:spacing w:val="-4"/>
          <w:sz w:val="24"/>
          <w:szCs w:val="24"/>
          <w:highlight w:val="none"/>
        </w:rPr>
        <w:t>六、双方约定的其他工程质量保修事项：</w:t>
      </w:r>
    </w:p>
    <w:p w14:paraId="5FE00873">
      <w:pPr>
        <w:spacing w:before="113" w:line="308" w:lineRule="auto"/>
        <w:ind w:left="2" w:firstLine="1"/>
        <w:rPr>
          <w:rFonts w:ascii="宋体" w:hAnsi="宋体" w:eastAsia="宋体" w:cs="宋体"/>
          <w:sz w:val="24"/>
          <w:szCs w:val="24"/>
          <w:highlight w:val="none"/>
        </w:rPr>
      </w:pPr>
      <w:r>
        <w:rPr>
          <w:rFonts w:ascii="宋体" w:hAnsi="宋体" w:eastAsia="宋体" w:cs="宋体"/>
          <w:spacing w:val="-2"/>
          <w:sz w:val="24"/>
          <w:szCs w:val="24"/>
          <w:highlight w:val="none"/>
        </w:rPr>
        <w:t>工程质量保修书由发包人、承包人在工程竣工验收前共同签署，作为施工合同附件，</w:t>
      </w:r>
      <w:r>
        <w:rPr>
          <w:rFonts w:ascii="宋体" w:hAnsi="宋体" w:eastAsia="宋体" w:cs="宋体"/>
          <w:spacing w:val="-4"/>
          <w:sz w:val="24"/>
          <w:szCs w:val="24"/>
          <w:highlight w:val="none"/>
        </w:rPr>
        <w:t>其有效期限至保修期满。</w:t>
      </w:r>
    </w:p>
    <w:p w14:paraId="57087531">
      <w:pPr>
        <w:spacing w:before="1" w:line="218" w:lineRule="auto"/>
        <w:ind w:left="5"/>
        <w:rPr>
          <w:rFonts w:ascii="宋体" w:hAnsi="宋体" w:eastAsia="宋体" w:cs="宋体"/>
          <w:sz w:val="24"/>
          <w:szCs w:val="24"/>
          <w:highlight w:val="none"/>
        </w:rPr>
      </w:pPr>
      <w:r>
        <w:rPr>
          <w:rFonts w:ascii="宋体" w:hAnsi="宋体" w:eastAsia="宋体" w:cs="宋体"/>
          <w:spacing w:val="-1"/>
          <w:sz w:val="24"/>
          <w:szCs w:val="24"/>
          <w:highlight w:val="none"/>
        </w:rPr>
        <w:t>发包人(公章)：                承包人(公章)：</w:t>
      </w:r>
    </w:p>
    <w:p w14:paraId="06BEC196">
      <w:pPr>
        <w:spacing w:before="113" w:line="229" w:lineRule="auto"/>
        <w:ind w:left="1"/>
        <w:rPr>
          <w:rFonts w:ascii="宋体" w:hAnsi="宋体" w:eastAsia="宋体" w:cs="宋体"/>
          <w:sz w:val="24"/>
          <w:szCs w:val="24"/>
          <w:highlight w:val="none"/>
        </w:rPr>
      </w:pPr>
      <w:r>
        <w:rPr>
          <w:rFonts w:ascii="宋体" w:hAnsi="宋体" w:eastAsia="宋体" w:cs="宋体"/>
          <w:spacing w:val="-9"/>
          <w:sz w:val="24"/>
          <w:szCs w:val="24"/>
          <w:highlight w:val="none"/>
        </w:rPr>
        <w:t>地址：</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地址：</w:t>
      </w:r>
    </w:p>
    <w:p w14:paraId="080002CA">
      <w:pPr>
        <w:spacing w:before="103" w:line="220" w:lineRule="auto"/>
        <w:ind w:left="2"/>
        <w:rPr>
          <w:rFonts w:ascii="宋体" w:hAnsi="宋体" w:eastAsia="宋体" w:cs="宋体"/>
          <w:sz w:val="24"/>
          <w:szCs w:val="24"/>
          <w:highlight w:val="none"/>
        </w:rPr>
      </w:pPr>
      <w:r>
        <w:rPr>
          <w:rFonts w:ascii="宋体" w:hAnsi="宋体" w:eastAsia="宋体" w:cs="宋体"/>
          <w:sz w:val="24"/>
          <w:szCs w:val="24"/>
          <w:highlight w:val="none"/>
        </w:rPr>
        <w:t xml:space="preserve">法定代表人(签字)：           </w:t>
      </w:r>
      <w:r>
        <w:rPr>
          <w:rFonts w:ascii="宋体" w:hAnsi="宋体" w:eastAsia="宋体" w:cs="宋体"/>
          <w:spacing w:val="-1"/>
          <w:sz w:val="24"/>
          <w:szCs w:val="24"/>
          <w:highlight w:val="none"/>
        </w:rPr>
        <w:t xml:space="preserve"> 法定代表人(签字)：</w:t>
      </w:r>
    </w:p>
    <w:p w14:paraId="62DF98AE">
      <w:pPr>
        <w:spacing w:before="115" w:line="220" w:lineRule="auto"/>
        <w:rPr>
          <w:rFonts w:ascii="宋体" w:hAnsi="宋体" w:eastAsia="宋体" w:cs="宋体"/>
          <w:sz w:val="24"/>
          <w:szCs w:val="24"/>
          <w:highlight w:val="none"/>
        </w:rPr>
      </w:pPr>
      <w:r>
        <w:rPr>
          <w:rFonts w:ascii="宋体" w:hAnsi="宋体" w:eastAsia="宋体" w:cs="宋体"/>
          <w:sz w:val="24"/>
          <w:szCs w:val="24"/>
          <w:highlight w:val="none"/>
        </w:rPr>
        <w:t>委托代理人(签字)：            委</w:t>
      </w:r>
      <w:r>
        <w:rPr>
          <w:rFonts w:ascii="宋体" w:hAnsi="宋体" w:eastAsia="宋体" w:cs="宋体"/>
          <w:spacing w:val="-1"/>
          <w:sz w:val="24"/>
          <w:szCs w:val="24"/>
          <w:highlight w:val="none"/>
        </w:rPr>
        <w:t>托代理人(签字)：</w:t>
      </w:r>
    </w:p>
    <w:p w14:paraId="0AC47FCB">
      <w:pPr>
        <w:spacing w:before="112" w:line="222" w:lineRule="auto"/>
        <w:ind w:left="30"/>
        <w:rPr>
          <w:rFonts w:ascii="宋体" w:hAnsi="宋体" w:eastAsia="宋体" w:cs="宋体"/>
          <w:sz w:val="24"/>
          <w:szCs w:val="24"/>
          <w:highlight w:val="none"/>
        </w:rPr>
      </w:pPr>
      <w:r>
        <w:rPr>
          <w:rFonts w:ascii="宋体" w:hAnsi="宋体" w:eastAsia="宋体" w:cs="宋体"/>
          <w:spacing w:val="-10"/>
          <w:sz w:val="24"/>
          <w:szCs w:val="24"/>
          <w:highlight w:val="none"/>
        </w:rPr>
        <w:t>电话：                          电话：</w:t>
      </w:r>
    </w:p>
    <w:p w14:paraId="487FF186">
      <w:pPr>
        <w:spacing w:before="113" w:line="219" w:lineRule="auto"/>
        <w:rPr>
          <w:rFonts w:ascii="宋体" w:hAnsi="宋体" w:eastAsia="宋体" w:cs="宋体"/>
          <w:sz w:val="24"/>
          <w:szCs w:val="24"/>
          <w:highlight w:val="none"/>
        </w:rPr>
      </w:pPr>
      <w:r>
        <w:rPr>
          <w:rFonts w:ascii="宋体" w:hAnsi="宋体" w:eastAsia="宋体" w:cs="宋体"/>
          <w:spacing w:val="-9"/>
          <w:sz w:val="24"/>
          <w:szCs w:val="24"/>
          <w:highlight w:val="none"/>
        </w:rPr>
        <w:t>传真：</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传真：</w:t>
      </w:r>
    </w:p>
    <w:p w14:paraId="2C5ACC67">
      <w:pPr>
        <w:spacing w:before="117" w:line="220" w:lineRule="auto"/>
        <w:ind w:left="2"/>
        <w:rPr>
          <w:rFonts w:ascii="宋体" w:hAnsi="宋体" w:eastAsia="宋体" w:cs="宋体"/>
          <w:sz w:val="24"/>
          <w:szCs w:val="24"/>
          <w:highlight w:val="none"/>
        </w:rPr>
      </w:pPr>
      <w:r>
        <w:rPr>
          <w:rFonts w:ascii="宋体" w:hAnsi="宋体" w:eastAsia="宋体" w:cs="宋体"/>
          <w:spacing w:val="-7"/>
          <w:sz w:val="24"/>
          <w:szCs w:val="24"/>
          <w:highlight w:val="none"/>
        </w:rPr>
        <w:t>开户银行：</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开户银行：</w:t>
      </w:r>
    </w:p>
    <w:p w14:paraId="0CB141AC">
      <w:pPr>
        <w:spacing w:before="112" w:line="221" w:lineRule="auto"/>
        <w:ind w:left="5"/>
        <w:rPr>
          <w:rFonts w:ascii="宋体" w:hAnsi="宋体" w:eastAsia="宋体" w:cs="宋体"/>
          <w:sz w:val="24"/>
          <w:szCs w:val="24"/>
          <w:highlight w:val="none"/>
        </w:rPr>
      </w:pPr>
      <w:r>
        <w:rPr>
          <w:rFonts w:ascii="宋体" w:hAnsi="宋体" w:eastAsia="宋体" w:cs="宋体"/>
          <w:spacing w:val="-5"/>
          <w:sz w:val="24"/>
          <w:szCs w:val="24"/>
          <w:highlight w:val="none"/>
        </w:rPr>
        <w:t xml:space="preserve">账号：                </w:t>
      </w:r>
      <w:r>
        <w:rPr>
          <w:rFonts w:ascii="宋体" w:hAnsi="宋体" w:eastAsia="宋体" w:cs="宋体"/>
          <w:spacing w:val="-6"/>
          <w:sz w:val="24"/>
          <w:szCs w:val="24"/>
          <w:highlight w:val="none"/>
        </w:rPr>
        <w:t xml:space="preserve">         账号：</w:t>
      </w:r>
    </w:p>
    <w:p w14:paraId="77DB004D">
      <w:pPr>
        <w:spacing w:before="113" w:line="220" w:lineRule="auto"/>
        <w:ind w:left="19"/>
        <w:rPr>
          <w:rFonts w:ascii="宋体" w:hAnsi="宋体" w:eastAsia="宋体" w:cs="宋体"/>
          <w:sz w:val="24"/>
          <w:szCs w:val="24"/>
          <w:highlight w:val="none"/>
        </w:rPr>
      </w:pPr>
      <w:r>
        <w:rPr>
          <w:rFonts w:ascii="宋体" w:hAnsi="宋体" w:eastAsia="宋体" w:cs="宋体"/>
          <w:spacing w:val="-9"/>
          <w:sz w:val="24"/>
          <w:szCs w:val="24"/>
          <w:highlight w:val="none"/>
        </w:rPr>
        <w:t>邮政编码：</w:t>
      </w:r>
      <w:r>
        <w:rPr>
          <w:rFonts w:ascii="宋体" w:hAnsi="宋体" w:eastAsia="宋体" w:cs="宋体"/>
          <w:spacing w:val="1"/>
          <w:sz w:val="24"/>
          <w:szCs w:val="24"/>
          <w:highlight w:val="none"/>
        </w:rPr>
        <w:t xml:space="preserve">                    </w:t>
      </w:r>
      <w:r>
        <w:rPr>
          <w:rFonts w:ascii="宋体" w:hAnsi="宋体" w:eastAsia="宋体" w:cs="宋体"/>
          <w:spacing w:val="-9"/>
          <w:sz w:val="24"/>
          <w:szCs w:val="24"/>
          <w:highlight w:val="none"/>
        </w:rPr>
        <w:t>邮政编码：</w:t>
      </w:r>
    </w:p>
    <w:p w14:paraId="64236A1B">
      <w:pPr>
        <w:spacing w:line="220" w:lineRule="auto"/>
        <w:rPr>
          <w:rFonts w:ascii="宋体" w:hAnsi="宋体" w:eastAsia="宋体" w:cs="宋体"/>
          <w:sz w:val="24"/>
          <w:szCs w:val="24"/>
          <w:highlight w:val="none"/>
        </w:rPr>
        <w:sectPr>
          <w:footerReference r:id="rId61" w:type="default"/>
          <w:pgSz w:w="11909" w:h="16841"/>
          <w:pgMar w:top="1431" w:right="1521" w:bottom="1045" w:left="1567" w:header="0" w:footer="814" w:gutter="0"/>
          <w:cols w:space="720" w:num="1"/>
        </w:sectPr>
      </w:pPr>
    </w:p>
    <w:p w14:paraId="549671C5">
      <w:pPr>
        <w:spacing w:before="68" w:line="219" w:lineRule="auto"/>
        <w:rPr>
          <w:rFonts w:ascii="宋体" w:hAnsi="宋体" w:eastAsia="宋体" w:cs="宋体"/>
          <w:sz w:val="24"/>
          <w:szCs w:val="24"/>
          <w:highlight w:val="none"/>
        </w:rPr>
      </w:pPr>
      <w:r>
        <w:rPr>
          <w:rFonts w:ascii="宋体" w:hAnsi="宋体" w:eastAsia="宋体" w:cs="宋体"/>
          <w:spacing w:val="-3"/>
          <w:sz w:val="24"/>
          <w:szCs w:val="24"/>
          <w:highlight w:val="none"/>
        </w:rPr>
        <w:t>附件4：</w:t>
      </w:r>
    </w:p>
    <w:p w14:paraId="75DAD2EF">
      <w:pPr>
        <w:spacing w:before="286" w:line="220" w:lineRule="auto"/>
        <w:ind w:left="3445"/>
        <w:rPr>
          <w:rFonts w:ascii="宋体" w:hAnsi="宋体" w:eastAsia="宋体" w:cs="宋体"/>
          <w:sz w:val="24"/>
          <w:szCs w:val="24"/>
          <w:highlight w:val="none"/>
        </w:rPr>
      </w:pPr>
      <w:r>
        <w:rPr>
          <w:rFonts w:ascii="宋体" w:hAnsi="宋体" w:eastAsia="宋体" w:cs="宋体"/>
          <w:spacing w:val="-5"/>
          <w:sz w:val="24"/>
          <w:szCs w:val="24"/>
          <w:highlight w:val="none"/>
        </w:rPr>
        <w:t>主要建设工程文件目录</w:t>
      </w:r>
    </w:p>
    <w:p w14:paraId="1A154770">
      <w:pPr>
        <w:spacing w:line="131" w:lineRule="exact"/>
        <w:rPr>
          <w:highlight w:val="none"/>
        </w:rPr>
      </w:pPr>
    </w:p>
    <w:tbl>
      <w:tblPr>
        <w:tblStyle w:val="24"/>
        <w:tblW w:w="9562"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1344"/>
        <w:gridCol w:w="1523"/>
        <w:gridCol w:w="1307"/>
        <w:gridCol w:w="1525"/>
        <w:gridCol w:w="1781"/>
      </w:tblGrid>
      <w:tr w14:paraId="28C16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82" w:type="dxa"/>
            <w:tcBorders>
              <w:top w:val="single" w:color="000000" w:sz="10" w:space="0"/>
              <w:left w:val="single" w:color="000000" w:sz="10" w:space="0"/>
            </w:tcBorders>
            <w:vAlign w:val="top"/>
          </w:tcPr>
          <w:p w14:paraId="00719D96">
            <w:pPr>
              <w:spacing w:before="161" w:line="220" w:lineRule="auto"/>
              <w:ind w:left="507"/>
              <w:rPr>
                <w:rFonts w:ascii="宋体" w:hAnsi="宋体" w:eastAsia="宋体" w:cs="宋体"/>
                <w:sz w:val="24"/>
                <w:szCs w:val="24"/>
                <w:highlight w:val="none"/>
              </w:rPr>
            </w:pPr>
            <w:r>
              <w:rPr>
                <w:rFonts w:ascii="宋体" w:hAnsi="宋体" w:eastAsia="宋体" w:cs="宋体"/>
                <w:spacing w:val="-6"/>
                <w:sz w:val="24"/>
                <w:szCs w:val="24"/>
                <w:highlight w:val="none"/>
              </w:rPr>
              <w:t>文件名称</w:t>
            </w:r>
          </w:p>
        </w:tc>
        <w:tc>
          <w:tcPr>
            <w:tcW w:w="1344" w:type="dxa"/>
            <w:tcBorders>
              <w:top w:val="single" w:color="000000" w:sz="10" w:space="0"/>
            </w:tcBorders>
            <w:vAlign w:val="top"/>
          </w:tcPr>
          <w:p w14:paraId="0FDDA085">
            <w:pPr>
              <w:spacing w:before="161" w:line="220" w:lineRule="auto"/>
              <w:ind w:left="400"/>
              <w:rPr>
                <w:rFonts w:ascii="宋体" w:hAnsi="宋体" w:eastAsia="宋体" w:cs="宋体"/>
                <w:sz w:val="24"/>
                <w:szCs w:val="24"/>
                <w:highlight w:val="none"/>
              </w:rPr>
            </w:pPr>
            <w:r>
              <w:rPr>
                <w:rFonts w:ascii="宋体" w:hAnsi="宋体" w:eastAsia="宋体" w:cs="宋体"/>
                <w:spacing w:val="-4"/>
                <w:sz w:val="24"/>
                <w:szCs w:val="24"/>
                <w:highlight w:val="none"/>
              </w:rPr>
              <w:t>套数</w:t>
            </w:r>
          </w:p>
        </w:tc>
        <w:tc>
          <w:tcPr>
            <w:tcW w:w="1523" w:type="dxa"/>
            <w:tcBorders>
              <w:top w:val="single" w:color="000000" w:sz="10" w:space="0"/>
            </w:tcBorders>
            <w:vAlign w:val="top"/>
          </w:tcPr>
          <w:p w14:paraId="349375DF">
            <w:pPr>
              <w:spacing w:before="165" w:line="220" w:lineRule="auto"/>
              <w:ind w:left="158"/>
              <w:rPr>
                <w:rFonts w:ascii="宋体" w:hAnsi="宋体" w:eastAsia="宋体" w:cs="宋体"/>
                <w:sz w:val="24"/>
                <w:szCs w:val="24"/>
                <w:highlight w:val="none"/>
              </w:rPr>
            </w:pPr>
            <w:r>
              <w:rPr>
                <w:rFonts w:ascii="宋体" w:hAnsi="宋体" w:eastAsia="宋体" w:cs="宋体"/>
                <w:spacing w:val="-16"/>
                <w:sz w:val="24"/>
                <w:szCs w:val="24"/>
                <w:highlight w:val="none"/>
              </w:rPr>
              <w:t>费用（元）</w:t>
            </w:r>
          </w:p>
        </w:tc>
        <w:tc>
          <w:tcPr>
            <w:tcW w:w="1307" w:type="dxa"/>
            <w:tcBorders>
              <w:top w:val="single" w:color="000000" w:sz="10" w:space="0"/>
            </w:tcBorders>
            <w:vAlign w:val="top"/>
          </w:tcPr>
          <w:p w14:paraId="61612846">
            <w:pPr>
              <w:spacing w:before="165" w:line="220" w:lineRule="auto"/>
              <w:ind w:left="401"/>
              <w:rPr>
                <w:rFonts w:ascii="宋体" w:hAnsi="宋体" w:eastAsia="宋体" w:cs="宋体"/>
                <w:sz w:val="24"/>
                <w:szCs w:val="24"/>
                <w:highlight w:val="none"/>
              </w:rPr>
            </w:pPr>
            <w:r>
              <w:rPr>
                <w:rFonts w:ascii="宋体" w:hAnsi="宋体" w:eastAsia="宋体" w:cs="宋体"/>
                <w:spacing w:val="-4"/>
                <w:sz w:val="24"/>
                <w:szCs w:val="24"/>
                <w:highlight w:val="none"/>
              </w:rPr>
              <w:t>质量</w:t>
            </w:r>
          </w:p>
        </w:tc>
        <w:tc>
          <w:tcPr>
            <w:tcW w:w="1525" w:type="dxa"/>
            <w:tcBorders>
              <w:top w:val="single" w:color="000000" w:sz="10" w:space="0"/>
            </w:tcBorders>
            <w:vAlign w:val="top"/>
          </w:tcPr>
          <w:p w14:paraId="60C5BB54">
            <w:pPr>
              <w:spacing w:before="164" w:line="221" w:lineRule="auto"/>
              <w:ind w:left="270"/>
              <w:rPr>
                <w:rFonts w:ascii="宋体" w:hAnsi="宋体" w:eastAsia="宋体" w:cs="宋体"/>
                <w:sz w:val="24"/>
                <w:szCs w:val="24"/>
                <w:highlight w:val="none"/>
              </w:rPr>
            </w:pPr>
            <w:r>
              <w:rPr>
                <w:rFonts w:ascii="宋体" w:hAnsi="宋体" w:eastAsia="宋体" w:cs="宋体"/>
                <w:spacing w:val="-5"/>
                <w:sz w:val="24"/>
                <w:szCs w:val="24"/>
                <w:highlight w:val="none"/>
              </w:rPr>
              <w:t>移交时间</w:t>
            </w:r>
          </w:p>
        </w:tc>
        <w:tc>
          <w:tcPr>
            <w:tcW w:w="1781" w:type="dxa"/>
            <w:tcBorders>
              <w:top w:val="single" w:color="000000" w:sz="10" w:space="0"/>
              <w:right w:val="single" w:color="000000" w:sz="10" w:space="0"/>
            </w:tcBorders>
            <w:vAlign w:val="top"/>
          </w:tcPr>
          <w:p w14:paraId="45897786">
            <w:pPr>
              <w:spacing w:before="161" w:line="220" w:lineRule="auto"/>
              <w:ind w:left="522"/>
              <w:rPr>
                <w:rFonts w:ascii="宋体" w:hAnsi="宋体" w:eastAsia="宋体" w:cs="宋体"/>
                <w:sz w:val="24"/>
                <w:szCs w:val="24"/>
                <w:highlight w:val="none"/>
              </w:rPr>
            </w:pPr>
            <w:r>
              <w:rPr>
                <w:rFonts w:ascii="宋体" w:hAnsi="宋体" w:eastAsia="宋体" w:cs="宋体"/>
                <w:spacing w:val="-10"/>
                <w:sz w:val="24"/>
                <w:szCs w:val="24"/>
                <w:highlight w:val="none"/>
              </w:rPr>
              <w:t>责任人</w:t>
            </w:r>
          </w:p>
        </w:tc>
      </w:tr>
      <w:tr w14:paraId="61D6F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082" w:type="dxa"/>
            <w:tcBorders>
              <w:left w:val="single" w:color="000000" w:sz="10" w:space="0"/>
            </w:tcBorders>
            <w:vAlign w:val="top"/>
          </w:tcPr>
          <w:p w14:paraId="10EBE346">
            <w:pPr>
              <w:rPr>
                <w:rFonts w:ascii="Arial"/>
                <w:sz w:val="21"/>
                <w:highlight w:val="none"/>
              </w:rPr>
            </w:pPr>
          </w:p>
        </w:tc>
        <w:tc>
          <w:tcPr>
            <w:tcW w:w="1344" w:type="dxa"/>
            <w:vAlign w:val="top"/>
          </w:tcPr>
          <w:p w14:paraId="488BDC1C">
            <w:pPr>
              <w:rPr>
                <w:rFonts w:ascii="Arial"/>
                <w:sz w:val="21"/>
                <w:highlight w:val="none"/>
              </w:rPr>
            </w:pPr>
          </w:p>
        </w:tc>
        <w:tc>
          <w:tcPr>
            <w:tcW w:w="1523" w:type="dxa"/>
            <w:vAlign w:val="top"/>
          </w:tcPr>
          <w:p w14:paraId="2C955C4A">
            <w:pPr>
              <w:rPr>
                <w:rFonts w:ascii="Arial"/>
                <w:sz w:val="21"/>
                <w:highlight w:val="none"/>
              </w:rPr>
            </w:pPr>
          </w:p>
        </w:tc>
        <w:tc>
          <w:tcPr>
            <w:tcW w:w="1307" w:type="dxa"/>
            <w:vAlign w:val="top"/>
          </w:tcPr>
          <w:p w14:paraId="3F1D00EF">
            <w:pPr>
              <w:rPr>
                <w:rFonts w:ascii="Arial"/>
                <w:sz w:val="21"/>
                <w:highlight w:val="none"/>
              </w:rPr>
            </w:pPr>
          </w:p>
        </w:tc>
        <w:tc>
          <w:tcPr>
            <w:tcW w:w="1525" w:type="dxa"/>
            <w:vAlign w:val="top"/>
          </w:tcPr>
          <w:p w14:paraId="530FD688">
            <w:pPr>
              <w:rPr>
                <w:rFonts w:ascii="Arial"/>
                <w:sz w:val="21"/>
                <w:highlight w:val="none"/>
              </w:rPr>
            </w:pPr>
          </w:p>
        </w:tc>
        <w:tc>
          <w:tcPr>
            <w:tcW w:w="1781" w:type="dxa"/>
            <w:tcBorders>
              <w:right w:val="single" w:color="000000" w:sz="10" w:space="0"/>
            </w:tcBorders>
            <w:vAlign w:val="top"/>
          </w:tcPr>
          <w:p w14:paraId="0F9FE9FC">
            <w:pPr>
              <w:rPr>
                <w:rFonts w:ascii="Arial"/>
                <w:sz w:val="21"/>
                <w:highlight w:val="none"/>
              </w:rPr>
            </w:pPr>
          </w:p>
        </w:tc>
      </w:tr>
      <w:tr w14:paraId="7CDA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082" w:type="dxa"/>
            <w:tcBorders>
              <w:left w:val="single" w:color="000000" w:sz="10" w:space="0"/>
            </w:tcBorders>
            <w:vAlign w:val="top"/>
          </w:tcPr>
          <w:p w14:paraId="43673D04">
            <w:pPr>
              <w:rPr>
                <w:rFonts w:ascii="Arial"/>
                <w:sz w:val="21"/>
                <w:highlight w:val="none"/>
              </w:rPr>
            </w:pPr>
          </w:p>
        </w:tc>
        <w:tc>
          <w:tcPr>
            <w:tcW w:w="1344" w:type="dxa"/>
            <w:vAlign w:val="top"/>
          </w:tcPr>
          <w:p w14:paraId="3F45A9C5">
            <w:pPr>
              <w:rPr>
                <w:rFonts w:ascii="Arial"/>
                <w:sz w:val="21"/>
                <w:highlight w:val="none"/>
              </w:rPr>
            </w:pPr>
          </w:p>
        </w:tc>
        <w:tc>
          <w:tcPr>
            <w:tcW w:w="1523" w:type="dxa"/>
            <w:vAlign w:val="top"/>
          </w:tcPr>
          <w:p w14:paraId="340483C7">
            <w:pPr>
              <w:rPr>
                <w:rFonts w:ascii="Arial"/>
                <w:sz w:val="21"/>
                <w:highlight w:val="none"/>
              </w:rPr>
            </w:pPr>
          </w:p>
        </w:tc>
        <w:tc>
          <w:tcPr>
            <w:tcW w:w="1307" w:type="dxa"/>
            <w:vAlign w:val="top"/>
          </w:tcPr>
          <w:p w14:paraId="29BE4BC5">
            <w:pPr>
              <w:rPr>
                <w:rFonts w:ascii="Arial"/>
                <w:sz w:val="21"/>
                <w:highlight w:val="none"/>
              </w:rPr>
            </w:pPr>
          </w:p>
        </w:tc>
        <w:tc>
          <w:tcPr>
            <w:tcW w:w="1525" w:type="dxa"/>
            <w:vAlign w:val="top"/>
          </w:tcPr>
          <w:p w14:paraId="3C2D08E7">
            <w:pPr>
              <w:rPr>
                <w:rFonts w:ascii="Arial"/>
                <w:sz w:val="21"/>
                <w:highlight w:val="none"/>
              </w:rPr>
            </w:pPr>
          </w:p>
        </w:tc>
        <w:tc>
          <w:tcPr>
            <w:tcW w:w="1781" w:type="dxa"/>
            <w:tcBorders>
              <w:right w:val="single" w:color="000000" w:sz="10" w:space="0"/>
            </w:tcBorders>
            <w:vAlign w:val="top"/>
          </w:tcPr>
          <w:p w14:paraId="41239A0B">
            <w:pPr>
              <w:rPr>
                <w:rFonts w:ascii="Arial"/>
                <w:sz w:val="21"/>
                <w:highlight w:val="none"/>
              </w:rPr>
            </w:pPr>
          </w:p>
        </w:tc>
      </w:tr>
      <w:tr w14:paraId="13A4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363E8579">
            <w:pPr>
              <w:rPr>
                <w:rFonts w:ascii="Arial"/>
                <w:sz w:val="21"/>
                <w:highlight w:val="none"/>
              </w:rPr>
            </w:pPr>
          </w:p>
        </w:tc>
        <w:tc>
          <w:tcPr>
            <w:tcW w:w="1344" w:type="dxa"/>
            <w:vAlign w:val="top"/>
          </w:tcPr>
          <w:p w14:paraId="2E4E2D4E">
            <w:pPr>
              <w:rPr>
                <w:rFonts w:ascii="Arial"/>
                <w:sz w:val="21"/>
                <w:highlight w:val="none"/>
              </w:rPr>
            </w:pPr>
          </w:p>
        </w:tc>
        <w:tc>
          <w:tcPr>
            <w:tcW w:w="1523" w:type="dxa"/>
            <w:vAlign w:val="top"/>
          </w:tcPr>
          <w:p w14:paraId="00E0E4B0">
            <w:pPr>
              <w:rPr>
                <w:rFonts w:ascii="Arial"/>
                <w:sz w:val="21"/>
                <w:highlight w:val="none"/>
              </w:rPr>
            </w:pPr>
          </w:p>
        </w:tc>
        <w:tc>
          <w:tcPr>
            <w:tcW w:w="1307" w:type="dxa"/>
            <w:vAlign w:val="top"/>
          </w:tcPr>
          <w:p w14:paraId="18229D03">
            <w:pPr>
              <w:rPr>
                <w:rFonts w:ascii="Arial"/>
                <w:sz w:val="21"/>
                <w:highlight w:val="none"/>
              </w:rPr>
            </w:pPr>
          </w:p>
        </w:tc>
        <w:tc>
          <w:tcPr>
            <w:tcW w:w="1525" w:type="dxa"/>
            <w:vAlign w:val="top"/>
          </w:tcPr>
          <w:p w14:paraId="3880A65C">
            <w:pPr>
              <w:rPr>
                <w:rFonts w:ascii="Arial"/>
                <w:sz w:val="21"/>
                <w:highlight w:val="none"/>
              </w:rPr>
            </w:pPr>
          </w:p>
        </w:tc>
        <w:tc>
          <w:tcPr>
            <w:tcW w:w="1781" w:type="dxa"/>
            <w:tcBorders>
              <w:right w:val="single" w:color="000000" w:sz="10" w:space="0"/>
            </w:tcBorders>
            <w:vAlign w:val="top"/>
          </w:tcPr>
          <w:p w14:paraId="60D9B2B5">
            <w:pPr>
              <w:rPr>
                <w:rFonts w:ascii="Arial"/>
                <w:sz w:val="21"/>
                <w:highlight w:val="none"/>
              </w:rPr>
            </w:pPr>
          </w:p>
        </w:tc>
      </w:tr>
      <w:tr w14:paraId="2D830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082" w:type="dxa"/>
            <w:tcBorders>
              <w:left w:val="single" w:color="000000" w:sz="10" w:space="0"/>
            </w:tcBorders>
            <w:vAlign w:val="top"/>
          </w:tcPr>
          <w:p w14:paraId="1D936C8C">
            <w:pPr>
              <w:rPr>
                <w:rFonts w:ascii="Arial"/>
                <w:sz w:val="21"/>
                <w:highlight w:val="none"/>
              </w:rPr>
            </w:pPr>
          </w:p>
        </w:tc>
        <w:tc>
          <w:tcPr>
            <w:tcW w:w="1344" w:type="dxa"/>
            <w:vAlign w:val="top"/>
          </w:tcPr>
          <w:p w14:paraId="1D6AD9A6">
            <w:pPr>
              <w:rPr>
                <w:rFonts w:ascii="Arial"/>
                <w:sz w:val="21"/>
                <w:highlight w:val="none"/>
              </w:rPr>
            </w:pPr>
          </w:p>
        </w:tc>
        <w:tc>
          <w:tcPr>
            <w:tcW w:w="1523" w:type="dxa"/>
            <w:vAlign w:val="top"/>
          </w:tcPr>
          <w:p w14:paraId="54E1FD43">
            <w:pPr>
              <w:rPr>
                <w:rFonts w:ascii="Arial"/>
                <w:sz w:val="21"/>
                <w:highlight w:val="none"/>
              </w:rPr>
            </w:pPr>
          </w:p>
        </w:tc>
        <w:tc>
          <w:tcPr>
            <w:tcW w:w="1307" w:type="dxa"/>
            <w:vAlign w:val="top"/>
          </w:tcPr>
          <w:p w14:paraId="18982407">
            <w:pPr>
              <w:rPr>
                <w:rFonts w:ascii="Arial"/>
                <w:sz w:val="21"/>
                <w:highlight w:val="none"/>
              </w:rPr>
            </w:pPr>
          </w:p>
        </w:tc>
        <w:tc>
          <w:tcPr>
            <w:tcW w:w="1525" w:type="dxa"/>
            <w:vAlign w:val="top"/>
          </w:tcPr>
          <w:p w14:paraId="0BAF9D4A">
            <w:pPr>
              <w:rPr>
                <w:rFonts w:ascii="Arial"/>
                <w:sz w:val="21"/>
                <w:highlight w:val="none"/>
              </w:rPr>
            </w:pPr>
          </w:p>
        </w:tc>
        <w:tc>
          <w:tcPr>
            <w:tcW w:w="1781" w:type="dxa"/>
            <w:tcBorders>
              <w:right w:val="single" w:color="000000" w:sz="10" w:space="0"/>
            </w:tcBorders>
            <w:vAlign w:val="top"/>
          </w:tcPr>
          <w:p w14:paraId="4BE1CE69">
            <w:pPr>
              <w:rPr>
                <w:rFonts w:ascii="Arial"/>
                <w:sz w:val="21"/>
                <w:highlight w:val="none"/>
              </w:rPr>
            </w:pPr>
          </w:p>
        </w:tc>
      </w:tr>
      <w:tr w14:paraId="0583A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336B306C">
            <w:pPr>
              <w:rPr>
                <w:rFonts w:ascii="Arial"/>
                <w:sz w:val="21"/>
                <w:highlight w:val="none"/>
              </w:rPr>
            </w:pPr>
          </w:p>
        </w:tc>
        <w:tc>
          <w:tcPr>
            <w:tcW w:w="1344" w:type="dxa"/>
            <w:vAlign w:val="top"/>
          </w:tcPr>
          <w:p w14:paraId="4C6D8880">
            <w:pPr>
              <w:rPr>
                <w:rFonts w:ascii="Arial"/>
                <w:sz w:val="21"/>
                <w:highlight w:val="none"/>
              </w:rPr>
            </w:pPr>
          </w:p>
        </w:tc>
        <w:tc>
          <w:tcPr>
            <w:tcW w:w="1523" w:type="dxa"/>
            <w:vAlign w:val="top"/>
          </w:tcPr>
          <w:p w14:paraId="11250FB3">
            <w:pPr>
              <w:rPr>
                <w:rFonts w:ascii="Arial"/>
                <w:sz w:val="21"/>
                <w:highlight w:val="none"/>
              </w:rPr>
            </w:pPr>
          </w:p>
        </w:tc>
        <w:tc>
          <w:tcPr>
            <w:tcW w:w="1307" w:type="dxa"/>
            <w:vAlign w:val="top"/>
          </w:tcPr>
          <w:p w14:paraId="30C1ED02">
            <w:pPr>
              <w:rPr>
                <w:rFonts w:ascii="Arial"/>
                <w:sz w:val="21"/>
                <w:highlight w:val="none"/>
              </w:rPr>
            </w:pPr>
          </w:p>
        </w:tc>
        <w:tc>
          <w:tcPr>
            <w:tcW w:w="1525" w:type="dxa"/>
            <w:vAlign w:val="top"/>
          </w:tcPr>
          <w:p w14:paraId="64F53E9B">
            <w:pPr>
              <w:rPr>
                <w:rFonts w:ascii="Arial"/>
                <w:sz w:val="21"/>
                <w:highlight w:val="none"/>
              </w:rPr>
            </w:pPr>
          </w:p>
        </w:tc>
        <w:tc>
          <w:tcPr>
            <w:tcW w:w="1781" w:type="dxa"/>
            <w:tcBorders>
              <w:right w:val="single" w:color="000000" w:sz="10" w:space="0"/>
            </w:tcBorders>
            <w:vAlign w:val="top"/>
          </w:tcPr>
          <w:p w14:paraId="4894BB7E">
            <w:pPr>
              <w:rPr>
                <w:rFonts w:ascii="Arial"/>
                <w:sz w:val="21"/>
                <w:highlight w:val="none"/>
              </w:rPr>
            </w:pPr>
          </w:p>
        </w:tc>
      </w:tr>
      <w:tr w14:paraId="068E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30811509">
            <w:pPr>
              <w:rPr>
                <w:rFonts w:ascii="Arial"/>
                <w:sz w:val="21"/>
                <w:highlight w:val="none"/>
              </w:rPr>
            </w:pPr>
          </w:p>
        </w:tc>
        <w:tc>
          <w:tcPr>
            <w:tcW w:w="1344" w:type="dxa"/>
            <w:vAlign w:val="top"/>
          </w:tcPr>
          <w:p w14:paraId="2552CC20">
            <w:pPr>
              <w:rPr>
                <w:rFonts w:ascii="Arial"/>
                <w:sz w:val="21"/>
                <w:highlight w:val="none"/>
              </w:rPr>
            </w:pPr>
          </w:p>
        </w:tc>
        <w:tc>
          <w:tcPr>
            <w:tcW w:w="1523" w:type="dxa"/>
            <w:vAlign w:val="top"/>
          </w:tcPr>
          <w:p w14:paraId="51E2B9C2">
            <w:pPr>
              <w:rPr>
                <w:rFonts w:ascii="Arial"/>
                <w:sz w:val="21"/>
                <w:highlight w:val="none"/>
              </w:rPr>
            </w:pPr>
          </w:p>
        </w:tc>
        <w:tc>
          <w:tcPr>
            <w:tcW w:w="1307" w:type="dxa"/>
            <w:vAlign w:val="top"/>
          </w:tcPr>
          <w:p w14:paraId="4F6E7625">
            <w:pPr>
              <w:rPr>
                <w:rFonts w:ascii="Arial"/>
                <w:sz w:val="21"/>
                <w:highlight w:val="none"/>
              </w:rPr>
            </w:pPr>
          </w:p>
        </w:tc>
        <w:tc>
          <w:tcPr>
            <w:tcW w:w="1525" w:type="dxa"/>
            <w:vAlign w:val="top"/>
          </w:tcPr>
          <w:p w14:paraId="0A14A7A1">
            <w:pPr>
              <w:rPr>
                <w:rFonts w:ascii="Arial"/>
                <w:sz w:val="21"/>
                <w:highlight w:val="none"/>
              </w:rPr>
            </w:pPr>
          </w:p>
        </w:tc>
        <w:tc>
          <w:tcPr>
            <w:tcW w:w="1781" w:type="dxa"/>
            <w:tcBorders>
              <w:right w:val="single" w:color="000000" w:sz="10" w:space="0"/>
            </w:tcBorders>
            <w:vAlign w:val="top"/>
          </w:tcPr>
          <w:p w14:paraId="0AC3D21C">
            <w:pPr>
              <w:rPr>
                <w:rFonts w:ascii="Arial"/>
                <w:sz w:val="21"/>
                <w:highlight w:val="none"/>
              </w:rPr>
            </w:pPr>
          </w:p>
        </w:tc>
      </w:tr>
      <w:tr w14:paraId="0668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64ABD3B0">
            <w:pPr>
              <w:rPr>
                <w:rFonts w:ascii="Arial"/>
                <w:sz w:val="21"/>
                <w:highlight w:val="none"/>
              </w:rPr>
            </w:pPr>
          </w:p>
        </w:tc>
        <w:tc>
          <w:tcPr>
            <w:tcW w:w="1344" w:type="dxa"/>
            <w:vAlign w:val="top"/>
          </w:tcPr>
          <w:p w14:paraId="7C9357C7">
            <w:pPr>
              <w:rPr>
                <w:rFonts w:ascii="Arial"/>
                <w:sz w:val="21"/>
                <w:highlight w:val="none"/>
              </w:rPr>
            </w:pPr>
          </w:p>
        </w:tc>
        <w:tc>
          <w:tcPr>
            <w:tcW w:w="1523" w:type="dxa"/>
            <w:vAlign w:val="top"/>
          </w:tcPr>
          <w:p w14:paraId="247DDD29">
            <w:pPr>
              <w:rPr>
                <w:rFonts w:ascii="Arial"/>
                <w:sz w:val="21"/>
                <w:highlight w:val="none"/>
              </w:rPr>
            </w:pPr>
          </w:p>
        </w:tc>
        <w:tc>
          <w:tcPr>
            <w:tcW w:w="1307" w:type="dxa"/>
            <w:vAlign w:val="top"/>
          </w:tcPr>
          <w:p w14:paraId="21C7997F">
            <w:pPr>
              <w:rPr>
                <w:rFonts w:ascii="Arial"/>
                <w:sz w:val="21"/>
                <w:highlight w:val="none"/>
              </w:rPr>
            </w:pPr>
          </w:p>
        </w:tc>
        <w:tc>
          <w:tcPr>
            <w:tcW w:w="1525" w:type="dxa"/>
            <w:vAlign w:val="top"/>
          </w:tcPr>
          <w:p w14:paraId="62020DE8">
            <w:pPr>
              <w:rPr>
                <w:rFonts w:ascii="Arial"/>
                <w:sz w:val="21"/>
                <w:highlight w:val="none"/>
              </w:rPr>
            </w:pPr>
          </w:p>
        </w:tc>
        <w:tc>
          <w:tcPr>
            <w:tcW w:w="1781" w:type="dxa"/>
            <w:tcBorders>
              <w:right w:val="single" w:color="000000" w:sz="10" w:space="0"/>
            </w:tcBorders>
            <w:vAlign w:val="top"/>
          </w:tcPr>
          <w:p w14:paraId="4ADAEA97">
            <w:pPr>
              <w:rPr>
                <w:rFonts w:ascii="Arial"/>
                <w:sz w:val="21"/>
                <w:highlight w:val="none"/>
              </w:rPr>
            </w:pPr>
          </w:p>
        </w:tc>
      </w:tr>
      <w:tr w14:paraId="33E8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082" w:type="dxa"/>
            <w:tcBorders>
              <w:left w:val="single" w:color="000000" w:sz="10" w:space="0"/>
            </w:tcBorders>
            <w:vAlign w:val="top"/>
          </w:tcPr>
          <w:p w14:paraId="4CAB4FE3">
            <w:pPr>
              <w:rPr>
                <w:rFonts w:ascii="Arial"/>
                <w:sz w:val="21"/>
                <w:highlight w:val="none"/>
              </w:rPr>
            </w:pPr>
          </w:p>
        </w:tc>
        <w:tc>
          <w:tcPr>
            <w:tcW w:w="1344" w:type="dxa"/>
            <w:vAlign w:val="top"/>
          </w:tcPr>
          <w:p w14:paraId="4A71A680">
            <w:pPr>
              <w:rPr>
                <w:rFonts w:ascii="Arial"/>
                <w:sz w:val="21"/>
                <w:highlight w:val="none"/>
              </w:rPr>
            </w:pPr>
          </w:p>
        </w:tc>
        <w:tc>
          <w:tcPr>
            <w:tcW w:w="1523" w:type="dxa"/>
            <w:vAlign w:val="top"/>
          </w:tcPr>
          <w:p w14:paraId="51DA32BD">
            <w:pPr>
              <w:rPr>
                <w:rFonts w:ascii="Arial"/>
                <w:sz w:val="21"/>
                <w:highlight w:val="none"/>
              </w:rPr>
            </w:pPr>
          </w:p>
        </w:tc>
        <w:tc>
          <w:tcPr>
            <w:tcW w:w="1307" w:type="dxa"/>
            <w:vAlign w:val="top"/>
          </w:tcPr>
          <w:p w14:paraId="269B9730">
            <w:pPr>
              <w:rPr>
                <w:rFonts w:ascii="Arial"/>
                <w:sz w:val="21"/>
                <w:highlight w:val="none"/>
              </w:rPr>
            </w:pPr>
          </w:p>
        </w:tc>
        <w:tc>
          <w:tcPr>
            <w:tcW w:w="1525" w:type="dxa"/>
            <w:vAlign w:val="top"/>
          </w:tcPr>
          <w:p w14:paraId="466308EB">
            <w:pPr>
              <w:rPr>
                <w:rFonts w:ascii="Arial"/>
                <w:sz w:val="21"/>
                <w:highlight w:val="none"/>
              </w:rPr>
            </w:pPr>
          </w:p>
        </w:tc>
        <w:tc>
          <w:tcPr>
            <w:tcW w:w="1781" w:type="dxa"/>
            <w:tcBorders>
              <w:right w:val="single" w:color="000000" w:sz="10" w:space="0"/>
            </w:tcBorders>
            <w:vAlign w:val="top"/>
          </w:tcPr>
          <w:p w14:paraId="06DFFB4A">
            <w:pPr>
              <w:rPr>
                <w:rFonts w:ascii="Arial"/>
                <w:sz w:val="21"/>
                <w:highlight w:val="none"/>
              </w:rPr>
            </w:pPr>
          </w:p>
        </w:tc>
      </w:tr>
      <w:tr w14:paraId="26B9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560246DD">
            <w:pPr>
              <w:rPr>
                <w:rFonts w:ascii="Arial"/>
                <w:sz w:val="21"/>
                <w:highlight w:val="none"/>
              </w:rPr>
            </w:pPr>
          </w:p>
        </w:tc>
        <w:tc>
          <w:tcPr>
            <w:tcW w:w="1344" w:type="dxa"/>
            <w:vAlign w:val="top"/>
          </w:tcPr>
          <w:p w14:paraId="6864A2D2">
            <w:pPr>
              <w:rPr>
                <w:rFonts w:ascii="Arial"/>
                <w:sz w:val="21"/>
                <w:highlight w:val="none"/>
              </w:rPr>
            </w:pPr>
          </w:p>
        </w:tc>
        <w:tc>
          <w:tcPr>
            <w:tcW w:w="1523" w:type="dxa"/>
            <w:vAlign w:val="top"/>
          </w:tcPr>
          <w:p w14:paraId="60E545E6">
            <w:pPr>
              <w:rPr>
                <w:rFonts w:ascii="Arial"/>
                <w:sz w:val="21"/>
                <w:highlight w:val="none"/>
              </w:rPr>
            </w:pPr>
          </w:p>
        </w:tc>
        <w:tc>
          <w:tcPr>
            <w:tcW w:w="1307" w:type="dxa"/>
            <w:vAlign w:val="top"/>
          </w:tcPr>
          <w:p w14:paraId="7C2308DB">
            <w:pPr>
              <w:rPr>
                <w:rFonts w:ascii="Arial"/>
                <w:sz w:val="21"/>
                <w:highlight w:val="none"/>
              </w:rPr>
            </w:pPr>
          </w:p>
        </w:tc>
        <w:tc>
          <w:tcPr>
            <w:tcW w:w="1525" w:type="dxa"/>
            <w:vAlign w:val="top"/>
          </w:tcPr>
          <w:p w14:paraId="7A525F1A">
            <w:pPr>
              <w:rPr>
                <w:rFonts w:ascii="Arial"/>
                <w:sz w:val="21"/>
                <w:highlight w:val="none"/>
              </w:rPr>
            </w:pPr>
          </w:p>
        </w:tc>
        <w:tc>
          <w:tcPr>
            <w:tcW w:w="1781" w:type="dxa"/>
            <w:tcBorders>
              <w:right w:val="single" w:color="000000" w:sz="10" w:space="0"/>
            </w:tcBorders>
            <w:vAlign w:val="top"/>
          </w:tcPr>
          <w:p w14:paraId="671F4A34">
            <w:pPr>
              <w:rPr>
                <w:rFonts w:ascii="Arial"/>
                <w:sz w:val="21"/>
                <w:highlight w:val="none"/>
              </w:rPr>
            </w:pPr>
          </w:p>
        </w:tc>
      </w:tr>
      <w:tr w14:paraId="5AB08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7D11D5EE">
            <w:pPr>
              <w:rPr>
                <w:rFonts w:ascii="Arial"/>
                <w:sz w:val="21"/>
                <w:highlight w:val="none"/>
              </w:rPr>
            </w:pPr>
          </w:p>
        </w:tc>
        <w:tc>
          <w:tcPr>
            <w:tcW w:w="1344" w:type="dxa"/>
            <w:vAlign w:val="top"/>
          </w:tcPr>
          <w:p w14:paraId="380BD150">
            <w:pPr>
              <w:rPr>
                <w:rFonts w:ascii="Arial"/>
                <w:sz w:val="21"/>
                <w:highlight w:val="none"/>
              </w:rPr>
            </w:pPr>
          </w:p>
        </w:tc>
        <w:tc>
          <w:tcPr>
            <w:tcW w:w="1523" w:type="dxa"/>
            <w:vAlign w:val="top"/>
          </w:tcPr>
          <w:p w14:paraId="200361B8">
            <w:pPr>
              <w:rPr>
                <w:rFonts w:ascii="Arial"/>
                <w:sz w:val="21"/>
                <w:highlight w:val="none"/>
              </w:rPr>
            </w:pPr>
          </w:p>
        </w:tc>
        <w:tc>
          <w:tcPr>
            <w:tcW w:w="1307" w:type="dxa"/>
            <w:vAlign w:val="top"/>
          </w:tcPr>
          <w:p w14:paraId="14CD5D45">
            <w:pPr>
              <w:rPr>
                <w:rFonts w:ascii="Arial"/>
                <w:sz w:val="21"/>
                <w:highlight w:val="none"/>
              </w:rPr>
            </w:pPr>
          </w:p>
        </w:tc>
        <w:tc>
          <w:tcPr>
            <w:tcW w:w="1525" w:type="dxa"/>
            <w:vAlign w:val="top"/>
          </w:tcPr>
          <w:p w14:paraId="0579F03A">
            <w:pPr>
              <w:rPr>
                <w:rFonts w:ascii="Arial"/>
                <w:sz w:val="21"/>
                <w:highlight w:val="none"/>
              </w:rPr>
            </w:pPr>
          </w:p>
        </w:tc>
        <w:tc>
          <w:tcPr>
            <w:tcW w:w="1781" w:type="dxa"/>
            <w:tcBorders>
              <w:right w:val="single" w:color="000000" w:sz="10" w:space="0"/>
            </w:tcBorders>
            <w:vAlign w:val="top"/>
          </w:tcPr>
          <w:p w14:paraId="53CC614F">
            <w:pPr>
              <w:rPr>
                <w:rFonts w:ascii="Arial"/>
                <w:sz w:val="21"/>
                <w:highlight w:val="none"/>
              </w:rPr>
            </w:pPr>
          </w:p>
        </w:tc>
      </w:tr>
      <w:tr w14:paraId="5FA1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3B4627C3">
            <w:pPr>
              <w:rPr>
                <w:rFonts w:ascii="Arial"/>
                <w:sz w:val="21"/>
                <w:highlight w:val="none"/>
              </w:rPr>
            </w:pPr>
          </w:p>
        </w:tc>
        <w:tc>
          <w:tcPr>
            <w:tcW w:w="1344" w:type="dxa"/>
            <w:vAlign w:val="top"/>
          </w:tcPr>
          <w:p w14:paraId="33DA956D">
            <w:pPr>
              <w:rPr>
                <w:rFonts w:ascii="Arial"/>
                <w:sz w:val="21"/>
                <w:highlight w:val="none"/>
              </w:rPr>
            </w:pPr>
          </w:p>
        </w:tc>
        <w:tc>
          <w:tcPr>
            <w:tcW w:w="1523" w:type="dxa"/>
            <w:vAlign w:val="top"/>
          </w:tcPr>
          <w:p w14:paraId="1B211F3C">
            <w:pPr>
              <w:rPr>
                <w:rFonts w:ascii="Arial"/>
                <w:sz w:val="21"/>
                <w:highlight w:val="none"/>
              </w:rPr>
            </w:pPr>
          </w:p>
        </w:tc>
        <w:tc>
          <w:tcPr>
            <w:tcW w:w="1307" w:type="dxa"/>
            <w:vAlign w:val="top"/>
          </w:tcPr>
          <w:p w14:paraId="3293150B">
            <w:pPr>
              <w:rPr>
                <w:rFonts w:ascii="Arial"/>
                <w:sz w:val="21"/>
                <w:highlight w:val="none"/>
              </w:rPr>
            </w:pPr>
          </w:p>
        </w:tc>
        <w:tc>
          <w:tcPr>
            <w:tcW w:w="1525" w:type="dxa"/>
            <w:vAlign w:val="top"/>
          </w:tcPr>
          <w:p w14:paraId="741BF2E0">
            <w:pPr>
              <w:rPr>
                <w:rFonts w:ascii="Arial"/>
                <w:sz w:val="21"/>
                <w:highlight w:val="none"/>
              </w:rPr>
            </w:pPr>
          </w:p>
        </w:tc>
        <w:tc>
          <w:tcPr>
            <w:tcW w:w="1781" w:type="dxa"/>
            <w:tcBorders>
              <w:right w:val="single" w:color="000000" w:sz="10" w:space="0"/>
            </w:tcBorders>
            <w:vAlign w:val="top"/>
          </w:tcPr>
          <w:p w14:paraId="61D4325C">
            <w:pPr>
              <w:rPr>
                <w:rFonts w:ascii="Arial"/>
                <w:sz w:val="21"/>
                <w:highlight w:val="none"/>
              </w:rPr>
            </w:pPr>
          </w:p>
        </w:tc>
      </w:tr>
      <w:tr w14:paraId="4918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082" w:type="dxa"/>
            <w:tcBorders>
              <w:left w:val="single" w:color="000000" w:sz="10" w:space="0"/>
            </w:tcBorders>
            <w:vAlign w:val="top"/>
          </w:tcPr>
          <w:p w14:paraId="2BFD2207">
            <w:pPr>
              <w:rPr>
                <w:rFonts w:ascii="Arial"/>
                <w:sz w:val="21"/>
                <w:highlight w:val="none"/>
              </w:rPr>
            </w:pPr>
          </w:p>
        </w:tc>
        <w:tc>
          <w:tcPr>
            <w:tcW w:w="1344" w:type="dxa"/>
            <w:vAlign w:val="top"/>
          </w:tcPr>
          <w:p w14:paraId="1E351EC4">
            <w:pPr>
              <w:rPr>
                <w:rFonts w:ascii="Arial"/>
                <w:sz w:val="21"/>
                <w:highlight w:val="none"/>
              </w:rPr>
            </w:pPr>
          </w:p>
        </w:tc>
        <w:tc>
          <w:tcPr>
            <w:tcW w:w="1523" w:type="dxa"/>
            <w:vAlign w:val="top"/>
          </w:tcPr>
          <w:p w14:paraId="59DF82B9">
            <w:pPr>
              <w:rPr>
                <w:rFonts w:ascii="Arial"/>
                <w:sz w:val="21"/>
                <w:highlight w:val="none"/>
              </w:rPr>
            </w:pPr>
          </w:p>
        </w:tc>
        <w:tc>
          <w:tcPr>
            <w:tcW w:w="1307" w:type="dxa"/>
            <w:vAlign w:val="top"/>
          </w:tcPr>
          <w:p w14:paraId="12C52872">
            <w:pPr>
              <w:rPr>
                <w:rFonts w:ascii="Arial"/>
                <w:sz w:val="21"/>
                <w:highlight w:val="none"/>
              </w:rPr>
            </w:pPr>
          </w:p>
        </w:tc>
        <w:tc>
          <w:tcPr>
            <w:tcW w:w="1525" w:type="dxa"/>
            <w:vAlign w:val="top"/>
          </w:tcPr>
          <w:p w14:paraId="084E7D8B">
            <w:pPr>
              <w:rPr>
                <w:rFonts w:ascii="Arial"/>
                <w:sz w:val="21"/>
                <w:highlight w:val="none"/>
              </w:rPr>
            </w:pPr>
          </w:p>
        </w:tc>
        <w:tc>
          <w:tcPr>
            <w:tcW w:w="1781" w:type="dxa"/>
            <w:tcBorders>
              <w:right w:val="single" w:color="000000" w:sz="10" w:space="0"/>
            </w:tcBorders>
            <w:vAlign w:val="top"/>
          </w:tcPr>
          <w:p w14:paraId="5F336165">
            <w:pPr>
              <w:rPr>
                <w:rFonts w:ascii="Arial"/>
                <w:sz w:val="21"/>
                <w:highlight w:val="none"/>
              </w:rPr>
            </w:pPr>
          </w:p>
        </w:tc>
      </w:tr>
      <w:tr w14:paraId="7F60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6B73F7F6">
            <w:pPr>
              <w:rPr>
                <w:rFonts w:ascii="Arial"/>
                <w:sz w:val="21"/>
                <w:highlight w:val="none"/>
              </w:rPr>
            </w:pPr>
          </w:p>
        </w:tc>
        <w:tc>
          <w:tcPr>
            <w:tcW w:w="1344" w:type="dxa"/>
            <w:vAlign w:val="top"/>
          </w:tcPr>
          <w:p w14:paraId="7516C403">
            <w:pPr>
              <w:rPr>
                <w:rFonts w:ascii="Arial"/>
                <w:sz w:val="21"/>
                <w:highlight w:val="none"/>
              </w:rPr>
            </w:pPr>
          </w:p>
        </w:tc>
        <w:tc>
          <w:tcPr>
            <w:tcW w:w="1523" w:type="dxa"/>
            <w:vAlign w:val="top"/>
          </w:tcPr>
          <w:p w14:paraId="077DB837">
            <w:pPr>
              <w:rPr>
                <w:rFonts w:ascii="Arial"/>
                <w:sz w:val="21"/>
                <w:highlight w:val="none"/>
              </w:rPr>
            </w:pPr>
          </w:p>
        </w:tc>
        <w:tc>
          <w:tcPr>
            <w:tcW w:w="1307" w:type="dxa"/>
            <w:vAlign w:val="top"/>
          </w:tcPr>
          <w:p w14:paraId="0EBE6C19">
            <w:pPr>
              <w:rPr>
                <w:rFonts w:ascii="Arial"/>
                <w:sz w:val="21"/>
                <w:highlight w:val="none"/>
              </w:rPr>
            </w:pPr>
          </w:p>
        </w:tc>
        <w:tc>
          <w:tcPr>
            <w:tcW w:w="1525" w:type="dxa"/>
            <w:vAlign w:val="top"/>
          </w:tcPr>
          <w:p w14:paraId="25740279">
            <w:pPr>
              <w:rPr>
                <w:rFonts w:ascii="Arial"/>
                <w:sz w:val="21"/>
                <w:highlight w:val="none"/>
              </w:rPr>
            </w:pPr>
          </w:p>
        </w:tc>
        <w:tc>
          <w:tcPr>
            <w:tcW w:w="1781" w:type="dxa"/>
            <w:tcBorders>
              <w:right w:val="single" w:color="000000" w:sz="10" w:space="0"/>
            </w:tcBorders>
            <w:vAlign w:val="top"/>
          </w:tcPr>
          <w:p w14:paraId="23634EDE">
            <w:pPr>
              <w:rPr>
                <w:rFonts w:ascii="Arial"/>
                <w:sz w:val="21"/>
                <w:highlight w:val="none"/>
              </w:rPr>
            </w:pPr>
          </w:p>
        </w:tc>
      </w:tr>
      <w:tr w14:paraId="7DD00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5D409796">
            <w:pPr>
              <w:rPr>
                <w:rFonts w:ascii="Arial"/>
                <w:sz w:val="21"/>
                <w:highlight w:val="none"/>
              </w:rPr>
            </w:pPr>
          </w:p>
        </w:tc>
        <w:tc>
          <w:tcPr>
            <w:tcW w:w="1344" w:type="dxa"/>
            <w:vAlign w:val="top"/>
          </w:tcPr>
          <w:p w14:paraId="2980F1D3">
            <w:pPr>
              <w:rPr>
                <w:rFonts w:ascii="Arial"/>
                <w:sz w:val="21"/>
                <w:highlight w:val="none"/>
              </w:rPr>
            </w:pPr>
          </w:p>
        </w:tc>
        <w:tc>
          <w:tcPr>
            <w:tcW w:w="1523" w:type="dxa"/>
            <w:vAlign w:val="top"/>
          </w:tcPr>
          <w:p w14:paraId="0BBFC32F">
            <w:pPr>
              <w:rPr>
                <w:rFonts w:ascii="Arial"/>
                <w:sz w:val="21"/>
                <w:highlight w:val="none"/>
              </w:rPr>
            </w:pPr>
          </w:p>
        </w:tc>
        <w:tc>
          <w:tcPr>
            <w:tcW w:w="1307" w:type="dxa"/>
            <w:vAlign w:val="top"/>
          </w:tcPr>
          <w:p w14:paraId="27951A57">
            <w:pPr>
              <w:rPr>
                <w:rFonts w:ascii="Arial"/>
                <w:sz w:val="21"/>
                <w:highlight w:val="none"/>
              </w:rPr>
            </w:pPr>
          </w:p>
        </w:tc>
        <w:tc>
          <w:tcPr>
            <w:tcW w:w="1525" w:type="dxa"/>
            <w:vAlign w:val="top"/>
          </w:tcPr>
          <w:p w14:paraId="7B2DDBED">
            <w:pPr>
              <w:rPr>
                <w:rFonts w:ascii="Arial"/>
                <w:sz w:val="21"/>
                <w:highlight w:val="none"/>
              </w:rPr>
            </w:pPr>
          </w:p>
        </w:tc>
        <w:tc>
          <w:tcPr>
            <w:tcW w:w="1781" w:type="dxa"/>
            <w:tcBorders>
              <w:right w:val="single" w:color="000000" w:sz="10" w:space="0"/>
            </w:tcBorders>
            <w:vAlign w:val="top"/>
          </w:tcPr>
          <w:p w14:paraId="5B7DDD54">
            <w:pPr>
              <w:rPr>
                <w:rFonts w:ascii="Arial"/>
                <w:sz w:val="21"/>
                <w:highlight w:val="none"/>
              </w:rPr>
            </w:pPr>
          </w:p>
        </w:tc>
      </w:tr>
      <w:tr w14:paraId="3B29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20199F3A">
            <w:pPr>
              <w:rPr>
                <w:rFonts w:ascii="Arial"/>
                <w:sz w:val="21"/>
                <w:highlight w:val="none"/>
              </w:rPr>
            </w:pPr>
          </w:p>
        </w:tc>
        <w:tc>
          <w:tcPr>
            <w:tcW w:w="1344" w:type="dxa"/>
            <w:vAlign w:val="top"/>
          </w:tcPr>
          <w:p w14:paraId="3B708A4C">
            <w:pPr>
              <w:rPr>
                <w:rFonts w:ascii="Arial"/>
                <w:sz w:val="21"/>
                <w:highlight w:val="none"/>
              </w:rPr>
            </w:pPr>
          </w:p>
        </w:tc>
        <w:tc>
          <w:tcPr>
            <w:tcW w:w="1523" w:type="dxa"/>
            <w:vAlign w:val="top"/>
          </w:tcPr>
          <w:p w14:paraId="2B4FD4D2">
            <w:pPr>
              <w:rPr>
                <w:rFonts w:ascii="Arial"/>
                <w:sz w:val="21"/>
                <w:highlight w:val="none"/>
              </w:rPr>
            </w:pPr>
          </w:p>
        </w:tc>
        <w:tc>
          <w:tcPr>
            <w:tcW w:w="1307" w:type="dxa"/>
            <w:vAlign w:val="top"/>
          </w:tcPr>
          <w:p w14:paraId="119A26B2">
            <w:pPr>
              <w:rPr>
                <w:rFonts w:ascii="Arial"/>
                <w:sz w:val="21"/>
                <w:highlight w:val="none"/>
              </w:rPr>
            </w:pPr>
          </w:p>
        </w:tc>
        <w:tc>
          <w:tcPr>
            <w:tcW w:w="1525" w:type="dxa"/>
            <w:vAlign w:val="top"/>
          </w:tcPr>
          <w:p w14:paraId="4874F31F">
            <w:pPr>
              <w:rPr>
                <w:rFonts w:ascii="Arial"/>
                <w:sz w:val="21"/>
                <w:highlight w:val="none"/>
              </w:rPr>
            </w:pPr>
          </w:p>
        </w:tc>
        <w:tc>
          <w:tcPr>
            <w:tcW w:w="1781" w:type="dxa"/>
            <w:tcBorders>
              <w:right w:val="single" w:color="000000" w:sz="10" w:space="0"/>
            </w:tcBorders>
            <w:vAlign w:val="top"/>
          </w:tcPr>
          <w:p w14:paraId="69897B7C">
            <w:pPr>
              <w:rPr>
                <w:rFonts w:ascii="Arial"/>
                <w:sz w:val="21"/>
                <w:highlight w:val="none"/>
              </w:rPr>
            </w:pPr>
          </w:p>
        </w:tc>
      </w:tr>
      <w:tr w14:paraId="34E9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0C2A6DE7">
            <w:pPr>
              <w:rPr>
                <w:rFonts w:ascii="Arial"/>
                <w:sz w:val="21"/>
                <w:highlight w:val="none"/>
              </w:rPr>
            </w:pPr>
          </w:p>
        </w:tc>
        <w:tc>
          <w:tcPr>
            <w:tcW w:w="1344" w:type="dxa"/>
            <w:vAlign w:val="top"/>
          </w:tcPr>
          <w:p w14:paraId="33C032F1">
            <w:pPr>
              <w:rPr>
                <w:rFonts w:ascii="Arial"/>
                <w:sz w:val="21"/>
                <w:highlight w:val="none"/>
              </w:rPr>
            </w:pPr>
          </w:p>
        </w:tc>
        <w:tc>
          <w:tcPr>
            <w:tcW w:w="1523" w:type="dxa"/>
            <w:vAlign w:val="top"/>
          </w:tcPr>
          <w:p w14:paraId="7D51CCB2">
            <w:pPr>
              <w:rPr>
                <w:rFonts w:ascii="Arial"/>
                <w:sz w:val="21"/>
                <w:highlight w:val="none"/>
              </w:rPr>
            </w:pPr>
          </w:p>
        </w:tc>
        <w:tc>
          <w:tcPr>
            <w:tcW w:w="1307" w:type="dxa"/>
            <w:vAlign w:val="top"/>
          </w:tcPr>
          <w:p w14:paraId="145B47F4">
            <w:pPr>
              <w:rPr>
                <w:rFonts w:ascii="Arial"/>
                <w:sz w:val="21"/>
                <w:highlight w:val="none"/>
              </w:rPr>
            </w:pPr>
          </w:p>
        </w:tc>
        <w:tc>
          <w:tcPr>
            <w:tcW w:w="1525" w:type="dxa"/>
            <w:vAlign w:val="top"/>
          </w:tcPr>
          <w:p w14:paraId="3706F68E">
            <w:pPr>
              <w:rPr>
                <w:rFonts w:ascii="Arial"/>
                <w:sz w:val="21"/>
                <w:highlight w:val="none"/>
              </w:rPr>
            </w:pPr>
          </w:p>
        </w:tc>
        <w:tc>
          <w:tcPr>
            <w:tcW w:w="1781" w:type="dxa"/>
            <w:tcBorders>
              <w:right w:val="single" w:color="000000" w:sz="10" w:space="0"/>
            </w:tcBorders>
            <w:vAlign w:val="top"/>
          </w:tcPr>
          <w:p w14:paraId="3E8EE6A5">
            <w:pPr>
              <w:rPr>
                <w:rFonts w:ascii="Arial"/>
                <w:sz w:val="21"/>
                <w:highlight w:val="none"/>
              </w:rPr>
            </w:pPr>
          </w:p>
        </w:tc>
      </w:tr>
      <w:tr w14:paraId="4391E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82" w:type="dxa"/>
            <w:tcBorders>
              <w:left w:val="single" w:color="000000" w:sz="10" w:space="0"/>
            </w:tcBorders>
            <w:vAlign w:val="top"/>
          </w:tcPr>
          <w:p w14:paraId="732DAF7A">
            <w:pPr>
              <w:rPr>
                <w:rFonts w:ascii="Arial"/>
                <w:sz w:val="21"/>
                <w:highlight w:val="none"/>
              </w:rPr>
            </w:pPr>
          </w:p>
        </w:tc>
        <w:tc>
          <w:tcPr>
            <w:tcW w:w="1344" w:type="dxa"/>
            <w:vAlign w:val="top"/>
          </w:tcPr>
          <w:p w14:paraId="5AE77C69">
            <w:pPr>
              <w:rPr>
                <w:rFonts w:ascii="Arial"/>
                <w:sz w:val="21"/>
                <w:highlight w:val="none"/>
              </w:rPr>
            </w:pPr>
          </w:p>
        </w:tc>
        <w:tc>
          <w:tcPr>
            <w:tcW w:w="1523" w:type="dxa"/>
            <w:vAlign w:val="top"/>
          </w:tcPr>
          <w:p w14:paraId="3B6525BC">
            <w:pPr>
              <w:rPr>
                <w:rFonts w:ascii="Arial"/>
                <w:sz w:val="21"/>
                <w:highlight w:val="none"/>
              </w:rPr>
            </w:pPr>
          </w:p>
        </w:tc>
        <w:tc>
          <w:tcPr>
            <w:tcW w:w="1307" w:type="dxa"/>
            <w:vAlign w:val="top"/>
          </w:tcPr>
          <w:p w14:paraId="4A1CBC5B">
            <w:pPr>
              <w:rPr>
                <w:rFonts w:ascii="Arial"/>
                <w:sz w:val="21"/>
                <w:highlight w:val="none"/>
              </w:rPr>
            </w:pPr>
          </w:p>
        </w:tc>
        <w:tc>
          <w:tcPr>
            <w:tcW w:w="1525" w:type="dxa"/>
            <w:vAlign w:val="top"/>
          </w:tcPr>
          <w:p w14:paraId="7ACEA8D2">
            <w:pPr>
              <w:rPr>
                <w:rFonts w:ascii="Arial"/>
                <w:sz w:val="21"/>
                <w:highlight w:val="none"/>
              </w:rPr>
            </w:pPr>
          </w:p>
        </w:tc>
        <w:tc>
          <w:tcPr>
            <w:tcW w:w="1781" w:type="dxa"/>
            <w:tcBorders>
              <w:right w:val="single" w:color="000000" w:sz="10" w:space="0"/>
            </w:tcBorders>
            <w:vAlign w:val="top"/>
          </w:tcPr>
          <w:p w14:paraId="0C63F5AC">
            <w:pPr>
              <w:rPr>
                <w:rFonts w:ascii="Arial"/>
                <w:sz w:val="21"/>
                <w:highlight w:val="none"/>
              </w:rPr>
            </w:pPr>
          </w:p>
        </w:tc>
      </w:tr>
      <w:tr w14:paraId="537F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082" w:type="dxa"/>
            <w:tcBorders>
              <w:left w:val="single" w:color="000000" w:sz="10" w:space="0"/>
            </w:tcBorders>
            <w:vAlign w:val="top"/>
          </w:tcPr>
          <w:p w14:paraId="05E9B646">
            <w:pPr>
              <w:rPr>
                <w:rFonts w:ascii="Arial"/>
                <w:sz w:val="21"/>
                <w:highlight w:val="none"/>
              </w:rPr>
            </w:pPr>
          </w:p>
        </w:tc>
        <w:tc>
          <w:tcPr>
            <w:tcW w:w="1344" w:type="dxa"/>
            <w:vAlign w:val="top"/>
          </w:tcPr>
          <w:p w14:paraId="52690E92">
            <w:pPr>
              <w:rPr>
                <w:rFonts w:ascii="Arial"/>
                <w:sz w:val="21"/>
                <w:highlight w:val="none"/>
              </w:rPr>
            </w:pPr>
          </w:p>
        </w:tc>
        <w:tc>
          <w:tcPr>
            <w:tcW w:w="1523" w:type="dxa"/>
            <w:vAlign w:val="top"/>
          </w:tcPr>
          <w:p w14:paraId="26F4C6D3">
            <w:pPr>
              <w:rPr>
                <w:rFonts w:ascii="Arial"/>
                <w:sz w:val="21"/>
                <w:highlight w:val="none"/>
              </w:rPr>
            </w:pPr>
          </w:p>
        </w:tc>
        <w:tc>
          <w:tcPr>
            <w:tcW w:w="1307" w:type="dxa"/>
            <w:vAlign w:val="top"/>
          </w:tcPr>
          <w:p w14:paraId="38FD3C8C">
            <w:pPr>
              <w:rPr>
                <w:rFonts w:ascii="Arial"/>
                <w:sz w:val="21"/>
                <w:highlight w:val="none"/>
              </w:rPr>
            </w:pPr>
          </w:p>
        </w:tc>
        <w:tc>
          <w:tcPr>
            <w:tcW w:w="1525" w:type="dxa"/>
            <w:vAlign w:val="top"/>
          </w:tcPr>
          <w:p w14:paraId="12A07FD0">
            <w:pPr>
              <w:rPr>
                <w:rFonts w:ascii="Arial"/>
                <w:sz w:val="21"/>
                <w:highlight w:val="none"/>
              </w:rPr>
            </w:pPr>
          </w:p>
        </w:tc>
        <w:tc>
          <w:tcPr>
            <w:tcW w:w="1781" w:type="dxa"/>
            <w:tcBorders>
              <w:right w:val="single" w:color="000000" w:sz="10" w:space="0"/>
            </w:tcBorders>
            <w:vAlign w:val="top"/>
          </w:tcPr>
          <w:p w14:paraId="2F5D3A3E">
            <w:pPr>
              <w:rPr>
                <w:rFonts w:ascii="Arial"/>
                <w:sz w:val="21"/>
                <w:highlight w:val="none"/>
              </w:rPr>
            </w:pPr>
          </w:p>
        </w:tc>
      </w:tr>
      <w:tr w14:paraId="0BA2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82" w:type="dxa"/>
            <w:tcBorders>
              <w:left w:val="single" w:color="000000" w:sz="10" w:space="0"/>
              <w:bottom w:val="single" w:color="000000" w:sz="10" w:space="0"/>
            </w:tcBorders>
            <w:vAlign w:val="top"/>
          </w:tcPr>
          <w:p w14:paraId="00E86B31">
            <w:pPr>
              <w:rPr>
                <w:rFonts w:ascii="Arial"/>
                <w:sz w:val="21"/>
                <w:highlight w:val="none"/>
              </w:rPr>
            </w:pPr>
          </w:p>
        </w:tc>
        <w:tc>
          <w:tcPr>
            <w:tcW w:w="1344" w:type="dxa"/>
            <w:tcBorders>
              <w:bottom w:val="single" w:color="000000" w:sz="10" w:space="0"/>
            </w:tcBorders>
            <w:vAlign w:val="top"/>
          </w:tcPr>
          <w:p w14:paraId="416BDB34">
            <w:pPr>
              <w:rPr>
                <w:rFonts w:ascii="Arial"/>
                <w:sz w:val="21"/>
                <w:highlight w:val="none"/>
              </w:rPr>
            </w:pPr>
          </w:p>
        </w:tc>
        <w:tc>
          <w:tcPr>
            <w:tcW w:w="1523" w:type="dxa"/>
            <w:tcBorders>
              <w:bottom w:val="single" w:color="000000" w:sz="10" w:space="0"/>
            </w:tcBorders>
            <w:vAlign w:val="top"/>
          </w:tcPr>
          <w:p w14:paraId="0A3FD8D2">
            <w:pPr>
              <w:rPr>
                <w:rFonts w:ascii="Arial"/>
                <w:sz w:val="21"/>
                <w:highlight w:val="none"/>
              </w:rPr>
            </w:pPr>
          </w:p>
        </w:tc>
        <w:tc>
          <w:tcPr>
            <w:tcW w:w="1307" w:type="dxa"/>
            <w:tcBorders>
              <w:bottom w:val="single" w:color="000000" w:sz="10" w:space="0"/>
            </w:tcBorders>
            <w:vAlign w:val="top"/>
          </w:tcPr>
          <w:p w14:paraId="12A8C461">
            <w:pPr>
              <w:rPr>
                <w:rFonts w:ascii="Arial"/>
                <w:sz w:val="21"/>
                <w:highlight w:val="none"/>
              </w:rPr>
            </w:pPr>
          </w:p>
        </w:tc>
        <w:tc>
          <w:tcPr>
            <w:tcW w:w="1525" w:type="dxa"/>
            <w:tcBorders>
              <w:bottom w:val="single" w:color="000000" w:sz="10" w:space="0"/>
            </w:tcBorders>
            <w:vAlign w:val="top"/>
          </w:tcPr>
          <w:p w14:paraId="2C342C17">
            <w:pPr>
              <w:rPr>
                <w:rFonts w:ascii="Arial"/>
                <w:sz w:val="21"/>
                <w:highlight w:val="none"/>
              </w:rPr>
            </w:pPr>
          </w:p>
        </w:tc>
        <w:tc>
          <w:tcPr>
            <w:tcW w:w="1781" w:type="dxa"/>
            <w:tcBorders>
              <w:bottom w:val="single" w:color="000000" w:sz="10" w:space="0"/>
              <w:right w:val="single" w:color="000000" w:sz="10" w:space="0"/>
            </w:tcBorders>
            <w:vAlign w:val="top"/>
          </w:tcPr>
          <w:p w14:paraId="5F543763">
            <w:pPr>
              <w:rPr>
                <w:rFonts w:ascii="Arial"/>
                <w:sz w:val="21"/>
                <w:highlight w:val="none"/>
              </w:rPr>
            </w:pPr>
          </w:p>
        </w:tc>
      </w:tr>
    </w:tbl>
    <w:p w14:paraId="26AF3D58">
      <w:pPr>
        <w:pStyle w:val="3"/>
        <w:rPr>
          <w:highlight w:val="none"/>
        </w:rPr>
      </w:pPr>
    </w:p>
    <w:p w14:paraId="6FFECCCC">
      <w:pPr>
        <w:rPr>
          <w:highlight w:val="none"/>
        </w:rPr>
        <w:sectPr>
          <w:footerReference r:id="rId62" w:type="default"/>
          <w:pgSz w:w="11909" w:h="16841"/>
          <w:pgMar w:top="1431" w:right="1125" w:bottom="1045" w:left="1108" w:header="0" w:footer="814" w:gutter="0"/>
          <w:cols w:space="720" w:num="1"/>
        </w:sectPr>
      </w:pPr>
    </w:p>
    <w:p w14:paraId="05A2B8E8">
      <w:pPr>
        <w:spacing w:before="68" w:line="219" w:lineRule="auto"/>
        <w:ind w:left="299"/>
        <w:rPr>
          <w:rFonts w:ascii="宋体" w:hAnsi="宋体" w:eastAsia="宋体" w:cs="宋体"/>
          <w:sz w:val="24"/>
          <w:szCs w:val="24"/>
          <w:highlight w:val="none"/>
        </w:rPr>
      </w:pPr>
      <w:r>
        <w:rPr>
          <w:rFonts w:ascii="宋体" w:hAnsi="宋体" w:eastAsia="宋体" w:cs="宋体"/>
          <w:spacing w:val="-5"/>
          <w:sz w:val="24"/>
          <w:szCs w:val="24"/>
          <w:highlight w:val="none"/>
        </w:rPr>
        <w:t>附件5：</w:t>
      </w:r>
    </w:p>
    <w:p w14:paraId="127065AC">
      <w:pPr>
        <w:spacing w:before="288" w:line="219" w:lineRule="auto"/>
        <w:ind w:left="3019"/>
        <w:rPr>
          <w:rFonts w:ascii="宋体" w:hAnsi="宋体" w:eastAsia="宋体" w:cs="宋体"/>
          <w:sz w:val="24"/>
          <w:szCs w:val="24"/>
          <w:highlight w:val="none"/>
        </w:rPr>
      </w:pPr>
      <w:r>
        <w:rPr>
          <w:rFonts w:ascii="宋体" w:hAnsi="宋体" w:eastAsia="宋体" w:cs="宋体"/>
          <w:spacing w:val="-3"/>
          <w:sz w:val="24"/>
          <w:szCs w:val="24"/>
          <w:highlight w:val="none"/>
        </w:rPr>
        <w:t>承包人用于本工程施工的机械设备表</w:t>
      </w:r>
    </w:p>
    <w:p w14:paraId="6888232D">
      <w:pPr>
        <w:spacing w:line="130" w:lineRule="exact"/>
        <w:rPr>
          <w:highlight w:val="none"/>
        </w:rPr>
      </w:pPr>
    </w:p>
    <w:tbl>
      <w:tblPr>
        <w:tblStyle w:val="24"/>
        <w:tblW w:w="981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1413"/>
        <w:gridCol w:w="845"/>
        <w:gridCol w:w="1051"/>
        <w:gridCol w:w="876"/>
        <w:gridCol w:w="1013"/>
        <w:gridCol w:w="1473"/>
        <w:gridCol w:w="1015"/>
        <w:gridCol w:w="944"/>
      </w:tblGrid>
      <w:tr w14:paraId="2BC1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185" w:type="dxa"/>
            <w:tcBorders>
              <w:top w:val="single" w:color="000000" w:sz="10" w:space="0"/>
              <w:left w:val="single" w:color="000000" w:sz="10" w:space="0"/>
            </w:tcBorders>
            <w:vAlign w:val="top"/>
          </w:tcPr>
          <w:p w14:paraId="2FCD34D1">
            <w:pPr>
              <w:spacing w:line="303" w:lineRule="auto"/>
              <w:rPr>
                <w:rFonts w:ascii="Arial"/>
                <w:sz w:val="21"/>
                <w:highlight w:val="none"/>
              </w:rPr>
            </w:pPr>
          </w:p>
          <w:p w14:paraId="27AD4AA8">
            <w:pPr>
              <w:spacing w:before="78" w:line="221" w:lineRule="auto"/>
              <w:ind w:left="348"/>
              <w:rPr>
                <w:rFonts w:ascii="宋体" w:hAnsi="宋体" w:eastAsia="宋体" w:cs="宋体"/>
                <w:sz w:val="24"/>
                <w:szCs w:val="24"/>
                <w:highlight w:val="none"/>
              </w:rPr>
            </w:pPr>
            <w:r>
              <w:rPr>
                <w:rFonts w:ascii="宋体" w:hAnsi="宋体" w:eastAsia="宋体" w:cs="宋体"/>
                <w:spacing w:val="-4"/>
                <w:sz w:val="24"/>
                <w:szCs w:val="24"/>
                <w:highlight w:val="none"/>
              </w:rPr>
              <w:t>序号</w:t>
            </w:r>
          </w:p>
        </w:tc>
        <w:tc>
          <w:tcPr>
            <w:tcW w:w="1413" w:type="dxa"/>
            <w:tcBorders>
              <w:top w:val="single" w:color="000000" w:sz="10" w:space="0"/>
            </w:tcBorders>
            <w:vAlign w:val="top"/>
          </w:tcPr>
          <w:p w14:paraId="47F70EE2">
            <w:pPr>
              <w:spacing w:before="149" w:line="283" w:lineRule="auto"/>
              <w:ind w:left="348" w:right="248" w:hanging="126"/>
              <w:rPr>
                <w:rFonts w:ascii="宋体" w:hAnsi="宋体" w:eastAsia="宋体" w:cs="宋体"/>
                <w:sz w:val="24"/>
                <w:szCs w:val="24"/>
                <w:highlight w:val="none"/>
              </w:rPr>
            </w:pPr>
            <w:r>
              <w:rPr>
                <w:rFonts w:ascii="宋体" w:hAnsi="宋体" w:eastAsia="宋体" w:cs="宋体"/>
                <w:spacing w:val="-6"/>
                <w:sz w:val="24"/>
                <w:szCs w:val="24"/>
                <w:highlight w:val="none"/>
              </w:rPr>
              <w:t>机械或设</w:t>
            </w:r>
            <w:r>
              <w:rPr>
                <w:rFonts w:ascii="宋体" w:hAnsi="宋体" w:eastAsia="宋体" w:cs="宋体"/>
                <w:spacing w:val="-5"/>
                <w:sz w:val="24"/>
                <w:szCs w:val="24"/>
                <w:highlight w:val="none"/>
              </w:rPr>
              <w:t>备名称</w:t>
            </w:r>
          </w:p>
        </w:tc>
        <w:tc>
          <w:tcPr>
            <w:tcW w:w="845" w:type="dxa"/>
            <w:tcBorders>
              <w:top w:val="single" w:color="000000" w:sz="10" w:space="0"/>
            </w:tcBorders>
            <w:vAlign w:val="top"/>
          </w:tcPr>
          <w:p w14:paraId="48CA997A">
            <w:pPr>
              <w:spacing w:before="147" w:line="220" w:lineRule="auto"/>
              <w:ind w:left="189"/>
              <w:rPr>
                <w:rFonts w:ascii="宋体" w:hAnsi="宋体" w:eastAsia="宋体" w:cs="宋体"/>
                <w:sz w:val="24"/>
                <w:szCs w:val="24"/>
                <w:highlight w:val="none"/>
              </w:rPr>
            </w:pPr>
            <w:r>
              <w:rPr>
                <w:rFonts w:ascii="宋体" w:hAnsi="宋体" w:eastAsia="宋体" w:cs="宋体"/>
                <w:spacing w:val="-4"/>
                <w:sz w:val="24"/>
                <w:szCs w:val="24"/>
                <w:highlight w:val="none"/>
              </w:rPr>
              <w:t>规格</w:t>
            </w:r>
          </w:p>
          <w:p w14:paraId="01BD7A66">
            <w:pPr>
              <w:spacing w:before="173" w:line="214" w:lineRule="auto"/>
              <w:ind w:left="203"/>
              <w:rPr>
                <w:rFonts w:ascii="宋体" w:hAnsi="宋体" w:eastAsia="宋体" w:cs="宋体"/>
                <w:sz w:val="24"/>
                <w:szCs w:val="24"/>
                <w:highlight w:val="none"/>
              </w:rPr>
            </w:pPr>
            <w:r>
              <w:rPr>
                <w:rFonts w:ascii="宋体" w:hAnsi="宋体" w:eastAsia="宋体" w:cs="宋体"/>
                <w:spacing w:val="-7"/>
                <w:sz w:val="24"/>
                <w:szCs w:val="24"/>
                <w:highlight w:val="none"/>
              </w:rPr>
              <w:t>型号</w:t>
            </w:r>
          </w:p>
        </w:tc>
        <w:tc>
          <w:tcPr>
            <w:tcW w:w="1051" w:type="dxa"/>
            <w:tcBorders>
              <w:top w:val="single" w:color="000000" w:sz="10" w:space="0"/>
            </w:tcBorders>
            <w:vAlign w:val="top"/>
          </w:tcPr>
          <w:p w14:paraId="0085617C">
            <w:pPr>
              <w:spacing w:line="302" w:lineRule="auto"/>
              <w:rPr>
                <w:rFonts w:ascii="Arial"/>
                <w:sz w:val="21"/>
                <w:highlight w:val="none"/>
              </w:rPr>
            </w:pPr>
          </w:p>
          <w:p w14:paraId="37B43A4C">
            <w:pPr>
              <w:spacing w:before="78" w:line="220" w:lineRule="auto"/>
              <w:ind w:left="298"/>
              <w:rPr>
                <w:rFonts w:ascii="宋体" w:hAnsi="宋体" w:eastAsia="宋体" w:cs="宋体"/>
                <w:sz w:val="24"/>
                <w:szCs w:val="24"/>
                <w:highlight w:val="none"/>
              </w:rPr>
            </w:pPr>
            <w:r>
              <w:rPr>
                <w:rFonts w:ascii="宋体" w:hAnsi="宋体" w:eastAsia="宋体" w:cs="宋体"/>
                <w:spacing w:val="-5"/>
                <w:sz w:val="24"/>
                <w:szCs w:val="24"/>
                <w:highlight w:val="none"/>
              </w:rPr>
              <w:t>数量</w:t>
            </w:r>
          </w:p>
        </w:tc>
        <w:tc>
          <w:tcPr>
            <w:tcW w:w="876" w:type="dxa"/>
            <w:tcBorders>
              <w:top w:val="single" w:color="000000" w:sz="10" w:space="0"/>
            </w:tcBorders>
            <w:vAlign w:val="top"/>
          </w:tcPr>
          <w:p w14:paraId="59C66219">
            <w:pPr>
              <w:spacing w:line="302" w:lineRule="auto"/>
              <w:rPr>
                <w:rFonts w:ascii="Arial"/>
                <w:sz w:val="21"/>
                <w:highlight w:val="none"/>
              </w:rPr>
            </w:pPr>
          </w:p>
          <w:p w14:paraId="268B96B7">
            <w:pPr>
              <w:spacing w:before="78" w:line="220" w:lineRule="auto"/>
              <w:ind w:left="212"/>
              <w:rPr>
                <w:rFonts w:ascii="宋体" w:hAnsi="宋体" w:eastAsia="宋体" w:cs="宋体"/>
                <w:sz w:val="24"/>
                <w:szCs w:val="24"/>
                <w:highlight w:val="none"/>
              </w:rPr>
            </w:pPr>
            <w:r>
              <w:rPr>
                <w:rFonts w:ascii="宋体" w:hAnsi="宋体" w:eastAsia="宋体" w:cs="宋体"/>
                <w:spacing w:val="-4"/>
                <w:sz w:val="24"/>
                <w:szCs w:val="24"/>
                <w:highlight w:val="none"/>
              </w:rPr>
              <w:t>产地</w:t>
            </w:r>
          </w:p>
        </w:tc>
        <w:tc>
          <w:tcPr>
            <w:tcW w:w="1013" w:type="dxa"/>
            <w:tcBorders>
              <w:top w:val="single" w:color="000000" w:sz="10" w:space="0"/>
            </w:tcBorders>
            <w:vAlign w:val="top"/>
          </w:tcPr>
          <w:p w14:paraId="1A3844E3">
            <w:pPr>
              <w:spacing w:before="149" w:line="283" w:lineRule="auto"/>
              <w:ind w:left="406" w:right="137" w:hanging="236"/>
              <w:rPr>
                <w:rFonts w:ascii="宋体" w:hAnsi="宋体" w:eastAsia="宋体" w:cs="宋体"/>
                <w:sz w:val="24"/>
                <w:szCs w:val="24"/>
                <w:highlight w:val="none"/>
              </w:rPr>
            </w:pPr>
            <w:r>
              <w:rPr>
                <w:rFonts w:ascii="宋体" w:hAnsi="宋体" w:eastAsia="宋体" w:cs="宋体"/>
                <w:spacing w:val="-7"/>
                <w:sz w:val="24"/>
                <w:szCs w:val="24"/>
                <w:highlight w:val="none"/>
              </w:rPr>
              <w:t>制造年</w:t>
            </w:r>
            <w:r>
              <w:rPr>
                <w:rFonts w:ascii="宋体" w:hAnsi="宋体" w:eastAsia="宋体" w:cs="宋体"/>
                <w:sz w:val="24"/>
                <w:szCs w:val="24"/>
                <w:highlight w:val="none"/>
              </w:rPr>
              <w:t>份</w:t>
            </w:r>
          </w:p>
        </w:tc>
        <w:tc>
          <w:tcPr>
            <w:tcW w:w="1473" w:type="dxa"/>
            <w:tcBorders>
              <w:top w:val="single" w:color="000000" w:sz="10" w:space="0"/>
            </w:tcBorders>
            <w:vAlign w:val="top"/>
          </w:tcPr>
          <w:p w14:paraId="630F6175">
            <w:pPr>
              <w:spacing w:before="161" w:line="220" w:lineRule="auto"/>
              <w:ind w:left="284"/>
              <w:rPr>
                <w:rFonts w:ascii="宋体" w:hAnsi="宋体" w:eastAsia="宋体" w:cs="宋体"/>
                <w:sz w:val="24"/>
                <w:szCs w:val="24"/>
                <w:highlight w:val="none"/>
              </w:rPr>
            </w:pPr>
            <w:r>
              <w:rPr>
                <w:rFonts w:ascii="宋体" w:hAnsi="宋体" w:eastAsia="宋体" w:cs="宋体"/>
                <w:spacing w:val="-5"/>
                <w:sz w:val="24"/>
                <w:szCs w:val="24"/>
                <w:highlight w:val="none"/>
              </w:rPr>
              <w:t>额定功率</w:t>
            </w:r>
          </w:p>
          <w:p w14:paraId="095364FD">
            <w:pPr>
              <w:spacing w:before="156" w:line="216" w:lineRule="auto"/>
              <w:ind w:left="607"/>
              <w:rPr>
                <w:rFonts w:ascii="宋体" w:hAnsi="宋体" w:eastAsia="宋体" w:cs="宋体"/>
                <w:sz w:val="24"/>
                <w:szCs w:val="24"/>
                <w:highlight w:val="none"/>
              </w:rPr>
            </w:pPr>
            <w:r>
              <w:rPr>
                <w:rFonts w:ascii="宋体" w:hAnsi="宋体" w:eastAsia="宋体" w:cs="宋体"/>
                <w:spacing w:val="-16"/>
                <w:sz w:val="24"/>
                <w:szCs w:val="24"/>
                <w:highlight w:val="none"/>
              </w:rPr>
              <w:t>(kW)</w:t>
            </w:r>
          </w:p>
        </w:tc>
        <w:tc>
          <w:tcPr>
            <w:tcW w:w="1015" w:type="dxa"/>
            <w:tcBorders>
              <w:top w:val="single" w:color="000000" w:sz="10" w:space="0"/>
            </w:tcBorders>
            <w:vAlign w:val="top"/>
          </w:tcPr>
          <w:p w14:paraId="089DEA3D">
            <w:pPr>
              <w:spacing w:before="149" w:line="283" w:lineRule="auto"/>
              <w:ind w:left="428" w:right="126" w:hanging="244"/>
              <w:rPr>
                <w:rFonts w:ascii="宋体" w:hAnsi="宋体" w:eastAsia="宋体" w:cs="宋体"/>
                <w:sz w:val="24"/>
                <w:szCs w:val="24"/>
                <w:highlight w:val="none"/>
              </w:rPr>
            </w:pPr>
            <w:r>
              <w:rPr>
                <w:rFonts w:ascii="宋体" w:hAnsi="宋体" w:eastAsia="宋体" w:cs="宋体"/>
                <w:spacing w:val="-7"/>
                <w:sz w:val="24"/>
                <w:szCs w:val="24"/>
                <w:highlight w:val="none"/>
              </w:rPr>
              <w:t>生产能</w:t>
            </w:r>
            <w:r>
              <w:rPr>
                <w:rFonts w:ascii="宋体" w:hAnsi="宋体" w:eastAsia="宋体" w:cs="宋体"/>
                <w:sz w:val="24"/>
                <w:szCs w:val="24"/>
                <w:highlight w:val="none"/>
              </w:rPr>
              <w:t>力</w:t>
            </w:r>
          </w:p>
        </w:tc>
        <w:tc>
          <w:tcPr>
            <w:tcW w:w="944" w:type="dxa"/>
            <w:tcBorders>
              <w:top w:val="single" w:color="000000" w:sz="10" w:space="0"/>
              <w:right w:val="single" w:color="000000" w:sz="10" w:space="0"/>
            </w:tcBorders>
            <w:vAlign w:val="top"/>
          </w:tcPr>
          <w:p w14:paraId="6F38E13D">
            <w:pPr>
              <w:spacing w:line="303" w:lineRule="auto"/>
              <w:rPr>
                <w:rFonts w:ascii="Arial"/>
                <w:sz w:val="21"/>
                <w:highlight w:val="none"/>
              </w:rPr>
            </w:pPr>
          </w:p>
          <w:p w14:paraId="4B1FA986">
            <w:pPr>
              <w:spacing w:before="78" w:line="221" w:lineRule="auto"/>
              <w:ind w:left="265"/>
              <w:rPr>
                <w:rFonts w:ascii="宋体" w:hAnsi="宋体" w:eastAsia="宋体" w:cs="宋体"/>
                <w:sz w:val="24"/>
                <w:szCs w:val="24"/>
                <w:highlight w:val="none"/>
              </w:rPr>
            </w:pPr>
            <w:r>
              <w:rPr>
                <w:rFonts w:ascii="宋体" w:hAnsi="宋体" w:eastAsia="宋体" w:cs="宋体"/>
                <w:spacing w:val="-6"/>
                <w:sz w:val="24"/>
                <w:szCs w:val="24"/>
                <w:highlight w:val="none"/>
              </w:rPr>
              <w:t>备注</w:t>
            </w:r>
          </w:p>
        </w:tc>
      </w:tr>
      <w:tr w14:paraId="42D4D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85" w:type="dxa"/>
            <w:tcBorders>
              <w:left w:val="single" w:color="000000" w:sz="10" w:space="0"/>
            </w:tcBorders>
            <w:vAlign w:val="top"/>
          </w:tcPr>
          <w:p w14:paraId="0427E59C">
            <w:pPr>
              <w:rPr>
                <w:rFonts w:ascii="Arial"/>
                <w:sz w:val="21"/>
                <w:highlight w:val="none"/>
              </w:rPr>
            </w:pPr>
          </w:p>
        </w:tc>
        <w:tc>
          <w:tcPr>
            <w:tcW w:w="1413" w:type="dxa"/>
            <w:vAlign w:val="top"/>
          </w:tcPr>
          <w:p w14:paraId="2DFD1B2B">
            <w:pPr>
              <w:rPr>
                <w:rFonts w:ascii="Arial"/>
                <w:sz w:val="21"/>
                <w:highlight w:val="none"/>
              </w:rPr>
            </w:pPr>
          </w:p>
        </w:tc>
        <w:tc>
          <w:tcPr>
            <w:tcW w:w="845" w:type="dxa"/>
            <w:vAlign w:val="top"/>
          </w:tcPr>
          <w:p w14:paraId="5C749DA0">
            <w:pPr>
              <w:rPr>
                <w:rFonts w:ascii="Arial"/>
                <w:sz w:val="21"/>
                <w:highlight w:val="none"/>
              </w:rPr>
            </w:pPr>
          </w:p>
        </w:tc>
        <w:tc>
          <w:tcPr>
            <w:tcW w:w="1051" w:type="dxa"/>
            <w:vAlign w:val="top"/>
          </w:tcPr>
          <w:p w14:paraId="345232D8">
            <w:pPr>
              <w:rPr>
                <w:rFonts w:ascii="Arial"/>
                <w:sz w:val="21"/>
                <w:highlight w:val="none"/>
              </w:rPr>
            </w:pPr>
          </w:p>
        </w:tc>
        <w:tc>
          <w:tcPr>
            <w:tcW w:w="876" w:type="dxa"/>
            <w:vAlign w:val="top"/>
          </w:tcPr>
          <w:p w14:paraId="3681E563">
            <w:pPr>
              <w:rPr>
                <w:rFonts w:ascii="Arial"/>
                <w:sz w:val="21"/>
                <w:highlight w:val="none"/>
              </w:rPr>
            </w:pPr>
          </w:p>
        </w:tc>
        <w:tc>
          <w:tcPr>
            <w:tcW w:w="1013" w:type="dxa"/>
            <w:vAlign w:val="top"/>
          </w:tcPr>
          <w:p w14:paraId="3A3627B4">
            <w:pPr>
              <w:rPr>
                <w:rFonts w:ascii="Arial"/>
                <w:sz w:val="21"/>
                <w:highlight w:val="none"/>
              </w:rPr>
            </w:pPr>
          </w:p>
        </w:tc>
        <w:tc>
          <w:tcPr>
            <w:tcW w:w="1473" w:type="dxa"/>
            <w:vAlign w:val="top"/>
          </w:tcPr>
          <w:p w14:paraId="2F5F1FD4">
            <w:pPr>
              <w:rPr>
                <w:rFonts w:ascii="Arial"/>
                <w:sz w:val="21"/>
                <w:highlight w:val="none"/>
              </w:rPr>
            </w:pPr>
          </w:p>
        </w:tc>
        <w:tc>
          <w:tcPr>
            <w:tcW w:w="1015" w:type="dxa"/>
            <w:vAlign w:val="top"/>
          </w:tcPr>
          <w:p w14:paraId="2C07D2AB">
            <w:pPr>
              <w:rPr>
                <w:rFonts w:ascii="Arial"/>
                <w:sz w:val="21"/>
                <w:highlight w:val="none"/>
              </w:rPr>
            </w:pPr>
          </w:p>
        </w:tc>
        <w:tc>
          <w:tcPr>
            <w:tcW w:w="944" w:type="dxa"/>
            <w:tcBorders>
              <w:right w:val="single" w:color="000000" w:sz="10" w:space="0"/>
            </w:tcBorders>
            <w:vAlign w:val="top"/>
          </w:tcPr>
          <w:p w14:paraId="70AEF605">
            <w:pPr>
              <w:rPr>
                <w:rFonts w:ascii="Arial"/>
                <w:sz w:val="21"/>
                <w:highlight w:val="none"/>
              </w:rPr>
            </w:pPr>
          </w:p>
        </w:tc>
      </w:tr>
      <w:tr w14:paraId="2C08D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0A50A300">
            <w:pPr>
              <w:rPr>
                <w:rFonts w:ascii="Arial"/>
                <w:sz w:val="21"/>
                <w:highlight w:val="none"/>
              </w:rPr>
            </w:pPr>
          </w:p>
        </w:tc>
        <w:tc>
          <w:tcPr>
            <w:tcW w:w="1413" w:type="dxa"/>
            <w:vAlign w:val="top"/>
          </w:tcPr>
          <w:p w14:paraId="23DA665B">
            <w:pPr>
              <w:rPr>
                <w:rFonts w:ascii="Arial"/>
                <w:sz w:val="21"/>
                <w:highlight w:val="none"/>
              </w:rPr>
            </w:pPr>
          </w:p>
        </w:tc>
        <w:tc>
          <w:tcPr>
            <w:tcW w:w="845" w:type="dxa"/>
            <w:vAlign w:val="top"/>
          </w:tcPr>
          <w:p w14:paraId="71CD452F">
            <w:pPr>
              <w:rPr>
                <w:rFonts w:ascii="Arial"/>
                <w:sz w:val="21"/>
                <w:highlight w:val="none"/>
              </w:rPr>
            </w:pPr>
          </w:p>
        </w:tc>
        <w:tc>
          <w:tcPr>
            <w:tcW w:w="1051" w:type="dxa"/>
            <w:vAlign w:val="top"/>
          </w:tcPr>
          <w:p w14:paraId="1245BA1A">
            <w:pPr>
              <w:rPr>
                <w:rFonts w:ascii="Arial"/>
                <w:sz w:val="21"/>
                <w:highlight w:val="none"/>
              </w:rPr>
            </w:pPr>
          </w:p>
        </w:tc>
        <w:tc>
          <w:tcPr>
            <w:tcW w:w="876" w:type="dxa"/>
            <w:vAlign w:val="top"/>
          </w:tcPr>
          <w:p w14:paraId="066E9F26">
            <w:pPr>
              <w:rPr>
                <w:rFonts w:ascii="Arial"/>
                <w:sz w:val="21"/>
                <w:highlight w:val="none"/>
              </w:rPr>
            </w:pPr>
          </w:p>
        </w:tc>
        <w:tc>
          <w:tcPr>
            <w:tcW w:w="1013" w:type="dxa"/>
            <w:vAlign w:val="top"/>
          </w:tcPr>
          <w:p w14:paraId="6515A3BB">
            <w:pPr>
              <w:rPr>
                <w:rFonts w:ascii="Arial"/>
                <w:sz w:val="21"/>
                <w:highlight w:val="none"/>
              </w:rPr>
            </w:pPr>
          </w:p>
        </w:tc>
        <w:tc>
          <w:tcPr>
            <w:tcW w:w="1473" w:type="dxa"/>
            <w:vAlign w:val="top"/>
          </w:tcPr>
          <w:p w14:paraId="4D4276CD">
            <w:pPr>
              <w:rPr>
                <w:rFonts w:ascii="Arial"/>
                <w:sz w:val="21"/>
                <w:highlight w:val="none"/>
              </w:rPr>
            </w:pPr>
          </w:p>
        </w:tc>
        <w:tc>
          <w:tcPr>
            <w:tcW w:w="1015" w:type="dxa"/>
            <w:vAlign w:val="top"/>
          </w:tcPr>
          <w:p w14:paraId="73F926E7">
            <w:pPr>
              <w:rPr>
                <w:rFonts w:ascii="Arial"/>
                <w:sz w:val="21"/>
                <w:highlight w:val="none"/>
              </w:rPr>
            </w:pPr>
          </w:p>
        </w:tc>
        <w:tc>
          <w:tcPr>
            <w:tcW w:w="944" w:type="dxa"/>
            <w:tcBorders>
              <w:right w:val="single" w:color="000000" w:sz="10" w:space="0"/>
            </w:tcBorders>
            <w:vAlign w:val="top"/>
          </w:tcPr>
          <w:p w14:paraId="07183FAA">
            <w:pPr>
              <w:rPr>
                <w:rFonts w:ascii="Arial"/>
                <w:sz w:val="21"/>
                <w:highlight w:val="none"/>
              </w:rPr>
            </w:pPr>
          </w:p>
        </w:tc>
      </w:tr>
      <w:tr w14:paraId="4685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74474915">
            <w:pPr>
              <w:rPr>
                <w:rFonts w:ascii="Arial"/>
                <w:sz w:val="21"/>
                <w:highlight w:val="none"/>
              </w:rPr>
            </w:pPr>
          </w:p>
        </w:tc>
        <w:tc>
          <w:tcPr>
            <w:tcW w:w="1413" w:type="dxa"/>
            <w:vAlign w:val="top"/>
          </w:tcPr>
          <w:p w14:paraId="524DBDDC">
            <w:pPr>
              <w:rPr>
                <w:rFonts w:ascii="Arial"/>
                <w:sz w:val="21"/>
                <w:highlight w:val="none"/>
              </w:rPr>
            </w:pPr>
          </w:p>
        </w:tc>
        <w:tc>
          <w:tcPr>
            <w:tcW w:w="845" w:type="dxa"/>
            <w:vAlign w:val="top"/>
          </w:tcPr>
          <w:p w14:paraId="7FB64A4D">
            <w:pPr>
              <w:rPr>
                <w:rFonts w:ascii="Arial"/>
                <w:sz w:val="21"/>
                <w:highlight w:val="none"/>
              </w:rPr>
            </w:pPr>
          </w:p>
        </w:tc>
        <w:tc>
          <w:tcPr>
            <w:tcW w:w="1051" w:type="dxa"/>
            <w:vAlign w:val="top"/>
          </w:tcPr>
          <w:p w14:paraId="25FB48FE">
            <w:pPr>
              <w:rPr>
                <w:rFonts w:ascii="Arial"/>
                <w:sz w:val="21"/>
                <w:highlight w:val="none"/>
              </w:rPr>
            </w:pPr>
          </w:p>
        </w:tc>
        <w:tc>
          <w:tcPr>
            <w:tcW w:w="876" w:type="dxa"/>
            <w:vAlign w:val="top"/>
          </w:tcPr>
          <w:p w14:paraId="44C9C433">
            <w:pPr>
              <w:rPr>
                <w:rFonts w:ascii="Arial"/>
                <w:sz w:val="21"/>
                <w:highlight w:val="none"/>
              </w:rPr>
            </w:pPr>
          </w:p>
        </w:tc>
        <w:tc>
          <w:tcPr>
            <w:tcW w:w="1013" w:type="dxa"/>
            <w:vAlign w:val="top"/>
          </w:tcPr>
          <w:p w14:paraId="21762E0E">
            <w:pPr>
              <w:rPr>
                <w:rFonts w:ascii="Arial"/>
                <w:sz w:val="21"/>
                <w:highlight w:val="none"/>
              </w:rPr>
            </w:pPr>
          </w:p>
        </w:tc>
        <w:tc>
          <w:tcPr>
            <w:tcW w:w="1473" w:type="dxa"/>
            <w:vAlign w:val="top"/>
          </w:tcPr>
          <w:p w14:paraId="68FAF5E4">
            <w:pPr>
              <w:rPr>
                <w:rFonts w:ascii="Arial"/>
                <w:sz w:val="21"/>
                <w:highlight w:val="none"/>
              </w:rPr>
            </w:pPr>
          </w:p>
        </w:tc>
        <w:tc>
          <w:tcPr>
            <w:tcW w:w="1015" w:type="dxa"/>
            <w:vAlign w:val="top"/>
          </w:tcPr>
          <w:p w14:paraId="280ED5C0">
            <w:pPr>
              <w:rPr>
                <w:rFonts w:ascii="Arial"/>
                <w:sz w:val="21"/>
                <w:highlight w:val="none"/>
              </w:rPr>
            </w:pPr>
          </w:p>
        </w:tc>
        <w:tc>
          <w:tcPr>
            <w:tcW w:w="944" w:type="dxa"/>
            <w:tcBorders>
              <w:right w:val="single" w:color="000000" w:sz="10" w:space="0"/>
            </w:tcBorders>
            <w:vAlign w:val="top"/>
          </w:tcPr>
          <w:p w14:paraId="3863F7AE">
            <w:pPr>
              <w:rPr>
                <w:rFonts w:ascii="Arial"/>
                <w:sz w:val="21"/>
                <w:highlight w:val="none"/>
              </w:rPr>
            </w:pPr>
          </w:p>
        </w:tc>
      </w:tr>
      <w:tr w14:paraId="1715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5" w:type="dxa"/>
            <w:tcBorders>
              <w:left w:val="single" w:color="000000" w:sz="10" w:space="0"/>
            </w:tcBorders>
            <w:vAlign w:val="top"/>
          </w:tcPr>
          <w:p w14:paraId="74E23E42">
            <w:pPr>
              <w:rPr>
                <w:rFonts w:ascii="Arial"/>
                <w:sz w:val="21"/>
                <w:highlight w:val="none"/>
              </w:rPr>
            </w:pPr>
          </w:p>
        </w:tc>
        <w:tc>
          <w:tcPr>
            <w:tcW w:w="1413" w:type="dxa"/>
            <w:vAlign w:val="top"/>
          </w:tcPr>
          <w:p w14:paraId="4F86F794">
            <w:pPr>
              <w:rPr>
                <w:rFonts w:ascii="Arial"/>
                <w:sz w:val="21"/>
                <w:highlight w:val="none"/>
              </w:rPr>
            </w:pPr>
          </w:p>
        </w:tc>
        <w:tc>
          <w:tcPr>
            <w:tcW w:w="845" w:type="dxa"/>
            <w:vAlign w:val="top"/>
          </w:tcPr>
          <w:p w14:paraId="60F22693">
            <w:pPr>
              <w:rPr>
                <w:rFonts w:ascii="Arial"/>
                <w:sz w:val="21"/>
                <w:highlight w:val="none"/>
              </w:rPr>
            </w:pPr>
          </w:p>
        </w:tc>
        <w:tc>
          <w:tcPr>
            <w:tcW w:w="1051" w:type="dxa"/>
            <w:vAlign w:val="top"/>
          </w:tcPr>
          <w:p w14:paraId="0688090F">
            <w:pPr>
              <w:rPr>
                <w:rFonts w:ascii="Arial"/>
                <w:sz w:val="21"/>
                <w:highlight w:val="none"/>
              </w:rPr>
            </w:pPr>
          </w:p>
        </w:tc>
        <w:tc>
          <w:tcPr>
            <w:tcW w:w="876" w:type="dxa"/>
            <w:vAlign w:val="top"/>
          </w:tcPr>
          <w:p w14:paraId="5EDCA811">
            <w:pPr>
              <w:rPr>
                <w:rFonts w:ascii="Arial"/>
                <w:sz w:val="21"/>
                <w:highlight w:val="none"/>
              </w:rPr>
            </w:pPr>
          </w:p>
        </w:tc>
        <w:tc>
          <w:tcPr>
            <w:tcW w:w="1013" w:type="dxa"/>
            <w:vAlign w:val="top"/>
          </w:tcPr>
          <w:p w14:paraId="2E8FE4F7">
            <w:pPr>
              <w:rPr>
                <w:rFonts w:ascii="Arial"/>
                <w:sz w:val="21"/>
                <w:highlight w:val="none"/>
              </w:rPr>
            </w:pPr>
          </w:p>
        </w:tc>
        <w:tc>
          <w:tcPr>
            <w:tcW w:w="1473" w:type="dxa"/>
            <w:vAlign w:val="top"/>
          </w:tcPr>
          <w:p w14:paraId="7A831075">
            <w:pPr>
              <w:rPr>
                <w:rFonts w:ascii="Arial"/>
                <w:sz w:val="21"/>
                <w:highlight w:val="none"/>
              </w:rPr>
            </w:pPr>
          </w:p>
        </w:tc>
        <w:tc>
          <w:tcPr>
            <w:tcW w:w="1015" w:type="dxa"/>
            <w:vAlign w:val="top"/>
          </w:tcPr>
          <w:p w14:paraId="666D33BE">
            <w:pPr>
              <w:rPr>
                <w:rFonts w:ascii="Arial"/>
                <w:sz w:val="21"/>
                <w:highlight w:val="none"/>
              </w:rPr>
            </w:pPr>
          </w:p>
        </w:tc>
        <w:tc>
          <w:tcPr>
            <w:tcW w:w="944" w:type="dxa"/>
            <w:tcBorders>
              <w:right w:val="single" w:color="000000" w:sz="10" w:space="0"/>
            </w:tcBorders>
            <w:vAlign w:val="top"/>
          </w:tcPr>
          <w:p w14:paraId="06B457A0">
            <w:pPr>
              <w:rPr>
                <w:rFonts w:ascii="Arial"/>
                <w:sz w:val="21"/>
                <w:highlight w:val="none"/>
              </w:rPr>
            </w:pPr>
          </w:p>
        </w:tc>
      </w:tr>
      <w:tr w14:paraId="0770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5" w:type="dxa"/>
            <w:tcBorders>
              <w:left w:val="single" w:color="000000" w:sz="10" w:space="0"/>
            </w:tcBorders>
            <w:vAlign w:val="top"/>
          </w:tcPr>
          <w:p w14:paraId="643F00FA">
            <w:pPr>
              <w:rPr>
                <w:rFonts w:ascii="Arial"/>
                <w:sz w:val="21"/>
                <w:highlight w:val="none"/>
              </w:rPr>
            </w:pPr>
          </w:p>
        </w:tc>
        <w:tc>
          <w:tcPr>
            <w:tcW w:w="1413" w:type="dxa"/>
            <w:vAlign w:val="top"/>
          </w:tcPr>
          <w:p w14:paraId="708FBE01">
            <w:pPr>
              <w:rPr>
                <w:rFonts w:ascii="Arial"/>
                <w:sz w:val="21"/>
                <w:highlight w:val="none"/>
              </w:rPr>
            </w:pPr>
          </w:p>
        </w:tc>
        <w:tc>
          <w:tcPr>
            <w:tcW w:w="845" w:type="dxa"/>
            <w:vAlign w:val="top"/>
          </w:tcPr>
          <w:p w14:paraId="5C633E30">
            <w:pPr>
              <w:rPr>
                <w:rFonts w:ascii="Arial"/>
                <w:sz w:val="21"/>
                <w:highlight w:val="none"/>
              </w:rPr>
            </w:pPr>
          </w:p>
        </w:tc>
        <w:tc>
          <w:tcPr>
            <w:tcW w:w="1051" w:type="dxa"/>
            <w:vAlign w:val="top"/>
          </w:tcPr>
          <w:p w14:paraId="02721BB6">
            <w:pPr>
              <w:rPr>
                <w:rFonts w:ascii="Arial"/>
                <w:sz w:val="21"/>
                <w:highlight w:val="none"/>
              </w:rPr>
            </w:pPr>
          </w:p>
        </w:tc>
        <w:tc>
          <w:tcPr>
            <w:tcW w:w="876" w:type="dxa"/>
            <w:vAlign w:val="top"/>
          </w:tcPr>
          <w:p w14:paraId="442702EE">
            <w:pPr>
              <w:rPr>
                <w:rFonts w:ascii="Arial"/>
                <w:sz w:val="21"/>
                <w:highlight w:val="none"/>
              </w:rPr>
            </w:pPr>
          </w:p>
        </w:tc>
        <w:tc>
          <w:tcPr>
            <w:tcW w:w="1013" w:type="dxa"/>
            <w:vAlign w:val="top"/>
          </w:tcPr>
          <w:p w14:paraId="043D8BD7">
            <w:pPr>
              <w:rPr>
                <w:rFonts w:ascii="Arial"/>
                <w:sz w:val="21"/>
                <w:highlight w:val="none"/>
              </w:rPr>
            </w:pPr>
          </w:p>
        </w:tc>
        <w:tc>
          <w:tcPr>
            <w:tcW w:w="1473" w:type="dxa"/>
            <w:vAlign w:val="top"/>
          </w:tcPr>
          <w:p w14:paraId="38DDC268">
            <w:pPr>
              <w:rPr>
                <w:rFonts w:ascii="Arial"/>
                <w:sz w:val="21"/>
                <w:highlight w:val="none"/>
              </w:rPr>
            </w:pPr>
          </w:p>
        </w:tc>
        <w:tc>
          <w:tcPr>
            <w:tcW w:w="1015" w:type="dxa"/>
            <w:vAlign w:val="top"/>
          </w:tcPr>
          <w:p w14:paraId="2B83717B">
            <w:pPr>
              <w:rPr>
                <w:rFonts w:ascii="Arial"/>
                <w:sz w:val="21"/>
                <w:highlight w:val="none"/>
              </w:rPr>
            </w:pPr>
          </w:p>
        </w:tc>
        <w:tc>
          <w:tcPr>
            <w:tcW w:w="944" w:type="dxa"/>
            <w:tcBorders>
              <w:right w:val="single" w:color="000000" w:sz="10" w:space="0"/>
            </w:tcBorders>
            <w:vAlign w:val="top"/>
          </w:tcPr>
          <w:p w14:paraId="17B205F7">
            <w:pPr>
              <w:rPr>
                <w:rFonts w:ascii="Arial"/>
                <w:sz w:val="21"/>
                <w:highlight w:val="none"/>
              </w:rPr>
            </w:pPr>
          </w:p>
        </w:tc>
      </w:tr>
      <w:tr w14:paraId="3608A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5" w:type="dxa"/>
            <w:tcBorders>
              <w:left w:val="single" w:color="000000" w:sz="10" w:space="0"/>
            </w:tcBorders>
            <w:vAlign w:val="top"/>
          </w:tcPr>
          <w:p w14:paraId="3C9C99E7">
            <w:pPr>
              <w:rPr>
                <w:rFonts w:ascii="Arial"/>
                <w:sz w:val="21"/>
                <w:highlight w:val="none"/>
              </w:rPr>
            </w:pPr>
          </w:p>
        </w:tc>
        <w:tc>
          <w:tcPr>
            <w:tcW w:w="1413" w:type="dxa"/>
            <w:vAlign w:val="top"/>
          </w:tcPr>
          <w:p w14:paraId="797BFBF2">
            <w:pPr>
              <w:rPr>
                <w:rFonts w:ascii="Arial"/>
                <w:sz w:val="21"/>
                <w:highlight w:val="none"/>
              </w:rPr>
            </w:pPr>
          </w:p>
        </w:tc>
        <w:tc>
          <w:tcPr>
            <w:tcW w:w="845" w:type="dxa"/>
            <w:vAlign w:val="top"/>
          </w:tcPr>
          <w:p w14:paraId="6537B587">
            <w:pPr>
              <w:rPr>
                <w:rFonts w:ascii="Arial"/>
                <w:sz w:val="21"/>
                <w:highlight w:val="none"/>
              </w:rPr>
            </w:pPr>
          </w:p>
        </w:tc>
        <w:tc>
          <w:tcPr>
            <w:tcW w:w="1051" w:type="dxa"/>
            <w:vAlign w:val="top"/>
          </w:tcPr>
          <w:p w14:paraId="23560E31">
            <w:pPr>
              <w:rPr>
                <w:rFonts w:ascii="Arial"/>
                <w:sz w:val="21"/>
                <w:highlight w:val="none"/>
              </w:rPr>
            </w:pPr>
          </w:p>
        </w:tc>
        <w:tc>
          <w:tcPr>
            <w:tcW w:w="876" w:type="dxa"/>
            <w:vAlign w:val="top"/>
          </w:tcPr>
          <w:p w14:paraId="7F78569B">
            <w:pPr>
              <w:rPr>
                <w:rFonts w:ascii="Arial"/>
                <w:sz w:val="21"/>
                <w:highlight w:val="none"/>
              </w:rPr>
            </w:pPr>
          </w:p>
        </w:tc>
        <w:tc>
          <w:tcPr>
            <w:tcW w:w="1013" w:type="dxa"/>
            <w:vAlign w:val="top"/>
          </w:tcPr>
          <w:p w14:paraId="1B5839E1">
            <w:pPr>
              <w:rPr>
                <w:rFonts w:ascii="Arial"/>
                <w:sz w:val="21"/>
                <w:highlight w:val="none"/>
              </w:rPr>
            </w:pPr>
          </w:p>
        </w:tc>
        <w:tc>
          <w:tcPr>
            <w:tcW w:w="1473" w:type="dxa"/>
            <w:vAlign w:val="top"/>
          </w:tcPr>
          <w:p w14:paraId="15CC025C">
            <w:pPr>
              <w:rPr>
                <w:rFonts w:ascii="Arial"/>
                <w:sz w:val="21"/>
                <w:highlight w:val="none"/>
              </w:rPr>
            </w:pPr>
          </w:p>
        </w:tc>
        <w:tc>
          <w:tcPr>
            <w:tcW w:w="1015" w:type="dxa"/>
            <w:vAlign w:val="top"/>
          </w:tcPr>
          <w:p w14:paraId="10D6934F">
            <w:pPr>
              <w:rPr>
                <w:rFonts w:ascii="Arial"/>
                <w:sz w:val="21"/>
                <w:highlight w:val="none"/>
              </w:rPr>
            </w:pPr>
          </w:p>
        </w:tc>
        <w:tc>
          <w:tcPr>
            <w:tcW w:w="944" w:type="dxa"/>
            <w:tcBorders>
              <w:right w:val="single" w:color="000000" w:sz="10" w:space="0"/>
            </w:tcBorders>
            <w:vAlign w:val="top"/>
          </w:tcPr>
          <w:p w14:paraId="2490E76B">
            <w:pPr>
              <w:rPr>
                <w:rFonts w:ascii="Arial"/>
                <w:sz w:val="21"/>
                <w:highlight w:val="none"/>
              </w:rPr>
            </w:pPr>
          </w:p>
        </w:tc>
      </w:tr>
      <w:tr w14:paraId="50304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52182F57">
            <w:pPr>
              <w:rPr>
                <w:rFonts w:ascii="Arial"/>
                <w:sz w:val="21"/>
                <w:highlight w:val="none"/>
              </w:rPr>
            </w:pPr>
          </w:p>
        </w:tc>
        <w:tc>
          <w:tcPr>
            <w:tcW w:w="1413" w:type="dxa"/>
            <w:vAlign w:val="top"/>
          </w:tcPr>
          <w:p w14:paraId="6B1D8A16">
            <w:pPr>
              <w:rPr>
                <w:rFonts w:ascii="Arial"/>
                <w:sz w:val="21"/>
                <w:highlight w:val="none"/>
              </w:rPr>
            </w:pPr>
          </w:p>
        </w:tc>
        <w:tc>
          <w:tcPr>
            <w:tcW w:w="845" w:type="dxa"/>
            <w:vAlign w:val="top"/>
          </w:tcPr>
          <w:p w14:paraId="483DF512">
            <w:pPr>
              <w:rPr>
                <w:rFonts w:ascii="Arial"/>
                <w:sz w:val="21"/>
                <w:highlight w:val="none"/>
              </w:rPr>
            </w:pPr>
          </w:p>
        </w:tc>
        <w:tc>
          <w:tcPr>
            <w:tcW w:w="1051" w:type="dxa"/>
            <w:vAlign w:val="top"/>
          </w:tcPr>
          <w:p w14:paraId="7084DB1F">
            <w:pPr>
              <w:rPr>
                <w:rFonts w:ascii="Arial"/>
                <w:sz w:val="21"/>
                <w:highlight w:val="none"/>
              </w:rPr>
            </w:pPr>
          </w:p>
        </w:tc>
        <w:tc>
          <w:tcPr>
            <w:tcW w:w="876" w:type="dxa"/>
            <w:vAlign w:val="top"/>
          </w:tcPr>
          <w:p w14:paraId="25360EE8">
            <w:pPr>
              <w:rPr>
                <w:rFonts w:ascii="Arial"/>
                <w:sz w:val="21"/>
                <w:highlight w:val="none"/>
              </w:rPr>
            </w:pPr>
          </w:p>
        </w:tc>
        <w:tc>
          <w:tcPr>
            <w:tcW w:w="1013" w:type="dxa"/>
            <w:vAlign w:val="top"/>
          </w:tcPr>
          <w:p w14:paraId="27AE8E20">
            <w:pPr>
              <w:rPr>
                <w:rFonts w:ascii="Arial"/>
                <w:sz w:val="21"/>
                <w:highlight w:val="none"/>
              </w:rPr>
            </w:pPr>
          </w:p>
        </w:tc>
        <w:tc>
          <w:tcPr>
            <w:tcW w:w="1473" w:type="dxa"/>
            <w:vAlign w:val="top"/>
          </w:tcPr>
          <w:p w14:paraId="7D42E6DA">
            <w:pPr>
              <w:rPr>
                <w:rFonts w:ascii="Arial"/>
                <w:sz w:val="21"/>
                <w:highlight w:val="none"/>
              </w:rPr>
            </w:pPr>
          </w:p>
        </w:tc>
        <w:tc>
          <w:tcPr>
            <w:tcW w:w="1015" w:type="dxa"/>
            <w:vAlign w:val="top"/>
          </w:tcPr>
          <w:p w14:paraId="04FBA0F9">
            <w:pPr>
              <w:rPr>
                <w:rFonts w:ascii="Arial"/>
                <w:sz w:val="21"/>
                <w:highlight w:val="none"/>
              </w:rPr>
            </w:pPr>
          </w:p>
        </w:tc>
        <w:tc>
          <w:tcPr>
            <w:tcW w:w="944" w:type="dxa"/>
            <w:tcBorders>
              <w:right w:val="single" w:color="000000" w:sz="10" w:space="0"/>
            </w:tcBorders>
            <w:vAlign w:val="top"/>
          </w:tcPr>
          <w:p w14:paraId="1E0367AE">
            <w:pPr>
              <w:rPr>
                <w:rFonts w:ascii="Arial"/>
                <w:sz w:val="21"/>
                <w:highlight w:val="none"/>
              </w:rPr>
            </w:pPr>
          </w:p>
        </w:tc>
      </w:tr>
      <w:tr w14:paraId="40501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0970B902">
            <w:pPr>
              <w:rPr>
                <w:rFonts w:ascii="Arial"/>
                <w:sz w:val="21"/>
                <w:highlight w:val="none"/>
              </w:rPr>
            </w:pPr>
          </w:p>
        </w:tc>
        <w:tc>
          <w:tcPr>
            <w:tcW w:w="1413" w:type="dxa"/>
            <w:vAlign w:val="top"/>
          </w:tcPr>
          <w:p w14:paraId="05C68B65">
            <w:pPr>
              <w:rPr>
                <w:rFonts w:ascii="Arial"/>
                <w:sz w:val="21"/>
                <w:highlight w:val="none"/>
              </w:rPr>
            </w:pPr>
          </w:p>
        </w:tc>
        <w:tc>
          <w:tcPr>
            <w:tcW w:w="845" w:type="dxa"/>
            <w:vAlign w:val="top"/>
          </w:tcPr>
          <w:p w14:paraId="4FD34EC7">
            <w:pPr>
              <w:rPr>
                <w:rFonts w:ascii="Arial"/>
                <w:sz w:val="21"/>
                <w:highlight w:val="none"/>
              </w:rPr>
            </w:pPr>
          </w:p>
        </w:tc>
        <w:tc>
          <w:tcPr>
            <w:tcW w:w="1051" w:type="dxa"/>
            <w:vAlign w:val="top"/>
          </w:tcPr>
          <w:p w14:paraId="1B169F3B">
            <w:pPr>
              <w:rPr>
                <w:rFonts w:ascii="Arial"/>
                <w:sz w:val="21"/>
                <w:highlight w:val="none"/>
              </w:rPr>
            </w:pPr>
          </w:p>
        </w:tc>
        <w:tc>
          <w:tcPr>
            <w:tcW w:w="876" w:type="dxa"/>
            <w:vAlign w:val="top"/>
          </w:tcPr>
          <w:p w14:paraId="56BA6950">
            <w:pPr>
              <w:rPr>
                <w:rFonts w:ascii="Arial"/>
                <w:sz w:val="21"/>
                <w:highlight w:val="none"/>
              </w:rPr>
            </w:pPr>
          </w:p>
        </w:tc>
        <w:tc>
          <w:tcPr>
            <w:tcW w:w="1013" w:type="dxa"/>
            <w:vAlign w:val="top"/>
          </w:tcPr>
          <w:p w14:paraId="76129B37">
            <w:pPr>
              <w:rPr>
                <w:rFonts w:ascii="Arial"/>
                <w:sz w:val="21"/>
                <w:highlight w:val="none"/>
              </w:rPr>
            </w:pPr>
          </w:p>
        </w:tc>
        <w:tc>
          <w:tcPr>
            <w:tcW w:w="1473" w:type="dxa"/>
            <w:vAlign w:val="top"/>
          </w:tcPr>
          <w:p w14:paraId="2AF0ECB9">
            <w:pPr>
              <w:rPr>
                <w:rFonts w:ascii="Arial"/>
                <w:sz w:val="21"/>
                <w:highlight w:val="none"/>
              </w:rPr>
            </w:pPr>
          </w:p>
        </w:tc>
        <w:tc>
          <w:tcPr>
            <w:tcW w:w="1015" w:type="dxa"/>
            <w:vAlign w:val="top"/>
          </w:tcPr>
          <w:p w14:paraId="48DC151C">
            <w:pPr>
              <w:rPr>
                <w:rFonts w:ascii="Arial"/>
                <w:sz w:val="21"/>
                <w:highlight w:val="none"/>
              </w:rPr>
            </w:pPr>
          </w:p>
        </w:tc>
        <w:tc>
          <w:tcPr>
            <w:tcW w:w="944" w:type="dxa"/>
            <w:tcBorders>
              <w:right w:val="single" w:color="000000" w:sz="10" w:space="0"/>
            </w:tcBorders>
            <w:vAlign w:val="top"/>
          </w:tcPr>
          <w:p w14:paraId="212107D1">
            <w:pPr>
              <w:rPr>
                <w:rFonts w:ascii="Arial"/>
                <w:sz w:val="21"/>
                <w:highlight w:val="none"/>
              </w:rPr>
            </w:pPr>
          </w:p>
        </w:tc>
      </w:tr>
      <w:tr w14:paraId="344FF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03B51686">
            <w:pPr>
              <w:rPr>
                <w:rFonts w:ascii="Arial"/>
                <w:sz w:val="21"/>
                <w:highlight w:val="none"/>
              </w:rPr>
            </w:pPr>
          </w:p>
        </w:tc>
        <w:tc>
          <w:tcPr>
            <w:tcW w:w="1413" w:type="dxa"/>
            <w:vAlign w:val="top"/>
          </w:tcPr>
          <w:p w14:paraId="1DA15F6F">
            <w:pPr>
              <w:rPr>
                <w:rFonts w:ascii="Arial"/>
                <w:sz w:val="21"/>
                <w:highlight w:val="none"/>
              </w:rPr>
            </w:pPr>
          </w:p>
        </w:tc>
        <w:tc>
          <w:tcPr>
            <w:tcW w:w="845" w:type="dxa"/>
            <w:vAlign w:val="top"/>
          </w:tcPr>
          <w:p w14:paraId="4B289AE9">
            <w:pPr>
              <w:rPr>
                <w:rFonts w:ascii="Arial"/>
                <w:sz w:val="21"/>
                <w:highlight w:val="none"/>
              </w:rPr>
            </w:pPr>
          </w:p>
        </w:tc>
        <w:tc>
          <w:tcPr>
            <w:tcW w:w="1051" w:type="dxa"/>
            <w:vAlign w:val="top"/>
          </w:tcPr>
          <w:p w14:paraId="38092CEC">
            <w:pPr>
              <w:rPr>
                <w:rFonts w:ascii="Arial"/>
                <w:sz w:val="21"/>
                <w:highlight w:val="none"/>
              </w:rPr>
            </w:pPr>
          </w:p>
        </w:tc>
        <w:tc>
          <w:tcPr>
            <w:tcW w:w="876" w:type="dxa"/>
            <w:vAlign w:val="top"/>
          </w:tcPr>
          <w:p w14:paraId="5BEC7132">
            <w:pPr>
              <w:rPr>
                <w:rFonts w:ascii="Arial"/>
                <w:sz w:val="21"/>
                <w:highlight w:val="none"/>
              </w:rPr>
            </w:pPr>
          </w:p>
        </w:tc>
        <w:tc>
          <w:tcPr>
            <w:tcW w:w="1013" w:type="dxa"/>
            <w:vAlign w:val="top"/>
          </w:tcPr>
          <w:p w14:paraId="148C6736">
            <w:pPr>
              <w:rPr>
                <w:rFonts w:ascii="Arial"/>
                <w:sz w:val="21"/>
                <w:highlight w:val="none"/>
              </w:rPr>
            </w:pPr>
          </w:p>
        </w:tc>
        <w:tc>
          <w:tcPr>
            <w:tcW w:w="1473" w:type="dxa"/>
            <w:vAlign w:val="top"/>
          </w:tcPr>
          <w:p w14:paraId="3975573A">
            <w:pPr>
              <w:rPr>
                <w:rFonts w:ascii="Arial"/>
                <w:sz w:val="21"/>
                <w:highlight w:val="none"/>
              </w:rPr>
            </w:pPr>
          </w:p>
        </w:tc>
        <w:tc>
          <w:tcPr>
            <w:tcW w:w="1015" w:type="dxa"/>
            <w:vAlign w:val="top"/>
          </w:tcPr>
          <w:p w14:paraId="1A1B8C1C">
            <w:pPr>
              <w:rPr>
                <w:rFonts w:ascii="Arial"/>
                <w:sz w:val="21"/>
                <w:highlight w:val="none"/>
              </w:rPr>
            </w:pPr>
          </w:p>
        </w:tc>
        <w:tc>
          <w:tcPr>
            <w:tcW w:w="944" w:type="dxa"/>
            <w:tcBorders>
              <w:right w:val="single" w:color="000000" w:sz="10" w:space="0"/>
            </w:tcBorders>
            <w:vAlign w:val="top"/>
          </w:tcPr>
          <w:p w14:paraId="25FB670F">
            <w:pPr>
              <w:rPr>
                <w:rFonts w:ascii="Arial"/>
                <w:sz w:val="21"/>
                <w:highlight w:val="none"/>
              </w:rPr>
            </w:pPr>
          </w:p>
        </w:tc>
      </w:tr>
      <w:tr w14:paraId="01E1D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735C6331">
            <w:pPr>
              <w:rPr>
                <w:rFonts w:ascii="Arial"/>
                <w:sz w:val="21"/>
                <w:highlight w:val="none"/>
              </w:rPr>
            </w:pPr>
          </w:p>
        </w:tc>
        <w:tc>
          <w:tcPr>
            <w:tcW w:w="1413" w:type="dxa"/>
            <w:vAlign w:val="top"/>
          </w:tcPr>
          <w:p w14:paraId="7876DCE7">
            <w:pPr>
              <w:rPr>
                <w:rFonts w:ascii="Arial"/>
                <w:sz w:val="21"/>
                <w:highlight w:val="none"/>
              </w:rPr>
            </w:pPr>
          </w:p>
        </w:tc>
        <w:tc>
          <w:tcPr>
            <w:tcW w:w="845" w:type="dxa"/>
            <w:vAlign w:val="top"/>
          </w:tcPr>
          <w:p w14:paraId="3D3A152B">
            <w:pPr>
              <w:rPr>
                <w:rFonts w:ascii="Arial"/>
                <w:sz w:val="21"/>
                <w:highlight w:val="none"/>
              </w:rPr>
            </w:pPr>
          </w:p>
        </w:tc>
        <w:tc>
          <w:tcPr>
            <w:tcW w:w="1051" w:type="dxa"/>
            <w:vAlign w:val="top"/>
          </w:tcPr>
          <w:p w14:paraId="28E3168C">
            <w:pPr>
              <w:rPr>
                <w:rFonts w:ascii="Arial"/>
                <w:sz w:val="21"/>
                <w:highlight w:val="none"/>
              </w:rPr>
            </w:pPr>
          </w:p>
        </w:tc>
        <w:tc>
          <w:tcPr>
            <w:tcW w:w="876" w:type="dxa"/>
            <w:vAlign w:val="top"/>
          </w:tcPr>
          <w:p w14:paraId="56898E51">
            <w:pPr>
              <w:rPr>
                <w:rFonts w:ascii="Arial"/>
                <w:sz w:val="21"/>
                <w:highlight w:val="none"/>
              </w:rPr>
            </w:pPr>
          </w:p>
        </w:tc>
        <w:tc>
          <w:tcPr>
            <w:tcW w:w="1013" w:type="dxa"/>
            <w:vAlign w:val="top"/>
          </w:tcPr>
          <w:p w14:paraId="43A755DC">
            <w:pPr>
              <w:rPr>
                <w:rFonts w:ascii="Arial"/>
                <w:sz w:val="21"/>
                <w:highlight w:val="none"/>
              </w:rPr>
            </w:pPr>
          </w:p>
        </w:tc>
        <w:tc>
          <w:tcPr>
            <w:tcW w:w="1473" w:type="dxa"/>
            <w:vAlign w:val="top"/>
          </w:tcPr>
          <w:p w14:paraId="41A19C14">
            <w:pPr>
              <w:rPr>
                <w:rFonts w:ascii="Arial"/>
                <w:sz w:val="21"/>
                <w:highlight w:val="none"/>
              </w:rPr>
            </w:pPr>
          </w:p>
        </w:tc>
        <w:tc>
          <w:tcPr>
            <w:tcW w:w="1015" w:type="dxa"/>
            <w:vAlign w:val="top"/>
          </w:tcPr>
          <w:p w14:paraId="56F172FA">
            <w:pPr>
              <w:rPr>
                <w:rFonts w:ascii="Arial"/>
                <w:sz w:val="21"/>
                <w:highlight w:val="none"/>
              </w:rPr>
            </w:pPr>
          </w:p>
        </w:tc>
        <w:tc>
          <w:tcPr>
            <w:tcW w:w="944" w:type="dxa"/>
            <w:tcBorders>
              <w:right w:val="single" w:color="000000" w:sz="10" w:space="0"/>
            </w:tcBorders>
            <w:vAlign w:val="top"/>
          </w:tcPr>
          <w:p w14:paraId="0E86AA6D">
            <w:pPr>
              <w:rPr>
                <w:rFonts w:ascii="Arial"/>
                <w:sz w:val="21"/>
                <w:highlight w:val="none"/>
              </w:rPr>
            </w:pPr>
          </w:p>
        </w:tc>
      </w:tr>
      <w:tr w14:paraId="22C9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5" w:type="dxa"/>
            <w:tcBorders>
              <w:left w:val="single" w:color="000000" w:sz="10" w:space="0"/>
            </w:tcBorders>
            <w:vAlign w:val="top"/>
          </w:tcPr>
          <w:p w14:paraId="3C371573">
            <w:pPr>
              <w:rPr>
                <w:rFonts w:ascii="Arial"/>
                <w:sz w:val="21"/>
                <w:highlight w:val="none"/>
              </w:rPr>
            </w:pPr>
          </w:p>
        </w:tc>
        <w:tc>
          <w:tcPr>
            <w:tcW w:w="1413" w:type="dxa"/>
            <w:vAlign w:val="top"/>
          </w:tcPr>
          <w:p w14:paraId="1F8AA9CB">
            <w:pPr>
              <w:rPr>
                <w:rFonts w:ascii="Arial"/>
                <w:sz w:val="21"/>
                <w:highlight w:val="none"/>
              </w:rPr>
            </w:pPr>
          </w:p>
        </w:tc>
        <w:tc>
          <w:tcPr>
            <w:tcW w:w="845" w:type="dxa"/>
            <w:vAlign w:val="top"/>
          </w:tcPr>
          <w:p w14:paraId="62797C0D">
            <w:pPr>
              <w:rPr>
                <w:rFonts w:ascii="Arial"/>
                <w:sz w:val="21"/>
                <w:highlight w:val="none"/>
              </w:rPr>
            </w:pPr>
          </w:p>
        </w:tc>
        <w:tc>
          <w:tcPr>
            <w:tcW w:w="1051" w:type="dxa"/>
            <w:vAlign w:val="top"/>
          </w:tcPr>
          <w:p w14:paraId="6A72C804">
            <w:pPr>
              <w:rPr>
                <w:rFonts w:ascii="Arial"/>
                <w:sz w:val="21"/>
                <w:highlight w:val="none"/>
              </w:rPr>
            </w:pPr>
          </w:p>
        </w:tc>
        <w:tc>
          <w:tcPr>
            <w:tcW w:w="876" w:type="dxa"/>
            <w:vAlign w:val="top"/>
          </w:tcPr>
          <w:p w14:paraId="478D8E53">
            <w:pPr>
              <w:rPr>
                <w:rFonts w:ascii="Arial"/>
                <w:sz w:val="21"/>
                <w:highlight w:val="none"/>
              </w:rPr>
            </w:pPr>
          </w:p>
        </w:tc>
        <w:tc>
          <w:tcPr>
            <w:tcW w:w="1013" w:type="dxa"/>
            <w:vAlign w:val="top"/>
          </w:tcPr>
          <w:p w14:paraId="778B2E25">
            <w:pPr>
              <w:rPr>
                <w:rFonts w:ascii="Arial"/>
                <w:sz w:val="21"/>
                <w:highlight w:val="none"/>
              </w:rPr>
            </w:pPr>
          </w:p>
        </w:tc>
        <w:tc>
          <w:tcPr>
            <w:tcW w:w="1473" w:type="dxa"/>
            <w:vAlign w:val="top"/>
          </w:tcPr>
          <w:p w14:paraId="58B53852">
            <w:pPr>
              <w:rPr>
                <w:rFonts w:ascii="Arial"/>
                <w:sz w:val="21"/>
                <w:highlight w:val="none"/>
              </w:rPr>
            </w:pPr>
          </w:p>
        </w:tc>
        <w:tc>
          <w:tcPr>
            <w:tcW w:w="1015" w:type="dxa"/>
            <w:vAlign w:val="top"/>
          </w:tcPr>
          <w:p w14:paraId="2ABF26EF">
            <w:pPr>
              <w:rPr>
                <w:rFonts w:ascii="Arial"/>
                <w:sz w:val="21"/>
                <w:highlight w:val="none"/>
              </w:rPr>
            </w:pPr>
          </w:p>
        </w:tc>
        <w:tc>
          <w:tcPr>
            <w:tcW w:w="944" w:type="dxa"/>
            <w:tcBorders>
              <w:right w:val="single" w:color="000000" w:sz="10" w:space="0"/>
            </w:tcBorders>
            <w:vAlign w:val="top"/>
          </w:tcPr>
          <w:p w14:paraId="2734DC59">
            <w:pPr>
              <w:rPr>
                <w:rFonts w:ascii="Arial"/>
                <w:sz w:val="21"/>
                <w:highlight w:val="none"/>
              </w:rPr>
            </w:pPr>
          </w:p>
        </w:tc>
      </w:tr>
      <w:tr w14:paraId="2D84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2A09AC77">
            <w:pPr>
              <w:rPr>
                <w:rFonts w:ascii="Arial"/>
                <w:sz w:val="21"/>
                <w:highlight w:val="none"/>
              </w:rPr>
            </w:pPr>
          </w:p>
        </w:tc>
        <w:tc>
          <w:tcPr>
            <w:tcW w:w="1413" w:type="dxa"/>
            <w:vAlign w:val="top"/>
          </w:tcPr>
          <w:p w14:paraId="43DF4DCB">
            <w:pPr>
              <w:rPr>
                <w:rFonts w:ascii="Arial"/>
                <w:sz w:val="21"/>
                <w:highlight w:val="none"/>
              </w:rPr>
            </w:pPr>
          </w:p>
        </w:tc>
        <w:tc>
          <w:tcPr>
            <w:tcW w:w="845" w:type="dxa"/>
            <w:vAlign w:val="top"/>
          </w:tcPr>
          <w:p w14:paraId="600574F4">
            <w:pPr>
              <w:rPr>
                <w:rFonts w:ascii="Arial"/>
                <w:sz w:val="21"/>
                <w:highlight w:val="none"/>
              </w:rPr>
            </w:pPr>
          </w:p>
        </w:tc>
        <w:tc>
          <w:tcPr>
            <w:tcW w:w="1051" w:type="dxa"/>
            <w:vAlign w:val="top"/>
          </w:tcPr>
          <w:p w14:paraId="25F56BD5">
            <w:pPr>
              <w:rPr>
                <w:rFonts w:ascii="Arial"/>
                <w:sz w:val="21"/>
                <w:highlight w:val="none"/>
              </w:rPr>
            </w:pPr>
          </w:p>
        </w:tc>
        <w:tc>
          <w:tcPr>
            <w:tcW w:w="876" w:type="dxa"/>
            <w:vAlign w:val="top"/>
          </w:tcPr>
          <w:p w14:paraId="5D1C0798">
            <w:pPr>
              <w:rPr>
                <w:rFonts w:ascii="Arial"/>
                <w:sz w:val="21"/>
                <w:highlight w:val="none"/>
              </w:rPr>
            </w:pPr>
          </w:p>
        </w:tc>
        <w:tc>
          <w:tcPr>
            <w:tcW w:w="1013" w:type="dxa"/>
            <w:vAlign w:val="top"/>
          </w:tcPr>
          <w:p w14:paraId="0EAB8251">
            <w:pPr>
              <w:rPr>
                <w:rFonts w:ascii="Arial"/>
                <w:sz w:val="21"/>
                <w:highlight w:val="none"/>
              </w:rPr>
            </w:pPr>
          </w:p>
        </w:tc>
        <w:tc>
          <w:tcPr>
            <w:tcW w:w="1473" w:type="dxa"/>
            <w:vAlign w:val="top"/>
          </w:tcPr>
          <w:p w14:paraId="4DF143C7">
            <w:pPr>
              <w:rPr>
                <w:rFonts w:ascii="Arial"/>
                <w:sz w:val="21"/>
                <w:highlight w:val="none"/>
              </w:rPr>
            </w:pPr>
          </w:p>
        </w:tc>
        <w:tc>
          <w:tcPr>
            <w:tcW w:w="1015" w:type="dxa"/>
            <w:vAlign w:val="top"/>
          </w:tcPr>
          <w:p w14:paraId="3A4EB918">
            <w:pPr>
              <w:rPr>
                <w:rFonts w:ascii="Arial"/>
                <w:sz w:val="21"/>
                <w:highlight w:val="none"/>
              </w:rPr>
            </w:pPr>
          </w:p>
        </w:tc>
        <w:tc>
          <w:tcPr>
            <w:tcW w:w="944" w:type="dxa"/>
            <w:tcBorders>
              <w:right w:val="single" w:color="000000" w:sz="10" w:space="0"/>
            </w:tcBorders>
            <w:vAlign w:val="top"/>
          </w:tcPr>
          <w:p w14:paraId="7013F73D">
            <w:pPr>
              <w:rPr>
                <w:rFonts w:ascii="Arial"/>
                <w:sz w:val="21"/>
                <w:highlight w:val="none"/>
              </w:rPr>
            </w:pPr>
          </w:p>
        </w:tc>
      </w:tr>
      <w:tr w14:paraId="74DFF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6EFE775B">
            <w:pPr>
              <w:rPr>
                <w:rFonts w:ascii="Arial"/>
                <w:sz w:val="21"/>
                <w:highlight w:val="none"/>
              </w:rPr>
            </w:pPr>
          </w:p>
        </w:tc>
        <w:tc>
          <w:tcPr>
            <w:tcW w:w="1413" w:type="dxa"/>
            <w:vAlign w:val="top"/>
          </w:tcPr>
          <w:p w14:paraId="381F37C1">
            <w:pPr>
              <w:rPr>
                <w:rFonts w:ascii="Arial"/>
                <w:sz w:val="21"/>
                <w:highlight w:val="none"/>
              </w:rPr>
            </w:pPr>
          </w:p>
        </w:tc>
        <w:tc>
          <w:tcPr>
            <w:tcW w:w="845" w:type="dxa"/>
            <w:vAlign w:val="top"/>
          </w:tcPr>
          <w:p w14:paraId="4DC289FD">
            <w:pPr>
              <w:rPr>
                <w:rFonts w:ascii="Arial"/>
                <w:sz w:val="21"/>
                <w:highlight w:val="none"/>
              </w:rPr>
            </w:pPr>
          </w:p>
        </w:tc>
        <w:tc>
          <w:tcPr>
            <w:tcW w:w="1051" w:type="dxa"/>
            <w:vAlign w:val="top"/>
          </w:tcPr>
          <w:p w14:paraId="0FDB1897">
            <w:pPr>
              <w:rPr>
                <w:rFonts w:ascii="Arial"/>
                <w:sz w:val="21"/>
                <w:highlight w:val="none"/>
              </w:rPr>
            </w:pPr>
          </w:p>
        </w:tc>
        <w:tc>
          <w:tcPr>
            <w:tcW w:w="876" w:type="dxa"/>
            <w:vAlign w:val="top"/>
          </w:tcPr>
          <w:p w14:paraId="14AFAA64">
            <w:pPr>
              <w:rPr>
                <w:rFonts w:ascii="Arial"/>
                <w:sz w:val="21"/>
                <w:highlight w:val="none"/>
              </w:rPr>
            </w:pPr>
          </w:p>
        </w:tc>
        <w:tc>
          <w:tcPr>
            <w:tcW w:w="1013" w:type="dxa"/>
            <w:vAlign w:val="top"/>
          </w:tcPr>
          <w:p w14:paraId="423696B9">
            <w:pPr>
              <w:rPr>
                <w:rFonts w:ascii="Arial"/>
                <w:sz w:val="21"/>
                <w:highlight w:val="none"/>
              </w:rPr>
            </w:pPr>
          </w:p>
        </w:tc>
        <w:tc>
          <w:tcPr>
            <w:tcW w:w="1473" w:type="dxa"/>
            <w:vAlign w:val="top"/>
          </w:tcPr>
          <w:p w14:paraId="5AD28E2C">
            <w:pPr>
              <w:rPr>
                <w:rFonts w:ascii="Arial"/>
                <w:sz w:val="21"/>
                <w:highlight w:val="none"/>
              </w:rPr>
            </w:pPr>
          </w:p>
        </w:tc>
        <w:tc>
          <w:tcPr>
            <w:tcW w:w="1015" w:type="dxa"/>
            <w:vAlign w:val="top"/>
          </w:tcPr>
          <w:p w14:paraId="6544FCE7">
            <w:pPr>
              <w:rPr>
                <w:rFonts w:ascii="Arial"/>
                <w:sz w:val="21"/>
                <w:highlight w:val="none"/>
              </w:rPr>
            </w:pPr>
          </w:p>
        </w:tc>
        <w:tc>
          <w:tcPr>
            <w:tcW w:w="944" w:type="dxa"/>
            <w:tcBorders>
              <w:right w:val="single" w:color="000000" w:sz="10" w:space="0"/>
            </w:tcBorders>
            <w:vAlign w:val="top"/>
          </w:tcPr>
          <w:p w14:paraId="77545E66">
            <w:pPr>
              <w:rPr>
                <w:rFonts w:ascii="Arial"/>
                <w:sz w:val="21"/>
                <w:highlight w:val="none"/>
              </w:rPr>
            </w:pPr>
          </w:p>
        </w:tc>
      </w:tr>
      <w:tr w14:paraId="08C61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637D0AD5">
            <w:pPr>
              <w:rPr>
                <w:rFonts w:ascii="Arial"/>
                <w:sz w:val="21"/>
                <w:highlight w:val="none"/>
              </w:rPr>
            </w:pPr>
          </w:p>
        </w:tc>
        <w:tc>
          <w:tcPr>
            <w:tcW w:w="1413" w:type="dxa"/>
            <w:vAlign w:val="top"/>
          </w:tcPr>
          <w:p w14:paraId="38C00282">
            <w:pPr>
              <w:rPr>
                <w:rFonts w:ascii="Arial"/>
                <w:sz w:val="21"/>
                <w:highlight w:val="none"/>
              </w:rPr>
            </w:pPr>
          </w:p>
        </w:tc>
        <w:tc>
          <w:tcPr>
            <w:tcW w:w="845" w:type="dxa"/>
            <w:vAlign w:val="top"/>
          </w:tcPr>
          <w:p w14:paraId="1EB617B6">
            <w:pPr>
              <w:rPr>
                <w:rFonts w:ascii="Arial"/>
                <w:sz w:val="21"/>
                <w:highlight w:val="none"/>
              </w:rPr>
            </w:pPr>
          </w:p>
        </w:tc>
        <w:tc>
          <w:tcPr>
            <w:tcW w:w="1051" w:type="dxa"/>
            <w:vAlign w:val="top"/>
          </w:tcPr>
          <w:p w14:paraId="15ECCAA1">
            <w:pPr>
              <w:rPr>
                <w:rFonts w:ascii="Arial"/>
                <w:sz w:val="21"/>
                <w:highlight w:val="none"/>
              </w:rPr>
            </w:pPr>
          </w:p>
        </w:tc>
        <w:tc>
          <w:tcPr>
            <w:tcW w:w="876" w:type="dxa"/>
            <w:vAlign w:val="top"/>
          </w:tcPr>
          <w:p w14:paraId="26A261C8">
            <w:pPr>
              <w:rPr>
                <w:rFonts w:ascii="Arial"/>
                <w:sz w:val="21"/>
                <w:highlight w:val="none"/>
              </w:rPr>
            </w:pPr>
          </w:p>
        </w:tc>
        <w:tc>
          <w:tcPr>
            <w:tcW w:w="1013" w:type="dxa"/>
            <w:vAlign w:val="top"/>
          </w:tcPr>
          <w:p w14:paraId="6F36D4B6">
            <w:pPr>
              <w:rPr>
                <w:rFonts w:ascii="Arial"/>
                <w:sz w:val="21"/>
                <w:highlight w:val="none"/>
              </w:rPr>
            </w:pPr>
          </w:p>
        </w:tc>
        <w:tc>
          <w:tcPr>
            <w:tcW w:w="1473" w:type="dxa"/>
            <w:vAlign w:val="top"/>
          </w:tcPr>
          <w:p w14:paraId="39B46815">
            <w:pPr>
              <w:rPr>
                <w:rFonts w:ascii="Arial"/>
                <w:sz w:val="21"/>
                <w:highlight w:val="none"/>
              </w:rPr>
            </w:pPr>
          </w:p>
        </w:tc>
        <w:tc>
          <w:tcPr>
            <w:tcW w:w="1015" w:type="dxa"/>
            <w:vAlign w:val="top"/>
          </w:tcPr>
          <w:p w14:paraId="748811BA">
            <w:pPr>
              <w:rPr>
                <w:rFonts w:ascii="Arial"/>
                <w:sz w:val="21"/>
                <w:highlight w:val="none"/>
              </w:rPr>
            </w:pPr>
          </w:p>
        </w:tc>
        <w:tc>
          <w:tcPr>
            <w:tcW w:w="944" w:type="dxa"/>
            <w:tcBorders>
              <w:right w:val="single" w:color="000000" w:sz="10" w:space="0"/>
            </w:tcBorders>
            <w:vAlign w:val="top"/>
          </w:tcPr>
          <w:p w14:paraId="45002E12">
            <w:pPr>
              <w:rPr>
                <w:rFonts w:ascii="Arial"/>
                <w:sz w:val="21"/>
                <w:highlight w:val="none"/>
              </w:rPr>
            </w:pPr>
          </w:p>
        </w:tc>
      </w:tr>
      <w:tr w14:paraId="3E00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4D1C06F2">
            <w:pPr>
              <w:rPr>
                <w:rFonts w:ascii="Arial"/>
                <w:sz w:val="21"/>
                <w:highlight w:val="none"/>
              </w:rPr>
            </w:pPr>
          </w:p>
        </w:tc>
        <w:tc>
          <w:tcPr>
            <w:tcW w:w="1413" w:type="dxa"/>
            <w:vAlign w:val="top"/>
          </w:tcPr>
          <w:p w14:paraId="52F3921A">
            <w:pPr>
              <w:rPr>
                <w:rFonts w:ascii="Arial"/>
                <w:sz w:val="21"/>
                <w:highlight w:val="none"/>
              </w:rPr>
            </w:pPr>
          </w:p>
        </w:tc>
        <w:tc>
          <w:tcPr>
            <w:tcW w:w="845" w:type="dxa"/>
            <w:vAlign w:val="top"/>
          </w:tcPr>
          <w:p w14:paraId="2620730E">
            <w:pPr>
              <w:rPr>
                <w:rFonts w:ascii="Arial"/>
                <w:sz w:val="21"/>
                <w:highlight w:val="none"/>
              </w:rPr>
            </w:pPr>
          </w:p>
        </w:tc>
        <w:tc>
          <w:tcPr>
            <w:tcW w:w="1051" w:type="dxa"/>
            <w:vAlign w:val="top"/>
          </w:tcPr>
          <w:p w14:paraId="22899601">
            <w:pPr>
              <w:rPr>
                <w:rFonts w:ascii="Arial"/>
                <w:sz w:val="21"/>
                <w:highlight w:val="none"/>
              </w:rPr>
            </w:pPr>
          </w:p>
        </w:tc>
        <w:tc>
          <w:tcPr>
            <w:tcW w:w="876" w:type="dxa"/>
            <w:vAlign w:val="top"/>
          </w:tcPr>
          <w:p w14:paraId="5372AA8E">
            <w:pPr>
              <w:rPr>
                <w:rFonts w:ascii="Arial"/>
                <w:sz w:val="21"/>
                <w:highlight w:val="none"/>
              </w:rPr>
            </w:pPr>
          </w:p>
        </w:tc>
        <w:tc>
          <w:tcPr>
            <w:tcW w:w="1013" w:type="dxa"/>
            <w:vAlign w:val="top"/>
          </w:tcPr>
          <w:p w14:paraId="26198636">
            <w:pPr>
              <w:rPr>
                <w:rFonts w:ascii="Arial"/>
                <w:sz w:val="21"/>
                <w:highlight w:val="none"/>
              </w:rPr>
            </w:pPr>
          </w:p>
        </w:tc>
        <w:tc>
          <w:tcPr>
            <w:tcW w:w="1473" w:type="dxa"/>
            <w:vAlign w:val="top"/>
          </w:tcPr>
          <w:p w14:paraId="4C73855B">
            <w:pPr>
              <w:rPr>
                <w:rFonts w:ascii="Arial"/>
                <w:sz w:val="21"/>
                <w:highlight w:val="none"/>
              </w:rPr>
            </w:pPr>
          </w:p>
        </w:tc>
        <w:tc>
          <w:tcPr>
            <w:tcW w:w="1015" w:type="dxa"/>
            <w:vAlign w:val="top"/>
          </w:tcPr>
          <w:p w14:paraId="7711CC4A">
            <w:pPr>
              <w:rPr>
                <w:rFonts w:ascii="Arial"/>
                <w:sz w:val="21"/>
                <w:highlight w:val="none"/>
              </w:rPr>
            </w:pPr>
          </w:p>
        </w:tc>
        <w:tc>
          <w:tcPr>
            <w:tcW w:w="944" w:type="dxa"/>
            <w:tcBorders>
              <w:right w:val="single" w:color="000000" w:sz="10" w:space="0"/>
            </w:tcBorders>
            <w:vAlign w:val="top"/>
          </w:tcPr>
          <w:p w14:paraId="42812980">
            <w:pPr>
              <w:rPr>
                <w:rFonts w:ascii="Arial"/>
                <w:sz w:val="21"/>
                <w:highlight w:val="none"/>
              </w:rPr>
            </w:pPr>
          </w:p>
        </w:tc>
      </w:tr>
      <w:tr w14:paraId="0621B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5" w:type="dxa"/>
            <w:tcBorders>
              <w:left w:val="single" w:color="000000" w:sz="10" w:space="0"/>
            </w:tcBorders>
            <w:vAlign w:val="top"/>
          </w:tcPr>
          <w:p w14:paraId="708B2BD6">
            <w:pPr>
              <w:rPr>
                <w:rFonts w:ascii="Arial"/>
                <w:sz w:val="21"/>
                <w:highlight w:val="none"/>
              </w:rPr>
            </w:pPr>
          </w:p>
        </w:tc>
        <w:tc>
          <w:tcPr>
            <w:tcW w:w="1413" w:type="dxa"/>
            <w:vAlign w:val="top"/>
          </w:tcPr>
          <w:p w14:paraId="385AE1C8">
            <w:pPr>
              <w:rPr>
                <w:rFonts w:ascii="Arial"/>
                <w:sz w:val="21"/>
                <w:highlight w:val="none"/>
              </w:rPr>
            </w:pPr>
          </w:p>
        </w:tc>
        <w:tc>
          <w:tcPr>
            <w:tcW w:w="845" w:type="dxa"/>
            <w:vAlign w:val="top"/>
          </w:tcPr>
          <w:p w14:paraId="22A23F1D">
            <w:pPr>
              <w:rPr>
                <w:rFonts w:ascii="Arial"/>
                <w:sz w:val="21"/>
                <w:highlight w:val="none"/>
              </w:rPr>
            </w:pPr>
          </w:p>
        </w:tc>
        <w:tc>
          <w:tcPr>
            <w:tcW w:w="1051" w:type="dxa"/>
            <w:vAlign w:val="top"/>
          </w:tcPr>
          <w:p w14:paraId="749E36ED">
            <w:pPr>
              <w:rPr>
                <w:rFonts w:ascii="Arial"/>
                <w:sz w:val="21"/>
                <w:highlight w:val="none"/>
              </w:rPr>
            </w:pPr>
          </w:p>
        </w:tc>
        <w:tc>
          <w:tcPr>
            <w:tcW w:w="876" w:type="dxa"/>
            <w:vAlign w:val="top"/>
          </w:tcPr>
          <w:p w14:paraId="328D8A8A">
            <w:pPr>
              <w:rPr>
                <w:rFonts w:ascii="Arial"/>
                <w:sz w:val="21"/>
                <w:highlight w:val="none"/>
              </w:rPr>
            </w:pPr>
          </w:p>
        </w:tc>
        <w:tc>
          <w:tcPr>
            <w:tcW w:w="1013" w:type="dxa"/>
            <w:vAlign w:val="top"/>
          </w:tcPr>
          <w:p w14:paraId="5B9DAE5B">
            <w:pPr>
              <w:rPr>
                <w:rFonts w:ascii="Arial"/>
                <w:sz w:val="21"/>
                <w:highlight w:val="none"/>
              </w:rPr>
            </w:pPr>
          </w:p>
        </w:tc>
        <w:tc>
          <w:tcPr>
            <w:tcW w:w="1473" w:type="dxa"/>
            <w:vAlign w:val="top"/>
          </w:tcPr>
          <w:p w14:paraId="603C9280">
            <w:pPr>
              <w:rPr>
                <w:rFonts w:ascii="Arial"/>
                <w:sz w:val="21"/>
                <w:highlight w:val="none"/>
              </w:rPr>
            </w:pPr>
          </w:p>
        </w:tc>
        <w:tc>
          <w:tcPr>
            <w:tcW w:w="1015" w:type="dxa"/>
            <w:vAlign w:val="top"/>
          </w:tcPr>
          <w:p w14:paraId="46ECD29D">
            <w:pPr>
              <w:rPr>
                <w:rFonts w:ascii="Arial"/>
                <w:sz w:val="21"/>
                <w:highlight w:val="none"/>
              </w:rPr>
            </w:pPr>
          </w:p>
        </w:tc>
        <w:tc>
          <w:tcPr>
            <w:tcW w:w="944" w:type="dxa"/>
            <w:tcBorders>
              <w:right w:val="single" w:color="000000" w:sz="10" w:space="0"/>
            </w:tcBorders>
            <w:vAlign w:val="top"/>
          </w:tcPr>
          <w:p w14:paraId="2D651166">
            <w:pPr>
              <w:rPr>
                <w:rFonts w:ascii="Arial"/>
                <w:sz w:val="21"/>
                <w:highlight w:val="none"/>
              </w:rPr>
            </w:pPr>
          </w:p>
        </w:tc>
      </w:tr>
      <w:tr w14:paraId="5A2F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85" w:type="dxa"/>
            <w:tcBorders>
              <w:left w:val="single" w:color="000000" w:sz="10" w:space="0"/>
            </w:tcBorders>
            <w:vAlign w:val="top"/>
          </w:tcPr>
          <w:p w14:paraId="227A3168">
            <w:pPr>
              <w:rPr>
                <w:rFonts w:ascii="Arial"/>
                <w:sz w:val="21"/>
                <w:highlight w:val="none"/>
              </w:rPr>
            </w:pPr>
          </w:p>
        </w:tc>
        <w:tc>
          <w:tcPr>
            <w:tcW w:w="1413" w:type="dxa"/>
            <w:vAlign w:val="top"/>
          </w:tcPr>
          <w:p w14:paraId="604CA00D">
            <w:pPr>
              <w:rPr>
                <w:rFonts w:ascii="Arial"/>
                <w:sz w:val="21"/>
                <w:highlight w:val="none"/>
              </w:rPr>
            </w:pPr>
          </w:p>
        </w:tc>
        <w:tc>
          <w:tcPr>
            <w:tcW w:w="845" w:type="dxa"/>
            <w:vAlign w:val="top"/>
          </w:tcPr>
          <w:p w14:paraId="6E50315B">
            <w:pPr>
              <w:rPr>
                <w:rFonts w:ascii="Arial"/>
                <w:sz w:val="21"/>
                <w:highlight w:val="none"/>
              </w:rPr>
            </w:pPr>
          </w:p>
        </w:tc>
        <w:tc>
          <w:tcPr>
            <w:tcW w:w="1051" w:type="dxa"/>
            <w:vAlign w:val="top"/>
          </w:tcPr>
          <w:p w14:paraId="00C4F9C1">
            <w:pPr>
              <w:rPr>
                <w:rFonts w:ascii="Arial"/>
                <w:sz w:val="21"/>
                <w:highlight w:val="none"/>
              </w:rPr>
            </w:pPr>
          </w:p>
        </w:tc>
        <w:tc>
          <w:tcPr>
            <w:tcW w:w="876" w:type="dxa"/>
            <w:vAlign w:val="top"/>
          </w:tcPr>
          <w:p w14:paraId="4CAD39A0">
            <w:pPr>
              <w:rPr>
                <w:rFonts w:ascii="Arial"/>
                <w:sz w:val="21"/>
                <w:highlight w:val="none"/>
              </w:rPr>
            </w:pPr>
          </w:p>
        </w:tc>
        <w:tc>
          <w:tcPr>
            <w:tcW w:w="1013" w:type="dxa"/>
            <w:vAlign w:val="top"/>
          </w:tcPr>
          <w:p w14:paraId="3B65829E">
            <w:pPr>
              <w:rPr>
                <w:rFonts w:ascii="Arial"/>
                <w:sz w:val="21"/>
                <w:highlight w:val="none"/>
              </w:rPr>
            </w:pPr>
          </w:p>
        </w:tc>
        <w:tc>
          <w:tcPr>
            <w:tcW w:w="1473" w:type="dxa"/>
            <w:vAlign w:val="top"/>
          </w:tcPr>
          <w:p w14:paraId="7BED4963">
            <w:pPr>
              <w:rPr>
                <w:rFonts w:ascii="Arial"/>
                <w:sz w:val="21"/>
                <w:highlight w:val="none"/>
              </w:rPr>
            </w:pPr>
          </w:p>
        </w:tc>
        <w:tc>
          <w:tcPr>
            <w:tcW w:w="1015" w:type="dxa"/>
            <w:vAlign w:val="top"/>
          </w:tcPr>
          <w:p w14:paraId="3E24B4D9">
            <w:pPr>
              <w:rPr>
                <w:rFonts w:ascii="Arial"/>
                <w:sz w:val="21"/>
                <w:highlight w:val="none"/>
              </w:rPr>
            </w:pPr>
          </w:p>
        </w:tc>
        <w:tc>
          <w:tcPr>
            <w:tcW w:w="944" w:type="dxa"/>
            <w:tcBorders>
              <w:right w:val="single" w:color="000000" w:sz="10" w:space="0"/>
            </w:tcBorders>
            <w:vAlign w:val="top"/>
          </w:tcPr>
          <w:p w14:paraId="1A72C1BD">
            <w:pPr>
              <w:rPr>
                <w:rFonts w:ascii="Arial"/>
                <w:sz w:val="21"/>
                <w:highlight w:val="none"/>
              </w:rPr>
            </w:pPr>
          </w:p>
        </w:tc>
      </w:tr>
      <w:tr w14:paraId="08EB7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5" w:type="dxa"/>
            <w:tcBorders>
              <w:left w:val="single" w:color="000000" w:sz="10" w:space="0"/>
            </w:tcBorders>
            <w:vAlign w:val="top"/>
          </w:tcPr>
          <w:p w14:paraId="65DA0BFA">
            <w:pPr>
              <w:rPr>
                <w:rFonts w:ascii="Arial"/>
                <w:sz w:val="21"/>
                <w:highlight w:val="none"/>
              </w:rPr>
            </w:pPr>
          </w:p>
        </w:tc>
        <w:tc>
          <w:tcPr>
            <w:tcW w:w="1413" w:type="dxa"/>
            <w:vAlign w:val="top"/>
          </w:tcPr>
          <w:p w14:paraId="63025491">
            <w:pPr>
              <w:rPr>
                <w:rFonts w:ascii="Arial"/>
                <w:sz w:val="21"/>
                <w:highlight w:val="none"/>
              </w:rPr>
            </w:pPr>
          </w:p>
        </w:tc>
        <w:tc>
          <w:tcPr>
            <w:tcW w:w="845" w:type="dxa"/>
            <w:vAlign w:val="top"/>
          </w:tcPr>
          <w:p w14:paraId="32D4C3B9">
            <w:pPr>
              <w:rPr>
                <w:rFonts w:ascii="Arial"/>
                <w:sz w:val="21"/>
                <w:highlight w:val="none"/>
              </w:rPr>
            </w:pPr>
          </w:p>
        </w:tc>
        <w:tc>
          <w:tcPr>
            <w:tcW w:w="1051" w:type="dxa"/>
            <w:vAlign w:val="top"/>
          </w:tcPr>
          <w:p w14:paraId="6A436E34">
            <w:pPr>
              <w:rPr>
                <w:rFonts w:ascii="Arial"/>
                <w:sz w:val="21"/>
                <w:highlight w:val="none"/>
              </w:rPr>
            </w:pPr>
          </w:p>
        </w:tc>
        <w:tc>
          <w:tcPr>
            <w:tcW w:w="876" w:type="dxa"/>
            <w:vAlign w:val="top"/>
          </w:tcPr>
          <w:p w14:paraId="5AD9ABD1">
            <w:pPr>
              <w:rPr>
                <w:rFonts w:ascii="Arial"/>
                <w:sz w:val="21"/>
                <w:highlight w:val="none"/>
              </w:rPr>
            </w:pPr>
          </w:p>
        </w:tc>
        <w:tc>
          <w:tcPr>
            <w:tcW w:w="1013" w:type="dxa"/>
            <w:vAlign w:val="top"/>
          </w:tcPr>
          <w:p w14:paraId="1307052C">
            <w:pPr>
              <w:rPr>
                <w:rFonts w:ascii="Arial"/>
                <w:sz w:val="21"/>
                <w:highlight w:val="none"/>
              </w:rPr>
            </w:pPr>
          </w:p>
        </w:tc>
        <w:tc>
          <w:tcPr>
            <w:tcW w:w="1473" w:type="dxa"/>
            <w:vAlign w:val="top"/>
          </w:tcPr>
          <w:p w14:paraId="0BE61018">
            <w:pPr>
              <w:rPr>
                <w:rFonts w:ascii="Arial"/>
                <w:sz w:val="21"/>
                <w:highlight w:val="none"/>
              </w:rPr>
            </w:pPr>
          </w:p>
        </w:tc>
        <w:tc>
          <w:tcPr>
            <w:tcW w:w="1015" w:type="dxa"/>
            <w:vAlign w:val="top"/>
          </w:tcPr>
          <w:p w14:paraId="733858BA">
            <w:pPr>
              <w:rPr>
                <w:rFonts w:ascii="Arial"/>
                <w:sz w:val="21"/>
                <w:highlight w:val="none"/>
              </w:rPr>
            </w:pPr>
          </w:p>
        </w:tc>
        <w:tc>
          <w:tcPr>
            <w:tcW w:w="944" w:type="dxa"/>
            <w:tcBorders>
              <w:right w:val="single" w:color="000000" w:sz="10" w:space="0"/>
            </w:tcBorders>
            <w:vAlign w:val="top"/>
          </w:tcPr>
          <w:p w14:paraId="11420B97">
            <w:pPr>
              <w:rPr>
                <w:rFonts w:ascii="Arial"/>
                <w:sz w:val="21"/>
                <w:highlight w:val="none"/>
              </w:rPr>
            </w:pPr>
          </w:p>
        </w:tc>
      </w:tr>
      <w:tr w14:paraId="5E819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185" w:type="dxa"/>
            <w:tcBorders>
              <w:left w:val="single" w:color="000000" w:sz="10" w:space="0"/>
              <w:bottom w:val="single" w:color="000000" w:sz="10" w:space="0"/>
            </w:tcBorders>
            <w:vAlign w:val="top"/>
          </w:tcPr>
          <w:p w14:paraId="014AF99C">
            <w:pPr>
              <w:rPr>
                <w:rFonts w:ascii="Arial"/>
                <w:sz w:val="21"/>
                <w:highlight w:val="none"/>
              </w:rPr>
            </w:pPr>
          </w:p>
        </w:tc>
        <w:tc>
          <w:tcPr>
            <w:tcW w:w="1413" w:type="dxa"/>
            <w:tcBorders>
              <w:bottom w:val="single" w:color="000000" w:sz="10" w:space="0"/>
            </w:tcBorders>
            <w:vAlign w:val="top"/>
          </w:tcPr>
          <w:p w14:paraId="57307A5F">
            <w:pPr>
              <w:rPr>
                <w:rFonts w:ascii="Arial"/>
                <w:sz w:val="21"/>
                <w:highlight w:val="none"/>
              </w:rPr>
            </w:pPr>
          </w:p>
        </w:tc>
        <w:tc>
          <w:tcPr>
            <w:tcW w:w="845" w:type="dxa"/>
            <w:tcBorders>
              <w:bottom w:val="single" w:color="000000" w:sz="10" w:space="0"/>
            </w:tcBorders>
            <w:vAlign w:val="top"/>
          </w:tcPr>
          <w:p w14:paraId="41B681EA">
            <w:pPr>
              <w:rPr>
                <w:rFonts w:ascii="Arial"/>
                <w:sz w:val="21"/>
                <w:highlight w:val="none"/>
              </w:rPr>
            </w:pPr>
          </w:p>
        </w:tc>
        <w:tc>
          <w:tcPr>
            <w:tcW w:w="1051" w:type="dxa"/>
            <w:tcBorders>
              <w:bottom w:val="single" w:color="000000" w:sz="10" w:space="0"/>
            </w:tcBorders>
            <w:vAlign w:val="top"/>
          </w:tcPr>
          <w:p w14:paraId="73D69A09">
            <w:pPr>
              <w:rPr>
                <w:rFonts w:ascii="Arial"/>
                <w:sz w:val="21"/>
                <w:highlight w:val="none"/>
              </w:rPr>
            </w:pPr>
          </w:p>
        </w:tc>
        <w:tc>
          <w:tcPr>
            <w:tcW w:w="876" w:type="dxa"/>
            <w:tcBorders>
              <w:bottom w:val="single" w:color="000000" w:sz="10" w:space="0"/>
            </w:tcBorders>
            <w:vAlign w:val="top"/>
          </w:tcPr>
          <w:p w14:paraId="45941C4D">
            <w:pPr>
              <w:rPr>
                <w:rFonts w:ascii="Arial"/>
                <w:sz w:val="21"/>
                <w:highlight w:val="none"/>
              </w:rPr>
            </w:pPr>
          </w:p>
        </w:tc>
        <w:tc>
          <w:tcPr>
            <w:tcW w:w="1013" w:type="dxa"/>
            <w:tcBorders>
              <w:bottom w:val="single" w:color="000000" w:sz="10" w:space="0"/>
            </w:tcBorders>
            <w:vAlign w:val="top"/>
          </w:tcPr>
          <w:p w14:paraId="3157791F">
            <w:pPr>
              <w:rPr>
                <w:rFonts w:ascii="Arial"/>
                <w:sz w:val="21"/>
                <w:highlight w:val="none"/>
              </w:rPr>
            </w:pPr>
          </w:p>
        </w:tc>
        <w:tc>
          <w:tcPr>
            <w:tcW w:w="1473" w:type="dxa"/>
            <w:tcBorders>
              <w:bottom w:val="single" w:color="000000" w:sz="10" w:space="0"/>
            </w:tcBorders>
            <w:vAlign w:val="top"/>
          </w:tcPr>
          <w:p w14:paraId="1DD6AA17">
            <w:pPr>
              <w:rPr>
                <w:rFonts w:ascii="Arial"/>
                <w:sz w:val="21"/>
                <w:highlight w:val="none"/>
              </w:rPr>
            </w:pPr>
          </w:p>
        </w:tc>
        <w:tc>
          <w:tcPr>
            <w:tcW w:w="1015" w:type="dxa"/>
            <w:tcBorders>
              <w:bottom w:val="single" w:color="000000" w:sz="10" w:space="0"/>
            </w:tcBorders>
            <w:vAlign w:val="top"/>
          </w:tcPr>
          <w:p w14:paraId="45F98733">
            <w:pPr>
              <w:rPr>
                <w:rFonts w:ascii="Arial"/>
                <w:sz w:val="21"/>
                <w:highlight w:val="none"/>
              </w:rPr>
            </w:pPr>
          </w:p>
        </w:tc>
        <w:tc>
          <w:tcPr>
            <w:tcW w:w="944" w:type="dxa"/>
            <w:tcBorders>
              <w:bottom w:val="single" w:color="000000" w:sz="10" w:space="0"/>
              <w:right w:val="single" w:color="000000" w:sz="10" w:space="0"/>
            </w:tcBorders>
            <w:vAlign w:val="top"/>
          </w:tcPr>
          <w:p w14:paraId="785211C0">
            <w:pPr>
              <w:rPr>
                <w:rFonts w:ascii="Arial"/>
                <w:sz w:val="21"/>
                <w:highlight w:val="none"/>
              </w:rPr>
            </w:pPr>
          </w:p>
        </w:tc>
      </w:tr>
    </w:tbl>
    <w:p w14:paraId="6F1E59DE">
      <w:pPr>
        <w:pStyle w:val="3"/>
        <w:rPr>
          <w:highlight w:val="none"/>
        </w:rPr>
      </w:pPr>
    </w:p>
    <w:p w14:paraId="2F0CE327">
      <w:pPr>
        <w:rPr>
          <w:highlight w:val="none"/>
        </w:rPr>
        <w:sectPr>
          <w:footerReference r:id="rId63" w:type="default"/>
          <w:pgSz w:w="11909" w:h="16841"/>
          <w:pgMar w:top="1431" w:right="988" w:bottom="1045" w:left="1080" w:header="0" w:footer="814" w:gutter="0"/>
          <w:cols w:space="720" w:num="1"/>
        </w:sectPr>
      </w:pPr>
    </w:p>
    <w:p w14:paraId="1F144E6B">
      <w:pPr>
        <w:spacing w:before="68" w:line="219" w:lineRule="auto"/>
        <w:ind w:left="18"/>
        <w:rPr>
          <w:rFonts w:ascii="宋体" w:hAnsi="宋体" w:eastAsia="宋体" w:cs="宋体"/>
          <w:sz w:val="24"/>
          <w:szCs w:val="24"/>
          <w:highlight w:val="none"/>
        </w:rPr>
      </w:pPr>
      <w:r>
        <w:rPr>
          <w:rFonts w:ascii="宋体" w:hAnsi="宋体" w:eastAsia="宋体" w:cs="宋体"/>
          <w:spacing w:val="-3"/>
          <w:sz w:val="24"/>
          <w:szCs w:val="24"/>
          <w:highlight w:val="none"/>
        </w:rPr>
        <w:t>附件6：</w:t>
      </w:r>
    </w:p>
    <w:p w14:paraId="5CAD406D">
      <w:pPr>
        <w:spacing w:before="286" w:line="220" w:lineRule="auto"/>
        <w:ind w:left="3447"/>
        <w:rPr>
          <w:rFonts w:ascii="宋体" w:hAnsi="宋体" w:eastAsia="宋体" w:cs="宋体"/>
          <w:sz w:val="24"/>
          <w:szCs w:val="24"/>
          <w:highlight w:val="none"/>
        </w:rPr>
      </w:pPr>
      <w:r>
        <w:rPr>
          <w:rFonts w:ascii="宋体" w:hAnsi="宋体" w:eastAsia="宋体" w:cs="宋体"/>
          <w:spacing w:val="-3"/>
          <w:sz w:val="24"/>
          <w:szCs w:val="24"/>
          <w:highlight w:val="none"/>
        </w:rPr>
        <w:t>承包人主要施工管理人员表</w:t>
      </w:r>
    </w:p>
    <w:p w14:paraId="2DB686C3">
      <w:pPr>
        <w:spacing w:line="131" w:lineRule="exact"/>
        <w:rPr>
          <w:highlight w:val="none"/>
        </w:rPr>
      </w:pPr>
    </w:p>
    <w:tbl>
      <w:tblPr>
        <w:tblStyle w:val="24"/>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175"/>
        <w:gridCol w:w="967"/>
        <w:gridCol w:w="1091"/>
        <w:gridCol w:w="3225"/>
        <w:gridCol w:w="1931"/>
      </w:tblGrid>
      <w:tr w14:paraId="44D0D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53" w:type="dxa"/>
            <w:vAlign w:val="top"/>
          </w:tcPr>
          <w:p w14:paraId="03EC279D">
            <w:pPr>
              <w:spacing w:before="306" w:line="222" w:lineRule="auto"/>
              <w:ind w:left="408"/>
              <w:rPr>
                <w:rFonts w:ascii="宋体" w:hAnsi="宋体" w:eastAsia="宋体" w:cs="宋体"/>
                <w:sz w:val="24"/>
                <w:szCs w:val="24"/>
                <w:highlight w:val="none"/>
              </w:rPr>
            </w:pPr>
            <w:r>
              <w:rPr>
                <w:rFonts w:ascii="宋体" w:hAnsi="宋体" w:eastAsia="宋体" w:cs="宋体"/>
                <w:spacing w:val="-7"/>
                <w:sz w:val="24"/>
                <w:szCs w:val="24"/>
                <w:highlight w:val="none"/>
              </w:rPr>
              <w:t>名称</w:t>
            </w:r>
          </w:p>
        </w:tc>
        <w:tc>
          <w:tcPr>
            <w:tcW w:w="1175" w:type="dxa"/>
            <w:vAlign w:val="top"/>
          </w:tcPr>
          <w:p w14:paraId="702880AB">
            <w:pPr>
              <w:spacing w:before="304" w:line="220" w:lineRule="auto"/>
              <w:ind w:left="357"/>
              <w:rPr>
                <w:rFonts w:ascii="宋体" w:hAnsi="宋体" w:eastAsia="宋体" w:cs="宋体"/>
                <w:sz w:val="24"/>
                <w:szCs w:val="24"/>
                <w:highlight w:val="none"/>
              </w:rPr>
            </w:pPr>
            <w:r>
              <w:rPr>
                <w:rFonts w:ascii="宋体" w:hAnsi="宋体" w:eastAsia="宋体" w:cs="宋体"/>
                <w:spacing w:val="-4"/>
                <w:sz w:val="24"/>
                <w:szCs w:val="24"/>
                <w:highlight w:val="none"/>
              </w:rPr>
              <w:t>姓名</w:t>
            </w:r>
          </w:p>
        </w:tc>
        <w:tc>
          <w:tcPr>
            <w:tcW w:w="967" w:type="dxa"/>
            <w:vAlign w:val="top"/>
          </w:tcPr>
          <w:p w14:paraId="087D1B45">
            <w:pPr>
              <w:spacing w:before="304" w:line="220" w:lineRule="auto"/>
              <w:ind w:left="256"/>
              <w:rPr>
                <w:rFonts w:ascii="宋体" w:hAnsi="宋体" w:eastAsia="宋体" w:cs="宋体"/>
                <w:sz w:val="24"/>
                <w:szCs w:val="24"/>
                <w:highlight w:val="none"/>
              </w:rPr>
            </w:pPr>
            <w:r>
              <w:rPr>
                <w:rFonts w:ascii="宋体" w:hAnsi="宋体" w:eastAsia="宋体" w:cs="宋体"/>
                <w:spacing w:val="-4"/>
                <w:sz w:val="24"/>
                <w:szCs w:val="24"/>
                <w:highlight w:val="none"/>
              </w:rPr>
              <w:t>职务</w:t>
            </w:r>
          </w:p>
        </w:tc>
        <w:tc>
          <w:tcPr>
            <w:tcW w:w="1091" w:type="dxa"/>
            <w:vAlign w:val="top"/>
          </w:tcPr>
          <w:p w14:paraId="3941D490">
            <w:pPr>
              <w:spacing w:before="306" w:line="222" w:lineRule="auto"/>
              <w:ind w:left="319"/>
              <w:rPr>
                <w:rFonts w:ascii="宋体" w:hAnsi="宋体" w:eastAsia="宋体" w:cs="宋体"/>
                <w:sz w:val="24"/>
                <w:szCs w:val="24"/>
                <w:highlight w:val="none"/>
              </w:rPr>
            </w:pPr>
            <w:r>
              <w:rPr>
                <w:rFonts w:ascii="宋体" w:hAnsi="宋体" w:eastAsia="宋体" w:cs="宋体"/>
                <w:spacing w:val="-4"/>
                <w:sz w:val="24"/>
                <w:szCs w:val="24"/>
                <w:highlight w:val="none"/>
              </w:rPr>
              <w:t>职称</w:t>
            </w:r>
          </w:p>
        </w:tc>
        <w:tc>
          <w:tcPr>
            <w:tcW w:w="3225" w:type="dxa"/>
            <w:vAlign w:val="top"/>
          </w:tcPr>
          <w:p w14:paraId="697694E0">
            <w:pPr>
              <w:spacing w:before="160" w:line="220" w:lineRule="auto"/>
              <w:ind w:left="74"/>
              <w:rPr>
                <w:rFonts w:ascii="宋体" w:hAnsi="宋体" w:eastAsia="宋体" w:cs="宋体"/>
                <w:sz w:val="24"/>
                <w:szCs w:val="24"/>
                <w:highlight w:val="none"/>
              </w:rPr>
            </w:pPr>
            <w:r>
              <w:rPr>
                <w:rFonts w:ascii="宋体" w:hAnsi="宋体" w:eastAsia="宋体" w:cs="宋体"/>
                <w:spacing w:val="-3"/>
                <w:sz w:val="24"/>
                <w:szCs w:val="24"/>
                <w:highlight w:val="none"/>
              </w:rPr>
              <w:t>主要资历、经验及承担过的项</w:t>
            </w:r>
          </w:p>
          <w:p w14:paraId="4D2C7328">
            <w:pPr>
              <w:spacing w:before="1" w:line="205" w:lineRule="auto"/>
              <w:ind w:left="1546"/>
              <w:rPr>
                <w:rFonts w:ascii="宋体" w:hAnsi="宋体" w:eastAsia="宋体" w:cs="宋体"/>
                <w:sz w:val="24"/>
                <w:szCs w:val="24"/>
                <w:highlight w:val="none"/>
              </w:rPr>
            </w:pPr>
            <w:r>
              <w:rPr>
                <w:rFonts w:ascii="宋体" w:hAnsi="宋体" w:eastAsia="宋体" w:cs="宋体"/>
                <w:sz w:val="24"/>
                <w:szCs w:val="24"/>
                <w:highlight w:val="none"/>
              </w:rPr>
              <w:t>目</w:t>
            </w:r>
          </w:p>
        </w:tc>
        <w:tc>
          <w:tcPr>
            <w:tcW w:w="1931" w:type="dxa"/>
            <w:vAlign w:val="top"/>
          </w:tcPr>
          <w:p w14:paraId="46F7B200">
            <w:pPr>
              <w:spacing w:before="304" w:line="220" w:lineRule="auto"/>
              <w:ind w:left="392"/>
              <w:rPr>
                <w:rFonts w:ascii="宋体" w:hAnsi="宋体" w:eastAsia="宋体" w:cs="宋体"/>
                <w:sz w:val="24"/>
                <w:szCs w:val="24"/>
                <w:highlight w:val="none"/>
              </w:rPr>
            </w:pPr>
            <w:r>
              <w:rPr>
                <w:rFonts w:ascii="宋体" w:hAnsi="宋体" w:eastAsia="宋体" w:cs="宋体"/>
                <w:spacing w:val="-7"/>
                <w:sz w:val="24"/>
                <w:szCs w:val="24"/>
                <w:highlight w:val="none"/>
              </w:rPr>
              <w:t>身份证号码</w:t>
            </w:r>
          </w:p>
        </w:tc>
      </w:tr>
      <w:tr w14:paraId="70BCC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253" w:type="dxa"/>
            <w:vAlign w:val="top"/>
          </w:tcPr>
          <w:p w14:paraId="46D0073F">
            <w:pPr>
              <w:rPr>
                <w:rFonts w:ascii="Arial"/>
                <w:sz w:val="21"/>
                <w:highlight w:val="none"/>
              </w:rPr>
            </w:pPr>
          </w:p>
        </w:tc>
        <w:tc>
          <w:tcPr>
            <w:tcW w:w="1175" w:type="dxa"/>
            <w:vAlign w:val="top"/>
          </w:tcPr>
          <w:p w14:paraId="2FB12611">
            <w:pPr>
              <w:rPr>
                <w:rFonts w:ascii="Arial"/>
                <w:sz w:val="21"/>
                <w:highlight w:val="none"/>
              </w:rPr>
            </w:pPr>
          </w:p>
        </w:tc>
        <w:tc>
          <w:tcPr>
            <w:tcW w:w="967" w:type="dxa"/>
            <w:vAlign w:val="top"/>
          </w:tcPr>
          <w:p w14:paraId="01CECFFC">
            <w:pPr>
              <w:rPr>
                <w:rFonts w:ascii="Arial"/>
                <w:sz w:val="21"/>
                <w:highlight w:val="none"/>
              </w:rPr>
            </w:pPr>
          </w:p>
        </w:tc>
        <w:tc>
          <w:tcPr>
            <w:tcW w:w="1091" w:type="dxa"/>
            <w:vAlign w:val="top"/>
          </w:tcPr>
          <w:p w14:paraId="453F914F">
            <w:pPr>
              <w:rPr>
                <w:rFonts w:ascii="Arial"/>
                <w:sz w:val="21"/>
                <w:highlight w:val="none"/>
              </w:rPr>
            </w:pPr>
          </w:p>
        </w:tc>
        <w:tc>
          <w:tcPr>
            <w:tcW w:w="3225" w:type="dxa"/>
            <w:vAlign w:val="top"/>
          </w:tcPr>
          <w:p w14:paraId="3C9A47A2">
            <w:pPr>
              <w:rPr>
                <w:rFonts w:ascii="Arial"/>
                <w:sz w:val="21"/>
                <w:highlight w:val="none"/>
              </w:rPr>
            </w:pPr>
          </w:p>
        </w:tc>
        <w:tc>
          <w:tcPr>
            <w:tcW w:w="1931" w:type="dxa"/>
            <w:vAlign w:val="top"/>
          </w:tcPr>
          <w:p w14:paraId="7647F10D">
            <w:pPr>
              <w:rPr>
                <w:rFonts w:ascii="Arial"/>
                <w:sz w:val="21"/>
                <w:highlight w:val="none"/>
              </w:rPr>
            </w:pPr>
          </w:p>
        </w:tc>
      </w:tr>
      <w:tr w14:paraId="62F2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253" w:type="dxa"/>
            <w:tcBorders>
              <w:right w:val="nil"/>
            </w:tcBorders>
            <w:vAlign w:val="top"/>
          </w:tcPr>
          <w:p w14:paraId="6C849ECA">
            <w:pPr>
              <w:rPr>
                <w:rFonts w:ascii="Arial"/>
                <w:sz w:val="21"/>
                <w:highlight w:val="none"/>
              </w:rPr>
            </w:pPr>
          </w:p>
        </w:tc>
        <w:tc>
          <w:tcPr>
            <w:tcW w:w="1175" w:type="dxa"/>
            <w:tcBorders>
              <w:left w:val="nil"/>
              <w:right w:val="nil"/>
            </w:tcBorders>
            <w:vAlign w:val="top"/>
          </w:tcPr>
          <w:p w14:paraId="659C41C1">
            <w:pPr>
              <w:rPr>
                <w:rFonts w:ascii="Arial"/>
                <w:sz w:val="21"/>
                <w:highlight w:val="none"/>
              </w:rPr>
            </w:pPr>
          </w:p>
        </w:tc>
        <w:tc>
          <w:tcPr>
            <w:tcW w:w="967" w:type="dxa"/>
            <w:tcBorders>
              <w:left w:val="nil"/>
              <w:right w:val="nil"/>
            </w:tcBorders>
            <w:vAlign w:val="top"/>
          </w:tcPr>
          <w:p w14:paraId="45AEFC43">
            <w:pPr>
              <w:rPr>
                <w:rFonts w:ascii="Arial"/>
                <w:sz w:val="21"/>
                <w:highlight w:val="none"/>
              </w:rPr>
            </w:pPr>
          </w:p>
        </w:tc>
        <w:tc>
          <w:tcPr>
            <w:tcW w:w="1091" w:type="dxa"/>
            <w:tcBorders>
              <w:left w:val="nil"/>
              <w:right w:val="nil"/>
            </w:tcBorders>
            <w:vAlign w:val="top"/>
          </w:tcPr>
          <w:p w14:paraId="6792457A">
            <w:pPr>
              <w:rPr>
                <w:rFonts w:ascii="Arial"/>
                <w:sz w:val="21"/>
                <w:highlight w:val="none"/>
              </w:rPr>
            </w:pPr>
          </w:p>
        </w:tc>
        <w:tc>
          <w:tcPr>
            <w:tcW w:w="3225" w:type="dxa"/>
            <w:tcBorders>
              <w:left w:val="nil"/>
              <w:right w:val="nil"/>
            </w:tcBorders>
            <w:vAlign w:val="top"/>
          </w:tcPr>
          <w:p w14:paraId="2FAC5658">
            <w:pPr>
              <w:spacing w:before="156" w:line="220" w:lineRule="auto"/>
              <w:ind w:left="530"/>
              <w:rPr>
                <w:rFonts w:ascii="宋体" w:hAnsi="宋体" w:eastAsia="宋体" w:cs="宋体"/>
                <w:sz w:val="24"/>
                <w:szCs w:val="24"/>
                <w:highlight w:val="none"/>
              </w:rPr>
            </w:pPr>
            <w:r>
              <w:rPr>
                <w:rFonts w:ascii="宋体" w:hAnsi="宋体" w:eastAsia="宋体" w:cs="宋体"/>
                <w:spacing w:val="-17"/>
                <w:sz w:val="24"/>
                <w:szCs w:val="24"/>
                <w:highlight w:val="none"/>
              </w:rPr>
              <w:t>一、总部人员</w:t>
            </w:r>
          </w:p>
        </w:tc>
        <w:tc>
          <w:tcPr>
            <w:tcW w:w="1931" w:type="dxa"/>
            <w:tcBorders>
              <w:left w:val="nil"/>
            </w:tcBorders>
            <w:vAlign w:val="top"/>
          </w:tcPr>
          <w:p w14:paraId="14D36E9C">
            <w:pPr>
              <w:rPr>
                <w:rFonts w:ascii="Arial"/>
                <w:sz w:val="21"/>
                <w:highlight w:val="none"/>
              </w:rPr>
            </w:pPr>
          </w:p>
        </w:tc>
      </w:tr>
      <w:tr w14:paraId="6F7F5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53" w:type="dxa"/>
            <w:vAlign w:val="top"/>
          </w:tcPr>
          <w:p w14:paraId="087A9355">
            <w:pPr>
              <w:spacing w:before="156" w:line="220" w:lineRule="auto"/>
              <w:ind w:right="40"/>
              <w:jc w:val="right"/>
              <w:rPr>
                <w:rFonts w:ascii="宋体" w:hAnsi="宋体" w:eastAsia="宋体" w:cs="宋体"/>
                <w:sz w:val="24"/>
                <w:szCs w:val="24"/>
                <w:highlight w:val="none"/>
              </w:rPr>
            </w:pPr>
            <w:r>
              <w:rPr>
                <w:rFonts w:ascii="宋体" w:hAnsi="宋体" w:eastAsia="宋体" w:cs="宋体"/>
                <w:spacing w:val="-6"/>
                <w:sz w:val="24"/>
                <w:szCs w:val="24"/>
                <w:highlight w:val="none"/>
              </w:rPr>
              <w:t>项目主管</w:t>
            </w:r>
          </w:p>
        </w:tc>
        <w:tc>
          <w:tcPr>
            <w:tcW w:w="1175" w:type="dxa"/>
            <w:vAlign w:val="top"/>
          </w:tcPr>
          <w:p w14:paraId="02E42B24">
            <w:pPr>
              <w:rPr>
                <w:rFonts w:ascii="Arial"/>
                <w:sz w:val="21"/>
                <w:highlight w:val="none"/>
              </w:rPr>
            </w:pPr>
          </w:p>
        </w:tc>
        <w:tc>
          <w:tcPr>
            <w:tcW w:w="967" w:type="dxa"/>
            <w:vAlign w:val="top"/>
          </w:tcPr>
          <w:p w14:paraId="6CB1F73C">
            <w:pPr>
              <w:rPr>
                <w:rFonts w:ascii="Arial"/>
                <w:sz w:val="21"/>
                <w:highlight w:val="none"/>
              </w:rPr>
            </w:pPr>
          </w:p>
        </w:tc>
        <w:tc>
          <w:tcPr>
            <w:tcW w:w="1091" w:type="dxa"/>
            <w:vAlign w:val="top"/>
          </w:tcPr>
          <w:p w14:paraId="37FB4317">
            <w:pPr>
              <w:rPr>
                <w:rFonts w:ascii="Arial"/>
                <w:sz w:val="21"/>
                <w:highlight w:val="none"/>
              </w:rPr>
            </w:pPr>
          </w:p>
        </w:tc>
        <w:tc>
          <w:tcPr>
            <w:tcW w:w="3225" w:type="dxa"/>
            <w:vAlign w:val="top"/>
          </w:tcPr>
          <w:p w14:paraId="3E2BD0B5">
            <w:pPr>
              <w:rPr>
                <w:rFonts w:ascii="Arial"/>
                <w:sz w:val="21"/>
                <w:highlight w:val="none"/>
              </w:rPr>
            </w:pPr>
          </w:p>
        </w:tc>
        <w:tc>
          <w:tcPr>
            <w:tcW w:w="1931" w:type="dxa"/>
            <w:vAlign w:val="top"/>
          </w:tcPr>
          <w:p w14:paraId="1E08DFB1">
            <w:pPr>
              <w:rPr>
                <w:rFonts w:ascii="Arial"/>
                <w:sz w:val="21"/>
                <w:highlight w:val="none"/>
              </w:rPr>
            </w:pPr>
          </w:p>
        </w:tc>
      </w:tr>
      <w:tr w14:paraId="43F3C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253" w:type="dxa"/>
            <w:vMerge w:val="restart"/>
            <w:tcBorders>
              <w:bottom w:val="nil"/>
            </w:tcBorders>
            <w:vAlign w:val="top"/>
          </w:tcPr>
          <w:p w14:paraId="2BE59FD3">
            <w:pPr>
              <w:spacing w:line="267" w:lineRule="auto"/>
              <w:rPr>
                <w:rFonts w:ascii="Arial"/>
                <w:sz w:val="21"/>
                <w:highlight w:val="none"/>
              </w:rPr>
            </w:pPr>
          </w:p>
          <w:p w14:paraId="6E3464B9">
            <w:pPr>
              <w:spacing w:line="268" w:lineRule="auto"/>
              <w:rPr>
                <w:rFonts w:ascii="Arial"/>
                <w:sz w:val="21"/>
                <w:highlight w:val="none"/>
              </w:rPr>
            </w:pPr>
          </w:p>
          <w:p w14:paraId="03CA7EE5">
            <w:pPr>
              <w:spacing w:before="78" w:line="220" w:lineRule="auto"/>
              <w:ind w:right="41"/>
              <w:jc w:val="right"/>
              <w:rPr>
                <w:rFonts w:ascii="宋体" w:hAnsi="宋体" w:eastAsia="宋体" w:cs="宋体"/>
                <w:sz w:val="24"/>
                <w:szCs w:val="24"/>
                <w:highlight w:val="none"/>
              </w:rPr>
            </w:pPr>
            <w:r>
              <w:rPr>
                <w:rFonts w:ascii="宋体" w:hAnsi="宋体" w:eastAsia="宋体" w:cs="宋体"/>
                <w:spacing w:val="-5"/>
                <w:sz w:val="24"/>
                <w:szCs w:val="24"/>
                <w:highlight w:val="none"/>
              </w:rPr>
              <w:t>其他人员</w:t>
            </w:r>
          </w:p>
        </w:tc>
        <w:tc>
          <w:tcPr>
            <w:tcW w:w="1175" w:type="dxa"/>
            <w:vAlign w:val="top"/>
          </w:tcPr>
          <w:p w14:paraId="66822137">
            <w:pPr>
              <w:rPr>
                <w:rFonts w:ascii="Arial"/>
                <w:sz w:val="21"/>
                <w:highlight w:val="none"/>
              </w:rPr>
            </w:pPr>
          </w:p>
        </w:tc>
        <w:tc>
          <w:tcPr>
            <w:tcW w:w="967" w:type="dxa"/>
            <w:vAlign w:val="top"/>
          </w:tcPr>
          <w:p w14:paraId="1D41CF74">
            <w:pPr>
              <w:rPr>
                <w:rFonts w:ascii="Arial"/>
                <w:sz w:val="21"/>
                <w:highlight w:val="none"/>
              </w:rPr>
            </w:pPr>
          </w:p>
        </w:tc>
        <w:tc>
          <w:tcPr>
            <w:tcW w:w="1091" w:type="dxa"/>
            <w:vAlign w:val="top"/>
          </w:tcPr>
          <w:p w14:paraId="75A5FDF3">
            <w:pPr>
              <w:rPr>
                <w:rFonts w:ascii="Arial"/>
                <w:sz w:val="21"/>
                <w:highlight w:val="none"/>
              </w:rPr>
            </w:pPr>
          </w:p>
        </w:tc>
        <w:tc>
          <w:tcPr>
            <w:tcW w:w="3225" w:type="dxa"/>
            <w:vAlign w:val="top"/>
          </w:tcPr>
          <w:p w14:paraId="369A7FA2">
            <w:pPr>
              <w:rPr>
                <w:rFonts w:ascii="Arial"/>
                <w:sz w:val="21"/>
                <w:highlight w:val="none"/>
              </w:rPr>
            </w:pPr>
          </w:p>
        </w:tc>
        <w:tc>
          <w:tcPr>
            <w:tcW w:w="1931" w:type="dxa"/>
            <w:vAlign w:val="top"/>
          </w:tcPr>
          <w:p w14:paraId="349BCE9A">
            <w:pPr>
              <w:rPr>
                <w:rFonts w:ascii="Arial"/>
                <w:sz w:val="21"/>
                <w:highlight w:val="none"/>
              </w:rPr>
            </w:pPr>
          </w:p>
        </w:tc>
      </w:tr>
      <w:tr w14:paraId="2CC56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253" w:type="dxa"/>
            <w:vMerge w:val="continue"/>
            <w:tcBorders>
              <w:top w:val="nil"/>
              <w:bottom w:val="nil"/>
            </w:tcBorders>
            <w:vAlign w:val="top"/>
          </w:tcPr>
          <w:p w14:paraId="7847FD25">
            <w:pPr>
              <w:rPr>
                <w:rFonts w:ascii="Arial"/>
                <w:sz w:val="21"/>
                <w:highlight w:val="none"/>
              </w:rPr>
            </w:pPr>
          </w:p>
        </w:tc>
        <w:tc>
          <w:tcPr>
            <w:tcW w:w="1175" w:type="dxa"/>
            <w:vAlign w:val="top"/>
          </w:tcPr>
          <w:p w14:paraId="2FA08D61">
            <w:pPr>
              <w:rPr>
                <w:rFonts w:ascii="Arial"/>
                <w:sz w:val="21"/>
                <w:highlight w:val="none"/>
              </w:rPr>
            </w:pPr>
          </w:p>
        </w:tc>
        <w:tc>
          <w:tcPr>
            <w:tcW w:w="967" w:type="dxa"/>
            <w:vAlign w:val="top"/>
          </w:tcPr>
          <w:p w14:paraId="24976C40">
            <w:pPr>
              <w:rPr>
                <w:rFonts w:ascii="Arial"/>
                <w:sz w:val="21"/>
                <w:highlight w:val="none"/>
              </w:rPr>
            </w:pPr>
          </w:p>
        </w:tc>
        <w:tc>
          <w:tcPr>
            <w:tcW w:w="1091" w:type="dxa"/>
            <w:vAlign w:val="top"/>
          </w:tcPr>
          <w:p w14:paraId="44BA94E9">
            <w:pPr>
              <w:rPr>
                <w:rFonts w:ascii="Arial"/>
                <w:sz w:val="21"/>
                <w:highlight w:val="none"/>
              </w:rPr>
            </w:pPr>
          </w:p>
        </w:tc>
        <w:tc>
          <w:tcPr>
            <w:tcW w:w="3225" w:type="dxa"/>
            <w:vAlign w:val="top"/>
          </w:tcPr>
          <w:p w14:paraId="15B91901">
            <w:pPr>
              <w:rPr>
                <w:rFonts w:ascii="Arial"/>
                <w:sz w:val="21"/>
                <w:highlight w:val="none"/>
              </w:rPr>
            </w:pPr>
          </w:p>
        </w:tc>
        <w:tc>
          <w:tcPr>
            <w:tcW w:w="1931" w:type="dxa"/>
            <w:vAlign w:val="top"/>
          </w:tcPr>
          <w:p w14:paraId="357F6E6C">
            <w:pPr>
              <w:rPr>
                <w:rFonts w:ascii="Arial"/>
                <w:sz w:val="21"/>
                <w:highlight w:val="none"/>
              </w:rPr>
            </w:pPr>
          </w:p>
        </w:tc>
      </w:tr>
      <w:tr w14:paraId="2E8E0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53" w:type="dxa"/>
            <w:vMerge w:val="continue"/>
            <w:tcBorders>
              <w:top w:val="nil"/>
            </w:tcBorders>
            <w:vAlign w:val="top"/>
          </w:tcPr>
          <w:p w14:paraId="422A0CF8">
            <w:pPr>
              <w:rPr>
                <w:rFonts w:ascii="Arial"/>
                <w:sz w:val="21"/>
                <w:highlight w:val="none"/>
              </w:rPr>
            </w:pPr>
          </w:p>
        </w:tc>
        <w:tc>
          <w:tcPr>
            <w:tcW w:w="1175" w:type="dxa"/>
            <w:vAlign w:val="top"/>
          </w:tcPr>
          <w:p w14:paraId="2029962C">
            <w:pPr>
              <w:rPr>
                <w:rFonts w:ascii="Arial"/>
                <w:sz w:val="21"/>
                <w:highlight w:val="none"/>
              </w:rPr>
            </w:pPr>
          </w:p>
        </w:tc>
        <w:tc>
          <w:tcPr>
            <w:tcW w:w="967" w:type="dxa"/>
            <w:vAlign w:val="top"/>
          </w:tcPr>
          <w:p w14:paraId="4C3487C5">
            <w:pPr>
              <w:rPr>
                <w:rFonts w:ascii="Arial"/>
                <w:sz w:val="21"/>
                <w:highlight w:val="none"/>
              </w:rPr>
            </w:pPr>
          </w:p>
        </w:tc>
        <w:tc>
          <w:tcPr>
            <w:tcW w:w="1091" w:type="dxa"/>
            <w:vAlign w:val="top"/>
          </w:tcPr>
          <w:p w14:paraId="04EA9C63">
            <w:pPr>
              <w:rPr>
                <w:rFonts w:ascii="Arial"/>
                <w:sz w:val="21"/>
                <w:highlight w:val="none"/>
              </w:rPr>
            </w:pPr>
          </w:p>
        </w:tc>
        <w:tc>
          <w:tcPr>
            <w:tcW w:w="3225" w:type="dxa"/>
            <w:vAlign w:val="top"/>
          </w:tcPr>
          <w:p w14:paraId="7B41F396">
            <w:pPr>
              <w:rPr>
                <w:rFonts w:ascii="Arial"/>
                <w:sz w:val="21"/>
                <w:highlight w:val="none"/>
              </w:rPr>
            </w:pPr>
          </w:p>
        </w:tc>
        <w:tc>
          <w:tcPr>
            <w:tcW w:w="1931" w:type="dxa"/>
            <w:vAlign w:val="top"/>
          </w:tcPr>
          <w:p w14:paraId="221613BF">
            <w:pPr>
              <w:rPr>
                <w:rFonts w:ascii="Arial"/>
                <w:sz w:val="21"/>
                <w:highlight w:val="none"/>
              </w:rPr>
            </w:pPr>
          </w:p>
        </w:tc>
      </w:tr>
      <w:tr w14:paraId="73DA1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253" w:type="dxa"/>
            <w:tcBorders>
              <w:right w:val="nil"/>
            </w:tcBorders>
            <w:vAlign w:val="top"/>
          </w:tcPr>
          <w:p w14:paraId="58B0E17C">
            <w:pPr>
              <w:rPr>
                <w:rFonts w:ascii="Arial"/>
                <w:sz w:val="21"/>
                <w:highlight w:val="none"/>
              </w:rPr>
            </w:pPr>
          </w:p>
        </w:tc>
        <w:tc>
          <w:tcPr>
            <w:tcW w:w="1175" w:type="dxa"/>
            <w:tcBorders>
              <w:left w:val="nil"/>
              <w:right w:val="nil"/>
            </w:tcBorders>
            <w:vAlign w:val="top"/>
          </w:tcPr>
          <w:p w14:paraId="2C4721CA">
            <w:pPr>
              <w:rPr>
                <w:rFonts w:ascii="Arial"/>
                <w:sz w:val="21"/>
                <w:highlight w:val="none"/>
              </w:rPr>
            </w:pPr>
          </w:p>
        </w:tc>
        <w:tc>
          <w:tcPr>
            <w:tcW w:w="967" w:type="dxa"/>
            <w:tcBorders>
              <w:left w:val="nil"/>
              <w:right w:val="nil"/>
            </w:tcBorders>
            <w:vAlign w:val="top"/>
          </w:tcPr>
          <w:p w14:paraId="763FA925">
            <w:pPr>
              <w:rPr>
                <w:rFonts w:ascii="Arial"/>
                <w:sz w:val="21"/>
                <w:highlight w:val="none"/>
              </w:rPr>
            </w:pPr>
          </w:p>
        </w:tc>
        <w:tc>
          <w:tcPr>
            <w:tcW w:w="1091" w:type="dxa"/>
            <w:tcBorders>
              <w:left w:val="nil"/>
              <w:right w:val="nil"/>
            </w:tcBorders>
            <w:vAlign w:val="top"/>
          </w:tcPr>
          <w:p w14:paraId="07CB35F2">
            <w:pPr>
              <w:rPr>
                <w:rFonts w:ascii="Arial"/>
                <w:sz w:val="21"/>
                <w:highlight w:val="none"/>
              </w:rPr>
            </w:pPr>
          </w:p>
        </w:tc>
        <w:tc>
          <w:tcPr>
            <w:tcW w:w="3225" w:type="dxa"/>
            <w:tcBorders>
              <w:left w:val="nil"/>
              <w:right w:val="nil"/>
            </w:tcBorders>
            <w:vAlign w:val="top"/>
          </w:tcPr>
          <w:p w14:paraId="637DDCF9">
            <w:pPr>
              <w:spacing w:before="164" w:line="220" w:lineRule="auto"/>
              <w:ind w:left="530"/>
              <w:rPr>
                <w:rFonts w:ascii="宋体" w:hAnsi="宋体" w:eastAsia="宋体" w:cs="宋体"/>
                <w:sz w:val="24"/>
                <w:szCs w:val="24"/>
                <w:highlight w:val="none"/>
              </w:rPr>
            </w:pPr>
            <w:r>
              <w:rPr>
                <w:rFonts w:ascii="宋体" w:hAnsi="宋体" w:eastAsia="宋体" w:cs="宋体"/>
                <w:spacing w:val="-5"/>
                <w:sz w:val="24"/>
                <w:szCs w:val="24"/>
                <w:highlight w:val="none"/>
              </w:rPr>
              <w:t>二、现场人员</w:t>
            </w:r>
          </w:p>
        </w:tc>
        <w:tc>
          <w:tcPr>
            <w:tcW w:w="1931" w:type="dxa"/>
            <w:tcBorders>
              <w:left w:val="nil"/>
            </w:tcBorders>
            <w:vAlign w:val="top"/>
          </w:tcPr>
          <w:p w14:paraId="69030636">
            <w:pPr>
              <w:rPr>
                <w:rFonts w:ascii="Arial"/>
                <w:sz w:val="21"/>
                <w:highlight w:val="none"/>
              </w:rPr>
            </w:pPr>
          </w:p>
        </w:tc>
      </w:tr>
      <w:tr w14:paraId="43B4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53" w:type="dxa"/>
            <w:vAlign w:val="top"/>
          </w:tcPr>
          <w:p w14:paraId="76D8416C">
            <w:pPr>
              <w:spacing w:before="166" w:line="218" w:lineRule="auto"/>
              <w:ind w:left="167"/>
              <w:rPr>
                <w:rFonts w:ascii="宋体" w:hAnsi="宋体" w:eastAsia="宋体" w:cs="宋体"/>
                <w:sz w:val="24"/>
                <w:szCs w:val="24"/>
                <w:highlight w:val="none"/>
              </w:rPr>
            </w:pPr>
            <w:r>
              <w:rPr>
                <w:rFonts w:ascii="宋体" w:hAnsi="宋体" w:eastAsia="宋体" w:cs="宋体"/>
                <w:spacing w:val="-6"/>
                <w:sz w:val="24"/>
                <w:szCs w:val="24"/>
                <w:highlight w:val="none"/>
              </w:rPr>
              <w:t>项目经理</w:t>
            </w:r>
          </w:p>
        </w:tc>
        <w:tc>
          <w:tcPr>
            <w:tcW w:w="1175" w:type="dxa"/>
            <w:vAlign w:val="top"/>
          </w:tcPr>
          <w:p w14:paraId="4D00D540">
            <w:pPr>
              <w:rPr>
                <w:rFonts w:ascii="Arial"/>
                <w:sz w:val="21"/>
                <w:highlight w:val="none"/>
              </w:rPr>
            </w:pPr>
          </w:p>
        </w:tc>
        <w:tc>
          <w:tcPr>
            <w:tcW w:w="967" w:type="dxa"/>
            <w:vAlign w:val="top"/>
          </w:tcPr>
          <w:p w14:paraId="0F19D9D2">
            <w:pPr>
              <w:rPr>
                <w:rFonts w:ascii="Arial"/>
                <w:sz w:val="21"/>
                <w:highlight w:val="none"/>
              </w:rPr>
            </w:pPr>
          </w:p>
        </w:tc>
        <w:tc>
          <w:tcPr>
            <w:tcW w:w="1091" w:type="dxa"/>
            <w:vAlign w:val="top"/>
          </w:tcPr>
          <w:p w14:paraId="5193A88A">
            <w:pPr>
              <w:rPr>
                <w:rFonts w:ascii="Arial"/>
                <w:sz w:val="21"/>
                <w:highlight w:val="none"/>
              </w:rPr>
            </w:pPr>
          </w:p>
        </w:tc>
        <w:tc>
          <w:tcPr>
            <w:tcW w:w="3225" w:type="dxa"/>
            <w:vAlign w:val="top"/>
          </w:tcPr>
          <w:p w14:paraId="7451B206">
            <w:pPr>
              <w:rPr>
                <w:rFonts w:ascii="Arial"/>
                <w:sz w:val="21"/>
                <w:highlight w:val="none"/>
              </w:rPr>
            </w:pPr>
          </w:p>
        </w:tc>
        <w:tc>
          <w:tcPr>
            <w:tcW w:w="1931" w:type="dxa"/>
            <w:vAlign w:val="top"/>
          </w:tcPr>
          <w:p w14:paraId="1FB0C153">
            <w:pPr>
              <w:rPr>
                <w:rFonts w:ascii="Arial"/>
                <w:sz w:val="21"/>
                <w:highlight w:val="none"/>
              </w:rPr>
            </w:pPr>
          </w:p>
        </w:tc>
      </w:tr>
      <w:tr w14:paraId="25EA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253" w:type="dxa"/>
            <w:vAlign w:val="top"/>
          </w:tcPr>
          <w:p w14:paraId="43199E6F">
            <w:pPr>
              <w:spacing w:before="166" w:line="279" w:lineRule="auto"/>
              <w:ind w:left="405" w:right="33" w:hanging="357"/>
              <w:rPr>
                <w:rFonts w:ascii="宋体" w:hAnsi="宋体" w:eastAsia="宋体" w:cs="宋体"/>
                <w:sz w:val="24"/>
                <w:szCs w:val="24"/>
                <w:highlight w:val="none"/>
              </w:rPr>
            </w:pPr>
            <w:r>
              <w:rPr>
                <w:rFonts w:ascii="宋体" w:hAnsi="宋体" w:eastAsia="宋体" w:cs="宋体"/>
                <w:spacing w:val="-7"/>
                <w:sz w:val="24"/>
                <w:szCs w:val="24"/>
                <w:highlight w:val="none"/>
              </w:rPr>
              <w:t>项目技术负</w:t>
            </w:r>
            <w:r>
              <w:rPr>
                <w:rFonts w:ascii="宋体" w:hAnsi="宋体" w:eastAsia="宋体" w:cs="宋体"/>
                <w:spacing w:val="-6"/>
                <w:sz w:val="24"/>
                <w:szCs w:val="24"/>
                <w:highlight w:val="none"/>
              </w:rPr>
              <w:t>责人</w:t>
            </w:r>
          </w:p>
        </w:tc>
        <w:tc>
          <w:tcPr>
            <w:tcW w:w="1175" w:type="dxa"/>
            <w:vAlign w:val="top"/>
          </w:tcPr>
          <w:p w14:paraId="5651E2C6">
            <w:pPr>
              <w:rPr>
                <w:rFonts w:ascii="Arial"/>
                <w:sz w:val="21"/>
                <w:highlight w:val="none"/>
              </w:rPr>
            </w:pPr>
          </w:p>
        </w:tc>
        <w:tc>
          <w:tcPr>
            <w:tcW w:w="967" w:type="dxa"/>
            <w:vAlign w:val="top"/>
          </w:tcPr>
          <w:p w14:paraId="0567B328">
            <w:pPr>
              <w:rPr>
                <w:rFonts w:ascii="Arial"/>
                <w:sz w:val="21"/>
                <w:highlight w:val="none"/>
              </w:rPr>
            </w:pPr>
          </w:p>
        </w:tc>
        <w:tc>
          <w:tcPr>
            <w:tcW w:w="1091" w:type="dxa"/>
            <w:vAlign w:val="top"/>
          </w:tcPr>
          <w:p w14:paraId="6D23DB76">
            <w:pPr>
              <w:rPr>
                <w:rFonts w:ascii="Arial"/>
                <w:sz w:val="21"/>
                <w:highlight w:val="none"/>
              </w:rPr>
            </w:pPr>
          </w:p>
        </w:tc>
        <w:tc>
          <w:tcPr>
            <w:tcW w:w="3225" w:type="dxa"/>
            <w:vAlign w:val="top"/>
          </w:tcPr>
          <w:p w14:paraId="3AFC6EB8">
            <w:pPr>
              <w:rPr>
                <w:rFonts w:ascii="Arial"/>
                <w:sz w:val="21"/>
                <w:highlight w:val="none"/>
              </w:rPr>
            </w:pPr>
          </w:p>
        </w:tc>
        <w:tc>
          <w:tcPr>
            <w:tcW w:w="1931" w:type="dxa"/>
            <w:vAlign w:val="top"/>
          </w:tcPr>
          <w:p w14:paraId="1CE113C9">
            <w:pPr>
              <w:rPr>
                <w:rFonts w:ascii="Arial"/>
                <w:sz w:val="21"/>
                <w:highlight w:val="none"/>
              </w:rPr>
            </w:pPr>
          </w:p>
        </w:tc>
      </w:tr>
      <w:tr w14:paraId="7837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53" w:type="dxa"/>
            <w:vAlign w:val="top"/>
          </w:tcPr>
          <w:p w14:paraId="36512E3A">
            <w:pPr>
              <w:spacing w:before="165" w:line="219" w:lineRule="auto"/>
              <w:ind w:left="279"/>
              <w:rPr>
                <w:rFonts w:ascii="宋体" w:hAnsi="宋体" w:eastAsia="宋体" w:cs="宋体"/>
                <w:sz w:val="24"/>
                <w:szCs w:val="24"/>
                <w:highlight w:val="none"/>
              </w:rPr>
            </w:pPr>
            <w:r>
              <w:rPr>
                <w:rFonts w:ascii="宋体" w:hAnsi="宋体" w:eastAsia="宋体" w:cs="宋体"/>
                <w:spacing w:val="-4"/>
                <w:sz w:val="24"/>
                <w:szCs w:val="24"/>
                <w:highlight w:val="none"/>
              </w:rPr>
              <w:t>施工员</w:t>
            </w:r>
          </w:p>
        </w:tc>
        <w:tc>
          <w:tcPr>
            <w:tcW w:w="1175" w:type="dxa"/>
            <w:vAlign w:val="top"/>
          </w:tcPr>
          <w:p w14:paraId="418A9F8C">
            <w:pPr>
              <w:rPr>
                <w:rFonts w:ascii="Arial"/>
                <w:sz w:val="21"/>
                <w:highlight w:val="none"/>
              </w:rPr>
            </w:pPr>
          </w:p>
        </w:tc>
        <w:tc>
          <w:tcPr>
            <w:tcW w:w="967" w:type="dxa"/>
            <w:vAlign w:val="top"/>
          </w:tcPr>
          <w:p w14:paraId="578B6BFB">
            <w:pPr>
              <w:rPr>
                <w:rFonts w:ascii="Arial"/>
                <w:sz w:val="21"/>
                <w:highlight w:val="none"/>
              </w:rPr>
            </w:pPr>
          </w:p>
        </w:tc>
        <w:tc>
          <w:tcPr>
            <w:tcW w:w="1091" w:type="dxa"/>
            <w:vAlign w:val="top"/>
          </w:tcPr>
          <w:p w14:paraId="1B5DD129">
            <w:pPr>
              <w:rPr>
                <w:rFonts w:ascii="Arial"/>
                <w:sz w:val="21"/>
                <w:highlight w:val="none"/>
              </w:rPr>
            </w:pPr>
          </w:p>
        </w:tc>
        <w:tc>
          <w:tcPr>
            <w:tcW w:w="3225" w:type="dxa"/>
            <w:vAlign w:val="top"/>
          </w:tcPr>
          <w:p w14:paraId="5135F8B7">
            <w:pPr>
              <w:rPr>
                <w:rFonts w:ascii="Arial"/>
                <w:sz w:val="21"/>
                <w:highlight w:val="none"/>
              </w:rPr>
            </w:pPr>
          </w:p>
        </w:tc>
        <w:tc>
          <w:tcPr>
            <w:tcW w:w="1931" w:type="dxa"/>
            <w:vAlign w:val="top"/>
          </w:tcPr>
          <w:p w14:paraId="6D2470D3">
            <w:pPr>
              <w:rPr>
                <w:rFonts w:ascii="Arial"/>
                <w:sz w:val="21"/>
                <w:highlight w:val="none"/>
              </w:rPr>
            </w:pPr>
          </w:p>
        </w:tc>
      </w:tr>
      <w:tr w14:paraId="4FAD8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253" w:type="dxa"/>
            <w:vAlign w:val="top"/>
          </w:tcPr>
          <w:p w14:paraId="32E99455">
            <w:pPr>
              <w:spacing w:before="166" w:line="279" w:lineRule="auto"/>
              <w:ind w:left="405" w:right="33" w:hanging="359"/>
              <w:rPr>
                <w:rFonts w:ascii="宋体" w:hAnsi="宋体" w:eastAsia="宋体" w:cs="宋体"/>
                <w:sz w:val="24"/>
                <w:szCs w:val="24"/>
                <w:highlight w:val="none"/>
              </w:rPr>
            </w:pPr>
            <w:r>
              <w:rPr>
                <w:rFonts w:ascii="宋体" w:hAnsi="宋体" w:eastAsia="宋体" w:cs="宋体"/>
                <w:spacing w:val="-7"/>
                <w:sz w:val="24"/>
                <w:szCs w:val="24"/>
                <w:highlight w:val="none"/>
              </w:rPr>
              <w:t>质检员（质</w:t>
            </w:r>
            <w:r>
              <w:rPr>
                <w:rFonts w:ascii="宋体" w:hAnsi="宋体" w:eastAsia="宋体" w:cs="宋体"/>
                <w:spacing w:val="-8"/>
                <w:sz w:val="24"/>
                <w:szCs w:val="24"/>
                <w:highlight w:val="none"/>
              </w:rPr>
              <w:t>量员）</w:t>
            </w:r>
          </w:p>
        </w:tc>
        <w:tc>
          <w:tcPr>
            <w:tcW w:w="1175" w:type="dxa"/>
            <w:vAlign w:val="top"/>
          </w:tcPr>
          <w:p w14:paraId="4632B7BB">
            <w:pPr>
              <w:rPr>
                <w:rFonts w:ascii="Arial"/>
                <w:sz w:val="21"/>
                <w:highlight w:val="none"/>
              </w:rPr>
            </w:pPr>
          </w:p>
        </w:tc>
        <w:tc>
          <w:tcPr>
            <w:tcW w:w="967" w:type="dxa"/>
            <w:vAlign w:val="top"/>
          </w:tcPr>
          <w:p w14:paraId="7102FE63">
            <w:pPr>
              <w:rPr>
                <w:rFonts w:ascii="Arial"/>
                <w:sz w:val="21"/>
                <w:highlight w:val="none"/>
              </w:rPr>
            </w:pPr>
          </w:p>
        </w:tc>
        <w:tc>
          <w:tcPr>
            <w:tcW w:w="1091" w:type="dxa"/>
            <w:vAlign w:val="top"/>
          </w:tcPr>
          <w:p w14:paraId="3D3C0F74">
            <w:pPr>
              <w:rPr>
                <w:rFonts w:ascii="Arial"/>
                <w:sz w:val="21"/>
                <w:highlight w:val="none"/>
              </w:rPr>
            </w:pPr>
          </w:p>
        </w:tc>
        <w:tc>
          <w:tcPr>
            <w:tcW w:w="3225" w:type="dxa"/>
            <w:vAlign w:val="top"/>
          </w:tcPr>
          <w:p w14:paraId="1E8CA79A">
            <w:pPr>
              <w:rPr>
                <w:rFonts w:ascii="Arial"/>
                <w:sz w:val="21"/>
                <w:highlight w:val="none"/>
              </w:rPr>
            </w:pPr>
          </w:p>
        </w:tc>
        <w:tc>
          <w:tcPr>
            <w:tcW w:w="1931" w:type="dxa"/>
            <w:vAlign w:val="top"/>
          </w:tcPr>
          <w:p w14:paraId="50CFC276">
            <w:pPr>
              <w:rPr>
                <w:rFonts w:ascii="Arial"/>
                <w:sz w:val="21"/>
                <w:highlight w:val="none"/>
              </w:rPr>
            </w:pPr>
          </w:p>
        </w:tc>
      </w:tr>
      <w:tr w14:paraId="282B9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53" w:type="dxa"/>
            <w:vAlign w:val="top"/>
          </w:tcPr>
          <w:p w14:paraId="5D4CB3B7">
            <w:pPr>
              <w:spacing w:before="167" w:line="216" w:lineRule="auto"/>
              <w:ind w:left="288"/>
              <w:rPr>
                <w:rFonts w:ascii="宋体" w:hAnsi="宋体" w:eastAsia="宋体" w:cs="宋体"/>
                <w:sz w:val="24"/>
                <w:szCs w:val="24"/>
                <w:highlight w:val="none"/>
              </w:rPr>
            </w:pPr>
            <w:r>
              <w:rPr>
                <w:rFonts w:ascii="宋体" w:hAnsi="宋体" w:eastAsia="宋体" w:cs="宋体"/>
                <w:spacing w:val="-8"/>
                <w:sz w:val="24"/>
                <w:szCs w:val="24"/>
                <w:highlight w:val="none"/>
              </w:rPr>
              <w:t>安全员</w:t>
            </w:r>
          </w:p>
        </w:tc>
        <w:tc>
          <w:tcPr>
            <w:tcW w:w="1175" w:type="dxa"/>
            <w:vAlign w:val="top"/>
          </w:tcPr>
          <w:p w14:paraId="6F5DD02E">
            <w:pPr>
              <w:rPr>
                <w:rFonts w:ascii="Arial"/>
                <w:sz w:val="21"/>
                <w:highlight w:val="none"/>
              </w:rPr>
            </w:pPr>
          </w:p>
        </w:tc>
        <w:tc>
          <w:tcPr>
            <w:tcW w:w="967" w:type="dxa"/>
            <w:vAlign w:val="top"/>
          </w:tcPr>
          <w:p w14:paraId="44AF0441">
            <w:pPr>
              <w:rPr>
                <w:rFonts w:ascii="Arial"/>
                <w:sz w:val="21"/>
                <w:highlight w:val="none"/>
              </w:rPr>
            </w:pPr>
          </w:p>
        </w:tc>
        <w:tc>
          <w:tcPr>
            <w:tcW w:w="1091" w:type="dxa"/>
            <w:vAlign w:val="top"/>
          </w:tcPr>
          <w:p w14:paraId="0B4B097F">
            <w:pPr>
              <w:rPr>
                <w:rFonts w:ascii="Arial"/>
                <w:sz w:val="21"/>
                <w:highlight w:val="none"/>
              </w:rPr>
            </w:pPr>
          </w:p>
        </w:tc>
        <w:tc>
          <w:tcPr>
            <w:tcW w:w="3225" w:type="dxa"/>
            <w:vAlign w:val="top"/>
          </w:tcPr>
          <w:p w14:paraId="4A8B179F">
            <w:pPr>
              <w:rPr>
                <w:rFonts w:ascii="Arial"/>
                <w:sz w:val="21"/>
                <w:highlight w:val="none"/>
              </w:rPr>
            </w:pPr>
          </w:p>
        </w:tc>
        <w:tc>
          <w:tcPr>
            <w:tcW w:w="1931" w:type="dxa"/>
            <w:vAlign w:val="top"/>
          </w:tcPr>
          <w:p w14:paraId="005AC05A">
            <w:pPr>
              <w:rPr>
                <w:rFonts w:ascii="Arial"/>
                <w:sz w:val="21"/>
                <w:highlight w:val="none"/>
              </w:rPr>
            </w:pPr>
          </w:p>
        </w:tc>
      </w:tr>
      <w:tr w14:paraId="73C65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53" w:type="dxa"/>
            <w:vAlign w:val="top"/>
          </w:tcPr>
          <w:p w14:paraId="39C264C3">
            <w:pPr>
              <w:spacing w:before="169" w:line="216" w:lineRule="auto"/>
              <w:ind w:left="295"/>
              <w:rPr>
                <w:rFonts w:ascii="宋体" w:hAnsi="宋体" w:eastAsia="宋体" w:cs="宋体"/>
                <w:sz w:val="24"/>
                <w:szCs w:val="24"/>
                <w:highlight w:val="none"/>
              </w:rPr>
            </w:pPr>
            <w:r>
              <w:rPr>
                <w:rFonts w:ascii="宋体" w:hAnsi="宋体" w:eastAsia="宋体" w:cs="宋体"/>
                <w:spacing w:val="-9"/>
                <w:sz w:val="24"/>
                <w:szCs w:val="24"/>
                <w:highlight w:val="none"/>
              </w:rPr>
              <w:t>资料员</w:t>
            </w:r>
          </w:p>
        </w:tc>
        <w:tc>
          <w:tcPr>
            <w:tcW w:w="1175" w:type="dxa"/>
            <w:vAlign w:val="top"/>
          </w:tcPr>
          <w:p w14:paraId="78949D89">
            <w:pPr>
              <w:rPr>
                <w:rFonts w:ascii="Arial"/>
                <w:sz w:val="21"/>
                <w:highlight w:val="none"/>
              </w:rPr>
            </w:pPr>
          </w:p>
        </w:tc>
        <w:tc>
          <w:tcPr>
            <w:tcW w:w="967" w:type="dxa"/>
            <w:vAlign w:val="top"/>
          </w:tcPr>
          <w:p w14:paraId="75F08455">
            <w:pPr>
              <w:rPr>
                <w:rFonts w:ascii="Arial"/>
                <w:sz w:val="21"/>
                <w:highlight w:val="none"/>
              </w:rPr>
            </w:pPr>
          </w:p>
        </w:tc>
        <w:tc>
          <w:tcPr>
            <w:tcW w:w="1091" w:type="dxa"/>
            <w:vAlign w:val="top"/>
          </w:tcPr>
          <w:p w14:paraId="002A9961">
            <w:pPr>
              <w:rPr>
                <w:rFonts w:ascii="Arial"/>
                <w:sz w:val="21"/>
                <w:highlight w:val="none"/>
              </w:rPr>
            </w:pPr>
          </w:p>
        </w:tc>
        <w:tc>
          <w:tcPr>
            <w:tcW w:w="3225" w:type="dxa"/>
            <w:vAlign w:val="top"/>
          </w:tcPr>
          <w:p w14:paraId="220A46CE">
            <w:pPr>
              <w:rPr>
                <w:rFonts w:ascii="Arial"/>
                <w:sz w:val="21"/>
                <w:highlight w:val="none"/>
              </w:rPr>
            </w:pPr>
          </w:p>
        </w:tc>
        <w:tc>
          <w:tcPr>
            <w:tcW w:w="1931" w:type="dxa"/>
            <w:vAlign w:val="top"/>
          </w:tcPr>
          <w:p w14:paraId="13857FE3">
            <w:pPr>
              <w:rPr>
                <w:rFonts w:ascii="Arial"/>
                <w:sz w:val="21"/>
                <w:highlight w:val="none"/>
              </w:rPr>
            </w:pPr>
          </w:p>
        </w:tc>
      </w:tr>
      <w:tr w14:paraId="35706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253" w:type="dxa"/>
            <w:vAlign w:val="top"/>
          </w:tcPr>
          <w:p w14:paraId="562830D3">
            <w:pPr>
              <w:spacing w:before="161" w:line="281" w:lineRule="auto"/>
              <w:ind w:left="296" w:right="33" w:hanging="253"/>
              <w:rPr>
                <w:rFonts w:ascii="宋体" w:hAnsi="宋体" w:eastAsia="宋体" w:cs="宋体"/>
                <w:sz w:val="24"/>
                <w:szCs w:val="24"/>
                <w:highlight w:val="none"/>
              </w:rPr>
            </w:pPr>
            <w:r>
              <w:rPr>
                <w:rFonts w:ascii="宋体" w:hAnsi="宋体" w:eastAsia="宋体" w:cs="宋体"/>
                <w:spacing w:val="-6"/>
                <w:sz w:val="24"/>
                <w:szCs w:val="24"/>
                <w:highlight w:val="none"/>
              </w:rPr>
              <w:t>取样员（可</w:t>
            </w:r>
            <w:r>
              <w:rPr>
                <w:rFonts w:ascii="宋体" w:hAnsi="宋体" w:eastAsia="宋体" w:cs="宋体"/>
                <w:spacing w:val="-13"/>
                <w:sz w:val="24"/>
                <w:szCs w:val="24"/>
                <w:highlight w:val="none"/>
              </w:rPr>
              <w:t>兼任）</w:t>
            </w:r>
          </w:p>
        </w:tc>
        <w:tc>
          <w:tcPr>
            <w:tcW w:w="1175" w:type="dxa"/>
            <w:vAlign w:val="top"/>
          </w:tcPr>
          <w:p w14:paraId="338D10F7">
            <w:pPr>
              <w:rPr>
                <w:rFonts w:ascii="Arial"/>
                <w:sz w:val="21"/>
                <w:highlight w:val="none"/>
              </w:rPr>
            </w:pPr>
          </w:p>
        </w:tc>
        <w:tc>
          <w:tcPr>
            <w:tcW w:w="967" w:type="dxa"/>
            <w:vAlign w:val="top"/>
          </w:tcPr>
          <w:p w14:paraId="714C4D70">
            <w:pPr>
              <w:rPr>
                <w:rFonts w:ascii="Arial"/>
                <w:sz w:val="21"/>
                <w:highlight w:val="none"/>
              </w:rPr>
            </w:pPr>
          </w:p>
        </w:tc>
        <w:tc>
          <w:tcPr>
            <w:tcW w:w="1091" w:type="dxa"/>
            <w:vAlign w:val="top"/>
          </w:tcPr>
          <w:p w14:paraId="5CDB524B">
            <w:pPr>
              <w:rPr>
                <w:rFonts w:ascii="Arial"/>
                <w:sz w:val="21"/>
                <w:highlight w:val="none"/>
              </w:rPr>
            </w:pPr>
          </w:p>
        </w:tc>
        <w:tc>
          <w:tcPr>
            <w:tcW w:w="3225" w:type="dxa"/>
            <w:vAlign w:val="top"/>
          </w:tcPr>
          <w:p w14:paraId="13E453E7">
            <w:pPr>
              <w:rPr>
                <w:rFonts w:ascii="Arial"/>
                <w:sz w:val="21"/>
                <w:highlight w:val="none"/>
              </w:rPr>
            </w:pPr>
          </w:p>
        </w:tc>
        <w:tc>
          <w:tcPr>
            <w:tcW w:w="1931" w:type="dxa"/>
            <w:vAlign w:val="top"/>
          </w:tcPr>
          <w:p w14:paraId="00B5F545">
            <w:pPr>
              <w:rPr>
                <w:rFonts w:ascii="Arial"/>
                <w:sz w:val="21"/>
                <w:highlight w:val="none"/>
              </w:rPr>
            </w:pPr>
          </w:p>
        </w:tc>
      </w:tr>
      <w:tr w14:paraId="2413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53" w:type="dxa"/>
            <w:vMerge w:val="restart"/>
            <w:tcBorders>
              <w:bottom w:val="nil"/>
            </w:tcBorders>
            <w:vAlign w:val="top"/>
          </w:tcPr>
          <w:p w14:paraId="2B43FCC6">
            <w:pPr>
              <w:spacing w:line="247" w:lineRule="auto"/>
              <w:rPr>
                <w:rFonts w:ascii="Arial"/>
                <w:sz w:val="21"/>
                <w:highlight w:val="none"/>
              </w:rPr>
            </w:pPr>
          </w:p>
          <w:p w14:paraId="1C603ADC">
            <w:pPr>
              <w:spacing w:line="247" w:lineRule="auto"/>
              <w:rPr>
                <w:rFonts w:ascii="Arial"/>
                <w:sz w:val="21"/>
                <w:highlight w:val="none"/>
              </w:rPr>
            </w:pPr>
          </w:p>
          <w:p w14:paraId="28FDEC44">
            <w:pPr>
              <w:spacing w:line="247" w:lineRule="auto"/>
              <w:rPr>
                <w:rFonts w:ascii="Arial"/>
                <w:sz w:val="21"/>
                <w:highlight w:val="none"/>
              </w:rPr>
            </w:pPr>
          </w:p>
          <w:p w14:paraId="78C099CC">
            <w:pPr>
              <w:spacing w:line="248" w:lineRule="auto"/>
              <w:rPr>
                <w:rFonts w:ascii="Arial"/>
                <w:sz w:val="21"/>
                <w:highlight w:val="none"/>
              </w:rPr>
            </w:pPr>
          </w:p>
          <w:p w14:paraId="39A2C642">
            <w:pPr>
              <w:spacing w:line="248" w:lineRule="auto"/>
              <w:rPr>
                <w:rFonts w:ascii="Arial"/>
                <w:sz w:val="21"/>
                <w:highlight w:val="none"/>
              </w:rPr>
            </w:pPr>
          </w:p>
          <w:p w14:paraId="79208BF5">
            <w:pPr>
              <w:spacing w:before="78" w:line="220" w:lineRule="auto"/>
              <w:ind w:left="161"/>
              <w:rPr>
                <w:rFonts w:ascii="宋体" w:hAnsi="宋体" w:eastAsia="宋体" w:cs="宋体"/>
                <w:sz w:val="24"/>
                <w:szCs w:val="24"/>
                <w:highlight w:val="none"/>
              </w:rPr>
            </w:pPr>
            <w:r>
              <w:rPr>
                <w:rFonts w:ascii="宋体" w:hAnsi="宋体" w:eastAsia="宋体" w:cs="宋体"/>
                <w:spacing w:val="-5"/>
                <w:sz w:val="24"/>
                <w:szCs w:val="24"/>
                <w:highlight w:val="none"/>
              </w:rPr>
              <w:t>其他人员</w:t>
            </w:r>
          </w:p>
        </w:tc>
        <w:tc>
          <w:tcPr>
            <w:tcW w:w="1175" w:type="dxa"/>
            <w:vAlign w:val="top"/>
          </w:tcPr>
          <w:p w14:paraId="776ED9ED">
            <w:pPr>
              <w:rPr>
                <w:rFonts w:ascii="Arial"/>
                <w:sz w:val="21"/>
                <w:highlight w:val="none"/>
              </w:rPr>
            </w:pPr>
          </w:p>
        </w:tc>
        <w:tc>
          <w:tcPr>
            <w:tcW w:w="967" w:type="dxa"/>
            <w:vAlign w:val="top"/>
          </w:tcPr>
          <w:p w14:paraId="509717FF">
            <w:pPr>
              <w:rPr>
                <w:rFonts w:ascii="Arial"/>
                <w:sz w:val="21"/>
                <w:highlight w:val="none"/>
              </w:rPr>
            </w:pPr>
          </w:p>
        </w:tc>
        <w:tc>
          <w:tcPr>
            <w:tcW w:w="1091" w:type="dxa"/>
            <w:vAlign w:val="top"/>
          </w:tcPr>
          <w:p w14:paraId="12E8D6BA">
            <w:pPr>
              <w:rPr>
                <w:rFonts w:ascii="Arial"/>
                <w:sz w:val="21"/>
                <w:highlight w:val="none"/>
              </w:rPr>
            </w:pPr>
          </w:p>
        </w:tc>
        <w:tc>
          <w:tcPr>
            <w:tcW w:w="3225" w:type="dxa"/>
            <w:vAlign w:val="top"/>
          </w:tcPr>
          <w:p w14:paraId="20E3D761">
            <w:pPr>
              <w:rPr>
                <w:rFonts w:ascii="Arial"/>
                <w:sz w:val="21"/>
                <w:highlight w:val="none"/>
              </w:rPr>
            </w:pPr>
          </w:p>
        </w:tc>
        <w:tc>
          <w:tcPr>
            <w:tcW w:w="1931" w:type="dxa"/>
            <w:vAlign w:val="top"/>
          </w:tcPr>
          <w:p w14:paraId="0662FA84">
            <w:pPr>
              <w:rPr>
                <w:rFonts w:ascii="Arial"/>
                <w:sz w:val="21"/>
                <w:highlight w:val="none"/>
              </w:rPr>
            </w:pPr>
          </w:p>
        </w:tc>
      </w:tr>
      <w:tr w14:paraId="5A060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1" w:hRule="atLeast"/>
        </w:trPr>
        <w:tc>
          <w:tcPr>
            <w:tcW w:w="1253" w:type="dxa"/>
            <w:vMerge w:val="continue"/>
            <w:tcBorders>
              <w:top w:val="nil"/>
              <w:bottom w:val="nil"/>
            </w:tcBorders>
            <w:vAlign w:val="top"/>
          </w:tcPr>
          <w:p w14:paraId="4E2F450B">
            <w:pPr>
              <w:rPr>
                <w:rFonts w:ascii="Arial"/>
                <w:sz w:val="21"/>
                <w:highlight w:val="none"/>
              </w:rPr>
            </w:pPr>
          </w:p>
        </w:tc>
        <w:tc>
          <w:tcPr>
            <w:tcW w:w="1175" w:type="dxa"/>
            <w:vAlign w:val="top"/>
          </w:tcPr>
          <w:p w14:paraId="0190204A">
            <w:pPr>
              <w:rPr>
                <w:rFonts w:ascii="Arial"/>
                <w:sz w:val="21"/>
                <w:highlight w:val="none"/>
              </w:rPr>
            </w:pPr>
          </w:p>
        </w:tc>
        <w:tc>
          <w:tcPr>
            <w:tcW w:w="967" w:type="dxa"/>
            <w:vAlign w:val="top"/>
          </w:tcPr>
          <w:p w14:paraId="2B965957">
            <w:pPr>
              <w:rPr>
                <w:rFonts w:ascii="Arial"/>
                <w:sz w:val="21"/>
                <w:highlight w:val="none"/>
              </w:rPr>
            </w:pPr>
          </w:p>
        </w:tc>
        <w:tc>
          <w:tcPr>
            <w:tcW w:w="1091" w:type="dxa"/>
            <w:vAlign w:val="top"/>
          </w:tcPr>
          <w:p w14:paraId="5C8907E2">
            <w:pPr>
              <w:rPr>
                <w:rFonts w:ascii="Arial"/>
                <w:sz w:val="21"/>
                <w:highlight w:val="none"/>
              </w:rPr>
            </w:pPr>
          </w:p>
        </w:tc>
        <w:tc>
          <w:tcPr>
            <w:tcW w:w="3225" w:type="dxa"/>
            <w:vAlign w:val="top"/>
          </w:tcPr>
          <w:p w14:paraId="427D654E">
            <w:pPr>
              <w:rPr>
                <w:rFonts w:ascii="Arial"/>
                <w:sz w:val="21"/>
                <w:highlight w:val="none"/>
              </w:rPr>
            </w:pPr>
          </w:p>
        </w:tc>
        <w:tc>
          <w:tcPr>
            <w:tcW w:w="1931" w:type="dxa"/>
            <w:vAlign w:val="top"/>
          </w:tcPr>
          <w:p w14:paraId="5ACA6379">
            <w:pPr>
              <w:rPr>
                <w:rFonts w:ascii="Arial"/>
                <w:sz w:val="21"/>
                <w:highlight w:val="none"/>
              </w:rPr>
            </w:pPr>
          </w:p>
        </w:tc>
      </w:tr>
      <w:tr w14:paraId="40EB9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53" w:type="dxa"/>
            <w:vMerge w:val="continue"/>
            <w:tcBorders>
              <w:top w:val="nil"/>
              <w:bottom w:val="nil"/>
            </w:tcBorders>
            <w:vAlign w:val="top"/>
          </w:tcPr>
          <w:p w14:paraId="535CE9F9">
            <w:pPr>
              <w:rPr>
                <w:rFonts w:ascii="Arial"/>
                <w:sz w:val="21"/>
                <w:highlight w:val="none"/>
              </w:rPr>
            </w:pPr>
          </w:p>
        </w:tc>
        <w:tc>
          <w:tcPr>
            <w:tcW w:w="1175" w:type="dxa"/>
            <w:vAlign w:val="top"/>
          </w:tcPr>
          <w:p w14:paraId="3E9C8E21">
            <w:pPr>
              <w:rPr>
                <w:rFonts w:ascii="Arial"/>
                <w:sz w:val="21"/>
                <w:highlight w:val="none"/>
              </w:rPr>
            </w:pPr>
          </w:p>
        </w:tc>
        <w:tc>
          <w:tcPr>
            <w:tcW w:w="967" w:type="dxa"/>
            <w:vAlign w:val="top"/>
          </w:tcPr>
          <w:p w14:paraId="19F8ADC9">
            <w:pPr>
              <w:rPr>
                <w:rFonts w:ascii="Arial"/>
                <w:sz w:val="21"/>
                <w:highlight w:val="none"/>
              </w:rPr>
            </w:pPr>
          </w:p>
        </w:tc>
        <w:tc>
          <w:tcPr>
            <w:tcW w:w="1091" w:type="dxa"/>
            <w:vAlign w:val="top"/>
          </w:tcPr>
          <w:p w14:paraId="3D912C22">
            <w:pPr>
              <w:rPr>
                <w:rFonts w:ascii="Arial"/>
                <w:sz w:val="21"/>
                <w:highlight w:val="none"/>
              </w:rPr>
            </w:pPr>
          </w:p>
        </w:tc>
        <w:tc>
          <w:tcPr>
            <w:tcW w:w="3225" w:type="dxa"/>
            <w:vAlign w:val="top"/>
          </w:tcPr>
          <w:p w14:paraId="0DC84A2E">
            <w:pPr>
              <w:rPr>
                <w:rFonts w:ascii="Arial"/>
                <w:sz w:val="21"/>
                <w:highlight w:val="none"/>
              </w:rPr>
            </w:pPr>
          </w:p>
        </w:tc>
        <w:tc>
          <w:tcPr>
            <w:tcW w:w="1931" w:type="dxa"/>
            <w:vAlign w:val="top"/>
          </w:tcPr>
          <w:p w14:paraId="4072BBC4">
            <w:pPr>
              <w:rPr>
                <w:rFonts w:ascii="Arial"/>
                <w:sz w:val="21"/>
                <w:highlight w:val="none"/>
              </w:rPr>
            </w:pPr>
          </w:p>
        </w:tc>
      </w:tr>
      <w:tr w14:paraId="008A0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253" w:type="dxa"/>
            <w:vMerge w:val="continue"/>
            <w:tcBorders>
              <w:top w:val="nil"/>
              <w:bottom w:val="nil"/>
            </w:tcBorders>
            <w:vAlign w:val="top"/>
          </w:tcPr>
          <w:p w14:paraId="149A5617">
            <w:pPr>
              <w:rPr>
                <w:rFonts w:ascii="Arial"/>
                <w:sz w:val="21"/>
                <w:highlight w:val="none"/>
              </w:rPr>
            </w:pPr>
          </w:p>
        </w:tc>
        <w:tc>
          <w:tcPr>
            <w:tcW w:w="1175" w:type="dxa"/>
            <w:vAlign w:val="top"/>
          </w:tcPr>
          <w:p w14:paraId="3A041B22">
            <w:pPr>
              <w:rPr>
                <w:rFonts w:ascii="Arial"/>
                <w:sz w:val="21"/>
                <w:highlight w:val="none"/>
              </w:rPr>
            </w:pPr>
          </w:p>
        </w:tc>
        <w:tc>
          <w:tcPr>
            <w:tcW w:w="967" w:type="dxa"/>
            <w:vAlign w:val="top"/>
          </w:tcPr>
          <w:p w14:paraId="5804A1BE">
            <w:pPr>
              <w:rPr>
                <w:rFonts w:ascii="Arial"/>
                <w:sz w:val="21"/>
                <w:highlight w:val="none"/>
              </w:rPr>
            </w:pPr>
          </w:p>
        </w:tc>
        <w:tc>
          <w:tcPr>
            <w:tcW w:w="1091" w:type="dxa"/>
            <w:vAlign w:val="top"/>
          </w:tcPr>
          <w:p w14:paraId="74DF1458">
            <w:pPr>
              <w:rPr>
                <w:rFonts w:ascii="Arial"/>
                <w:sz w:val="21"/>
                <w:highlight w:val="none"/>
              </w:rPr>
            </w:pPr>
          </w:p>
        </w:tc>
        <w:tc>
          <w:tcPr>
            <w:tcW w:w="3225" w:type="dxa"/>
            <w:vAlign w:val="top"/>
          </w:tcPr>
          <w:p w14:paraId="191CE2A2">
            <w:pPr>
              <w:rPr>
                <w:rFonts w:ascii="Arial"/>
                <w:sz w:val="21"/>
                <w:highlight w:val="none"/>
              </w:rPr>
            </w:pPr>
          </w:p>
        </w:tc>
        <w:tc>
          <w:tcPr>
            <w:tcW w:w="1931" w:type="dxa"/>
            <w:vAlign w:val="top"/>
          </w:tcPr>
          <w:p w14:paraId="0E096764">
            <w:pPr>
              <w:rPr>
                <w:rFonts w:ascii="Arial"/>
                <w:sz w:val="21"/>
                <w:highlight w:val="none"/>
              </w:rPr>
            </w:pPr>
          </w:p>
        </w:tc>
      </w:tr>
      <w:tr w14:paraId="338A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253" w:type="dxa"/>
            <w:vMerge w:val="continue"/>
            <w:tcBorders>
              <w:top w:val="nil"/>
              <w:bottom w:val="nil"/>
            </w:tcBorders>
            <w:vAlign w:val="top"/>
          </w:tcPr>
          <w:p w14:paraId="5CCAE45E">
            <w:pPr>
              <w:rPr>
                <w:rFonts w:ascii="Arial"/>
                <w:sz w:val="21"/>
                <w:highlight w:val="none"/>
              </w:rPr>
            </w:pPr>
          </w:p>
        </w:tc>
        <w:tc>
          <w:tcPr>
            <w:tcW w:w="1175" w:type="dxa"/>
            <w:vAlign w:val="top"/>
          </w:tcPr>
          <w:p w14:paraId="7A4AC5FA">
            <w:pPr>
              <w:rPr>
                <w:rFonts w:ascii="Arial"/>
                <w:sz w:val="21"/>
                <w:highlight w:val="none"/>
              </w:rPr>
            </w:pPr>
          </w:p>
        </w:tc>
        <w:tc>
          <w:tcPr>
            <w:tcW w:w="967" w:type="dxa"/>
            <w:vAlign w:val="top"/>
          </w:tcPr>
          <w:p w14:paraId="1366FF94">
            <w:pPr>
              <w:rPr>
                <w:rFonts w:ascii="Arial"/>
                <w:sz w:val="21"/>
                <w:highlight w:val="none"/>
              </w:rPr>
            </w:pPr>
          </w:p>
        </w:tc>
        <w:tc>
          <w:tcPr>
            <w:tcW w:w="1091" w:type="dxa"/>
            <w:vAlign w:val="top"/>
          </w:tcPr>
          <w:p w14:paraId="6E3518DA">
            <w:pPr>
              <w:rPr>
                <w:rFonts w:ascii="Arial"/>
                <w:sz w:val="21"/>
                <w:highlight w:val="none"/>
              </w:rPr>
            </w:pPr>
          </w:p>
        </w:tc>
        <w:tc>
          <w:tcPr>
            <w:tcW w:w="3225" w:type="dxa"/>
            <w:vAlign w:val="top"/>
          </w:tcPr>
          <w:p w14:paraId="76389BA4">
            <w:pPr>
              <w:rPr>
                <w:rFonts w:ascii="Arial"/>
                <w:sz w:val="21"/>
                <w:highlight w:val="none"/>
              </w:rPr>
            </w:pPr>
          </w:p>
        </w:tc>
        <w:tc>
          <w:tcPr>
            <w:tcW w:w="1931" w:type="dxa"/>
            <w:vAlign w:val="top"/>
          </w:tcPr>
          <w:p w14:paraId="53912CAF">
            <w:pPr>
              <w:rPr>
                <w:rFonts w:ascii="Arial"/>
                <w:sz w:val="21"/>
                <w:highlight w:val="none"/>
              </w:rPr>
            </w:pPr>
          </w:p>
        </w:tc>
      </w:tr>
      <w:tr w14:paraId="2021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253" w:type="dxa"/>
            <w:vMerge w:val="continue"/>
            <w:tcBorders>
              <w:top w:val="nil"/>
            </w:tcBorders>
            <w:vAlign w:val="top"/>
          </w:tcPr>
          <w:p w14:paraId="0D0EC781">
            <w:pPr>
              <w:rPr>
                <w:rFonts w:ascii="Arial"/>
                <w:sz w:val="21"/>
                <w:highlight w:val="none"/>
              </w:rPr>
            </w:pPr>
          </w:p>
        </w:tc>
        <w:tc>
          <w:tcPr>
            <w:tcW w:w="1175" w:type="dxa"/>
            <w:vAlign w:val="top"/>
          </w:tcPr>
          <w:p w14:paraId="5E51790C">
            <w:pPr>
              <w:rPr>
                <w:rFonts w:ascii="Arial"/>
                <w:sz w:val="21"/>
                <w:highlight w:val="none"/>
              </w:rPr>
            </w:pPr>
          </w:p>
        </w:tc>
        <w:tc>
          <w:tcPr>
            <w:tcW w:w="967" w:type="dxa"/>
            <w:vAlign w:val="top"/>
          </w:tcPr>
          <w:p w14:paraId="31321D23">
            <w:pPr>
              <w:rPr>
                <w:rFonts w:ascii="Arial"/>
                <w:sz w:val="21"/>
                <w:highlight w:val="none"/>
              </w:rPr>
            </w:pPr>
          </w:p>
        </w:tc>
        <w:tc>
          <w:tcPr>
            <w:tcW w:w="1091" w:type="dxa"/>
            <w:vAlign w:val="top"/>
          </w:tcPr>
          <w:p w14:paraId="2FA7307F">
            <w:pPr>
              <w:rPr>
                <w:rFonts w:ascii="Arial"/>
                <w:sz w:val="21"/>
                <w:highlight w:val="none"/>
              </w:rPr>
            </w:pPr>
          </w:p>
        </w:tc>
        <w:tc>
          <w:tcPr>
            <w:tcW w:w="3225" w:type="dxa"/>
            <w:vAlign w:val="top"/>
          </w:tcPr>
          <w:p w14:paraId="61403D61">
            <w:pPr>
              <w:rPr>
                <w:rFonts w:ascii="Arial"/>
                <w:sz w:val="21"/>
                <w:highlight w:val="none"/>
              </w:rPr>
            </w:pPr>
          </w:p>
        </w:tc>
        <w:tc>
          <w:tcPr>
            <w:tcW w:w="1931" w:type="dxa"/>
            <w:vAlign w:val="top"/>
          </w:tcPr>
          <w:p w14:paraId="596EF3C5">
            <w:pPr>
              <w:rPr>
                <w:rFonts w:ascii="Arial"/>
                <w:sz w:val="21"/>
                <w:highlight w:val="none"/>
              </w:rPr>
            </w:pPr>
          </w:p>
        </w:tc>
      </w:tr>
    </w:tbl>
    <w:p w14:paraId="097558DB">
      <w:pPr>
        <w:pStyle w:val="3"/>
        <w:rPr>
          <w:highlight w:val="none"/>
        </w:rPr>
      </w:pPr>
    </w:p>
    <w:p w14:paraId="531D6175">
      <w:pPr>
        <w:rPr>
          <w:highlight w:val="none"/>
        </w:rPr>
        <w:sectPr>
          <w:footerReference r:id="rId64" w:type="default"/>
          <w:pgSz w:w="11909" w:h="16841"/>
          <w:pgMar w:top="1431" w:right="1171" w:bottom="1045" w:left="1089" w:header="0" w:footer="814" w:gutter="0"/>
          <w:cols w:space="720" w:num="1"/>
        </w:sectPr>
      </w:pPr>
    </w:p>
    <w:p w14:paraId="3AD4617A">
      <w:pPr>
        <w:spacing w:before="68" w:line="219" w:lineRule="auto"/>
        <w:ind w:left="18"/>
        <w:rPr>
          <w:rFonts w:ascii="宋体" w:hAnsi="宋体" w:eastAsia="宋体" w:cs="宋体"/>
          <w:sz w:val="24"/>
          <w:szCs w:val="24"/>
          <w:highlight w:val="none"/>
        </w:rPr>
      </w:pPr>
      <w:r>
        <w:rPr>
          <w:rFonts w:ascii="宋体" w:hAnsi="宋体" w:eastAsia="宋体" w:cs="宋体"/>
          <w:spacing w:val="-17"/>
          <w:sz w:val="24"/>
          <w:szCs w:val="24"/>
          <w:highlight w:val="none"/>
        </w:rPr>
        <w:t>附件</w:t>
      </w:r>
      <w:r>
        <w:rPr>
          <w:rFonts w:ascii="宋体" w:hAnsi="宋体" w:eastAsia="宋体" w:cs="宋体"/>
          <w:spacing w:val="-71"/>
          <w:sz w:val="24"/>
          <w:szCs w:val="24"/>
          <w:highlight w:val="none"/>
        </w:rPr>
        <w:t xml:space="preserve"> </w:t>
      </w:r>
      <w:r>
        <w:rPr>
          <w:rFonts w:ascii="宋体" w:hAnsi="宋体" w:eastAsia="宋体" w:cs="宋体"/>
          <w:spacing w:val="-17"/>
          <w:sz w:val="24"/>
          <w:szCs w:val="24"/>
          <w:highlight w:val="none"/>
        </w:rPr>
        <w:t>7：</w:t>
      </w:r>
    </w:p>
    <w:p w14:paraId="1DD536FF">
      <w:pPr>
        <w:spacing w:before="286" w:line="220" w:lineRule="auto"/>
        <w:ind w:left="3450"/>
        <w:rPr>
          <w:rFonts w:ascii="宋体" w:hAnsi="宋体" w:eastAsia="宋体" w:cs="宋体"/>
          <w:sz w:val="24"/>
          <w:szCs w:val="24"/>
          <w:highlight w:val="none"/>
        </w:rPr>
      </w:pPr>
      <w:r>
        <w:rPr>
          <w:rFonts w:ascii="宋体" w:hAnsi="宋体" w:eastAsia="宋体" w:cs="宋体"/>
          <w:spacing w:val="-3"/>
          <w:sz w:val="24"/>
          <w:szCs w:val="24"/>
          <w:highlight w:val="none"/>
        </w:rPr>
        <w:t>分包人主要施工管理人员表</w:t>
      </w:r>
    </w:p>
    <w:p w14:paraId="6FABEB40">
      <w:pPr>
        <w:spacing w:line="131" w:lineRule="exact"/>
        <w:rPr>
          <w:highlight w:val="none"/>
        </w:rPr>
      </w:pPr>
    </w:p>
    <w:tbl>
      <w:tblPr>
        <w:tblStyle w:val="24"/>
        <w:tblW w:w="9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6"/>
        <w:gridCol w:w="1151"/>
        <w:gridCol w:w="948"/>
        <w:gridCol w:w="1068"/>
        <w:gridCol w:w="3160"/>
        <w:gridCol w:w="1890"/>
      </w:tblGrid>
      <w:tr w14:paraId="5E49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26" w:type="dxa"/>
            <w:vAlign w:val="top"/>
          </w:tcPr>
          <w:p w14:paraId="7D46D95A">
            <w:pPr>
              <w:spacing w:before="306" w:line="222" w:lineRule="auto"/>
              <w:ind w:left="396"/>
              <w:rPr>
                <w:rFonts w:ascii="宋体" w:hAnsi="宋体" w:eastAsia="宋体" w:cs="宋体"/>
                <w:sz w:val="24"/>
                <w:szCs w:val="24"/>
                <w:highlight w:val="none"/>
              </w:rPr>
            </w:pPr>
            <w:r>
              <w:rPr>
                <w:rFonts w:ascii="宋体" w:hAnsi="宋体" w:eastAsia="宋体" w:cs="宋体"/>
                <w:spacing w:val="-7"/>
                <w:sz w:val="24"/>
                <w:szCs w:val="24"/>
                <w:highlight w:val="none"/>
              </w:rPr>
              <w:t>名称</w:t>
            </w:r>
          </w:p>
        </w:tc>
        <w:tc>
          <w:tcPr>
            <w:tcW w:w="1151" w:type="dxa"/>
            <w:vAlign w:val="top"/>
          </w:tcPr>
          <w:p w14:paraId="72392588">
            <w:pPr>
              <w:spacing w:before="304" w:line="220" w:lineRule="auto"/>
              <w:ind w:left="345"/>
              <w:rPr>
                <w:rFonts w:ascii="宋体" w:hAnsi="宋体" w:eastAsia="宋体" w:cs="宋体"/>
                <w:sz w:val="24"/>
                <w:szCs w:val="24"/>
                <w:highlight w:val="none"/>
              </w:rPr>
            </w:pPr>
            <w:r>
              <w:rPr>
                <w:rFonts w:ascii="宋体" w:hAnsi="宋体" w:eastAsia="宋体" w:cs="宋体"/>
                <w:spacing w:val="-4"/>
                <w:sz w:val="24"/>
                <w:szCs w:val="24"/>
                <w:highlight w:val="none"/>
              </w:rPr>
              <w:t>姓名</w:t>
            </w:r>
          </w:p>
        </w:tc>
        <w:tc>
          <w:tcPr>
            <w:tcW w:w="948" w:type="dxa"/>
            <w:vAlign w:val="top"/>
          </w:tcPr>
          <w:p w14:paraId="088EEF18">
            <w:pPr>
              <w:spacing w:before="304" w:line="220" w:lineRule="auto"/>
              <w:ind w:left="245"/>
              <w:rPr>
                <w:rFonts w:ascii="宋体" w:hAnsi="宋体" w:eastAsia="宋体" w:cs="宋体"/>
                <w:sz w:val="24"/>
                <w:szCs w:val="24"/>
                <w:highlight w:val="none"/>
              </w:rPr>
            </w:pPr>
            <w:r>
              <w:rPr>
                <w:rFonts w:ascii="宋体" w:hAnsi="宋体" w:eastAsia="宋体" w:cs="宋体"/>
                <w:spacing w:val="-4"/>
                <w:sz w:val="24"/>
                <w:szCs w:val="24"/>
                <w:highlight w:val="none"/>
              </w:rPr>
              <w:t>职务</w:t>
            </w:r>
          </w:p>
        </w:tc>
        <w:tc>
          <w:tcPr>
            <w:tcW w:w="1068" w:type="dxa"/>
            <w:vAlign w:val="top"/>
          </w:tcPr>
          <w:p w14:paraId="77495DC5">
            <w:pPr>
              <w:spacing w:before="306" w:line="222" w:lineRule="auto"/>
              <w:ind w:left="307"/>
              <w:rPr>
                <w:rFonts w:ascii="宋体" w:hAnsi="宋体" w:eastAsia="宋体" w:cs="宋体"/>
                <w:sz w:val="24"/>
                <w:szCs w:val="24"/>
                <w:highlight w:val="none"/>
              </w:rPr>
            </w:pPr>
            <w:r>
              <w:rPr>
                <w:rFonts w:ascii="宋体" w:hAnsi="宋体" w:eastAsia="宋体" w:cs="宋体"/>
                <w:spacing w:val="-4"/>
                <w:sz w:val="24"/>
                <w:szCs w:val="24"/>
                <w:highlight w:val="none"/>
              </w:rPr>
              <w:t>职称</w:t>
            </w:r>
          </w:p>
        </w:tc>
        <w:tc>
          <w:tcPr>
            <w:tcW w:w="3160" w:type="dxa"/>
            <w:vAlign w:val="top"/>
          </w:tcPr>
          <w:p w14:paraId="397D0E28">
            <w:pPr>
              <w:spacing w:before="160" w:line="220" w:lineRule="auto"/>
              <w:ind w:left="39"/>
              <w:rPr>
                <w:rFonts w:ascii="宋体" w:hAnsi="宋体" w:eastAsia="宋体" w:cs="宋体"/>
                <w:sz w:val="24"/>
                <w:szCs w:val="24"/>
                <w:highlight w:val="none"/>
              </w:rPr>
            </w:pPr>
            <w:r>
              <w:rPr>
                <w:rFonts w:ascii="宋体" w:hAnsi="宋体" w:eastAsia="宋体" w:cs="宋体"/>
                <w:spacing w:val="-3"/>
                <w:sz w:val="24"/>
                <w:szCs w:val="24"/>
                <w:highlight w:val="none"/>
              </w:rPr>
              <w:t>主要资历、经验及承担过的项</w:t>
            </w:r>
          </w:p>
          <w:p w14:paraId="3D7EA8F0">
            <w:pPr>
              <w:spacing w:before="1" w:line="205" w:lineRule="auto"/>
              <w:ind w:left="1514"/>
              <w:rPr>
                <w:rFonts w:ascii="宋体" w:hAnsi="宋体" w:eastAsia="宋体" w:cs="宋体"/>
                <w:sz w:val="24"/>
                <w:szCs w:val="24"/>
                <w:highlight w:val="none"/>
              </w:rPr>
            </w:pPr>
            <w:r>
              <w:rPr>
                <w:rFonts w:ascii="宋体" w:hAnsi="宋体" w:eastAsia="宋体" w:cs="宋体"/>
                <w:sz w:val="24"/>
                <w:szCs w:val="24"/>
                <w:highlight w:val="none"/>
              </w:rPr>
              <w:t>目</w:t>
            </w:r>
          </w:p>
        </w:tc>
        <w:tc>
          <w:tcPr>
            <w:tcW w:w="1890" w:type="dxa"/>
            <w:vAlign w:val="top"/>
          </w:tcPr>
          <w:p w14:paraId="35430127">
            <w:pPr>
              <w:spacing w:before="304" w:line="220" w:lineRule="auto"/>
              <w:ind w:left="372"/>
              <w:rPr>
                <w:rFonts w:ascii="宋体" w:hAnsi="宋体" w:eastAsia="宋体" w:cs="宋体"/>
                <w:sz w:val="24"/>
                <w:szCs w:val="24"/>
                <w:highlight w:val="none"/>
              </w:rPr>
            </w:pPr>
            <w:r>
              <w:rPr>
                <w:rFonts w:ascii="宋体" w:hAnsi="宋体" w:eastAsia="宋体" w:cs="宋体"/>
                <w:spacing w:val="-7"/>
                <w:sz w:val="24"/>
                <w:szCs w:val="24"/>
                <w:highlight w:val="none"/>
              </w:rPr>
              <w:t>身份证号码</w:t>
            </w:r>
          </w:p>
        </w:tc>
      </w:tr>
      <w:tr w14:paraId="448B6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26" w:type="dxa"/>
            <w:vAlign w:val="top"/>
          </w:tcPr>
          <w:p w14:paraId="13C1F967">
            <w:pPr>
              <w:rPr>
                <w:rFonts w:ascii="Arial"/>
                <w:sz w:val="21"/>
                <w:highlight w:val="none"/>
              </w:rPr>
            </w:pPr>
          </w:p>
        </w:tc>
        <w:tc>
          <w:tcPr>
            <w:tcW w:w="1151" w:type="dxa"/>
            <w:vAlign w:val="top"/>
          </w:tcPr>
          <w:p w14:paraId="2C7A7715">
            <w:pPr>
              <w:rPr>
                <w:rFonts w:ascii="Arial"/>
                <w:sz w:val="21"/>
                <w:highlight w:val="none"/>
              </w:rPr>
            </w:pPr>
          </w:p>
        </w:tc>
        <w:tc>
          <w:tcPr>
            <w:tcW w:w="948" w:type="dxa"/>
            <w:vAlign w:val="top"/>
          </w:tcPr>
          <w:p w14:paraId="79393ACE">
            <w:pPr>
              <w:rPr>
                <w:rFonts w:ascii="Arial"/>
                <w:sz w:val="21"/>
                <w:highlight w:val="none"/>
              </w:rPr>
            </w:pPr>
          </w:p>
        </w:tc>
        <w:tc>
          <w:tcPr>
            <w:tcW w:w="1068" w:type="dxa"/>
            <w:vAlign w:val="top"/>
          </w:tcPr>
          <w:p w14:paraId="3ABB15CB">
            <w:pPr>
              <w:rPr>
                <w:rFonts w:ascii="Arial"/>
                <w:sz w:val="21"/>
                <w:highlight w:val="none"/>
              </w:rPr>
            </w:pPr>
          </w:p>
        </w:tc>
        <w:tc>
          <w:tcPr>
            <w:tcW w:w="3160" w:type="dxa"/>
            <w:vAlign w:val="top"/>
          </w:tcPr>
          <w:p w14:paraId="592B4518">
            <w:pPr>
              <w:rPr>
                <w:rFonts w:ascii="Arial"/>
                <w:sz w:val="21"/>
                <w:highlight w:val="none"/>
              </w:rPr>
            </w:pPr>
          </w:p>
        </w:tc>
        <w:tc>
          <w:tcPr>
            <w:tcW w:w="1890" w:type="dxa"/>
            <w:vAlign w:val="top"/>
          </w:tcPr>
          <w:p w14:paraId="166DFF11">
            <w:pPr>
              <w:rPr>
                <w:rFonts w:ascii="Arial"/>
                <w:sz w:val="21"/>
                <w:highlight w:val="none"/>
              </w:rPr>
            </w:pPr>
          </w:p>
        </w:tc>
      </w:tr>
      <w:tr w14:paraId="77173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226" w:type="dxa"/>
            <w:tcBorders>
              <w:right w:val="nil"/>
            </w:tcBorders>
            <w:vAlign w:val="top"/>
          </w:tcPr>
          <w:p w14:paraId="34533556">
            <w:pPr>
              <w:rPr>
                <w:rFonts w:ascii="Arial"/>
                <w:sz w:val="21"/>
                <w:highlight w:val="none"/>
              </w:rPr>
            </w:pPr>
          </w:p>
        </w:tc>
        <w:tc>
          <w:tcPr>
            <w:tcW w:w="1151" w:type="dxa"/>
            <w:tcBorders>
              <w:left w:val="nil"/>
              <w:right w:val="nil"/>
            </w:tcBorders>
            <w:vAlign w:val="top"/>
          </w:tcPr>
          <w:p w14:paraId="16833C7E">
            <w:pPr>
              <w:rPr>
                <w:rFonts w:ascii="Arial"/>
                <w:sz w:val="21"/>
                <w:highlight w:val="none"/>
              </w:rPr>
            </w:pPr>
          </w:p>
        </w:tc>
        <w:tc>
          <w:tcPr>
            <w:tcW w:w="948" w:type="dxa"/>
            <w:tcBorders>
              <w:left w:val="nil"/>
              <w:right w:val="nil"/>
            </w:tcBorders>
            <w:vAlign w:val="top"/>
          </w:tcPr>
          <w:p w14:paraId="4C52E2F4">
            <w:pPr>
              <w:rPr>
                <w:rFonts w:ascii="Arial"/>
                <w:sz w:val="21"/>
                <w:highlight w:val="none"/>
              </w:rPr>
            </w:pPr>
          </w:p>
        </w:tc>
        <w:tc>
          <w:tcPr>
            <w:tcW w:w="1068" w:type="dxa"/>
            <w:tcBorders>
              <w:left w:val="nil"/>
              <w:right w:val="nil"/>
            </w:tcBorders>
            <w:vAlign w:val="top"/>
          </w:tcPr>
          <w:p w14:paraId="4C7FC7EC">
            <w:pPr>
              <w:rPr>
                <w:rFonts w:ascii="Arial"/>
                <w:sz w:val="21"/>
                <w:highlight w:val="none"/>
              </w:rPr>
            </w:pPr>
          </w:p>
        </w:tc>
        <w:tc>
          <w:tcPr>
            <w:tcW w:w="3160" w:type="dxa"/>
            <w:tcBorders>
              <w:left w:val="nil"/>
              <w:right w:val="nil"/>
            </w:tcBorders>
            <w:vAlign w:val="top"/>
          </w:tcPr>
          <w:p w14:paraId="07BC775B">
            <w:pPr>
              <w:spacing w:before="159" w:line="213" w:lineRule="auto"/>
              <w:ind w:left="623"/>
              <w:rPr>
                <w:rFonts w:ascii="宋体" w:hAnsi="宋体" w:eastAsia="宋体" w:cs="宋体"/>
                <w:sz w:val="24"/>
                <w:szCs w:val="24"/>
                <w:highlight w:val="none"/>
              </w:rPr>
            </w:pPr>
            <w:r>
              <w:rPr>
                <w:rFonts w:ascii="宋体" w:hAnsi="宋体" w:eastAsia="宋体" w:cs="宋体"/>
                <w:spacing w:val="-17"/>
                <w:sz w:val="24"/>
                <w:szCs w:val="24"/>
                <w:highlight w:val="none"/>
              </w:rPr>
              <w:t>一、总部人员</w:t>
            </w:r>
          </w:p>
        </w:tc>
        <w:tc>
          <w:tcPr>
            <w:tcW w:w="1890" w:type="dxa"/>
            <w:tcBorders>
              <w:left w:val="nil"/>
            </w:tcBorders>
            <w:vAlign w:val="top"/>
          </w:tcPr>
          <w:p w14:paraId="20D7BBF8">
            <w:pPr>
              <w:rPr>
                <w:rFonts w:ascii="Arial"/>
                <w:sz w:val="21"/>
                <w:highlight w:val="none"/>
              </w:rPr>
            </w:pPr>
          </w:p>
        </w:tc>
      </w:tr>
      <w:tr w14:paraId="33B0D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226" w:type="dxa"/>
            <w:vAlign w:val="top"/>
          </w:tcPr>
          <w:p w14:paraId="3A3ABCA8">
            <w:pPr>
              <w:spacing w:before="163" w:line="207" w:lineRule="auto"/>
              <w:ind w:left="155"/>
              <w:rPr>
                <w:rFonts w:ascii="宋体" w:hAnsi="宋体" w:eastAsia="宋体" w:cs="宋体"/>
                <w:sz w:val="24"/>
                <w:szCs w:val="24"/>
                <w:highlight w:val="none"/>
              </w:rPr>
            </w:pPr>
            <w:r>
              <w:rPr>
                <w:rFonts w:ascii="宋体" w:hAnsi="宋体" w:eastAsia="宋体" w:cs="宋体"/>
                <w:spacing w:val="-6"/>
                <w:sz w:val="24"/>
                <w:szCs w:val="24"/>
                <w:highlight w:val="none"/>
              </w:rPr>
              <w:t>项目主管</w:t>
            </w:r>
          </w:p>
        </w:tc>
        <w:tc>
          <w:tcPr>
            <w:tcW w:w="1151" w:type="dxa"/>
            <w:vAlign w:val="top"/>
          </w:tcPr>
          <w:p w14:paraId="0F49A2C7">
            <w:pPr>
              <w:rPr>
                <w:rFonts w:ascii="Arial"/>
                <w:sz w:val="21"/>
                <w:highlight w:val="none"/>
              </w:rPr>
            </w:pPr>
          </w:p>
        </w:tc>
        <w:tc>
          <w:tcPr>
            <w:tcW w:w="948" w:type="dxa"/>
            <w:vAlign w:val="top"/>
          </w:tcPr>
          <w:p w14:paraId="01D23F3C">
            <w:pPr>
              <w:rPr>
                <w:rFonts w:ascii="Arial"/>
                <w:sz w:val="21"/>
                <w:highlight w:val="none"/>
              </w:rPr>
            </w:pPr>
          </w:p>
        </w:tc>
        <w:tc>
          <w:tcPr>
            <w:tcW w:w="1068" w:type="dxa"/>
            <w:vAlign w:val="top"/>
          </w:tcPr>
          <w:p w14:paraId="08303638">
            <w:pPr>
              <w:rPr>
                <w:rFonts w:ascii="Arial"/>
                <w:sz w:val="21"/>
                <w:highlight w:val="none"/>
              </w:rPr>
            </w:pPr>
          </w:p>
        </w:tc>
        <w:tc>
          <w:tcPr>
            <w:tcW w:w="3160" w:type="dxa"/>
            <w:vAlign w:val="top"/>
          </w:tcPr>
          <w:p w14:paraId="7C901C73">
            <w:pPr>
              <w:rPr>
                <w:rFonts w:ascii="Arial"/>
                <w:sz w:val="21"/>
                <w:highlight w:val="none"/>
              </w:rPr>
            </w:pPr>
          </w:p>
        </w:tc>
        <w:tc>
          <w:tcPr>
            <w:tcW w:w="1890" w:type="dxa"/>
            <w:vAlign w:val="top"/>
          </w:tcPr>
          <w:p w14:paraId="0DB87B37">
            <w:pPr>
              <w:rPr>
                <w:rFonts w:ascii="Arial"/>
                <w:sz w:val="21"/>
                <w:highlight w:val="none"/>
              </w:rPr>
            </w:pPr>
          </w:p>
        </w:tc>
      </w:tr>
      <w:tr w14:paraId="1590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vMerge w:val="restart"/>
            <w:tcBorders>
              <w:bottom w:val="nil"/>
            </w:tcBorders>
            <w:vAlign w:val="top"/>
          </w:tcPr>
          <w:p w14:paraId="106D1BB3">
            <w:pPr>
              <w:spacing w:line="259" w:lineRule="auto"/>
              <w:rPr>
                <w:rFonts w:ascii="Arial"/>
                <w:sz w:val="21"/>
                <w:highlight w:val="none"/>
              </w:rPr>
            </w:pPr>
          </w:p>
          <w:p w14:paraId="073A2F57">
            <w:pPr>
              <w:spacing w:line="260" w:lineRule="auto"/>
              <w:rPr>
                <w:rFonts w:ascii="Arial"/>
                <w:sz w:val="21"/>
                <w:highlight w:val="none"/>
              </w:rPr>
            </w:pPr>
          </w:p>
          <w:p w14:paraId="6E224324">
            <w:pPr>
              <w:spacing w:before="78" w:line="220" w:lineRule="auto"/>
              <w:ind w:left="152"/>
              <w:rPr>
                <w:rFonts w:ascii="宋体" w:hAnsi="宋体" w:eastAsia="宋体" w:cs="宋体"/>
                <w:sz w:val="24"/>
                <w:szCs w:val="24"/>
                <w:highlight w:val="none"/>
              </w:rPr>
            </w:pPr>
            <w:r>
              <w:rPr>
                <w:rFonts w:ascii="宋体" w:hAnsi="宋体" w:eastAsia="宋体" w:cs="宋体"/>
                <w:spacing w:val="-5"/>
                <w:sz w:val="24"/>
                <w:szCs w:val="24"/>
                <w:highlight w:val="none"/>
              </w:rPr>
              <w:t>其他人员</w:t>
            </w:r>
          </w:p>
        </w:tc>
        <w:tc>
          <w:tcPr>
            <w:tcW w:w="1151" w:type="dxa"/>
            <w:vAlign w:val="top"/>
          </w:tcPr>
          <w:p w14:paraId="6B41EB7C">
            <w:pPr>
              <w:rPr>
                <w:rFonts w:ascii="Arial"/>
                <w:sz w:val="21"/>
                <w:highlight w:val="none"/>
              </w:rPr>
            </w:pPr>
          </w:p>
        </w:tc>
        <w:tc>
          <w:tcPr>
            <w:tcW w:w="948" w:type="dxa"/>
            <w:vAlign w:val="top"/>
          </w:tcPr>
          <w:p w14:paraId="3A5DE556">
            <w:pPr>
              <w:rPr>
                <w:rFonts w:ascii="Arial"/>
                <w:sz w:val="21"/>
                <w:highlight w:val="none"/>
              </w:rPr>
            </w:pPr>
          </w:p>
        </w:tc>
        <w:tc>
          <w:tcPr>
            <w:tcW w:w="1068" w:type="dxa"/>
            <w:vAlign w:val="top"/>
          </w:tcPr>
          <w:p w14:paraId="031608F7">
            <w:pPr>
              <w:rPr>
                <w:rFonts w:ascii="Arial"/>
                <w:sz w:val="21"/>
                <w:highlight w:val="none"/>
              </w:rPr>
            </w:pPr>
          </w:p>
        </w:tc>
        <w:tc>
          <w:tcPr>
            <w:tcW w:w="3160" w:type="dxa"/>
            <w:vAlign w:val="top"/>
          </w:tcPr>
          <w:p w14:paraId="7669EA62">
            <w:pPr>
              <w:rPr>
                <w:rFonts w:ascii="Arial"/>
                <w:sz w:val="21"/>
                <w:highlight w:val="none"/>
              </w:rPr>
            </w:pPr>
          </w:p>
        </w:tc>
        <w:tc>
          <w:tcPr>
            <w:tcW w:w="1890" w:type="dxa"/>
            <w:vAlign w:val="top"/>
          </w:tcPr>
          <w:p w14:paraId="048F9CD7">
            <w:pPr>
              <w:rPr>
                <w:rFonts w:ascii="Arial"/>
                <w:sz w:val="21"/>
                <w:highlight w:val="none"/>
              </w:rPr>
            </w:pPr>
          </w:p>
        </w:tc>
      </w:tr>
      <w:tr w14:paraId="01E1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vMerge w:val="continue"/>
            <w:tcBorders>
              <w:top w:val="nil"/>
              <w:bottom w:val="nil"/>
            </w:tcBorders>
            <w:vAlign w:val="top"/>
          </w:tcPr>
          <w:p w14:paraId="5EA584FE">
            <w:pPr>
              <w:rPr>
                <w:rFonts w:ascii="Arial"/>
                <w:sz w:val="21"/>
                <w:highlight w:val="none"/>
              </w:rPr>
            </w:pPr>
          </w:p>
        </w:tc>
        <w:tc>
          <w:tcPr>
            <w:tcW w:w="1151" w:type="dxa"/>
            <w:vAlign w:val="top"/>
          </w:tcPr>
          <w:p w14:paraId="7226E3B8">
            <w:pPr>
              <w:rPr>
                <w:rFonts w:ascii="Arial"/>
                <w:sz w:val="21"/>
                <w:highlight w:val="none"/>
              </w:rPr>
            </w:pPr>
          </w:p>
        </w:tc>
        <w:tc>
          <w:tcPr>
            <w:tcW w:w="948" w:type="dxa"/>
            <w:vAlign w:val="top"/>
          </w:tcPr>
          <w:p w14:paraId="464280F6">
            <w:pPr>
              <w:rPr>
                <w:rFonts w:ascii="Arial"/>
                <w:sz w:val="21"/>
                <w:highlight w:val="none"/>
              </w:rPr>
            </w:pPr>
          </w:p>
        </w:tc>
        <w:tc>
          <w:tcPr>
            <w:tcW w:w="1068" w:type="dxa"/>
            <w:vAlign w:val="top"/>
          </w:tcPr>
          <w:p w14:paraId="1C5D514E">
            <w:pPr>
              <w:rPr>
                <w:rFonts w:ascii="Arial"/>
                <w:sz w:val="21"/>
                <w:highlight w:val="none"/>
              </w:rPr>
            </w:pPr>
          </w:p>
        </w:tc>
        <w:tc>
          <w:tcPr>
            <w:tcW w:w="3160" w:type="dxa"/>
            <w:vAlign w:val="top"/>
          </w:tcPr>
          <w:p w14:paraId="32961288">
            <w:pPr>
              <w:rPr>
                <w:rFonts w:ascii="Arial"/>
                <w:sz w:val="21"/>
                <w:highlight w:val="none"/>
              </w:rPr>
            </w:pPr>
          </w:p>
        </w:tc>
        <w:tc>
          <w:tcPr>
            <w:tcW w:w="1890" w:type="dxa"/>
            <w:vAlign w:val="top"/>
          </w:tcPr>
          <w:p w14:paraId="5D4FA66D">
            <w:pPr>
              <w:rPr>
                <w:rFonts w:ascii="Arial"/>
                <w:sz w:val="21"/>
                <w:highlight w:val="none"/>
              </w:rPr>
            </w:pPr>
          </w:p>
        </w:tc>
      </w:tr>
      <w:tr w14:paraId="707F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vMerge w:val="continue"/>
            <w:tcBorders>
              <w:top w:val="nil"/>
            </w:tcBorders>
            <w:vAlign w:val="top"/>
          </w:tcPr>
          <w:p w14:paraId="22A8903E">
            <w:pPr>
              <w:rPr>
                <w:rFonts w:ascii="Arial"/>
                <w:sz w:val="21"/>
                <w:highlight w:val="none"/>
              </w:rPr>
            </w:pPr>
          </w:p>
        </w:tc>
        <w:tc>
          <w:tcPr>
            <w:tcW w:w="1151" w:type="dxa"/>
            <w:vAlign w:val="top"/>
          </w:tcPr>
          <w:p w14:paraId="5147BE2F">
            <w:pPr>
              <w:rPr>
                <w:rFonts w:ascii="Arial"/>
                <w:sz w:val="21"/>
                <w:highlight w:val="none"/>
              </w:rPr>
            </w:pPr>
          </w:p>
        </w:tc>
        <w:tc>
          <w:tcPr>
            <w:tcW w:w="948" w:type="dxa"/>
            <w:vAlign w:val="top"/>
          </w:tcPr>
          <w:p w14:paraId="24D2B770">
            <w:pPr>
              <w:rPr>
                <w:rFonts w:ascii="Arial"/>
                <w:sz w:val="21"/>
                <w:highlight w:val="none"/>
              </w:rPr>
            </w:pPr>
          </w:p>
        </w:tc>
        <w:tc>
          <w:tcPr>
            <w:tcW w:w="1068" w:type="dxa"/>
            <w:vAlign w:val="top"/>
          </w:tcPr>
          <w:p w14:paraId="57198871">
            <w:pPr>
              <w:rPr>
                <w:rFonts w:ascii="Arial"/>
                <w:sz w:val="21"/>
                <w:highlight w:val="none"/>
              </w:rPr>
            </w:pPr>
          </w:p>
        </w:tc>
        <w:tc>
          <w:tcPr>
            <w:tcW w:w="3160" w:type="dxa"/>
            <w:vAlign w:val="top"/>
          </w:tcPr>
          <w:p w14:paraId="57AF2FA3">
            <w:pPr>
              <w:rPr>
                <w:rFonts w:ascii="Arial"/>
                <w:sz w:val="21"/>
                <w:highlight w:val="none"/>
              </w:rPr>
            </w:pPr>
          </w:p>
        </w:tc>
        <w:tc>
          <w:tcPr>
            <w:tcW w:w="1890" w:type="dxa"/>
            <w:vAlign w:val="top"/>
          </w:tcPr>
          <w:p w14:paraId="3A48C4FE">
            <w:pPr>
              <w:rPr>
                <w:rFonts w:ascii="Arial"/>
                <w:sz w:val="21"/>
                <w:highlight w:val="none"/>
              </w:rPr>
            </w:pPr>
          </w:p>
        </w:tc>
      </w:tr>
      <w:tr w14:paraId="3061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tcBorders>
              <w:right w:val="nil"/>
            </w:tcBorders>
            <w:vAlign w:val="top"/>
          </w:tcPr>
          <w:p w14:paraId="1B3F1CC4">
            <w:pPr>
              <w:rPr>
                <w:rFonts w:ascii="Arial"/>
                <w:sz w:val="21"/>
                <w:highlight w:val="none"/>
              </w:rPr>
            </w:pPr>
          </w:p>
        </w:tc>
        <w:tc>
          <w:tcPr>
            <w:tcW w:w="1151" w:type="dxa"/>
            <w:tcBorders>
              <w:left w:val="nil"/>
              <w:right w:val="nil"/>
            </w:tcBorders>
            <w:vAlign w:val="top"/>
          </w:tcPr>
          <w:p w14:paraId="6DD7CE4F">
            <w:pPr>
              <w:rPr>
                <w:rFonts w:ascii="Arial"/>
                <w:sz w:val="21"/>
                <w:highlight w:val="none"/>
              </w:rPr>
            </w:pPr>
          </w:p>
        </w:tc>
        <w:tc>
          <w:tcPr>
            <w:tcW w:w="948" w:type="dxa"/>
            <w:tcBorders>
              <w:left w:val="nil"/>
              <w:right w:val="nil"/>
            </w:tcBorders>
            <w:vAlign w:val="top"/>
          </w:tcPr>
          <w:p w14:paraId="47FF5504">
            <w:pPr>
              <w:rPr>
                <w:rFonts w:ascii="Arial"/>
                <w:sz w:val="21"/>
                <w:highlight w:val="none"/>
              </w:rPr>
            </w:pPr>
          </w:p>
        </w:tc>
        <w:tc>
          <w:tcPr>
            <w:tcW w:w="1068" w:type="dxa"/>
            <w:tcBorders>
              <w:left w:val="nil"/>
              <w:right w:val="nil"/>
            </w:tcBorders>
            <w:vAlign w:val="top"/>
          </w:tcPr>
          <w:p w14:paraId="476A678A">
            <w:pPr>
              <w:rPr>
                <w:rFonts w:ascii="Arial"/>
                <w:sz w:val="21"/>
                <w:highlight w:val="none"/>
              </w:rPr>
            </w:pPr>
          </w:p>
        </w:tc>
        <w:tc>
          <w:tcPr>
            <w:tcW w:w="3160" w:type="dxa"/>
            <w:tcBorders>
              <w:left w:val="nil"/>
              <w:right w:val="nil"/>
            </w:tcBorders>
            <w:vAlign w:val="top"/>
          </w:tcPr>
          <w:p w14:paraId="0318BB33">
            <w:pPr>
              <w:spacing w:before="164" w:line="207" w:lineRule="auto"/>
              <w:ind w:left="623"/>
              <w:rPr>
                <w:rFonts w:ascii="宋体" w:hAnsi="宋体" w:eastAsia="宋体" w:cs="宋体"/>
                <w:sz w:val="24"/>
                <w:szCs w:val="24"/>
                <w:highlight w:val="none"/>
              </w:rPr>
            </w:pPr>
            <w:r>
              <w:rPr>
                <w:rFonts w:ascii="宋体" w:hAnsi="宋体" w:eastAsia="宋体" w:cs="宋体"/>
                <w:spacing w:val="-5"/>
                <w:sz w:val="24"/>
                <w:szCs w:val="24"/>
                <w:highlight w:val="none"/>
              </w:rPr>
              <w:t>二、现场人员</w:t>
            </w:r>
          </w:p>
        </w:tc>
        <w:tc>
          <w:tcPr>
            <w:tcW w:w="1890" w:type="dxa"/>
            <w:tcBorders>
              <w:left w:val="nil"/>
            </w:tcBorders>
            <w:vAlign w:val="top"/>
          </w:tcPr>
          <w:p w14:paraId="0F8704D8">
            <w:pPr>
              <w:rPr>
                <w:rFonts w:ascii="Arial"/>
                <w:sz w:val="21"/>
                <w:highlight w:val="none"/>
              </w:rPr>
            </w:pPr>
          </w:p>
        </w:tc>
      </w:tr>
      <w:tr w14:paraId="72C5D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226" w:type="dxa"/>
            <w:vAlign w:val="top"/>
          </w:tcPr>
          <w:p w14:paraId="4D8B3FB5">
            <w:pPr>
              <w:spacing w:before="167" w:line="204" w:lineRule="auto"/>
              <w:ind w:left="155"/>
              <w:rPr>
                <w:rFonts w:ascii="宋体" w:hAnsi="宋体" w:eastAsia="宋体" w:cs="宋体"/>
                <w:sz w:val="24"/>
                <w:szCs w:val="24"/>
                <w:highlight w:val="none"/>
              </w:rPr>
            </w:pPr>
            <w:r>
              <w:rPr>
                <w:rFonts w:ascii="宋体" w:hAnsi="宋体" w:eastAsia="宋体" w:cs="宋体"/>
                <w:spacing w:val="-6"/>
                <w:sz w:val="24"/>
                <w:szCs w:val="24"/>
                <w:highlight w:val="none"/>
              </w:rPr>
              <w:t>项目经理</w:t>
            </w:r>
          </w:p>
        </w:tc>
        <w:tc>
          <w:tcPr>
            <w:tcW w:w="1151" w:type="dxa"/>
            <w:vAlign w:val="top"/>
          </w:tcPr>
          <w:p w14:paraId="7B3E9DF3">
            <w:pPr>
              <w:rPr>
                <w:rFonts w:ascii="Arial"/>
                <w:sz w:val="21"/>
                <w:highlight w:val="none"/>
              </w:rPr>
            </w:pPr>
          </w:p>
        </w:tc>
        <w:tc>
          <w:tcPr>
            <w:tcW w:w="948" w:type="dxa"/>
            <w:vAlign w:val="top"/>
          </w:tcPr>
          <w:p w14:paraId="4C550500">
            <w:pPr>
              <w:rPr>
                <w:rFonts w:ascii="Arial"/>
                <w:sz w:val="21"/>
                <w:highlight w:val="none"/>
              </w:rPr>
            </w:pPr>
          </w:p>
        </w:tc>
        <w:tc>
          <w:tcPr>
            <w:tcW w:w="1068" w:type="dxa"/>
            <w:vAlign w:val="top"/>
          </w:tcPr>
          <w:p w14:paraId="1573C892">
            <w:pPr>
              <w:rPr>
                <w:rFonts w:ascii="Arial"/>
                <w:sz w:val="21"/>
                <w:highlight w:val="none"/>
              </w:rPr>
            </w:pPr>
          </w:p>
        </w:tc>
        <w:tc>
          <w:tcPr>
            <w:tcW w:w="3160" w:type="dxa"/>
            <w:vAlign w:val="top"/>
          </w:tcPr>
          <w:p w14:paraId="45C5161A">
            <w:pPr>
              <w:rPr>
                <w:rFonts w:ascii="Arial"/>
                <w:sz w:val="21"/>
                <w:highlight w:val="none"/>
              </w:rPr>
            </w:pPr>
          </w:p>
        </w:tc>
        <w:tc>
          <w:tcPr>
            <w:tcW w:w="1890" w:type="dxa"/>
            <w:vAlign w:val="top"/>
          </w:tcPr>
          <w:p w14:paraId="24CABF8A">
            <w:pPr>
              <w:rPr>
                <w:rFonts w:ascii="Arial"/>
                <w:sz w:val="21"/>
                <w:highlight w:val="none"/>
              </w:rPr>
            </w:pPr>
          </w:p>
        </w:tc>
      </w:tr>
      <w:tr w14:paraId="6997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vAlign w:val="top"/>
          </w:tcPr>
          <w:p w14:paraId="5D1107ED">
            <w:pPr>
              <w:spacing w:before="167" w:line="205" w:lineRule="auto"/>
              <w:ind w:left="36"/>
              <w:rPr>
                <w:rFonts w:ascii="宋体" w:hAnsi="宋体" w:eastAsia="宋体" w:cs="宋体"/>
                <w:sz w:val="24"/>
                <w:szCs w:val="24"/>
                <w:highlight w:val="none"/>
              </w:rPr>
            </w:pPr>
            <w:r>
              <w:rPr>
                <w:rFonts w:ascii="宋体" w:hAnsi="宋体" w:eastAsia="宋体" w:cs="宋体"/>
                <w:spacing w:val="-6"/>
                <w:sz w:val="24"/>
                <w:szCs w:val="24"/>
                <w:highlight w:val="none"/>
              </w:rPr>
              <w:t>项目副经理</w:t>
            </w:r>
          </w:p>
        </w:tc>
        <w:tc>
          <w:tcPr>
            <w:tcW w:w="1151" w:type="dxa"/>
            <w:vAlign w:val="top"/>
          </w:tcPr>
          <w:p w14:paraId="6B1698C9">
            <w:pPr>
              <w:rPr>
                <w:rFonts w:ascii="Arial"/>
                <w:sz w:val="21"/>
                <w:highlight w:val="none"/>
              </w:rPr>
            </w:pPr>
          </w:p>
        </w:tc>
        <w:tc>
          <w:tcPr>
            <w:tcW w:w="948" w:type="dxa"/>
            <w:vAlign w:val="top"/>
          </w:tcPr>
          <w:p w14:paraId="38CD9E50">
            <w:pPr>
              <w:rPr>
                <w:rFonts w:ascii="Arial"/>
                <w:sz w:val="21"/>
                <w:highlight w:val="none"/>
              </w:rPr>
            </w:pPr>
          </w:p>
        </w:tc>
        <w:tc>
          <w:tcPr>
            <w:tcW w:w="1068" w:type="dxa"/>
            <w:vAlign w:val="top"/>
          </w:tcPr>
          <w:p w14:paraId="22E72BB5">
            <w:pPr>
              <w:rPr>
                <w:rFonts w:ascii="Arial"/>
                <w:sz w:val="21"/>
                <w:highlight w:val="none"/>
              </w:rPr>
            </w:pPr>
          </w:p>
        </w:tc>
        <w:tc>
          <w:tcPr>
            <w:tcW w:w="3160" w:type="dxa"/>
            <w:vAlign w:val="top"/>
          </w:tcPr>
          <w:p w14:paraId="7D4E8AA5">
            <w:pPr>
              <w:rPr>
                <w:rFonts w:ascii="Arial"/>
                <w:sz w:val="21"/>
                <w:highlight w:val="none"/>
              </w:rPr>
            </w:pPr>
          </w:p>
        </w:tc>
        <w:tc>
          <w:tcPr>
            <w:tcW w:w="1890" w:type="dxa"/>
            <w:vAlign w:val="top"/>
          </w:tcPr>
          <w:p w14:paraId="1C9554C6">
            <w:pPr>
              <w:rPr>
                <w:rFonts w:ascii="Arial"/>
                <w:sz w:val="21"/>
                <w:highlight w:val="none"/>
              </w:rPr>
            </w:pPr>
          </w:p>
        </w:tc>
      </w:tr>
      <w:tr w14:paraId="4F2C7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226" w:type="dxa"/>
            <w:vAlign w:val="top"/>
          </w:tcPr>
          <w:p w14:paraId="0CA03871">
            <w:pPr>
              <w:spacing w:before="164" w:line="268" w:lineRule="auto"/>
              <w:ind w:left="393" w:right="18" w:hanging="357"/>
              <w:rPr>
                <w:rFonts w:ascii="宋体" w:hAnsi="宋体" w:eastAsia="宋体" w:cs="宋体"/>
                <w:sz w:val="24"/>
                <w:szCs w:val="24"/>
                <w:highlight w:val="none"/>
              </w:rPr>
            </w:pPr>
            <w:r>
              <w:rPr>
                <w:rFonts w:ascii="宋体" w:hAnsi="宋体" w:eastAsia="宋体" w:cs="宋体"/>
                <w:spacing w:val="-7"/>
                <w:sz w:val="24"/>
                <w:szCs w:val="24"/>
                <w:highlight w:val="none"/>
              </w:rPr>
              <w:t>项目技术负</w:t>
            </w:r>
            <w:r>
              <w:rPr>
                <w:rFonts w:ascii="宋体" w:hAnsi="宋体" w:eastAsia="宋体" w:cs="宋体"/>
                <w:spacing w:val="-6"/>
                <w:sz w:val="24"/>
                <w:szCs w:val="24"/>
                <w:highlight w:val="none"/>
              </w:rPr>
              <w:t>责人</w:t>
            </w:r>
          </w:p>
        </w:tc>
        <w:tc>
          <w:tcPr>
            <w:tcW w:w="1151" w:type="dxa"/>
            <w:vAlign w:val="top"/>
          </w:tcPr>
          <w:p w14:paraId="2D33FDA8">
            <w:pPr>
              <w:rPr>
                <w:rFonts w:ascii="Arial"/>
                <w:sz w:val="21"/>
                <w:highlight w:val="none"/>
              </w:rPr>
            </w:pPr>
          </w:p>
        </w:tc>
        <w:tc>
          <w:tcPr>
            <w:tcW w:w="948" w:type="dxa"/>
            <w:vAlign w:val="top"/>
          </w:tcPr>
          <w:p w14:paraId="19A5E73B">
            <w:pPr>
              <w:rPr>
                <w:rFonts w:ascii="Arial"/>
                <w:sz w:val="21"/>
                <w:highlight w:val="none"/>
              </w:rPr>
            </w:pPr>
          </w:p>
        </w:tc>
        <w:tc>
          <w:tcPr>
            <w:tcW w:w="1068" w:type="dxa"/>
            <w:vAlign w:val="top"/>
          </w:tcPr>
          <w:p w14:paraId="70415774">
            <w:pPr>
              <w:rPr>
                <w:rFonts w:ascii="Arial"/>
                <w:sz w:val="21"/>
                <w:highlight w:val="none"/>
              </w:rPr>
            </w:pPr>
          </w:p>
        </w:tc>
        <w:tc>
          <w:tcPr>
            <w:tcW w:w="3160" w:type="dxa"/>
            <w:vAlign w:val="top"/>
          </w:tcPr>
          <w:p w14:paraId="7B189FCF">
            <w:pPr>
              <w:rPr>
                <w:rFonts w:ascii="Arial"/>
                <w:sz w:val="21"/>
                <w:highlight w:val="none"/>
              </w:rPr>
            </w:pPr>
          </w:p>
        </w:tc>
        <w:tc>
          <w:tcPr>
            <w:tcW w:w="1890" w:type="dxa"/>
            <w:vAlign w:val="top"/>
          </w:tcPr>
          <w:p w14:paraId="2377D77B">
            <w:pPr>
              <w:rPr>
                <w:rFonts w:ascii="Arial"/>
                <w:sz w:val="21"/>
                <w:highlight w:val="none"/>
              </w:rPr>
            </w:pPr>
          </w:p>
        </w:tc>
      </w:tr>
      <w:tr w14:paraId="2DAE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vAlign w:val="top"/>
          </w:tcPr>
          <w:p w14:paraId="04118931">
            <w:pPr>
              <w:spacing w:before="166" w:line="206" w:lineRule="auto"/>
              <w:ind w:left="267"/>
              <w:rPr>
                <w:rFonts w:ascii="宋体" w:hAnsi="宋体" w:eastAsia="宋体" w:cs="宋体"/>
                <w:sz w:val="24"/>
                <w:szCs w:val="24"/>
                <w:highlight w:val="none"/>
              </w:rPr>
            </w:pPr>
            <w:r>
              <w:rPr>
                <w:rFonts w:ascii="宋体" w:hAnsi="宋体" w:eastAsia="宋体" w:cs="宋体"/>
                <w:spacing w:val="-4"/>
                <w:sz w:val="24"/>
                <w:szCs w:val="24"/>
                <w:highlight w:val="none"/>
              </w:rPr>
              <w:t>施工员</w:t>
            </w:r>
          </w:p>
        </w:tc>
        <w:tc>
          <w:tcPr>
            <w:tcW w:w="1151" w:type="dxa"/>
            <w:vAlign w:val="top"/>
          </w:tcPr>
          <w:p w14:paraId="5D48CF4E">
            <w:pPr>
              <w:rPr>
                <w:rFonts w:ascii="Arial"/>
                <w:sz w:val="21"/>
                <w:highlight w:val="none"/>
              </w:rPr>
            </w:pPr>
          </w:p>
        </w:tc>
        <w:tc>
          <w:tcPr>
            <w:tcW w:w="948" w:type="dxa"/>
            <w:vAlign w:val="top"/>
          </w:tcPr>
          <w:p w14:paraId="612675F9">
            <w:pPr>
              <w:rPr>
                <w:rFonts w:ascii="Arial"/>
                <w:sz w:val="21"/>
                <w:highlight w:val="none"/>
              </w:rPr>
            </w:pPr>
          </w:p>
        </w:tc>
        <w:tc>
          <w:tcPr>
            <w:tcW w:w="1068" w:type="dxa"/>
            <w:vAlign w:val="top"/>
          </w:tcPr>
          <w:p w14:paraId="0543E461">
            <w:pPr>
              <w:rPr>
                <w:rFonts w:ascii="Arial"/>
                <w:sz w:val="21"/>
                <w:highlight w:val="none"/>
              </w:rPr>
            </w:pPr>
          </w:p>
        </w:tc>
        <w:tc>
          <w:tcPr>
            <w:tcW w:w="3160" w:type="dxa"/>
            <w:vAlign w:val="top"/>
          </w:tcPr>
          <w:p w14:paraId="62F73C63">
            <w:pPr>
              <w:rPr>
                <w:rFonts w:ascii="Arial"/>
                <w:sz w:val="21"/>
                <w:highlight w:val="none"/>
              </w:rPr>
            </w:pPr>
          </w:p>
        </w:tc>
        <w:tc>
          <w:tcPr>
            <w:tcW w:w="1890" w:type="dxa"/>
            <w:vAlign w:val="top"/>
          </w:tcPr>
          <w:p w14:paraId="0E60D532">
            <w:pPr>
              <w:rPr>
                <w:rFonts w:ascii="Arial"/>
                <w:sz w:val="21"/>
                <w:highlight w:val="none"/>
              </w:rPr>
            </w:pPr>
          </w:p>
        </w:tc>
      </w:tr>
      <w:tr w14:paraId="01D7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226" w:type="dxa"/>
            <w:vAlign w:val="top"/>
          </w:tcPr>
          <w:p w14:paraId="12620EA2">
            <w:pPr>
              <w:spacing w:before="166" w:line="267" w:lineRule="auto"/>
              <w:ind w:left="268" w:right="18" w:hanging="234"/>
              <w:rPr>
                <w:rFonts w:ascii="宋体" w:hAnsi="宋体" w:eastAsia="宋体" w:cs="宋体"/>
                <w:sz w:val="24"/>
                <w:szCs w:val="24"/>
                <w:highlight w:val="none"/>
              </w:rPr>
            </w:pPr>
            <w:r>
              <w:rPr>
                <w:rFonts w:ascii="宋体" w:hAnsi="宋体" w:eastAsia="宋体" w:cs="宋体"/>
                <w:spacing w:val="-7"/>
                <w:sz w:val="24"/>
                <w:szCs w:val="24"/>
                <w:highlight w:val="none"/>
              </w:rPr>
              <w:t>质检员（质</w:t>
            </w:r>
            <w:r>
              <w:rPr>
                <w:rFonts w:ascii="宋体" w:hAnsi="宋体" w:eastAsia="宋体" w:cs="宋体"/>
                <w:spacing w:val="-8"/>
                <w:sz w:val="24"/>
                <w:szCs w:val="24"/>
                <w:highlight w:val="none"/>
              </w:rPr>
              <w:t>量员）</w:t>
            </w:r>
          </w:p>
        </w:tc>
        <w:tc>
          <w:tcPr>
            <w:tcW w:w="1151" w:type="dxa"/>
            <w:vAlign w:val="top"/>
          </w:tcPr>
          <w:p w14:paraId="602E4D02">
            <w:pPr>
              <w:rPr>
                <w:rFonts w:ascii="Arial"/>
                <w:sz w:val="21"/>
                <w:highlight w:val="none"/>
              </w:rPr>
            </w:pPr>
          </w:p>
        </w:tc>
        <w:tc>
          <w:tcPr>
            <w:tcW w:w="948" w:type="dxa"/>
            <w:vAlign w:val="top"/>
          </w:tcPr>
          <w:p w14:paraId="623AC55C">
            <w:pPr>
              <w:rPr>
                <w:rFonts w:ascii="Arial"/>
                <w:sz w:val="21"/>
                <w:highlight w:val="none"/>
              </w:rPr>
            </w:pPr>
          </w:p>
        </w:tc>
        <w:tc>
          <w:tcPr>
            <w:tcW w:w="1068" w:type="dxa"/>
            <w:vAlign w:val="top"/>
          </w:tcPr>
          <w:p w14:paraId="74477E6C">
            <w:pPr>
              <w:rPr>
                <w:rFonts w:ascii="Arial"/>
                <w:sz w:val="21"/>
                <w:highlight w:val="none"/>
              </w:rPr>
            </w:pPr>
          </w:p>
        </w:tc>
        <w:tc>
          <w:tcPr>
            <w:tcW w:w="3160" w:type="dxa"/>
            <w:vAlign w:val="top"/>
          </w:tcPr>
          <w:p w14:paraId="66FD44BE">
            <w:pPr>
              <w:rPr>
                <w:rFonts w:ascii="Arial"/>
                <w:sz w:val="21"/>
                <w:highlight w:val="none"/>
              </w:rPr>
            </w:pPr>
          </w:p>
        </w:tc>
        <w:tc>
          <w:tcPr>
            <w:tcW w:w="1890" w:type="dxa"/>
            <w:vAlign w:val="top"/>
          </w:tcPr>
          <w:p w14:paraId="55433B0C">
            <w:pPr>
              <w:rPr>
                <w:rFonts w:ascii="Arial"/>
                <w:sz w:val="21"/>
                <w:highlight w:val="none"/>
              </w:rPr>
            </w:pPr>
          </w:p>
        </w:tc>
      </w:tr>
      <w:tr w14:paraId="4671C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26" w:type="dxa"/>
            <w:vAlign w:val="top"/>
          </w:tcPr>
          <w:p w14:paraId="662915C2">
            <w:pPr>
              <w:spacing w:before="165" w:line="204" w:lineRule="auto"/>
              <w:ind w:left="273"/>
              <w:rPr>
                <w:rFonts w:ascii="宋体" w:hAnsi="宋体" w:eastAsia="宋体" w:cs="宋体"/>
                <w:sz w:val="24"/>
                <w:szCs w:val="24"/>
                <w:highlight w:val="none"/>
              </w:rPr>
            </w:pPr>
            <w:r>
              <w:rPr>
                <w:rFonts w:ascii="宋体" w:hAnsi="宋体" w:eastAsia="宋体" w:cs="宋体"/>
                <w:spacing w:val="-6"/>
                <w:sz w:val="24"/>
                <w:szCs w:val="24"/>
                <w:highlight w:val="none"/>
              </w:rPr>
              <w:t>安全员</w:t>
            </w:r>
          </w:p>
        </w:tc>
        <w:tc>
          <w:tcPr>
            <w:tcW w:w="1151" w:type="dxa"/>
            <w:vAlign w:val="top"/>
          </w:tcPr>
          <w:p w14:paraId="73598EF2">
            <w:pPr>
              <w:rPr>
                <w:rFonts w:ascii="Arial"/>
                <w:sz w:val="21"/>
                <w:highlight w:val="none"/>
              </w:rPr>
            </w:pPr>
          </w:p>
        </w:tc>
        <w:tc>
          <w:tcPr>
            <w:tcW w:w="948" w:type="dxa"/>
            <w:vAlign w:val="top"/>
          </w:tcPr>
          <w:p w14:paraId="26469676">
            <w:pPr>
              <w:rPr>
                <w:rFonts w:ascii="Arial"/>
                <w:sz w:val="21"/>
                <w:highlight w:val="none"/>
              </w:rPr>
            </w:pPr>
          </w:p>
        </w:tc>
        <w:tc>
          <w:tcPr>
            <w:tcW w:w="1068" w:type="dxa"/>
            <w:vAlign w:val="top"/>
          </w:tcPr>
          <w:p w14:paraId="50D30425">
            <w:pPr>
              <w:rPr>
                <w:rFonts w:ascii="Arial"/>
                <w:sz w:val="21"/>
                <w:highlight w:val="none"/>
              </w:rPr>
            </w:pPr>
          </w:p>
        </w:tc>
        <w:tc>
          <w:tcPr>
            <w:tcW w:w="3160" w:type="dxa"/>
            <w:vAlign w:val="top"/>
          </w:tcPr>
          <w:p w14:paraId="046D7545">
            <w:pPr>
              <w:rPr>
                <w:rFonts w:ascii="Arial"/>
                <w:sz w:val="21"/>
                <w:highlight w:val="none"/>
              </w:rPr>
            </w:pPr>
          </w:p>
        </w:tc>
        <w:tc>
          <w:tcPr>
            <w:tcW w:w="1890" w:type="dxa"/>
            <w:vAlign w:val="top"/>
          </w:tcPr>
          <w:p w14:paraId="262FF0EE">
            <w:pPr>
              <w:rPr>
                <w:rFonts w:ascii="Arial"/>
                <w:sz w:val="21"/>
                <w:highlight w:val="none"/>
              </w:rPr>
            </w:pPr>
          </w:p>
        </w:tc>
      </w:tr>
      <w:tr w14:paraId="488F5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226" w:type="dxa"/>
            <w:vAlign w:val="top"/>
          </w:tcPr>
          <w:p w14:paraId="363767F8">
            <w:pPr>
              <w:spacing w:before="167" w:line="204" w:lineRule="auto"/>
              <w:ind w:left="279"/>
              <w:rPr>
                <w:rFonts w:ascii="宋体" w:hAnsi="宋体" w:eastAsia="宋体" w:cs="宋体"/>
                <w:sz w:val="24"/>
                <w:szCs w:val="24"/>
                <w:highlight w:val="none"/>
              </w:rPr>
            </w:pPr>
            <w:r>
              <w:rPr>
                <w:rFonts w:ascii="宋体" w:hAnsi="宋体" w:eastAsia="宋体" w:cs="宋体"/>
                <w:spacing w:val="-7"/>
                <w:sz w:val="24"/>
                <w:szCs w:val="24"/>
                <w:highlight w:val="none"/>
              </w:rPr>
              <w:t>资料员</w:t>
            </w:r>
          </w:p>
        </w:tc>
        <w:tc>
          <w:tcPr>
            <w:tcW w:w="1151" w:type="dxa"/>
            <w:vAlign w:val="top"/>
          </w:tcPr>
          <w:p w14:paraId="184DCE00">
            <w:pPr>
              <w:rPr>
                <w:rFonts w:ascii="Arial"/>
                <w:sz w:val="21"/>
                <w:highlight w:val="none"/>
              </w:rPr>
            </w:pPr>
          </w:p>
        </w:tc>
        <w:tc>
          <w:tcPr>
            <w:tcW w:w="948" w:type="dxa"/>
            <w:vAlign w:val="top"/>
          </w:tcPr>
          <w:p w14:paraId="50CE423A">
            <w:pPr>
              <w:rPr>
                <w:rFonts w:ascii="Arial"/>
                <w:sz w:val="21"/>
                <w:highlight w:val="none"/>
              </w:rPr>
            </w:pPr>
          </w:p>
        </w:tc>
        <w:tc>
          <w:tcPr>
            <w:tcW w:w="1068" w:type="dxa"/>
            <w:vAlign w:val="top"/>
          </w:tcPr>
          <w:p w14:paraId="7721ED31">
            <w:pPr>
              <w:rPr>
                <w:rFonts w:ascii="Arial"/>
                <w:sz w:val="21"/>
                <w:highlight w:val="none"/>
              </w:rPr>
            </w:pPr>
          </w:p>
        </w:tc>
        <w:tc>
          <w:tcPr>
            <w:tcW w:w="3160" w:type="dxa"/>
            <w:vAlign w:val="top"/>
          </w:tcPr>
          <w:p w14:paraId="31EA6AFB">
            <w:pPr>
              <w:rPr>
                <w:rFonts w:ascii="Arial"/>
                <w:sz w:val="21"/>
                <w:highlight w:val="none"/>
              </w:rPr>
            </w:pPr>
          </w:p>
        </w:tc>
        <w:tc>
          <w:tcPr>
            <w:tcW w:w="1890" w:type="dxa"/>
            <w:vAlign w:val="top"/>
          </w:tcPr>
          <w:p w14:paraId="3C017BCB">
            <w:pPr>
              <w:rPr>
                <w:rFonts w:ascii="Arial"/>
                <w:sz w:val="21"/>
                <w:highlight w:val="none"/>
              </w:rPr>
            </w:pPr>
          </w:p>
        </w:tc>
      </w:tr>
      <w:tr w14:paraId="095A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226" w:type="dxa"/>
            <w:vAlign w:val="top"/>
          </w:tcPr>
          <w:p w14:paraId="5AE8CC23">
            <w:pPr>
              <w:spacing w:before="166" w:line="267" w:lineRule="auto"/>
              <w:ind w:left="272" w:right="18" w:hanging="236"/>
              <w:rPr>
                <w:rFonts w:ascii="宋体" w:hAnsi="宋体" w:eastAsia="宋体" w:cs="宋体"/>
                <w:sz w:val="24"/>
                <w:szCs w:val="24"/>
                <w:highlight w:val="none"/>
              </w:rPr>
            </w:pPr>
            <w:r>
              <w:rPr>
                <w:rFonts w:ascii="宋体" w:hAnsi="宋体" w:eastAsia="宋体" w:cs="宋体"/>
                <w:spacing w:val="-7"/>
                <w:sz w:val="24"/>
                <w:szCs w:val="24"/>
                <w:highlight w:val="none"/>
              </w:rPr>
              <w:t>取样员（可</w:t>
            </w:r>
            <w:r>
              <w:rPr>
                <w:rFonts w:ascii="宋体" w:hAnsi="宋体" w:eastAsia="宋体" w:cs="宋体"/>
                <w:spacing w:val="-9"/>
                <w:sz w:val="24"/>
                <w:szCs w:val="24"/>
                <w:highlight w:val="none"/>
              </w:rPr>
              <w:t>兼任）</w:t>
            </w:r>
          </w:p>
        </w:tc>
        <w:tc>
          <w:tcPr>
            <w:tcW w:w="1151" w:type="dxa"/>
            <w:vAlign w:val="top"/>
          </w:tcPr>
          <w:p w14:paraId="27F894C0">
            <w:pPr>
              <w:rPr>
                <w:rFonts w:ascii="Arial"/>
                <w:sz w:val="21"/>
                <w:highlight w:val="none"/>
              </w:rPr>
            </w:pPr>
          </w:p>
        </w:tc>
        <w:tc>
          <w:tcPr>
            <w:tcW w:w="948" w:type="dxa"/>
            <w:vAlign w:val="top"/>
          </w:tcPr>
          <w:p w14:paraId="49885DF2">
            <w:pPr>
              <w:rPr>
                <w:rFonts w:ascii="Arial"/>
                <w:sz w:val="21"/>
                <w:highlight w:val="none"/>
              </w:rPr>
            </w:pPr>
          </w:p>
        </w:tc>
        <w:tc>
          <w:tcPr>
            <w:tcW w:w="1068" w:type="dxa"/>
            <w:vAlign w:val="top"/>
          </w:tcPr>
          <w:p w14:paraId="2E26E222">
            <w:pPr>
              <w:rPr>
                <w:rFonts w:ascii="Arial"/>
                <w:sz w:val="21"/>
                <w:highlight w:val="none"/>
              </w:rPr>
            </w:pPr>
          </w:p>
        </w:tc>
        <w:tc>
          <w:tcPr>
            <w:tcW w:w="3160" w:type="dxa"/>
            <w:vAlign w:val="top"/>
          </w:tcPr>
          <w:p w14:paraId="372323BD">
            <w:pPr>
              <w:rPr>
                <w:rFonts w:ascii="Arial"/>
                <w:sz w:val="21"/>
                <w:highlight w:val="none"/>
              </w:rPr>
            </w:pPr>
          </w:p>
        </w:tc>
        <w:tc>
          <w:tcPr>
            <w:tcW w:w="1890" w:type="dxa"/>
            <w:vAlign w:val="top"/>
          </w:tcPr>
          <w:p w14:paraId="7E3C9572">
            <w:pPr>
              <w:rPr>
                <w:rFonts w:ascii="Arial"/>
                <w:sz w:val="21"/>
                <w:highlight w:val="none"/>
              </w:rPr>
            </w:pPr>
          </w:p>
        </w:tc>
      </w:tr>
      <w:tr w14:paraId="5425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vMerge w:val="restart"/>
            <w:tcBorders>
              <w:bottom w:val="nil"/>
            </w:tcBorders>
            <w:vAlign w:val="top"/>
          </w:tcPr>
          <w:p w14:paraId="37337F88">
            <w:pPr>
              <w:spacing w:line="246" w:lineRule="auto"/>
              <w:rPr>
                <w:rFonts w:ascii="Arial"/>
                <w:sz w:val="21"/>
                <w:highlight w:val="none"/>
              </w:rPr>
            </w:pPr>
          </w:p>
          <w:p w14:paraId="18B18B4A">
            <w:pPr>
              <w:spacing w:line="247" w:lineRule="auto"/>
              <w:rPr>
                <w:rFonts w:ascii="Arial"/>
                <w:sz w:val="21"/>
                <w:highlight w:val="none"/>
              </w:rPr>
            </w:pPr>
          </w:p>
          <w:p w14:paraId="26CCD3CA">
            <w:pPr>
              <w:spacing w:line="247" w:lineRule="auto"/>
              <w:rPr>
                <w:rFonts w:ascii="Arial"/>
                <w:sz w:val="21"/>
                <w:highlight w:val="none"/>
              </w:rPr>
            </w:pPr>
          </w:p>
          <w:p w14:paraId="5F59A1A6">
            <w:pPr>
              <w:spacing w:line="247" w:lineRule="auto"/>
              <w:rPr>
                <w:rFonts w:ascii="Arial"/>
                <w:sz w:val="21"/>
                <w:highlight w:val="none"/>
              </w:rPr>
            </w:pPr>
          </w:p>
          <w:p w14:paraId="236BAB06">
            <w:pPr>
              <w:spacing w:line="247" w:lineRule="auto"/>
              <w:rPr>
                <w:rFonts w:ascii="Arial"/>
                <w:sz w:val="21"/>
                <w:highlight w:val="none"/>
              </w:rPr>
            </w:pPr>
          </w:p>
          <w:p w14:paraId="2ACAF18F">
            <w:pPr>
              <w:spacing w:before="78" w:line="220" w:lineRule="auto"/>
              <w:ind w:left="152"/>
              <w:rPr>
                <w:rFonts w:ascii="宋体" w:hAnsi="宋体" w:eastAsia="宋体" w:cs="宋体"/>
                <w:sz w:val="24"/>
                <w:szCs w:val="24"/>
                <w:highlight w:val="none"/>
              </w:rPr>
            </w:pPr>
            <w:r>
              <w:rPr>
                <w:rFonts w:ascii="宋体" w:hAnsi="宋体" w:eastAsia="宋体" w:cs="宋体"/>
                <w:spacing w:val="-5"/>
                <w:sz w:val="24"/>
                <w:szCs w:val="24"/>
                <w:highlight w:val="none"/>
              </w:rPr>
              <w:t>其他人员</w:t>
            </w:r>
          </w:p>
        </w:tc>
        <w:tc>
          <w:tcPr>
            <w:tcW w:w="1151" w:type="dxa"/>
            <w:vAlign w:val="top"/>
          </w:tcPr>
          <w:p w14:paraId="09AB3388">
            <w:pPr>
              <w:rPr>
                <w:rFonts w:ascii="Arial"/>
                <w:sz w:val="21"/>
                <w:highlight w:val="none"/>
              </w:rPr>
            </w:pPr>
          </w:p>
        </w:tc>
        <w:tc>
          <w:tcPr>
            <w:tcW w:w="948" w:type="dxa"/>
            <w:vAlign w:val="top"/>
          </w:tcPr>
          <w:p w14:paraId="6214DF0F">
            <w:pPr>
              <w:rPr>
                <w:rFonts w:ascii="Arial"/>
                <w:sz w:val="21"/>
                <w:highlight w:val="none"/>
              </w:rPr>
            </w:pPr>
          </w:p>
        </w:tc>
        <w:tc>
          <w:tcPr>
            <w:tcW w:w="1068" w:type="dxa"/>
            <w:vAlign w:val="top"/>
          </w:tcPr>
          <w:p w14:paraId="185D11BD">
            <w:pPr>
              <w:rPr>
                <w:rFonts w:ascii="Arial"/>
                <w:sz w:val="21"/>
                <w:highlight w:val="none"/>
              </w:rPr>
            </w:pPr>
          </w:p>
        </w:tc>
        <w:tc>
          <w:tcPr>
            <w:tcW w:w="3160" w:type="dxa"/>
            <w:vAlign w:val="top"/>
          </w:tcPr>
          <w:p w14:paraId="615BC9D8">
            <w:pPr>
              <w:rPr>
                <w:rFonts w:ascii="Arial"/>
                <w:sz w:val="21"/>
                <w:highlight w:val="none"/>
              </w:rPr>
            </w:pPr>
          </w:p>
        </w:tc>
        <w:tc>
          <w:tcPr>
            <w:tcW w:w="1890" w:type="dxa"/>
            <w:vAlign w:val="top"/>
          </w:tcPr>
          <w:p w14:paraId="3632028E">
            <w:pPr>
              <w:rPr>
                <w:rFonts w:ascii="Arial"/>
                <w:sz w:val="21"/>
                <w:highlight w:val="none"/>
              </w:rPr>
            </w:pPr>
          </w:p>
        </w:tc>
      </w:tr>
      <w:tr w14:paraId="762D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26" w:type="dxa"/>
            <w:vMerge w:val="continue"/>
            <w:tcBorders>
              <w:top w:val="nil"/>
              <w:bottom w:val="nil"/>
            </w:tcBorders>
            <w:vAlign w:val="top"/>
          </w:tcPr>
          <w:p w14:paraId="7DBBA0FA">
            <w:pPr>
              <w:rPr>
                <w:rFonts w:ascii="Arial"/>
                <w:sz w:val="21"/>
                <w:highlight w:val="none"/>
              </w:rPr>
            </w:pPr>
          </w:p>
        </w:tc>
        <w:tc>
          <w:tcPr>
            <w:tcW w:w="1151" w:type="dxa"/>
            <w:vAlign w:val="top"/>
          </w:tcPr>
          <w:p w14:paraId="7AF7F1C8">
            <w:pPr>
              <w:rPr>
                <w:rFonts w:ascii="Arial"/>
                <w:sz w:val="21"/>
                <w:highlight w:val="none"/>
              </w:rPr>
            </w:pPr>
          </w:p>
        </w:tc>
        <w:tc>
          <w:tcPr>
            <w:tcW w:w="948" w:type="dxa"/>
            <w:vAlign w:val="top"/>
          </w:tcPr>
          <w:p w14:paraId="354CDC2B">
            <w:pPr>
              <w:rPr>
                <w:rFonts w:ascii="Arial"/>
                <w:sz w:val="21"/>
                <w:highlight w:val="none"/>
              </w:rPr>
            </w:pPr>
          </w:p>
        </w:tc>
        <w:tc>
          <w:tcPr>
            <w:tcW w:w="1068" w:type="dxa"/>
            <w:vAlign w:val="top"/>
          </w:tcPr>
          <w:p w14:paraId="1DF7FE1F">
            <w:pPr>
              <w:rPr>
                <w:rFonts w:ascii="Arial"/>
                <w:sz w:val="21"/>
                <w:highlight w:val="none"/>
              </w:rPr>
            </w:pPr>
          </w:p>
        </w:tc>
        <w:tc>
          <w:tcPr>
            <w:tcW w:w="3160" w:type="dxa"/>
            <w:vAlign w:val="top"/>
          </w:tcPr>
          <w:p w14:paraId="5ED9C69E">
            <w:pPr>
              <w:rPr>
                <w:rFonts w:ascii="Arial"/>
                <w:sz w:val="21"/>
                <w:highlight w:val="none"/>
              </w:rPr>
            </w:pPr>
          </w:p>
        </w:tc>
        <w:tc>
          <w:tcPr>
            <w:tcW w:w="1890" w:type="dxa"/>
            <w:vAlign w:val="top"/>
          </w:tcPr>
          <w:p w14:paraId="0C71DA16">
            <w:pPr>
              <w:rPr>
                <w:rFonts w:ascii="Arial"/>
                <w:sz w:val="21"/>
                <w:highlight w:val="none"/>
              </w:rPr>
            </w:pPr>
          </w:p>
        </w:tc>
      </w:tr>
      <w:tr w14:paraId="2F13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26" w:type="dxa"/>
            <w:vMerge w:val="continue"/>
            <w:tcBorders>
              <w:top w:val="nil"/>
              <w:bottom w:val="nil"/>
            </w:tcBorders>
            <w:vAlign w:val="top"/>
          </w:tcPr>
          <w:p w14:paraId="25BB0560">
            <w:pPr>
              <w:rPr>
                <w:rFonts w:ascii="Arial"/>
                <w:sz w:val="21"/>
                <w:highlight w:val="none"/>
              </w:rPr>
            </w:pPr>
          </w:p>
        </w:tc>
        <w:tc>
          <w:tcPr>
            <w:tcW w:w="1151" w:type="dxa"/>
            <w:vAlign w:val="top"/>
          </w:tcPr>
          <w:p w14:paraId="607F82AB">
            <w:pPr>
              <w:rPr>
                <w:rFonts w:ascii="Arial"/>
                <w:sz w:val="21"/>
                <w:highlight w:val="none"/>
              </w:rPr>
            </w:pPr>
          </w:p>
        </w:tc>
        <w:tc>
          <w:tcPr>
            <w:tcW w:w="948" w:type="dxa"/>
            <w:vAlign w:val="top"/>
          </w:tcPr>
          <w:p w14:paraId="4C13DF30">
            <w:pPr>
              <w:rPr>
                <w:rFonts w:ascii="Arial"/>
                <w:sz w:val="21"/>
                <w:highlight w:val="none"/>
              </w:rPr>
            </w:pPr>
          </w:p>
        </w:tc>
        <w:tc>
          <w:tcPr>
            <w:tcW w:w="1068" w:type="dxa"/>
            <w:vAlign w:val="top"/>
          </w:tcPr>
          <w:p w14:paraId="61B360D7">
            <w:pPr>
              <w:rPr>
                <w:rFonts w:ascii="Arial"/>
                <w:sz w:val="21"/>
                <w:highlight w:val="none"/>
              </w:rPr>
            </w:pPr>
          </w:p>
        </w:tc>
        <w:tc>
          <w:tcPr>
            <w:tcW w:w="3160" w:type="dxa"/>
            <w:vAlign w:val="top"/>
          </w:tcPr>
          <w:p w14:paraId="3B064309">
            <w:pPr>
              <w:rPr>
                <w:rFonts w:ascii="Arial"/>
                <w:sz w:val="21"/>
                <w:highlight w:val="none"/>
              </w:rPr>
            </w:pPr>
          </w:p>
        </w:tc>
        <w:tc>
          <w:tcPr>
            <w:tcW w:w="1890" w:type="dxa"/>
            <w:vAlign w:val="top"/>
          </w:tcPr>
          <w:p w14:paraId="732CD652">
            <w:pPr>
              <w:rPr>
                <w:rFonts w:ascii="Arial"/>
                <w:sz w:val="21"/>
                <w:highlight w:val="none"/>
              </w:rPr>
            </w:pPr>
          </w:p>
        </w:tc>
      </w:tr>
      <w:tr w14:paraId="09D1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226" w:type="dxa"/>
            <w:vMerge w:val="continue"/>
            <w:tcBorders>
              <w:top w:val="nil"/>
              <w:bottom w:val="nil"/>
            </w:tcBorders>
            <w:vAlign w:val="top"/>
          </w:tcPr>
          <w:p w14:paraId="5AD3DB0F">
            <w:pPr>
              <w:rPr>
                <w:rFonts w:ascii="Arial"/>
                <w:sz w:val="21"/>
                <w:highlight w:val="none"/>
              </w:rPr>
            </w:pPr>
          </w:p>
        </w:tc>
        <w:tc>
          <w:tcPr>
            <w:tcW w:w="1151" w:type="dxa"/>
            <w:vAlign w:val="top"/>
          </w:tcPr>
          <w:p w14:paraId="115D051E">
            <w:pPr>
              <w:rPr>
                <w:rFonts w:ascii="Arial"/>
                <w:sz w:val="21"/>
                <w:highlight w:val="none"/>
              </w:rPr>
            </w:pPr>
          </w:p>
        </w:tc>
        <w:tc>
          <w:tcPr>
            <w:tcW w:w="948" w:type="dxa"/>
            <w:vAlign w:val="top"/>
          </w:tcPr>
          <w:p w14:paraId="3F307DDB">
            <w:pPr>
              <w:rPr>
                <w:rFonts w:ascii="Arial"/>
                <w:sz w:val="21"/>
                <w:highlight w:val="none"/>
              </w:rPr>
            </w:pPr>
          </w:p>
        </w:tc>
        <w:tc>
          <w:tcPr>
            <w:tcW w:w="1068" w:type="dxa"/>
            <w:vAlign w:val="top"/>
          </w:tcPr>
          <w:p w14:paraId="6E3CD3C8">
            <w:pPr>
              <w:rPr>
                <w:rFonts w:ascii="Arial"/>
                <w:sz w:val="21"/>
                <w:highlight w:val="none"/>
              </w:rPr>
            </w:pPr>
          </w:p>
        </w:tc>
        <w:tc>
          <w:tcPr>
            <w:tcW w:w="3160" w:type="dxa"/>
            <w:vAlign w:val="top"/>
          </w:tcPr>
          <w:p w14:paraId="1B60489C">
            <w:pPr>
              <w:rPr>
                <w:rFonts w:ascii="Arial"/>
                <w:sz w:val="21"/>
                <w:highlight w:val="none"/>
              </w:rPr>
            </w:pPr>
          </w:p>
        </w:tc>
        <w:tc>
          <w:tcPr>
            <w:tcW w:w="1890" w:type="dxa"/>
            <w:vAlign w:val="top"/>
          </w:tcPr>
          <w:p w14:paraId="12213730">
            <w:pPr>
              <w:rPr>
                <w:rFonts w:ascii="Arial"/>
                <w:sz w:val="21"/>
                <w:highlight w:val="none"/>
              </w:rPr>
            </w:pPr>
          </w:p>
        </w:tc>
      </w:tr>
      <w:tr w14:paraId="4DC7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26" w:type="dxa"/>
            <w:vMerge w:val="continue"/>
            <w:tcBorders>
              <w:top w:val="nil"/>
              <w:bottom w:val="nil"/>
            </w:tcBorders>
            <w:vAlign w:val="top"/>
          </w:tcPr>
          <w:p w14:paraId="5175CE43">
            <w:pPr>
              <w:rPr>
                <w:rFonts w:ascii="Arial"/>
                <w:sz w:val="21"/>
                <w:highlight w:val="none"/>
              </w:rPr>
            </w:pPr>
          </w:p>
        </w:tc>
        <w:tc>
          <w:tcPr>
            <w:tcW w:w="1151" w:type="dxa"/>
            <w:vAlign w:val="top"/>
          </w:tcPr>
          <w:p w14:paraId="735EC8B8">
            <w:pPr>
              <w:rPr>
                <w:rFonts w:ascii="Arial"/>
                <w:sz w:val="21"/>
                <w:highlight w:val="none"/>
              </w:rPr>
            </w:pPr>
          </w:p>
        </w:tc>
        <w:tc>
          <w:tcPr>
            <w:tcW w:w="948" w:type="dxa"/>
            <w:vAlign w:val="top"/>
          </w:tcPr>
          <w:p w14:paraId="5DCA8706">
            <w:pPr>
              <w:rPr>
                <w:rFonts w:ascii="Arial"/>
                <w:sz w:val="21"/>
                <w:highlight w:val="none"/>
              </w:rPr>
            </w:pPr>
          </w:p>
        </w:tc>
        <w:tc>
          <w:tcPr>
            <w:tcW w:w="1068" w:type="dxa"/>
            <w:vAlign w:val="top"/>
          </w:tcPr>
          <w:p w14:paraId="7284E74A">
            <w:pPr>
              <w:rPr>
                <w:rFonts w:ascii="Arial"/>
                <w:sz w:val="21"/>
                <w:highlight w:val="none"/>
              </w:rPr>
            </w:pPr>
          </w:p>
        </w:tc>
        <w:tc>
          <w:tcPr>
            <w:tcW w:w="3160" w:type="dxa"/>
            <w:vAlign w:val="top"/>
          </w:tcPr>
          <w:p w14:paraId="171DA763">
            <w:pPr>
              <w:rPr>
                <w:rFonts w:ascii="Arial"/>
                <w:sz w:val="21"/>
                <w:highlight w:val="none"/>
              </w:rPr>
            </w:pPr>
          </w:p>
        </w:tc>
        <w:tc>
          <w:tcPr>
            <w:tcW w:w="1890" w:type="dxa"/>
            <w:vAlign w:val="top"/>
          </w:tcPr>
          <w:p w14:paraId="7D170A3F">
            <w:pPr>
              <w:rPr>
                <w:rFonts w:ascii="Arial"/>
                <w:sz w:val="21"/>
                <w:highlight w:val="none"/>
              </w:rPr>
            </w:pPr>
          </w:p>
        </w:tc>
      </w:tr>
      <w:tr w14:paraId="65E4B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26" w:type="dxa"/>
            <w:vMerge w:val="continue"/>
            <w:tcBorders>
              <w:top w:val="nil"/>
            </w:tcBorders>
            <w:vAlign w:val="top"/>
          </w:tcPr>
          <w:p w14:paraId="7FC34C36">
            <w:pPr>
              <w:rPr>
                <w:rFonts w:ascii="Arial"/>
                <w:sz w:val="21"/>
                <w:highlight w:val="none"/>
              </w:rPr>
            </w:pPr>
          </w:p>
        </w:tc>
        <w:tc>
          <w:tcPr>
            <w:tcW w:w="1151" w:type="dxa"/>
            <w:vAlign w:val="top"/>
          </w:tcPr>
          <w:p w14:paraId="58CF508A">
            <w:pPr>
              <w:rPr>
                <w:rFonts w:ascii="Arial"/>
                <w:sz w:val="21"/>
                <w:highlight w:val="none"/>
              </w:rPr>
            </w:pPr>
          </w:p>
        </w:tc>
        <w:tc>
          <w:tcPr>
            <w:tcW w:w="948" w:type="dxa"/>
            <w:vAlign w:val="top"/>
          </w:tcPr>
          <w:p w14:paraId="6F424D18">
            <w:pPr>
              <w:rPr>
                <w:rFonts w:ascii="Arial"/>
                <w:sz w:val="21"/>
                <w:highlight w:val="none"/>
              </w:rPr>
            </w:pPr>
          </w:p>
        </w:tc>
        <w:tc>
          <w:tcPr>
            <w:tcW w:w="1068" w:type="dxa"/>
            <w:vAlign w:val="top"/>
          </w:tcPr>
          <w:p w14:paraId="1CCE8ED3">
            <w:pPr>
              <w:rPr>
                <w:rFonts w:ascii="Arial"/>
                <w:sz w:val="21"/>
                <w:highlight w:val="none"/>
              </w:rPr>
            </w:pPr>
          </w:p>
        </w:tc>
        <w:tc>
          <w:tcPr>
            <w:tcW w:w="3160" w:type="dxa"/>
            <w:vAlign w:val="top"/>
          </w:tcPr>
          <w:p w14:paraId="4C14160B">
            <w:pPr>
              <w:rPr>
                <w:rFonts w:ascii="Arial"/>
                <w:sz w:val="21"/>
                <w:highlight w:val="none"/>
              </w:rPr>
            </w:pPr>
          </w:p>
        </w:tc>
        <w:tc>
          <w:tcPr>
            <w:tcW w:w="1890" w:type="dxa"/>
            <w:vAlign w:val="top"/>
          </w:tcPr>
          <w:p w14:paraId="7FDDB696">
            <w:pPr>
              <w:rPr>
                <w:rFonts w:ascii="Arial"/>
                <w:sz w:val="21"/>
                <w:highlight w:val="none"/>
              </w:rPr>
            </w:pPr>
          </w:p>
        </w:tc>
      </w:tr>
    </w:tbl>
    <w:p w14:paraId="40A0DBF2">
      <w:pPr>
        <w:pStyle w:val="3"/>
        <w:rPr>
          <w:highlight w:val="none"/>
        </w:rPr>
      </w:pPr>
    </w:p>
    <w:p w14:paraId="285C8747">
      <w:pPr>
        <w:rPr>
          <w:highlight w:val="none"/>
        </w:rPr>
        <w:sectPr>
          <w:footerReference r:id="rId65" w:type="default"/>
          <w:pgSz w:w="11909" w:h="16841"/>
          <w:pgMar w:top="1431" w:right="1370" w:bottom="1045" w:left="1089" w:header="0" w:footer="814" w:gutter="0"/>
          <w:cols w:space="720" w:num="1"/>
        </w:sectPr>
      </w:pPr>
    </w:p>
    <w:p w14:paraId="45D9DF4A">
      <w:pPr>
        <w:spacing w:before="155" w:line="219" w:lineRule="auto"/>
        <w:ind w:left="28"/>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49"/>
          <w:sz w:val="24"/>
          <w:szCs w:val="24"/>
          <w:highlight w:val="none"/>
        </w:rPr>
        <w:t xml:space="preserve"> </w:t>
      </w:r>
      <w:r>
        <w:rPr>
          <w:rFonts w:ascii="宋体" w:hAnsi="宋体" w:eastAsia="宋体" w:cs="宋体"/>
          <w:spacing w:val="-10"/>
          <w:sz w:val="24"/>
          <w:szCs w:val="24"/>
          <w:highlight w:val="none"/>
        </w:rPr>
        <w:t>8：</w:t>
      </w:r>
    </w:p>
    <w:p w14:paraId="0CD2C89E">
      <w:pPr>
        <w:spacing w:before="275" w:line="220" w:lineRule="auto"/>
        <w:ind w:left="4408"/>
        <w:rPr>
          <w:rFonts w:ascii="宋体" w:hAnsi="宋体" w:eastAsia="宋体" w:cs="宋体"/>
          <w:sz w:val="24"/>
          <w:szCs w:val="24"/>
          <w:highlight w:val="none"/>
        </w:rPr>
      </w:pPr>
      <w:r>
        <w:rPr>
          <w:rFonts w:ascii="宋体" w:hAnsi="宋体" w:eastAsia="宋体" w:cs="宋体"/>
          <w:spacing w:val="-3"/>
          <w:sz w:val="24"/>
          <w:szCs w:val="24"/>
          <w:highlight w:val="none"/>
        </w:rPr>
        <w:t>履约担保</w:t>
      </w:r>
    </w:p>
    <w:p w14:paraId="2051417C">
      <w:pPr>
        <w:tabs>
          <w:tab w:val="left" w:pos="420"/>
        </w:tabs>
        <w:spacing w:before="275" w:line="220"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7"/>
          <w:sz w:val="24"/>
          <w:szCs w:val="24"/>
          <w:highlight w:val="none"/>
        </w:rPr>
        <w:t>（发包人名称</w:t>
      </w:r>
      <w:r>
        <w:rPr>
          <w:rFonts w:ascii="宋体" w:hAnsi="宋体" w:eastAsia="宋体" w:cs="宋体"/>
          <w:spacing w:val="-4"/>
          <w:sz w:val="24"/>
          <w:szCs w:val="24"/>
          <w:highlight w:val="none"/>
        </w:rPr>
        <w:t>）：</w:t>
      </w:r>
    </w:p>
    <w:p w14:paraId="3C24587C">
      <w:pPr>
        <w:pStyle w:val="3"/>
        <w:spacing w:line="397" w:lineRule="auto"/>
        <w:rPr>
          <w:highlight w:val="none"/>
        </w:rPr>
      </w:pPr>
    </w:p>
    <w:p w14:paraId="4A70A901">
      <w:pPr>
        <w:spacing w:before="78" w:line="360" w:lineRule="auto"/>
        <w:ind w:left="11" w:firstLine="481"/>
        <w:jc w:val="both"/>
        <w:rPr>
          <w:rFonts w:ascii="宋体" w:hAnsi="宋体" w:eastAsia="宋体" w:cs="宋体"/>
          <w:sz w:val="24"/>
          <w:szCs w:val="24"/>
          <w:highlight w:val="none"/>
        </w:rPr>
      </w:pPr>
      <w:r>
        <w:rPr>
          <w:rFonts w:ascii="宋体" w:hAnsi="宋体" w:eastAsia="宋体" w:cs="宋体"/>
          <w:spacing w:val="-12"/>
          <w:sz w:val="24"/>
          <w:szCs w:val="24"/>
          <w:highlight w:val="none"/>
        </w:rPr>
        <w:t>鉴</w:t>
      </w:r>
      <w:r>
        <w:rPr>
          <w:rFonts w:ascii="宋体" w:hAnsi="宋体" w:eastAsia="宋体" w:cs="宋体"/>
          <w:spacing w:val="-11"/>
          <w:sz w:val="24"/>
          <w:szCs w:val="24"/>
          <w:highlight w:val="none"/>
        </w:rPr>
        <w:t>于（发包人名称，以下简称“发包人”）与（承包人名称</w:t>
      </w:r>
      <w:r>
        <w:rPr>
          <w:rFonts w:ascii="宋体" w:hAnsi="宋体" w:eastAsia="宋体" w:cs="宋体"/>
          <w:spacing w:val="-8"/>
          <w:sz w:val="24"/>
          <w:szCs w:val="24"/>
          <w:highlight w:val="none"/>
        </w:rPr>
        <w:t>）（</w:t>
      </w:r>
      <w:r>
        <w:rPr>
          <w:rFonts w:ascii="宋体" w:hAnsi="宋体" w:eastAsia="宋体" w:cs="宋体"/>
          <w:spacing w:val="-11"/>
          <w:sz w:val="24"/>
          <w:szCs w:val="24"/>
          <w:highlight w:val="none"/>
        </w:rPr>
        <w:t>以下称“承包人”</w:t>
      </w:r>
      <w:r>
        <w:rPr>
          <w:rFonts w:ascii="宋体" w:hAnsi="宋体" w:eastAsia="宋体" w:cs="宋体"/>
          <w:spacing w:val="-12"/>
          <w:sz w:val="24"/>
          <w:szCs w:val="24"/>
          <w:highlight w:val="none"/>
        </w:rPr>
        <w:t xml:space="preserve">）于   </w:t>
      </w:r>
      <w:r>
        <w:rPr>
          <w:rFonts w:ascii="宋体" w:hAnsi="宋体" w:eastAsia="宋体" w:cs="宋体"/>
          <w:spacing w:val="-11"/>
          <w:sz w:val="24"/>
          <w:szCs w:val="24"/>
          <w:highlight w:val="none"/>
        </w:rPr>
        <w:t>年</w:t>
      </w:r>
      <w:r>
        <w:rPr>
          <w:rFonts w:ascii="宋体" w:hAnsi="宋体" w:eastAsia="宋体" w:cs="宋体"/>
          <w:spacing w:val="-2"/>
          <w:sz w:val="24"/>
          <w:szCs w:val="24"/>
          <w:highlight w:val="none"/>
        </w:rPr>
        <w:t>月  日就（工程名称）施工及有关事项协商一致</w:t>
      </w:r>
      <w:r>
        <w:rPr>
          <w:rFonts w:ascii="宋体" w:hAnsi="宋体" w:eastAsia="宋体" w:cs="宋体"/>
          <w:spacing w:val="-3"/>
          <w:sz w:val="24"/>
          <w:szCs w:val="24"/>
          <w:highlight w:val="none"/>
        </w:rPr>
        <w:t>共同签订《建设工程施工合同》。我方愿意无</w:t>
      </w:r>
      <w:r>
        <w:rPr>
          <w:rFonts w:ascii="宋体" w:hAnsi="宋体" w:eastAsia="宋体" w:cs="宋体"/>
          <w:spacing w:val="-1"/>
          <w:sz w:val="24"/>
          <w:szCs w:val="24"/>
          <w:highlight w:val="none"/>
        </w:rPr>
        <w:t>条件地、不可撤销地就承包人履行与你方签订的合同，向你</w:t>
      </w:r>
      <w:r>
        <w:rPr>
          <w:rFonts w:ascii="宋体" w:hAnsi="宋体" w:eastAsia="宋体" w:cs="宋体"/>
          <w:spacing w:val="-2"/>
          <w:sz w:val="24"/>
          <w:szCs w:val="24"/>
          <w:highlight w:val="none"/>
        </w:rPr>
        <w:t>方提供连带责任担保。</w:t>
      </w:r>
    </w:p>
    <w:p w14:paraId="6AC81635">
      <w:pPr>
        <w:spacing w:before="1" w:line="218" w:lineRule="auto"/>
        <w:ind w:left="507"/>
        <w:rPr>
          <w:rFonts w:ascii="宋体" w:hAnsi="宋体" w:eastAsia="宋体" w:cs="宋体"/>
          <w:sz w:val="24"/>
          <w:szCs w:val="24"/>
          <w:highlight w:val="none"/>
        </w:rPr>
      </w:pPr>
      <w:r>
        <w:rPr>
          <w:rFonts w:ascii="宋体" w:hAnsi="宋体" w:eastAsia="宋体" w:cs="宋体"/>
          <w:spacing w:val="9"/>
          <w:sz w:val="24"/>
          <w:szCs w:val="24"/>
          <w:highlight w:val="none"/>
        </w:rPr>
        <w:t>1.担保金额人民币（大写）元(¥)。</w:t>
      </w:r>
    </w:p>
    <w:p w14:paraId="0F7F689F">
      <w:pPr>
        <w:spacing w:before="181" w:line="292" w:lineRule="auto"/>
        <w:ind w:left="11" w:right="7" w:firstLine="481"/>
        <w:rPr>
          <w:rFonts w:ascii="宋体" w:hAnsi="宋体" w:eastAsia="宋体" w:cs="宋体"/>
          <w:sz w:val="24"/>
          <w:szCs w:val="24"/>
          <w:highlight w:val="none"/>
        </w:rPr>
      </w:pPr>
      <w:r>
        <w:rPr>
          <w:rFonts w:ascii="宋体" w:hAnsi="宋体" w:eastAsia="宋体" w:cs="宋体"/>
          <w:spacing w:val="3"/>
          <w:sz w:val="24"/>
          <w:szCs w:val="24"/>
          <w:highlight w:val="none"/>
        </w:rPr>
        <w:t>2.担保有效期自你方与承包人签订的合同生效之日起至你方签发或应签发工程接收证书</w:t>
      </w:r>
      <w:r>
        <w:rPr>
          <w:rFonts w:ascii="宋体" w:hAnsi="宋体" w:eastAsia="宋体" w:cs="宋体"/>
          <w:spacing w:val="-9"/>
          <w:sz w:val="24"/>
          <w:szCs w:val="24"/>
          <w:highlight w:val="none"/>
        </w:rPr>
        <w:t>之日止。</w:t>
      </w:r>
    </w:p>
    <w:p w14:paraId="030CFF47">
      <w:pPr>
        <w:spacing w:before="177" w:line="288" w:lineRule="auto"/>
        <w:ind w:left="10" w:right="3" w:firstLine="484"/>
        <w:rPr>
          <w:rFonts w:ascii="宋体" w:hAnsi="宋体" w:eastAsia="宋体" w:cs="宋体"/>
          <w:sz w:val="24"/>
          <w:szCs w:val="24"/>
          <w:highlight w:val="none"/>
        </w:rPr>
      </w:pPr>
      <w:r>
        <w:rPr>
          <w:rFonts w:ascii="宋体" w:hAnsi="宋体" w:eastAsia="宋体" w:cs="宋体"/>
          <w:spacing w:val="-3"/>
          <w:sz w:val="24"/>
          <w:szCs w:val="24"/>
          <w:highlight w:val="none"/>
        </w:rPr>
        <w:t>3.在本担保有效期内，因承包人违反合同约定的义务给你方造成经济损失时，我方在收到</w:t>
      </w:r>
      <w:r>
        <w:rPr>
          <w:rFonts w:ascii="宋体" w:hAnsi="宋体" w:eastAsia="宋体" w:cs="宋体"/>
          <w:spacing w:val="-2"/>
          <w:sz w:val="24"/>
          <w:szCs w:val="24"/>
          <w:highlight w:val="none"/>
        </w:rPr>
        <w:t>你方以书面形式提出的在担保金额内的赔偿要求后，在</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7</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天内无条</w:t>
      </w:r>
      <w:r>
        <w:rPr>
          <w:rFonts w:ascii="宋体" w:hAnsi="宋体" w:eastAsia="宋体" w:cs="宋体"/>
          <w:spacing w:val="-3"/>
          <w:sz w:val="24"/>
          <w:szCs w:val="24"/>
          <w:highlight w:val="none"/>
        </w:rPr>
        <w:t>件支付。</w:t>
      </w:r>
    </w:p>
    <w:p w14:paraId="1438D23F">
      <w:pPr>
        <w:spacing w:before="183" w:line="219"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4.你方和承包人按合同约定变更合同时，我方承担本担保规定的义务不变。</w:t>
      </w:r>
    </w:p>
    <w:p w14:paraId="0018E454">
      <w:pPr>
        <w:spacing w:before="181" w:line="290" w:lineRule="auto"/>
        <w:ind w:left="8" w:right="3" w:firstLine="486"/>
        <w:rPr>
          <w:rFonts w:ascii="宋体" w:hAnsi="宋体" w:eastAsia="宋体" w:cs="宋体"/>
          <w:sz w:val="24"/>
          <w:szCs w:val="24"/>
          <w:highlight w:val="none"/>
        </w:rPr>
      </w:pPr>
      <w:r>
        <w:rPr>
          <w:rFonts w:ascii="宋体" w:hAnsi="宋体" w:eastAsia="宋体" w:cs="宋体"/>
          <w:spacing w:val="-3"/>
          <w:sz w:val="24"/>
          <w:szCs w:val="24"/>
          <w:highlight w:val="none"/>
        </w:rPr>
        <w:t>5.因本保函发生的纠纷，可由双方协商解决，协商不成的，任何一方均可提请仲裁委员会</w:t>
      </w:r>
      <w:r>
        <w:rPr>
          <w:rFonts w:ascii="宋体" w:hAnsi="宋体" w:eastAsia="宋体" w:cs="宋体"/>
          <w:spacing w:val="-10"/>
          <w:sz w:val="24"/>
          <w:szCs w:val="24"/>
          <w:highlight w:val="none"/>
        </w:rPr>
        <w:t>仲裁。</w:t>
      </w:r>
    </w:p>
    <w:p w14:paraId="0460974F">
      <w:pPr>
        <w:spacing w:before="180"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6.本保函自我方法定代表人（或其授权代理人）签</w:t>
      </w:r>
      <w:r>
        <w:rPr>
          <w:rFonts w:ascii="宋体" w:hAnsi="宋体" w:eastAsia="宋体" w:cs="宋体"/>
          <w:spacing w:val="-2"/>
          <w:sz w:val="24"/>
          <w:szCs w:val="24"/>
          <w:highlight w:val="none"/>
        </w:rPr>
        <w:t>字并加盖公章之日起生效。</w:t>
      </w:r>
    </w:p>
    <w:p w14:paraId="22A891AB">
      <w:pPr>
        <w:pStyle w:val="3"/>
        <w:spacing w:line="283" w:lineRule="auto"/>
        <w:rPr>
          <w:highlight w:val="none"/>
        </w:rPr>
      </w:pPr>
    </w:p>
    <w:p w14:paraId="46520AF3">
      <w:pPr>
        <w:pStyle w:val="3"/>
        <w:spacing w:line="284" w:lineRule="auto"/>
        <w:rPr>
          <w:highlight w:val="none"/>
        </w:rPr>
      </w:pPr>
    </w:p>
    <w:p w14:paraId="446EEF69">
      <w:pPr>
        <w:spacing w:before="78" w:line="219" w:lineRule="auto"/>
        <w:ind w:left="10"/>
        <w:rPr>
          <w:rFonts w:ascii="宋体" w:hAnsi="宋体" w:eastAsia="宋体" w:cs="宋体"/>
          <w:sz w:val="24"/>
          <w:szCs w:val="24"/>
          <w:highlight w:val="none"/>
        </w:rPr>
      </w:pPr>
      <w:r>
        <w:rPr>
          <w:rFonts w:ascii="宋体" w:hAnsi="宋体" w:eastAsia="宋体" w:cs="宋体"/>
          <w:spacing w:val="-3"/>
          <w:sz w:val="24"/>
          <w:szCs w:val="24"/>
          <w:highlight w:val="none"/>
        </w:rPr>
        <w:t>担保人</w:t>
      </w:r>
      <w:r>
        <w:rPr>
          <w:rFonts w:ascii="宋体" w:hAnsi="宋体" w:eastAsia="宋体" w:cs="宋体"/>
          <w:spacing w:val="-1"/>
          <w:sz w:val="24"/>
          <w:szCs w:val="24"/>
          <w:highlight w:val="none"/>
        </w:rPr>
        <w:t>：（</w:t>
      </w:r>
      <w:r>
        <w:rPr>
          <w:rFonts w:ascii="宋体" w:hAnsi="宋体" w:eastAsia="宋体" w:cs="宋体"/>
          <w:spacing w:val="-3"/>
          <w:sz w:val="24"/>
          <w:szCs w:val="24"/>
          <w:highlight w:val="none"/>
        </w:rPr>
        <w:t>盖单位章）</w:t>
      </w:r>
    </w:p>
    <w:p w14:paraId="71B7E6A2">
      <w:pPr>
        <w:spacing w:before="183" w:line="220" w:lineRule="auto"/>
        <w:ind w:left="10"/>
        <w:rPr>
          <w:rFonts w:ascii="宋体" w:hAnsi="宋体" w:eastAsia="宋体" w:cs="宋体"/>
          <w:sz w:val="24"/>
          <w:szCs w:val="24"/>
          <w:highlight w:val="none"/>
        </w:rPr>
      </w:pPr>
      <w:r>
        <w:rPr>
          <w:rFonts w:ascii="宋体" w:hAnsi="宋体" w:eastAsia="宋体" w:cs="宋体"/>
          <w:spacing w:val="-2"/>
          <w:sz w:val="24"/>
          <w:szCs w:val="24"/>
          <w:highlight w:val="none"/>
        </w:rPr>
        <w:t>法定代表人或其委托代理人</w:t>
      </w:r>
      <w:r>
        <w:rPr>
          <w:rFonts w:ascii="宋体" w:hAnsi="宋体" w:eastAsia="宋体" w:cs="宋体"/>
          <w:spacing w:val="2"/>
          <w:sz w:val="24"/>
          <w:szCs w:val="24"/>
          <w:highlight w:val="none"/>
        </w:rPr>
        <w:t>：（</w:t>
      </w:r>
      <w:r>
        <w:rPr>
          <w:rFonts w:ascii="宋体" w:hAnsi="宋体" w:eastAsia="宋体" w:cs="宋体"/>
          <w:spacing w:val="-2"/>
          <w:sz w:val="24"/>
          <w:szCs w:val="24"/>
          <w:highlight w:val="none"/>
        </w:rPr>
        <w:t>签字）</w:t>
      </w:r>
    </w:p>
    <w:p w14:paraId="0435BBC4">
      <w:pPr>
        <w:spacing w:before="180" w:line="229" w:lineRule="auto"/>
        <w:ind w:left="9"/>
        <w:rPr>
          <w:rFonts w:ascii="宋体" w:hAnsi="宋体" w:eastAsia="宋体" w:cs="宋体"/>
          <w:sz w:val="24"/>
          <w:szCs w:val="24"/>
          <w:highlight w:val="none"/>
        </w:rPr>
      </w:pPr>
      <w:r>
        <w:rPr>
          <w:rFonts w:ascii="宋体" w:hAnsi="宋体" w:eastAsia="宋体" w:cs="宋体"/>
          <w:spacing w:val="-15"/>
          <w:sz w:val="24"/>
          <w:szCs w:val="24"/>
          <w:highlight w:val="none"/>
        </w:rPr>
        <w:t>地址：</w:t>
      </w:r>
    </w:p>
    <w:p w14:paraId="358B2201">
      <w:pPr>
        <w:spacing w:before="170" w:line="220" w:lineRule="auto"/>
        <w:ind w:left="27"/>
        <w:rPr>
          <w:rFonts w:ascii="宋体" w:hAnsi="宋体" w:eastAsia="宋体" w:cs="宋体"/>
          <w:sz w:val="24"/>
          <w:szCs w:val="24"/>
          <w:highlight w:val="none"/>
        </w:rPr>
      </w:pPr>
      <w:r>
        <w:rPr>
          <w:rFonts w:ascii="宋体" w:hAnsi="宋体" w:eastAsia="宋体" w:cs="宋体"/>
          <w:spacing w:val="-14"/>
          <w:sz w:val="24"/>
          <w:szCs w:val="24"/>
          <w:highlight w:val="none"/>
        </w:rPr>
        <w:t>邮政编码：</w:t>
      </w:r>
    </w:p>
    <w:p w14:paraId="1B857F55">
      <w:pPr>
        <w:spacing w:before="180" w:line="222" w:lineRule="auto"/>
        <w:ind w:left="37"/>
        <w:rPr>
          <w:rFonts w:ascii="宋体" w:hAnsi="宋体" w:eastAsia="宋体" w:cs="宋体"/>
          <w:sz w:val="24"/>
          <w:szCs w:val="24"/>
          <w:highlight w:val="none"/>
        </w:rPr>
      </w:pPr>
      <w:r>
        <w:rPr>
          <w:rFonts w:ascii="宋体" w:hAnsi="宋体" w:eastAsia="宋体" w:cs="宋体"/>
          <w:spacing w:val="-21"/>
          <w:sz w:val="24"/>
          <w:szCs w:val="24"/>
          <w:highlight w:val="none"/>
        </w:rPr>
        <w:t>电话：</w:t>
      </w:r>
    </w:p>
    <w:p w14:paraId="7A9F4EAA">
      <w:pPr>
        <w:spacing w:before="180" w:line="219" w:lineRule="auto"/>
        <w:ind w:left="7"/>
        <w:rPr>
          <w:rFonts w:ascii="宋体" w:hAnsi="宋体" w:eastAsia="宋体" w:cs="宋体"/>
          <w:sz w:val="24"/>
          <w:szCs w:val="24"/>
          <w:highlight w:val="none"/>
        </w:rPr>
      </w:pPr>
      <w:r>
        <w:rPr>
          <w:rFonts w:ascii="宋体" w:hAnsi="宋体" w:eastAsia="宋体" w:cs="宋体"/>
          <w:spacing w:val="-14"/>
          <w:sz w:val="24"/>
          <w:szCs w:val="24"/>
          <w:highlight w:val="none"/>
        </w:rPr>
        <w:t>传真：</w:t>
      </w:r>
    </w:p>
    <w:p w14:paraId="43BE8903">
      <w:pPr>
        <w:pStyle w:val="3"/>
        <w:spacing w:line="283" w:lineRule="auto"/>
        <w:rPr>
          <w:highlight w:val="none"/>
        </w:rPr>
      </w:pPr>
    </w:p>
    <w:p w14:paraId="5F68B5A5">
      <w:pPr>
        <w:pStyle w:val="3"/>
        <w:spacing w:line="284" w:lineRule="auto"/>
        <w:rPr>
          <w:highlight w:val="none"/>
        </w:rPr>
      </w:pPr>
    </w:p>
    <w:p w14:paraId="021A2098">
      <w:pPr>
        <w:spacing w:before="78" w:line="220" w:lineRule="auto"/>
        <w:ind w:left="848"/>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9"/>
          <w:sz w:val="24"/>
          <w:szCs w:val="24"/>
          <w:highlight w:val="none"/>
        </w:rPr>
        <w:t>日</w:t>
      </w:r>
    </w:p>
    <w:p w14:paraId="15F03AED">
      <w:pPr>
        <w:spacing w:line="220" w:lineRule="auto"/>
        <w:rPr>
          <w:rFonts w:ascii="宋体" w:hAnsi="宋体" w:eastAsia="宋体" w:cs="宋体"/>
          <w:sz w:val="24"/>
          <w:szCs w:val="24"/>
          <w:highlight w:val="none"/>
        </w:rPr>
        <w:sectPr>
          <w:footerReference r:id="rId66" w:type="default"/>
          <w:pgSz w:w="11909" w:h="16841"/>
          <w:pgMar w:top="1431" w:right="1075" w:bottom="1114" w:left="1080" w:header="0" w:footer="883" w:gutter="0"/>
          <w:cols w:space="720" w:num="1"/>
        </w:sectPr>
      </w:pPr>
    </w:p>
    <w:p w14:paraId="302912CE">
      <w:pPr>
        <w:spacing w:before="275" w:line="219" w:lineRule="auto"/>
        <w:ind w:left="28"/>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49"/>
          <w:sz w:val="24"/>
          <w:szCs w:val="24"/>
          <w:highlight w:val="none"/>
        </w:rPr>
        <w:t xml:space="preserve"> </w:t>
      </w:r>
      <w:r>
        <w:rPr>
          <w:rFonts w:ascii="宋体" w:hAnsi="宋体" w:eastAsia="宋体" w:cs="宋体"/>
          <w:spacing w:val="-10"/>
          <w:sz w:val="24"/>
          <w:szCs w:val="24"/>
          <w:highlight w:val="none"/>
        </w:rPr>
        <w:t>9：</w:t>
      </w:r>
    </w:p>
    <w:p w14:paraId="1BC64326">
      <w:pPr>
        <w:spacing w:before="274" w:line="220" w:lineRule="auto"/>
        <w:ind w:left="4286"/>
        <w:rPr>
          <w:rFonts w:ascii="宋体" w:hAnsi="宋体" w:eastAsia="宋体" w:cs="宋体"/>
          <w:sz w:val="24"/>
          <w:szCs w:val="24"/>
          <w:highlight w:val="none"/>
        </w:rPr>
      </w:pPr>
      <w:r>
        <w:rPr>
          <w:rFonts w:ascii="宋体" w:hAnsi="宋体" w:eastAsia="宋体" w:cs="宋体"/>
          <w:spacing w:val="-2"/>
          <w:sz w:val="24"/>
          <w:szCs w:val="24"/>
          <w:highlight w:val="none"/>
        </w:rPr>
        <w:t>预付款担保</w:t>
      </w:r>
    </w:p>
    <w:p w14:paraId="24927206">
      <w:pPr>
        <w:tabs>
          <w:tab w:val="left" w:pos="840"/>
        </w:tabs>
        <w:spacing w:before="163" w:line="220"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7"/>
          <w:sz w:val="24"/>
          <w:szCs w:val="24"/>
          <w:highlight w:val="none"/>
        </w:rPr>
        <w:t>（发包人名称</w:t>
      </w:r>
      <w:r>
        <w:rPr>
          <w:rFonts w:ascii="宋体" w:hAnsi="宋体" w:eastAsia="宋体" w:cs="宋体"/>
          <w:spacing w:val="-4"/>
          <w:sz w:val="24"/>
          <w:szCs w:val="24"/>
          <w:highlight w:val="none"/>
        </w:rPr>
        <w:t>）：</w:t>
      </w:r>
    </w:p>
    <w:p w14:paraId="70BCD3A2">
      <w:pPr>
        <w:pStyle w:val="3"/>
        <w:spacing w:line="282" w:lineRule="auto"/>
        <w:rPr>
          <w:highlight w:val="none"/>
        </w:rPr>
      </w:pPr>
    </w:p>
    <w:p w14:paraId="70346123">
      <w:pPr>
        <w:pStyle w:val="3"/>
        <w:spacing w:line="283" w:lineRule="auto"/>
        <w:rPr>
          <w:highlight w:val="none"/>
        </w:rPr>
      </w:pPr>
    </w:p>
    <w:p w14:paraId="23D3DC78">
      <w:pPr>
        <w:spacing w:before="78" w:line="220" w:lineRule="auto"/>
        <w:ind w:left="489"/>
        <w:rPr>
          <w:rFonts w:ascii="宋体" w:hAnsi="宋体" w:eastAsia="宋体" w:cs="宋体"/>
          <w:sz w:val="24"/>
          <w:szCs w:val="24"/>
          <w:highlight w:val="none"/>
        </w:rPr>
      </w:pPr>
      <w:r>
        <w:rPr>
          <w:rFonts w:ascii="宋体" w:hAnsi="宋体" w:eastAsia="宋体" w:cs="宋体"/>
          <w:spacing w:val="-1"/>
          <w:sz w:val="24"/>
          <w:szCs w:val="24"/>
          <w:highlight w:val="none"/>
        </w:rPr>
        <w:t>根据（承包人名称</w:t>
      </w:r>
      <w:r>
        <w:rPr>
          <w:rFonts w:ascii="宋体" w:hAnsi="宋体" w:eastAsia="宋体" w:cs="宋体"/>
          <w:spacing w:val="4"/>
          <w:sz w:val="24"/>
          <w:szCs w:val="24"/>
          <w:highlight w:val="none"/>
        </w:rPr>
        <w:t>）（</w:t>
      </w:r>
      <w:r>
        <w:rPr>
          <w:rFonts w:ascii="宋体" w:hAnsi="宋体" w:eastAsia="宋体" w:cs="宋体"/>
          <w:spacing w:val="-1"/>
          <w:sz w:val="24"/>
          <w:szCs w:val="24"/>
          <w:highlight w:val="none"/>
        </w:rPr>
        <w:t>以</w:t>
      </w:r>
      <w:r>
        <w:rPr>
          <w:rFonts w:hint="eastAsia" w:ascii="宋体" w:hAnsi="宋体" w:eastAsia="宋体" w:cs="宋体"/>
          <w:spacing w:val="-1"/>
          <w:sz w:val="24"/>
          <w:szCs w:val="24"/>
          <w:highlight w:val="none"/>
          <w:lang w:eastAsia="zh-CN"/>
        </w:rPr>
        <w:t>下简</w:t>
      </w:r>
      <w:r>
        <w:rPr>
          <w:rFonts w:ascii="宋体" w:hAnsi="宋体" w:eastAsia="宋体" w:cs="宋体"/>
          <w:spacing w:val="-1"/>
          <w:sz w:val="24"/>
          <w:szCs w:val="24"/>
          <w:highlight w:val="none"/>
        </w:rPr>
        <w:t>称“承包人”）与</w:t>
      </w:r>
      <w:r>
        <w:rPr>
          <w:rFonts w:ascii="宋体" w:hAnsi="宋体" w:eastAsia="宋体" w:cs="宋体"/>
          <w:spacing w:val="-2"/>
          <w:sz w:val="24"/>
          <w:szCs w:val="24"/>
          <w:highlight w:val="none"/>
        </w:rPr>
        <w:t>（发包人名称</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以下简称“发包人”）于   年  月</w:t>
      </w:r>
      <w:r>
        <w:rPr>
          <w:rFonts w:ascii="宋体" w:hAnsi="宋体" w:eastAsia="宋体" w:cs="宋体"/>
          <w:spacing w:val="27"/>
          <w:sz w:val="24"/>
          <w:szCs w:val="24"/>
          <w:highlight w:val="none"/>
        </w:rPr>
        <w:t xml:space="preserve">  </w:t>
      </w:r>
      <w:r>
        <w:rPr>
          <w:rFonts w:ascii="宋体" w:hAnsi="宋体" w:eastAsia="宋体" w:cs="宋体"/>
          <w:spacing w:val="-2"/>
          <w:sz w:val="24"/>
          <w:szCs w:val="24"/>
          <w:highlight w:val="none"/>
        </w:rPr>
        <w:t>日签订的（工程名称）</w:t>
      </w:r>
      <w:r>
        <w:rPr>
          <w:rFonts w:ascii="宋体" w:hAnsi="宋体" w:eastAsia="宋体" w:cs="宋体"/>
          <w:spacing w:val="-80"/>
          <w:sz w:val="24"/>
          <w:szCs w:val="24"/>
          <w:highlight w:val="none"/>
        </w:rPr>
        <w:t xml:space="preserve"> </w:t>
      </w:r>
      <w:r>
        <w:rPr>
          <w:rFonts w:ascii="宋体" w:hAnsi="宋体" w:eastAsia="宋体" w:cs="宋体"/>
          <w:spacing w:val="-2"/>
          <w:sz w:val="24"/>
          <w:szCs w:val="24"/>
          <w:highlight w:val="none"/>
        </w:rPr>
        <w:t>《建设工程施</w:t>
      </w:r>
      <w:r>
        <w:rPr>
          <w:rFonts w:ascii="宋体" w:hAnsi="宋体" w:eastAsia="宋体" w:cs="宋体"/>
          <w:spacing w:val="-4"/>
          <w:sz w:val="24"/>
          <w:szCs w:val="24"/>
          <w:highlight w:val="none"/>
        </w:rPr>
        <w:t>工合同》，</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rPr>
        <w:t>承包人按约定的金额向你方提交一份预付款担保</w:t>
      </w:r>
      <w:r>
        <w:rPr>
          <w:rFonts w:ascii="宋体" w:hAnsi="宋体" w:eastAsia="宋体" w:cs="宋体"/>
          <w:spacing w:val="-5"/>
          <w:sz w:val="24"/>
          <w:szCs w:val="24"/>
          <w:highlight w:val="none"/>
        </w:rPr>
        <w:t>，即有权得到你方支付相等金额的</w:t>
      </w:r>
      <w:r>
        <w:rPr>
          <w:rFonts w:ascii="宋体" w:hAnsi="宋体" w:eastAsia="宋体" w:cs="宋体"/>
          <w:spacing w:val="-1"/>
          <w:sz w:val="24"/>
          <w:szCs w:val="24"/>
          <w:highlight w:val="none"/>
        </w:rPr>
        <w:t>预付款。我方愿意就你方提供给承包人的预付款为</w:t>
      </w:r>
      <w:r>
        <w:rPr>
          <w:rFonts w:ascii="宋体" w:hAnsi="宋体" w:eastAsia="宋体" w:cs="宋体"/>
          <w:spacing w:val="-2"/>
          <w:sz w:val="24"/>
          <w:szCs w:val="24"/>
          <w:highlight w:val="none"/>
        </w:rPr>
        <w:t>承包人提供连带责任担保。</w:t>
      </w:r>
    </w:p>
    <w:p w14:paraId="0B416B52">
      <w:pPr>
        <w:spacing w:before="1" w:line="218" w:lineRule="auto"/>
        <w:ind w:left="507"/>
        <w:rPr>
          <w:rFonts w:ascii="宋体" w:hAnsi="宋体" w:eastAsia="宋体" w:cs="宋体"/>
          <w:sz w:val="24"/>
          <w:szCs w:val="24"/>
          <w:highlight w:val="none"/>
        </w:rPr>
      </w:pPr>
      <w:r>
        <w:rPr>
          <w:rFonts w:ascii="宋体" w:hAnsi="宋体" w:eastAsia="宋体" w:cs="宋体"/>
          <w:spacing w:val="9"/>
          <w:sz w:val="24"/>
          <w:szCs w:val="24"/>
          <w:highlight w:val="none"/>
        </w:rPr>
        <w:t>1.担保金额人民币（大写）元(¥)。</w:t>
      </w:r>
    </w:p>
    <w:p w14:paraId="48389A71">
      <w:pPr>
        <w:spacing w:before="181" w:line="290" w:lineRule="auto"/>
        <w:ind w:left="9" w:firstLine="483"/>
        <w:rPr>
          <w:rFonts w:ascii="宋体" w:hAnsi="宋体" w:eastAsia="宋体" w:cs="宋体"/>
          <w:sz w:val="24"/>
          <w:szCs w:val="24"/>
          <w:highlight w:val="none"/>
        </w:rPr>
      </w:pPr>
      <w:r>
        <w:rPr>
          <w:rFonts w:ascii="宋体" w:hAnsi="宋体" w:eastAsia="宋体" w:cs="宋体"/>
          <w:spacing w:val="-3"/>
          <w:sz w:val="24"/>
          <w:szCs w:val="24"/>
          <w:highlight w:val="none"/>
        </w:rPr>
        <w:t>2.担保有效期自预付款支付给承包人起生效，至你方签发的进度款支付证书说明已完全扣</w:t>
      </w:r>
      <w:r>
        <w:rPr>
          <w:rFonts w:ascii="宋体" w:hAnsi="宋体" w:eastAsia="宋体" w:cs="宋体"/>
          <w:spacing w:val="-10"/>
          <w:sz w:val="24"/>
          <w:szCs w:val="24"/>
          <w:highlight w:val="none"/>
        </w:rPr>
        <w:t>清止。</w:t>
      </w:r>
    </w:p>
    <w:p w14:paraId="21D5559E">
      <w:pPr>
        <w:spacing w:before="179" w:line="313" w:lineRule="auto"/>
        <w:ind w:left="9" w:firstLine="485"/>
        <w:rPr>
          <w:rFonts w:ascii="宋体" w:hAnsi="宋体" w:eastAsia="宋体" w:cs="宋体"/>
          <w:sz w:val="24"/>
          <w:szCs w:val="24"/>
          <w:highlight w:val="none"/>
        </w:rPr>
      </w:pPr>
      <w:r>
        <w:rPr>
          <w:rFonts w:ascii="宋体" w:hAnsi="宋体" w:eastAsia="宋体" w:cs="宋体"/>
          <w:spacing w:val="-3"/>
          <w:sz w:val="24"/>
          <w:szCs w:val="24"/>
          <w:highlight w:val="none"/>
        </w:rPr>
        <w:t>3.在本保函有效期内，因承包人违反合同约定的义务而要求收回预付款时，我方在收到你</w:t>
      </w:r>
      <w:r>
        <w:rPr>
          <w:rFonts w:ascii="宋体" w:hAnsi="宋体" w:eastAsia="宋体" w:cs="宋体"/>
          <w:spacing w:val="-2"/>
          <w:sz w:val="24"/>
          <w:szCs w:val="24"/>
          <w:highlight w:val="none"/>
        </w:rPr>
        <w:t>方的书面通知后，在7天内无条件支付。但本保函</w:t>
      </w:r>
      <w:r>
        <w:rPr>
          <w:rFonts w:ascii="宋体" w:hAnsi="宋体" w:eastAsia="宋体" w:cs="宋体"/>
          <w:spacing w:val="-3"/>
          <w:sz w:val="24"/>
          <w:szCs w:val="24"/>
          <w:highlight w:val="none"/>
        </w:rPr>
        <w:t>的担保金额， 在任何时候不应超过预付款金</w:t>
      </w:r>
      <w:r>
        <w:rPr>
          <w:rFonts w:ascii="宋体" w:hAnsi="宋体" w:eastAsia="宋体" w:cs="宋体"/>
          <w:spacing w:val="-1"/>
          <w:sz w:val="24"/>
          <w:szCs w:val="24"/>
          <w:highlight w:val="none"/>
        </w:rPr>
        <w:t>额减去你方按合同约定在向承包人签发的进度</w:t>
      </w:r>
      <w:r>
        <w:rPr>
          <w:rFonts w:ascii="宋体" w:hAnsi="宋体" w:eastAsia="宋体" w:cs="宋体"/>
          <w:spacing w:val="-2"/>
          <w:sz w:val="24"/>
          <w:szCs w:val="24"/>
          <w:highlight w:val="none"/>
        </w:rPr>
        <w:t>款支付证书中扣除的金额。</w:t>
      </w:r>
    </w:p>
    <w:p w14:paraId="65DC737C">
      <w:pPr>
        <w:spacing w:before="181" w:line="219"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4.你方和承包人按合同约定变更合同时，我方承担本保函规定</w:t>
      </w:r>
      <w:r>
        <w:rPr>
          <w:rFonts w:ascii="宋体" w:hAnsi="宋体" w:eastAsia="宋体" w:cs="宋体"/>
          <w:spacing w:val="-2"/>
          <w:sz w:val="24"/>
          <w:szCs w:val="24"/>
          <w:highlight w:val="none"/>
        </w:rPr>
        <w:t>的义务不变。</w:t>
      </w:r>
    </w:p>
    <w:p w14:paraId="7AFAB4BE">
      <w:pPr>
        <w:spacing w:before="183" w:line="289" w:lineRule="auto"/>
        <w:ind w:left="8" w:firstLine="486"/>
        <w:rPr>
          <w:rFonts w:ascii="宋体" w:hAnsi="宋体" w:eastAsia="宋体" w:cs="宋体"/>
          <w:sz w:val="24"/>
          <w:szCs w:val="24"/>
          <w:highlight w:val="none"/>
        </w:rPr>
      </w:pPr>
      <w:r>
        <w:rPr>
          <w:rFonts w:ascii="宋体" w:hAnsi="宋体" w:eastAsia="宋体" w:cs="宋体"/>
          <w:spacing w:val="-3"/>
          <w:sz w:val="24"/>
          <w:szCs w:val="24"/>
          <w:highlight w:val="none"/>
        </w:rPr>
        <w:t>5.因本保函发生的纠纷，可由双方协商解决，协商不成的，任何一方均可提请仲裁委员会</w:t>
      </w:r>
      <w:r>
        <w:rPr>
          <w:rFonts w:ascii="宋体" w:hAnsi="宋体" w:eastAsia="宋体" w:cs="宋体"/>
          <w:spacing w:val="-10"/>
          <w:sz w:val="24"/>
          <w:szCs w:val="24"/>
          <w:highlight w:val="none"/>
        </w:rPr>
        <w:t>仲裁。</w:t>
      </w:r>
    </w:p>
    <w:p w14:paraId="0E6C05EC">
      <w:pPr>
        <w:spacing w:before="183"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6.本保函自我方法定代表人（或其授权代理人）签</w:t>
      </w:r>
      <w:r>
        <w:rPr>
          <w:rFonts w:ascii="宋体" w:hAnsi="宋体" w:eastAsia="宋体" w:cs="宋体"/>
          <w:spacing w:val="-2"/>
          <w:sz w:val="24"/>
          <w:szCs w:val="24"/>
          <w:highlight w:val="none"/>
        </w:rPr>
        <w:t>字并加盖公章之日起生效。</w:t>
      </w:r>
    </w:p>
    <w:p w14:paraId="637162F1">
      <w:pPr>
        <w:pStyle w:val="3"/>
        <w:spacing w:line="283" w:lineRule="auto"/>
        <w:rPr>
          <w:highlight w:val="none"/>
        </w:rPr>
      </w:pPr>
    </w:p>
    <w:p w14:paraId="289546CD">
      <w:pPr>
        <w:pStyle w:val="3"/>
        <w:spacing w:line="284" w:lineRule="auto"/>
        <w:rPr>
          <w:highlight w:val="none"/>
        </w:rPr>
      </w:pPr>
    </w:p>
    <w:p w14:paraId="27CF25AA">
      <w:pPr>
        <w:spacing w:before="78" w:line="219" w:lineRule="auto"/>
        <w:ind w:left="10"/>
        <w:rPr>
          <w:rFonts w:ascii="宋体" w:hAnsi="宋体" w:eastAsia="宋体" w:cs="宋体"/>
          <w:sz w:val="24"/>
          <w:szCs w:val="24"/>
          <w:highlight w:val="none"/>
        </w:rPr>
      </w:pPr>
      <w:r>
        <w:rPr>
          <w:rFonts w:ascii="宋体" w:hAnsi="宋体" w:eastAsia="宋体" w:cs="宋体"/>
          <w:spacing w:val="-3"/>
          <w:sz w:val="24"/>
          <w:szCs w:val="24"/>
          <w:highlight w:val="none"/>
        </w:rPr>
        <w:t>担保人</w:t>
      </w:r>
      <w:r>
        <w:rPr>
          <w:rFonts w:ascii="宋体" w:hAnsi="宋体" w:eastAsia="宋体" w:cs="宋体"/>
          <w:spacing w:val="-1"/>
          <w:sz w:val="24"/>
          <w:szCs w:val="24"/>
          <w:highlight w:val="none"/>
        </w:rPr>
        <w:t>：（</w:t>
      </w:r>
      <w:r>
        <w:rPr>
          <w:rFonts w:ascii="宋体" w:hAnsi="宋体" w:eastAsia="宋体" w:cs="宋体"/>
          <w:spacing w:val="-3"/>
          <w:sz w:val="24"/>
          <w:szCs w:val="24"/>
          <w:highlight w:val="none"/>
        </w:rPr>
        <w:t>盖单位章）</w:t>
      </w:r>
    </w:p>
    <w:p w14:paraId="5043B13D">
      <w:pPr>
        <w:spacing w:before="181" w:line="220" w:lineRule="auto"/>
        <w:ind w:left="10"/>
        <w:rPr>
          <w:rFonts w:ascii="宋体" w:hAnsi="宋体" w:eastAsia="宋体" w:cs="宋体"/>
          <w:sz w:val="24"/>
          <w:szCs w:val="24"/>
          <w:highlight w:val="none"/>
        </w:rPr>
      </w:pPr>
      <w:r>
        <w:rPr>
          <w:rFonts w:ascii="宋体" w:hAnsi="宋体" w:eastAsia="宋体" w:cs="宋体"/>
          <w:spacing w:val="-2"/>
          <w:sz w:val="24"/>
          <w:szCs w:val="24"/>
          <w:highlight w:val="none"/>
        </w:rPr>
        <w:t>法定代表人或其委托代理人</w:t>
      </w:r>
      <w:r>
        <w:rPr>
          <w:rFonts w:ascii="宋体" w:hAnsi="宋体" w:eastAsia="宋体" w:cs="宋体"/>
          <w:spacing w:val="2"/>
          <w:sz w:val="24"/>
          <w:szCs w:val="24"/>
          <w:highlight w:val="none"/>
        </w:rPr>
        <w:t>：（</w:t>
      </w:r>
      <w:r>
        <w:rPr>
          <w:rFonts w:ascii="宋体" w:hAnsi="宋体" w:eastAsia="宋体" w:cs="宋体"/>
          <w:spacing w:val="-2"/>
          <w:sz w:val="24"/>
          <w:szCs w:val="24"/>
          <w:highlight w:val="none"/>
        </w:rPr>
        <w:t>签字）</w:t>
      </w:r>
    </w:p>
    <w:p w14:paraId="35A60D15">
      <w:pPr>
        <w:spacing w:before="183" w:line="229" w:lineRule="auto"/>
        <w:ind w:left="9"/>
        <w:rPr>
          <w:rFonts w:ascii="宋体" w:hAnsi="宋体" w:eastAsia="宋体" w:cs="宋体"/>
          <w:sz w:val="24"/>
          <w:szCs w:val="24"/>
          <w:highlight w:val="none"/>
        </w:rPr>
      </w:pPr>
      <w:r>
        <w:rPr>
          <w:rFonts w:ascii="宋体" w:hAnsi="宋体" w:eastAsia="宋体" w:cs="宋体"/>
          <w:spacing w:val="-3"/>
          <w:sz w:val="24"/>
          <w:szCs w:val="24"/>
          <w:highlight w:val="none"/>
        </w:rPr>
        <w:t>地址：</w:t>
      </w:r>
      <w:r>
        <w:rPr>
          <w:rFonts w:ascii="宋体" w:hAnsi="宋体" w:eastAsia="宋体" w:cs="宋体"/>
          <w:sz w:val="24"/>
          <w:szCs w:val="24"/>
          <w:highlight w:val="none"/>
          <w:u w:val="single" w:color="auto"/>
        </w:rPr>
        <w:t xml:space="preserve">                       </w:t>
      </w:r>
    </w:p>
    <w:p w14:paraId="180FC346">
      <w:pPr>
        <w:spacing w:before="167" w:line="220" w:lineRule="auto"/>
        <w:ind w:left="27"/>
        <w:rPr>
          <w:rFonts w:ascii="宋体" w:hAnsi="宋体" w:eastAsia="宋体" w:cs="宋体"/>
          <w:sz w:val="24"/>
          <w:szCs w:val="24"/>
          <w:highlight w:val="none"/>
        </w:rPr>
      </w:pPr>
      <w:r>
        <w:rPr>
          <w:rFonts w:ascii="宋体" w:hAnsi="宋体" w:eastAsia="宋体" w:cs="宋体"/>
          <w:spacing w:val="-3"/>
          <w:sz w:val="24"/>
          <w:szCs w:val="24"/>
          <w:highlight w:val="none"/>
        </w:rPr>
        <w:t>邮政编码：</w:t>
      </w:r>
      <w:r>
        <w:rPr>
          <w:rFonts w:ascii="宋体" w:hAnsi="宋体" w:eastAsia="宋体" w:cs="宋体"/>
          <w:spacing w:val="-3"/>
          <w:sz w:val="24"/>
          <w:szCs w:val="24"/>
          <w:highlight w:val="none"/>
          <w:u w:val="single" w:color="auto"/>
        </w:rPr>
        <w:t xml:space="preserve">               </w:t>
      </w:r>
      <w:r>
        <w:rPr>
          <w:rFonts w:ascii="宋体" w:hAnsi="宋体" w:eastAsia="宋体" w:cs="宋体"/>
          <w:spacing w:val="-4"/>
          <w:sz w:val="24"/>
          <w:szCs w:val="24"/>
          <w:highlight w:val="none"/>
          <w:u w:val="single" w:color="auto"/>
        </w:rPr>
        <w:t xml:space="preserve">       </w:t>
      </w:r>
    </w:p>
    <w:p w14:paraId="0E4F5862">
      <w:pPr>
        <w:spacing w:before="182" w:line="222" w:lineRule="auto"/>
        <w:ind w:left="37"/>
        <w:rPr>
          <w:rFonts w:ascii="宋体" w:hAnsi="宋体" w:eastAsia="宋体" w:cs="宋体"/>
          <w:sz w:val="24"/>
          <w:szCs w:val="24"/>
          <w:highlight w:val="none"/>
        </w:rPr>
      </w:pPr>
      <w:r>
        <w:rPr>
          <w:rFonts w:ascii="宋体" w:hAnsi="宋体" w:eastAsia="宋体" w:cs="宋体"/>
          <w:spacing w:val="-13"/>
          <w:sz w:val="24"/>
          <w:szCs w:val="24"/>
          <w:highlight w:val="none"/>
        </w:rPr>
        <w:t>电话：</w:t>
      </w:r>
      <w:r>
        <w:rPr>
          <w:rFonts w:ascii="宋体" w:hAnsi="宋体" w:eastAsia="宋体" w:cs="宋体"/>
          <w:sz w:val="24"/>
          <w:szCs w:val="24"/>
          <w:highlight w:val="none"/>
          <w:u w:val="single" w:color="auto"/>
        </w:rPr>
        <w:t xml:space="preserve">                       </w:t>
      </w:r>
    </w:p>
    <w:p w14:paraId="350F2AC7">
      <w:pPr>
        <w:spacing w:before="177" w:line="219" w:lineRule="auto"/>
        <w:ind w:left="7"/>
        <w:rPr>
          <w:rFonts w:ascii="宋体" w:hAnsi="宋体" w:eastAsia="宋体" w:cs="宋体"/>
          <w:sz w:val="24"/>
          <w:szCs w:val="24"/>
          <w:highlight w:val="none"/>
        </w:rPr>
      </w:pPr>
      <w:r>
        <w:rPr>
          <w:rFonts w:ascii="宋体" w:hAnsi="宋体" w:eastAsia="宋体" w:cs="宋体"/>
          <w:spacing w:val="-3"/>
          <w:sz w:val="24"/>
          <w:szCs w:val="24"/>
          <w:highlight w:val="none"/>
        </w:rPr>
        <w:t>传真：</w:t>
      </w:r>
      <w:r>
        <w:rPr>
          <w:rFonts w:ascii="宋体" w:hAnsi="宋体" w:eastAsia="宋体" w:cs="宋体"/>
          <w:sz w:val="24"/>
          <w:szCs w:val="24"/>
          <w:highlight w:val="none"/>
          <w:u w:val="single" w:color="auto"/>
        </w:rPr>
        <w:t xml:space="preserve">                       </w:t>
      </w:r>
    </w:p>
    <w:p w14:paraId="6FE3B5BC">
      <w:pPr>
        <w:pStyle w:val="3"/>
        <w:spacing w:line="258" w:lineRule="auto"/>
        <w:rPr>
          <w:highlight w:val="none"/>
        </w:rPr>
      </w:pPr>
    </w:p>
    <w:p w14:paraId="1A3AD4FD">
      <w:pPr>
        <w:pStyle w:val="3"/>
        <w:spacing w:line="258" w:lineRule="auto"/>
        <w:rPr>
          <w:highlight w:val="none"/>
        </w:rPr>
      </w:pPr>
    </w:p>
    <w:p w14:paraId="45212FF2">
      <w:pPr>
        <w:pStyle w:val="3"/>
        <w:spacing w:line="258" w:lineRule="auto"/>
        <w:rPr>
          <w:highlight w:val="none"/>
        </w:rPr>
      </w:pPr>
    </w:p>
    <w:p w14:paraId="2D3BB54C">
      <w:pPr>
        <w:pStyle w:val="3"/>
        <w:spacing w:line="258" w:lineRule="auto"/>
        <w:rPr>
          <w:highlight w:val="none"/>
        </w:rPr>
      </w:pPr>
    </w:p>
    <w:p w14:paraId="2380A2C1">
      <w:pPr>
        <w:spacing w:before="79" w:line="220" w:lineRule="auto"/>
        <w:ind w:left="1330"/>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9"/>
          <w:sz w:val="24"/>
          <w:szCs w:val="24"/>
          <w:highlight w:val="none"/>
        </w:rPr>
        <w:t>日</w:t>
      </w:r>
    </w:p>
    <w:p w14:paraId="6BA12DB7">
      <w:pPr>
        <w:spacing w:line="220" w:lineRule="auto"/>
        <w:rPr>
          <w:rFonts w:ascii="宋体" w:hAnsi="宋体" w:eastAsia="宋体" w:cs="宋体"/>
          <w:sz w:val="24"/>
          <w:szCs w:val="24"/>
          <w:highlight w:val="none"/>
        </w:rPr>
        <w:sectPr>
          <w:footerReference r:id="rId67" w:type="default"/>
          <w:pgSz w:w="11909" w:h="16841"/>
          <w:pgMar w:top="1431" w:right="1078" w:bottom="1045" w:left="1080" w:header="0" w:footer="814" w:gutter="0"/>
          <w:cols w:space="720" w:num="1"/>
        </w:sectPr>
      </w:pPr>
    </w:p>
    <w:p w14:paraId="770D9D79">
      <w:pPr>
        <w:spacing w:before="155" w:line="219" w:lineRule="auto"/>
        <w:ind w:left="18"/>
        <w:rPr>
          <w:rFonts w:ascii="宋体" w:hAnsi="宋体" w:eastAsia="宋体" w:cs="宋体"/>
          <w:sz w:val="24"/>
          <w:szCs w:val="24"/>
          <w:highlight w:val="none"/>
        </w:rPr>
      </w:pPr>
      <w:r>
        <w:rPr>
          <w:rFonts w:ascii="宋体" w:hAnsi="宋体" w:eastAsia="宋体" w:cs="宋体"/>
          <w:spacing w:val="-10"/>
          <w:sz w:val="24"/>
          <w:szCs w:val="24"/>
          <w:highlight w:val="none"/>
        </w:rPr>
        <w:t>附件</w:t>
      </w:r>
      <w:r>
        <w:rPr>
          <w:rFonts w:ascii="宋体" w:hAnsi="宋体" w:eastAsia="宋体" w:cs="宋体"/>
          <w:spacing w:val="-30"/>
          <w:sz w:val="24"/>
          <w:szCs w:val="24"/>
          <w:highlight w:val="none"/>
        </w:rPr>
        <w:t xml:space="preserve"> </w:t>
      </w:r>
      <w:r>
        <w:rPr>
          <w:rFonts w:ascii="宋体" w:hAnsi="宋体" w:eastAsia="宋体" w:cs="宋体"/>
          <w:spacing w:val="-10"/>
          <w:sz w:val="24"/>
          <w:szCs w:val="24"/>
          <w:highlight w:val="none"/>
        </w:rPr>
        <w:t>10:</w:t>
      </w:r>
    </w:p>
    <w:p w14:paraId="1C61B5FA">
      <w:pPr>
        <w:spacing w:before="274" w:line="220" w:lineRule="auto"/>
        <w:ind w:left="4396"/>
        <w:rPr>
          <w:rFonts w:ascii="宋体" w:hAnsi="宋体" w:eastAsia="宋体" w:cs="宋体"/>
          <w:sz w:val="24"/>
          <w:szCs w:val="24"/>
          <w:highlight w:val="none"/>
        </w:rPr>
      </w:pPr>
      <w:r>
        <w:rPr>
          <w:rFonts w:ascii="宋体" w:hAnsi="宋体" w:eastAsia="宋体" w:cs="宋体"/>
          <w:spacing w:val="-2"/>
          <w:sz w:val="24"/>
          <w:szCs w:val="24"/>
          <w:highlight w:val="none"/>
        </w:rPr>
        <w:t>支付担保</w:t>
      </w:r>
    </w:p>
    <w:p w14:paraId="029666FC">
      <w:pPr>
        <w:spacing w:before="275" w:line="220" w:lineRule="auto"/>
        <w:ind w:left="6"/>
        <w:rPr>
          <w:rFonts w:ascii="宋体" w:hAnsi="宋体" w:eastAsia="宋体" w:cs="宋体"/>
          <w:sz w:val="24"/>
          <w:szCs w:val="24"/>
          <w:highlight w:val="none"/>
        </w:rPr>
      </w:pPr>
      <w:r>
        <w:rPr>
          <w:rFonts w:ascii="宋体" w:hAnsi="宋体" w:eastAsia="宋体" w:cs="宋体"/>
          <w:spacing w:val="-12"/>
          <w:sz w:val="24"/>
          <w:szCs w:val="24"/>
          <w:highlight w:val="none"/>
        </w:rPr>
        <w:t>（承包人</w:t>
      </w:r>
      <w:r>
        <w:rPr>
          <w:rFonts w:ascii="宋体" w:hAnsi="宋体" w:eastAsia="宋体" w:cs="宋体"/>
          <w:spacing w:val="-6"/>
          <w:sz w:val="24"/>
          <w:szCs w:val="24"/>
          <w:highlight w:val="none"/>
        </w:rPr>
        <w:t>）：</w:t>
      </w:r>
    </w:p>
    <w:p w14:paraId="425685A1">
      <w:pPr>
        <w:pStyle w:val="3"/>
        <w:spacing w:line="397" w:lineRule="auto"/>
        <w:rPr>
          <w:highlight w:val="none"/>
        </w:rPr>
      </w:pPr>
    </w:p>
    <w:p w14:paraId="6CDA9C78">
      <w:pPr>
        <w:spacing w:before="78" w:line="360" w:lineRule="auto"/>
        <w:ind w:right="66" w:firstLine="483"/>
        <w:jc w:val="both"/>
        <w:rPr>
          <w:rFonts w:ascii="宋体" w:hAnsi="宋体" w:eastAsia="宋体" w:cs="宋体"/>
          <w:sz w:val="24"/>
          <w:szCs w:val="24"/>
          <w:highlight w:val="none"/>
        </w:rPr>
      </w:pPr>
      <w:r>
        <w:rPr>
          <w:rFonts w:ascii="宋体" w:hAnsi="宋体" w:eastAsia="宋体" w:cs="宋体"/>
          <w:spacing w:val="-2"/>
          <w:sz w:val="24"/>
          <w:szCs w:val="24"/>
          <w:highlight w:val="none"/>
        </w:rPr>
        <w:t>鉴于你方作为承包人已经与（发包人名称</w:t>
      </w:r>
      <w:r>
        <w:rPr>
          <w:rFonts w:ascii="宋体" w:hAnsi="宋体" w:eastAsia="宋体" w:cs="宋体"/>
          <w:spacing w:val="6"/>
          <w:sz w:val="24"/>
          <w:szCs w:val="24"/>
          <w:highlight w:val="none"/>
        </w:rPr>
        <w:t>）（</w:t>
      </w:r>
      <w:r>
        <w:rPr>
          <w:rFonts w:ascii="宋体" w:hAnsi="宋体" w:eastAsia="宋体" w:cs="宋体"/>
          <w:spacing w:val="-2"/>
          <w:sz w:val="24"/>
          <w:szCs w:val="24"/>
          <w:highlight w:val="none"/>
        </w:rPr>
        <w:t>以下称“发包人”）于   年  月</w:t>
      </w:r>
      <w:r>
        <w:rPr>
          <w:rFonts w:ascii="宋体" w:hAnsi="宋体" w:eastAsia="宋体" w:cs="宋体"/>
          <w:spacing w:val="26"/>
          <w:sz w:val="24"/>
          <w:szCs w:val="24"/>
          <w:highlight w:val="none"/>
        </w:rPr>
        <w:t xml:space="preserve">  </w:t>
      </w:r>
      <w:r>
        <w:rPr>
          <w:rFonts w:ascii="宋体" w:hAnsi="宋体" w:eastAsia="宋体" w:cs="宋体"/>
          <w:spacing w:val="-2"/>
          <w:sz w:val="24"/>
          <w:szCs w:val="24"/>
          <w:highlight w:val="none"/>
        </w:rPr>
        <w:t>日签订了（工程名称）《建设工程施工合同》（以下称“主合同</w:t>
      </w:r>
      <w:r>
        <w:rPr>
          <w:rFonts w:ascii="宋体" w:hAnsi="宋体" w:eastAsia="宋体" w:cs="宋体"/>
          <w:spacing w:val="-3"/>
          <w:sz w:val="24"/>
          <w:szCs w:val="24"/>
          <w:highlight w:val="none"/>
        </w:rPr>
        <w:t>”</w:t>
      </w:r>
      <w:r>
        <w:rPr>
          <w:rFonts w:ascii="宋体" w:hAnsi="宋体" w:eastAsia="宋体" w:cs="宋体"/>
          <w:spacing w:val="-10"/>
          <w:sz w:val="24"/>
          <w:szCs w:val="24"/>
          <w:highlight w:val="none"/>
        </w:rPr>
        <w:t>），</w:t>
      </w:r>
      <w:r>
        <w:rPr>
          <w:rFonts w:ascii="宋体" w:hAnsi="宋体" w:eastAsia="宋体" w:cs="宋体"/>
          <w:spacing w:val="-3"/>
          <w:sz w:val="24"/>
          <w:szCs w:val="24"/>
          <w:highlight w:val="none"/>
        </w:rPr>
        <w:t>应发包人的申请，我方愿就发</w:t>
      </w:r>
      <w:r>
        <w:rPr>
          <w:rFonts w:ascii="宋体" w:hAnsi="宋体" w:eastAsia="宋体" w:cs="宋体"/>
          <w:spacing w:val="-2"/>
          <w:sz w:val="24"/>
          <w:szCs w:val="24"/>
          <w:highlight w:val="none"/>
        </w:rPr>
        <w:t>包人履行主合同约定的工程款支付义务以保证的方式向你方提供如下担保：</w:t>
      </w:r>
    </w:p>
    <w:p w14:paraId="66912252">
      <w:pPr>
        <w:spacing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一、保证的范围及保证金额</w:t>
      </w:r>
    </w:p>
    <w:p w14:paraId="2AA987E5">
      <w:pPr>
        <w:spacing w:before="181"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1.我方的保证范围是主合同约定的工程款。</w:t>
      </w:r>
    </w:p>
    <w:p w14:paraId="697D5C7F">
      <w:pPr>
        <w:spacing w:before="182" w:line="218"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2.本保函所称主合同约定的工程款是指主合同约定的除工程质量保证</w:t>
      </w:r>
      <w:r>
        <w:rPr>
          <w:rFonts w:ascii="宋体" w:hAnsi="宋体" w:eastAsia="宋体" w:cs="宋体"/>
          <w:spacing w:val="-2"/>
          <w:sz w:val="24"/>
          <w:szCs w:val="24"/>
          <w:highlight w:val="none"/>
        </w:rPr>
        <w:t>金以外的合同价款。</w:t>
      </w:r>
    </w:p>
    <w:p w14:paraId="1A92F89C">
      <w:pPr>
        <w:spacing w:before="184"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3.我方保证的金额是主合同约定的工程款的%，数额最高不超过人</w:t>
      </w:r>
      <w:r>
        <w:rPr>
          <w:rFonts w:ascii="宋体" w:hAnsi="宋体" w:eastAsia="宋体" w:cs="宋体"/>
          <w:spacing w:val="-2"/>
          <w:sz w:val="24"/>
          <w:szCs w:val="24"/>
          <w:highlight w:val="none"/>
        </w:rPr>
        <w:t>民币元（大写：）。</w:t>
      </w:r>
    </w:p>
    <w:p w14:paraId="539A51F8">
      <w:pPr>
        <w:spacing w:before="181"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二、保证的方式及保证期间</w:t>
      </w:r>
    </w:p>
    <w:p w14:paraId="003FB56D">
      <w:pPr>
        <w:spacing w:before="181" w:line="220"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1.我方保证的方式为：连带责任保证。</w:t>
      </w:r>
    </w:p>
    <w:p w14:paraId="5EB0B9E0">
      <w:pPr>
        <w:spacing w:before="180" w:line="219"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2.我方保证的期间为：自本合同生效之日起至主合同约定的工程款支</w:t>
      </w:r>
      <w:r>
        <w:rPr>
          <w:rFonts w:ascii="宋体" w:hAnsi="宋体" w:eastAsia="宋体" w:cs="宋体"/>
          <w:spacing w:val="-2"/>
          <w:sz w:val="24"/>
          <w:szCs w:val="24"/>
          <w:highlight w:val="none"/>
        </w:rPr>
        <w:t>付完毕之日后日内。</w:t>
      </w:r>
    </w:p>
    <w:p w14:paraId="413DA0D0">
      <w:pPr>
        <w:spacing w:before="184" w:line="289" w:lineRule="auto"/>
        <w:ind w:right="56" w:firstLine="484"/>
        <w:rPr>
          <w:rFonts w:ascii="宋体" w:hAnsi="宋体" w:eastAsia="宋体" w:cs="宋体"/>
          <w:sz w:val="24"/>
          <w:szCs w:val="24"/>
          <w:highlight w:val="none"/>
        </w:rPr>
      </w:pPr>
      <w:r>
        <w:rPr>
          <w:rFonts w:ascii="宋体" w:hAnsi="宋体" w:eastAsia="宋体" w:cs="宋体"/>
          <w:spacing w:val="-3"/>
          <w:sz w:val="24"/>
          <w:szCs w:val="24"/>
          <w:highlight w:val="none"/>
        </w:rPr>
        <w:t>3.你方与发包人协议变更工程款支付日期的，经我方书面同意后，保证期间按照变更后的</w:t>
      </w:r>
      <w:r>
        <w:rPr>
          <w:rFonts w:ascii="宋体" w:hAnsi="宋体" w:eastAsia="宋体" w:cs="宋体"/>
          <w:spacing w:val="-5"/>
          <w:sz w:val="24"/>
          <w:szCs w:val="24"/>
          <w:highlight w:val="none"/>
        </w:rPr>
        <w:t>支付日期做相应调整。</w:t>
      </w:r>
    </w:p>
    <w:p w14:paraId="397E537E">
      <w:pPr>
        <w:spacing w:before="182" w:line="220"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三、承担保证责任的形式</w:t>
      </w:r>
    </w:p>
    <w:p w14:paraId="3AF6FE13">
      <w:pPr>
        <w:spacing w:before="180" w:line="359" w:lineRule="auto"/>
        <w:ind w:right="56" w:firstLine="481"/>
        <w:rPr>
          <w:rFonts w:ascii="宋体" w:hAnsi="宋体" w:eastAsia="宋体" w:cs="宋体"/>
          <w:sz w:val="24"/>
          <w:szCs w:val="24"/>
          <w:highlight w:val="none"/>
        </w:rPr>
      </w:pPr>
      <w:r>
        <w:rPr>
          <w:rFonts w:ascii="宋体" w:hAnsi="宋体" w:eastAsia="宋体" w:cs="宋体"/>
          <w:spacing w:val="-6"/>
          <w:sz w:val="24"/>
          <w:szCs w:val="24"/>
          <w:highlight w:val="none"/>
        </w:rPr>
        <w:t>我方承担保证责任的形式是代为支付。发包人未按主合同约定向你方支付工程款的， 由我</w:t>
      </w:r>
      <w:r>
        <w:rPr>
          <w:rFonts w:ascii="宋体" w:hAnsi="宋体" w:eastAsia="宋体" w:cs="宋体"/>
          <w:spacing w:val="-4"/>
          <w:sz w:val="24"/>
          <w:szCs w:val="24"/>
          <w:highlight w:val="none"/>
        </w:rPr>
        <w:t>方在保证金额内代为支付。</w:t>
      </w:r>
    </w:p>
    <w:p w14:paraId="03375185">
      <w:pPr>
        <w:spacing w:before="1" w:line="219" w:lineRule="auto"/>
        <w:ind w:left="503"/>
        <w:rPr>
          <w:rFonts w:ascii="宋体" w:hAnsi="宋体" w:eastAsia="宋体" w:cs="宋体"/>
          <w:sz w:val="24"/>
          <w:szCs w:val="24"/>
          <w:highlight w:val="none"/>
        </w:rPr>
      </w:pPr>
      <w:r>
        <w:rPr>
          <w:rFonts w:ascii="宋体" w:hAnsi="宋体" w:eastAsia="宋体" w:cs="宋体"/>
          <w:spacing w:val="-4"/>
          <w:sz w:val="24"/>
          <w:szCs w:val="24"/>
          <w:highlight w:val="none"/>
        </w:rPr>
        <w:t>四、代偿的安排</w:t>
      </w:r>
    </w:p>
    <w:p w14:paraId="571A14EA">
      <w:pPr>
        <w:spacing w:before="184" w:line="288" w:lineRule="auto"/>
        <w:ind w:left="2" w:right="56" w:firstLine="495"/>
        <w:rPr>
          <w:rFonts w:ascii="宋体" w:hAnsi="宋体" w:eastAsia="宋体" w:cs="宋体"/>
          <w:sz w:val="24"/>
          <w:szCs w:val="24"/>
          <w:highlight w:val="none"/>
        </w:rPr>
      </w:pPr>
      <w:r>
        <w:rPr>
          <w:rFonts w:ascii="宋体" w:hAnsi="宋体" w:eastAsia="宋体" w:cs="宋体"/>
          <w:spacing w:val="-3"/>
          <w:sz w:val="24"/>
          <w:szCs w:val="24"/>
          <w:highlight w:val="none"/>
        </w:rPr>
        <w:t>1.你方要求我方承担保证责任的，应向我方发出书面索赔通知及发包人未支付主合同约定</w:t>
      </w:r>
      <w:r>
        <w:rPr>
          <w:rFonts w:ascii="宋体" w:hAnsi="宋体" w:eastAsia="宋体" w:cs="宋体"/>
          <w:spacing w:val="-1"/>
          <w:sz w:val="24"/>
          <w:szCs w:val="24"/>
          <w:highlight w:val="none"/>
        </w:rPr>
        <w:t>工程款的证明材料。索赔通知应写明要求索赔的金额</w:t>
      </w:r>
      <w:r>
        <w:rPr>
          <w:rFonts w:ascii="宋体" w:hAnsi="宋体" w:eastAsia="宋体" w:cs="宋体"/>
          <w:spacing w:val="-2"/>
          <w:sz w:val="24"/>
          <w:szCs w:val="24"/>
          <w:highlight w:val="none"/>
        </w:rPr>
        <w:t>，支付款项应到达的账号。</w:t>
      </w:r>
    </w:p>
    <w:p w14:paraId="2D147597">
      <w:pPr>
        <w:spacing w:before="185" w:line="312" w:lineRule="auto"/>
        <w:ind w:right="55" w:firstLine="483"/>
        <w:rPr>
          <w:rFonts w:ascii="宋体" w:hAnsi="宋体" w:eastAsia="宋体" w:cs="宋体"/>
          <w:sz w:val="24"/>
          <w:szCs w:val="24"/>
          <w:highlight w:val="none"/>
        </w:rPr>
      </w:pPr>
      <w:r>
        <w:rPr>
          <w:rFonts w:ascii="宋体" w:hAnsi="宋体" w:eastAsia="宋体" w:cs="宋体"/>
          <w:spacing w:val="-3"/>
          <w:sz w:val="24"/>
          <w:szCs w:val="24"/>
          <w:highlight w:val="none"/>
        </w:rPr>
        <w:t>2.在出现你方与发包人因工程质量发生争议，发包人拒绝向你方支付工程款的情形时，你</w:t>
      </w:r>
      <w:r>
        <w:rPr>
          <w:rFonts w:ascii="宋体" w:hAnsi="宋体" w:eastAsia="宋体" w:cs="宋体"/>
          <w:spacing w:val="-2"/>
          <w:sz w:val="24"/>
          <w:szCs w:val="24"/>
          <w:highlight w:val="none"/>
        </w:rPr>
        <w:t>方要求我方履行保证责任代为支付的，需提供符合</w:t>
      </w:r>
      <w:r>
        <w:rPr>
          <w:rFonts w:ascii="宋体" w:hAnsi="宋体" w:eastAsia="宋体" w:cs="宋体"/>
          <w:spacing w:val="-3"/>
          <w:sz w:val="24"/>
          <w:szCs w:val="24"/>
          <w:highlight w:val="none"/>
        </w:rPr>
        <w:t>相应条件要求的工程质量检测机构出具的质</w:t>
      </w:r>
      <w:r>
        <w:rPr>
          <w:rFonts w:ascii="宋体" w:hAnsi="宋体" w:eastAsia="宋体" w:cs="宋体"/>
          <w:spacing w:val="-7"/>
          <w:sz w:val="24"/>
          <w:szCs w:val="24"/>
          <w:highlight w:val="none"/>
        </w:rPr>
        <w:t>量说明材料。</w:t>
      </w:r>
    </w:p>
    <w:p w14:paraId="6AE2A26D">
      <w:pPr>
        <w:spacing w:before="181"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3.我方收到你方的书面索赔通知及相应的证明材料后7天内无条件支付。</w:t>
      </w:r>
    </w:p>
    <w:p w14:paraId="45CDEAC8">
      <w:pPr>
        <w:spacing w:before="183"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五、保证责任的解除</w:t>
      </w:r>
    </w:p>
    <w:p w14:paraId="400403B7">
      <w:pPr>
        <w:spacing w:before="183" w:line="360" w:lineRule="auto"/>
        <w:ind w:right="56" w:firstLine="497"/>
        <w:rPr>
          <w:rFonts w:ascii="宋体" w:hAnsi="宋体" w:eastAsia="宋体" w:cs="宋体"/>
          <w:sz w:val="24"/>
          <w:szCs w:val="24"/>
          <w:highlight w:val="none"/>
        </w:rPr>
      </w:pPr>
      <w:r>
        <w:rPr>
          <w:rFonts w:ascii="宋体" w:hAnsi="宋体" w:eastAsia="宋体" w:cs="宋体"/>
          <w:spacing w:val="-3"/>
          <w:sz w:val="24"/>
          <w:szCs w:val="24"/>
          <w:highlight w:val="none"/>
        </w:rPr>
        <w:t>1.在本保函承诺的保证期间内，你方未书面向我方主张保证责任的，自保证期间届满次日</w:t>
      </w:r>
      <w:r>
        <w:rPr>
          <w:rFonts w:ascii="宋体" w:hAnsi="宋体" w:eastAsia="宋体" w:cs="宋体"/>
          <w:spacing w:val="-4"/>
          <w:sz w:val="24"/>
          <w:szCs w:val="24"/>
          <w:highlight w:val="none"/>
        </w:rPr>
        <w:t>起，我方保证责任解除。</w:t>
      </w:r>
    </w:p>
    <w:p w14:paraId="11CFD0EF">
      <w:pPr>
        <w:spacing w:line="360" w:lineRule="auto"/>
        <w:rPr>
          <w:rFonts w:ascii="宋体" w:hAnsi="宋体" w:eastAsia="宋体" w:cs="宋体"/>
          <w:sz w:val="24"/>
          <w:szCs w:val="24"/>
          <w:highlight w:val="none"/>
        </w:rPr>
        <w:sectPr>
          <w:footerReference r:id="rId68" w:type="default"/>
          <w:pgSz w:w="11909" w:h="16841"/>
          <w:pgMar w:top="1431" w:right="1023" w:bottom="1045" w:left="1089" w:header="0" w:footer="814" w:gutter="0"/>
          <w:cols w:space="720" w:num="1"/>
        </w:sectPr>
      </w:pPr>
    </w:p>
    <w:p w14:paraId="354D8BD2">
      <w:pPr>
        <w:spacing w:before="47" w:line="290" w:lineRule="auto"/>
        <w:ind w:left="43" w:firstLine="442"/>
        <w:rPr>
          <w:rFonts w:ascii="宋体" w:hAnsi="宋体" w:eastAsia="宋体" w:cs="宋体"/>
          <w:sz w:val="24"/>
          <w:szCs w:val="24"/>
          <w:highlight w:val="none"/>
        </w:rPr>
      </w:pPr>
      <w:r>
        <w:rPr>
          <w:rFonts w:ascii="宋体" w:hAnsi="宋体" w:eastAsia="宋体" w:cs="宋体"/>
          <w:spacing w:val="-3"/>
          <w:sz w:val="24"/>
          <w:szCs w:val="24"/>
          <w:highlight w:val="none"/>
        </w:rPr>
        <w:t>2.发包人按主合同约定履行了工程款的全部支付义务的，自本保函承诺的保证期间届满次</w:t>
      </w:r>
      <w:r>
        <w:rPr>
          <w:rFonts w:ascii="宋体" w:hAnsi="宋体" w:eastAsia="宋体" w:cs="宋体"/>
          <w:spacing w:val="-7"/>
          <w:sz w:val="24"/>
          <w:szCs w:val="24"/>
          <w:highlight w:val="none"/>
        </w:rPr>
        <w:t>日起，我方保证责任解除。</w:t>
      </w:r>
    </w:p>
    <w:p w14:paraId="69161A3B">
      <w:pPr>
        <w:spacing w:before="179" w:line="290" w:lineRule="auto"/>
        <w:ind w:left="2" w:firstLine="484"/>
        <w:rPr>
          <w:rFonts w:ascii="宋体" w:hAnsi="宋体" w:eastAsia="宋体" w:cs="宋体"/>
          <w:sz w:val="24"/>
          <w:szCs w:val="24"/>
          <w:highlight w:val="none"/>
        </w:rPr>
      </w:pPr>
      <w:r>
        <w:rPr>
          <w:rFonts w:ascii="宋体" w:hAnsi="宋体" w:eastAsia="宋体" w:cs="宋体"/>
          <w:spacing w:val="-3"/>
          <w:sz w:val="24"/>
          <w:szCs w:val="24"/>
          <w:highlight w:val="none"/>
        </w:rPr>
        <w:t>3.我方按照本保函向你方履行保证责任所支付金额达到本保函保证金额时，自我方向你方</w:t>
      </w:r>
      <w:r>
        <w:rPr>
          <w:rFonts w:ascii="宋体" w:hAnsi="宋体" w:eastAsia="宋体" w:cs="宋体"/>
          <w:spacing w:val="-2"/>
          <w:sz w:val="24"/>
          <w:szCs w:val="24"/>
          <w:highlight w:val="none"/>
        </w:rPr>
        <w:t>支付（支付款项从我方账户划出）之日起，保证责任即解除。</w:t>
      </w:r>
    </w:p>
    <w:p w14:paraId="1DF43E3E">
      <w:pPr>
        <w:spacing w:before="179" w:line="290" w:lineRule="auto"/>
        <w:ind w:left="1" w:firstLine="479"/>
        <w:rPr>
          <w:rFonts w:ascii="宋体" w:hAnsi="宋体" w:eastAsia="宋体" w:cs="宋体"/>
          <w:sz w:val="24"/>
          <w:szCs w:val="24"/>
          <w:highlight w:val="none"/>
        </w:rPr>
      </w:pPr>
      <w:r>
        <w:rPr>
          <w:rFonts w:ascii="宋体" w:hAnsi="宋体" w:eastAsia="宋体" w:cs="宋体"/>
          <w:spacing w:val="-2"/>
          <w:sz w:val="24"/>
          <w:szCs w:val="24"/>
          <w:highlight w:val="none"/>
        </w:rPr>
        <w:t>4.按照法律法规的规定或出现应解除我方</w:t>
      </w:r>
      <w:r>
        <w:rPr>
          <w:rFonts w:ascii="宋体" w:hAnsi="宋体" w:eastAsia="宋体" w:cs="宋体"/>
          <w:spacing w:val="-3"/>
          <w:sz w:val="24"/>
          <w:szCs w:val="24"/>
          <w:highlight w:val="none"/>
        </w:rPr>
        <w:t>保证责任的其他情形的，我方在本保函项下的保</w:t>
      </w:r>
      <w:r>
        <w:rPr>
          <w:rFonts w:ascii="宋体" w:hAnsi="宋体" w:eastAsia="宋体" w:cs="宋体"/>
          <w:spacing w:val="-6"/>
          <w:sz w:val="24"/>
          <w:szCs w:val="24"/>
          <w:highlight w:val="none"/>
        </w:rPr>
        <w:t>证责任亦解除。</w:t>
      </w:r>
    </w:p>
    <w:p w14:paraId="2240603D">
      <w:pPr>
        <w:spacing w:before="181" w:line="290" w:lineRule="auto"/>
        <w:ind w:firstLine="486"/>
        <w:rPr>
          <w:rFonts w:ascii="宋体" w:hAnsi="宋体" w:eastAsia="宋体" w:cs="宋体"/>
          <w:sz w:val="24"/>
          <w:szCs w:val="24"/>
          <w:highlight w:val="none"/>
        </w:rPr>
      </w:pPr>
      <w:r>
        <w:rPr>
          <w:rFonts w:ascii="宋体" w:hAnsi="宋体" w:eastAsia="宋体" w:cs="宋体"/>
          <w:spacing w:val="-3"/>
          <w:sz w:val="24"/>
          <w:szCs w:val="24"/>
          <w:highlight w:val="none"/>
        </w:rPr>
        <w:t>5.我方解除保证责任后，你方应自我方保证责任解除之日起个工作日内，将本保函原件返</w:t>
      </w:r>
      <w:r>
        <w:rPr>
          <w:rFonts w:ascii="宋体" w:hAnsi="宋体" w:eastAsia="宋体" w:cs="宋体"/>
          <w:spacing w:val="-9"/>
          <w:sz w:val="24"/>
          <w:szCs w:val="24"/>
          <w:highlight w:val="none"/>
        </w:rPr>
        <w:t>还我方。</w:t>
      </w:r>
    </w:p>
    <w:p w14:paraId="3BCFD90D">
      <w:pPr>
        <w:spacing w:before="178"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六、免责条款</w:t>
      </w:r>
    </w:p>
    <w:p w14:paraId="3DB938E0">
      <w:pPr>
        <w:spacing w:before="182" w:line="220"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1.因你方违约致使发包人不能履行义务的，我方不承担保证责任。</w:t>
      </w:r>
    </w:p>
    <w:p w14:paraId="2BF45EEA">
      <w:pPr>
        <w:spacing w:before="180" w:line="290" w:lineRule="auto"/>
        <w:ind w:left="7" w:firstLine="477"/>
        <w:rPr>
          <w:rFonts w:ascii="宋体" w:hAnsi="宋体" w:eastAsia="宋体" w:cs="宋体"/>
          <w:sz w:val="24"/>
          <w:szCs w:val="24"/>
          <w:highlight w:val="none"/>
        </w:rPr>
      </w:pPr>
      <w:r>
        <w:rPr>
          <w:rFonts w:ascii="宋体" w:hAnsi="宋体" w:eastAsia="宋体" w:cs="宋体"/>
          <w:spacing w:val="-3"/>
          <w:sz w:val="24"/>
          <w:szCs w:val="24"/>
          <w:highlight w:val="none"/>
        </w:rPr>
        <w:t>2.依照法律法规的规定或你方与发包人的另行约定，免除发包人部分或全部义务的，我方</w:t>
      </w:r>
      <w:r>
        <w:rPr>
          <w:rFonts w:ascii="宋体" w:hAnsi="宋体" w:eastAsia="宋体" w:cs="宋体"/>
          <w:spacing w:val="-4"/>
          <w:sz w:val="24"/>
          <w:szCs w:val="24"/>
          <w:highlight w:val="none"/>
        </w:rPr>
        <w:t>亦免除其相应的保证责任。</w:t>
      </w:r>
    </w:p>
    <w:p w14:paraId="5CDDD62D">
      <w:pPr>
        <w:spacing w:before="181" w:line="312" w:lineRule="auto"/>
        <w:ind w:left="3" w:firstLine="483"/>
        <w:rPr>
          <w:rFonts w:ascii="宋体" w:hAnsi="宋体" w:eastAsia="宋体" w:cs="宋体"/>
          <w:sz w:val="24"/>
          <w:szCs w:val="24"/>
          <w:highlight w:val="none"/>
        </w:rPr>
      </w:pPr>
      <w:r>
        <w:rPr>
          <w:rFonts w:ascii="宋体" w:hAnsi="宋体" w:eastAsia="宋体" w:cs="宋体"/>
          <w:spacing w:val="-3"/>
          <w:sz w:val="24"/>
          <w:szCs w:val="24"/>
          <w:highlight w:val="none"/>
        </w:rPr>
        <w:t>3.你方与发包人协议变更主合同的，如加重发包人责任致使我方保证责任加重的，需征得</w:t>
      </w:r>
      <w:r>
        <w:rPr>
          <w:rFonts w:ascii="宋体" w:hAnsi="宋体" w:eastAsia="宋体" w:cs="宋体"/>
          <w:spacing w:val="-1"/>
          <w:sz w:val="24"/>
          <w:szCs w:val="24"/>
          <w:highlight w:val="none"/>
        </w:rPr>
        <w:t>我方书面同意，否则我方不再承担因此而加重部分的保证责任，但主合</w:t>
      </w:r>
      <w:r>
        <w:rPr>
          <w:rFonts w:ascii="宋体" w:hAnsi="宋体" w:eastAsia="宋体" w:cs="宋体"/>
          <w:spacing w:val="-2"/>
          <w:sz w:val="24"/>
          <w:szCs w:val="24"/>
          <w:highlight w:val="none"/>
        </w:rPr>
        <w:t>同第</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10</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条〔变更〕约</w:t>
      </w:r>
      <w:r>
        <w:rPr>
          <w:rFonts w:ascii="宋体" w:hAnsi="宋体" w:eastAsia="宋体" w:cs="宋体"/>
          <w:spacing w:val="-4"/>
          <w:sz w:val="24"/>
          <w:szCs w:val="24"/>
          <w:highlight w:val="none"/>
        </w:rPr>
        <w:t>定的变更不受本款限制。</w:t>
      </w:r>
    </w:p>
    <w:p w14:paraId="3272AD8F">
      <w:pPr>
        <w:spacing w:before="184"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4.因不可抗力造成发包人不能履行义务的，我方不承担保证责任。</w:t>
      </w:r>
    </w:p>
    <w:p w14:paraId="50C153B4">
      <w:pPr>
        <w:spacing w:before="182"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七、争议解决</w:t>
      </w:r>
    </w:p>
    <w:p w14:paraId="4CCE09BC">
      <w:pPr>
        <w:spacing w:before="180" w:line="362" w:lineRule="auto"/>
        <w:ind w:left="6" w:right="2" w:firstLine="494"/>
        <w:rPr>
          <w:rFonts w:ascii="宋体" w:hAnsi="宋体" w:eastAsia="宋体" w:cs="宋体"/>
          <w:sz w:val="24"/>
          <w:szCs w:val="24"/>
          <w:highlight w:val="none"/>
        </w:rPr>
      </w:pPr>
      <w:r>
        <w:rPr>
          <w:rFonts w:ascii="宋体" w:hAnsi="宋体" w:eastAsia="宋体" w:cs="宋体"/>
          <w:spacing w:val="-3"/>
          <w:sz w:val="24"/>
          <w:szCs w:val="24"/>
          <w:highlight w:val="none"/>
        </w:rPr>
        <w:t>因本保函或本保函相关事项发生的纠纷，可由双方协商解决，协商不成的，</w:t>
      </w:r>
      <w:r>
        <w:rPr>
          <w:rFonts w:ascii="宋体" w:hAnsi="宋体" w:eastAsia="宋体" w:cs="宋体"/>
          <w:spacing w:val="-4"/>
          <w:sz w:val="24"/>
          <w:szCs w:val="24"/>
          <w:highlight w:val="none"/>
        </w:rPr>
        <w:t>按下列第</w:t>
      </w:r>
      <w:r>
        <w:rPr>
          <w:rFonts w:hint="eastAsia" w:ascii="宋体" w:hAnsi="宋体" w:eastAsia="宋体" w:cs="宋体"/>
          <w:spacing w:val="-4"/>
          <w:sz w:val="24"/>
          <w:szCs w:val="24"/>
          <w:highlight w:val="none"/>
          <w:lang w:val="en-US" w:eastAsia="zh-CN"/>
        </w:rPr>
        <w:t xml:space="preserve"> </w:t>
      </w:r>
      <w:r>
        <w:rPr>
          <w:rFonts w:ascii="宋体" w:hAnsi="宋体" w:eastAsia="宋体" w:cs="宋体"/>
          <w:spacing w:val="-4"/>
          <w:sz w:val="24"/>
          <w:szCs w:val="24"/>
          <w:highlight w:val="none"/>
        </w:rPr>
        <w:t>种方</w:t>
      </w:r>
      <w:r>
        <w:rPr>
          <w:rFonts w:ascii="宋体" w:hAnsi="宋体" w:eastAsia="宋体" w:cs="宋体"/>
          <w:spacing w:val="-14"/>
          <w:sz w:val="24"/>
          <w:szCs w:val="24"/>
          <w:highlight w:val="none"/>
        </w:rPr>
        <w:t>式解决：</w:t>
      </w:r>
    </w:p>
    <w:p w14:paraId="5A57EF5D">
      <w:pPr>
        <w:spacing w:before="112" w:line="219" w:lineRule="auto"/>
        <w:ind w:left="488"/>
        <w:rPr>
          <w:rFonts w:ascii="宋体" w:hAnsi="宋体" w:eastAsia="宋体" w:cs="宋体"/>
          <w:sz w:val="24"/>
          <w:szCs w:val="24"/>
          <w:highlight w:val="none"/>
        </w:rPr>
      </w:pPr>
      <w:r>
        <w:rPr>
          <w:rFonts w:ascii="宋体" w:hAnsi="宋体" w:eastAsia="宋体" w:cs="宋体"/>
          <w:spacing w:val="-8"/>
          <w:sz w:val="24"/>
          <w:szCs w:val="24"/>
          <w:highlight w:val="none"/>
        </w:rPr>
        <w:t>（1）向</w:t>
      </w:r>
      <w:r>
        <w:rPr>
          <w:rFonts w:ascii="宋体" w:hAnsi="宋体" w:eastAsia="宋体" w:cs="宋体"/>
          <w:spacing w:val="-84"/>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11"/>
          <w:sz w:val="24"/>
          <w:szCs w:val="24"/>
          <w:highlight w:val="none"/>
        </w:rPr>
        <w:t xml:space="preserve"> </w:t>
      </w:r>
      <w:r>
        <w:rPr>
          <w:rFonts w:ascii="宋体" w:hAnsi="宋体" w:eastAsia="宋体" w:cs="宋体"/>
          <w:spacing w:val="-8"/>
          <w:sz w:val="24"/>
          <w:szCs w:val="24"/>
          <w:highlight w:val="none"/>
        </w:rPr>
        <w:t>仲裁委员会申请仲裁；</w:t>
      </w:r>
    </w:p>
    <w:p w14:paraId="217FB89B">
      <w:pPr>
        <w:spacing w:before="184" w:line="220" w:lineRule="auto"/>
        <w:ind w:left="488"/>
        <w:rPr>
          <w:rFonts w:ascii="宋体" w:hAnsi="宋体" w:eastAsia="宋体" w:cs="宋体"/>
          <w:sz w:val="24"/>
          <w:szCs w:val="24"/>
          <w:highlight w:val="none"/>
        </w:rPr>
      </w:pPr>
      <w:r>
        <w:rPr>
          <w:rFonts w:ascii="宋体" w:hAnsi="宋体" w:eastAsia="宋体" w:cs="宋体"/>
          <w:spacing w:val="-8"/>
          <w:sz w:val="24"/>
          <w:szCs w:val="24"/>
          <w:highlight w:val="none"/>
        </w:rPr>
        <w:t>（2）向</w:t>
      </w:r>
      <w:r>
        <w:rPr>
          <w:rFonts w:ascii="宋体" w:hAnsi="宋体" w:eastAsia="宋体" w:cs="宋体"/>
          <w:spacing w:val="-89"/>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8"/>
          <w:sz w:val="24"/>
          <w:szCs w:val="24"/>
          <w:highlight w:val="none"/>
        </w:rPr>
        <w:t>人民法院起诉。</w:t>
      </w:r>
    </w:p>
    <w:p w14:paraId="07B3110F">
      <w:pPr>
        <w:spacing w:before="180" w:line="220"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八、保函的生效</w:t>
      </w:r>
    </w:p>
    <w:p w14:paraId="659BCB0E">
      <w:pPr>
        <w:spacing w:before="182" w:line="359" w:lineRule="auto"/>
        <w:ind w:left="2" w:right="1384" w:firstLine="480"/>
        <w:rPr>
          <w:rFonts w:ascii="宋体" w:hAnsi="宋体" w:eastAsia="宋体" w:cs="宋体"/>
          <w:sz w:val="24"/>
          <w:szCs w:val="24"/>
          <w:highlight w:val="none"/>
        </w:rPr>
      </w:pPr>
      <w:r>
        <w:rPr>
          <w:rFonts w:ascii="宋体" w:hAnsi="宋体" w:eastAsia="宋体" w:cs="宋体"/>
          <w:spacing w:val="-1"/>
          <w:sz w:val="24"/>
          <w:szCs w:val="24"/>
          <w:highlight w:val="none"/>
        </w:rPr>
        <w:t>本保函自我方法定代表人（或其授权代理人</w:t>
      </w:r>
      <w:r>
        <w:rPr>
          <w:rFonts w:ascii="宋体" w:hAnsi="宋体" w:eastAsia="宋体" w:cs="宋体"/>
          <w:spacing w:val="-2"/>
          <w:sz w:val="24"/>
          <w:szCs w:val="24"/>
          <w:highlight w:val="none"/>
        </w:rPr>
        <w:t>）签字并加盖公章之日起生效。</w:t>
      </w:r>
      <w:r>
        <w:rPr>
          <w:rFonts w:ascii="宋体" w:hAnsi="宋体" w:eastAsia="宋体" w:cs="宋体"/>
          <w:spacing w:val="-3"/>
          <w:sz w:val="24"/>
          <w:szCs w:val="24"/>
          <w:highlight w:val="none"/>
        </w:rPr>
        <w:t>担保人：（盖章）</w:t>
      </w:r>
    </w:p>
    <w:p w14:paraId="3700A7B0">
      <w:pPr>
        <w:spacing w:before="1" w:line="219" w:lineRule="auto"/>
        <w:ind w:left="2"/>
        <w:rPr>
          <w:rFonts w:ascii="宋体" w:hAnsi="宋体" w:eastAsia="宋体" w:cs="宋体"/>
          <w:sz w:val="24"/>
          <w:szCs w:val="24"/>
          <w:highlight w:val="none"/>
        </w:rPr>
      </w:pPr>
      <w:r>
        <w:rPr>
          <w:rFonts w:ascii="宋体" w:hAnsi="宋体" w:eastAsia="宋体" w:cs="宋体"/>
          <w:spacing w:val="-2"/>
          <w:sz w:val="24"/>
          <w:szCs w:val="24"/>
          <w:highlight w:val="none"/>
        </w:rPr>
        <w:t>法定代表人或委托代理人</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签字）</w:t>
      </w:r>
    </w:p>
    <w:p w14:paraId="33D7D706">
      <w:pPr>
        <w:spacing w:before="180" w:line="229" w:lineRule="auto"/>
        <w:ind w:left="1"/>
        <w:rPr>
          <w:rFonts w:ascii="宋体" w:hAnsi="宋体" w:eastAsia="宋体" w:cs="宋体"/>
          <w:sz w:val="24"/>
          <w:szCs w:val="24"/>
          <w:highlight w:val="none"/>
        </w:rPr>
      </w:pPr>
      <w:r>
        <w:rPr>
          <w:rFonts w:ascii="宋体" w:hAnsi="宋体" w:eastAsia="宋体" w:cs="宋体"/>
          <w:spacing w:val="-15"/>
          <w:sz w:val="24"/>
          <w:szCs w:val="24"/>
          <w:highlight w:val="none"/>
        </w:rPr>
        <w:t>地址：</w:t>
      </w:r>
    </w:p>
    <w:p w14:paraId="55A9EF36">
      <w:pPr>
        <w:spacing w:before="170" w:line="220" w:lineRule="auto"/>
        <w:ind w:left="19"/>
        <w:rPr>
          <w:rFonts w:ascii="宋体" w:hAnsi="宋体" w:eastAsia="宋体" w:cs="宋体"/>
          <w:sz w:val="24"/>
          <w:szCs w:val="24"/>
          <w:highlight w:val="none"/>
        </w:rPr>
      </w:pPr>
      <w:r>
        <w:rPr>
          <w:rFonts w:ascii="宋体" w:hAnsi="宋体" w:eastAsia="宋体" w:cs="宋体"/>
          <w:spacing w:val="-14"/>
          <w:sz w:val="24"/>
          <w:szCs w:val="24"/>
          <w:highlight w:val="none"/>
        </w:rPr>
        <w:t>邮政编码：</w:t>
      </w:r>
    </w:p>
    <w:p w14:paraId="1E8D4584">
      <w:pPr>
        <w:spacing w:before="180" w:line="219" w:lineRule="auto"/>
        <w:rPr>
          <w:rFonts w:ascii="宋体" w:hAnsi="宋体" w:eastAsia="宋体" w:cs="宋体"/>
          <w:sz w:val="24"/>
          <w:szCs w:val="24"/>
          <w:highlight w:val="none"/>
        </w:rPr>
      </w:pPr>
      <w:r>
        <w:rPr>
          <w:rFonts w:ascii="宋体" w:hAnsi="宋体" w:eastAsia="宋体" w:cs="宋体"/>
          <w:spacing w:val="-14"/>
          <w:sz w:val="24"/>
          <w:szCs w:val="24"/>
          <w:highlight w:val="none"/>
        </w:rPr>
        <w:t>传真：</w:t>
      </w:r>
    </w:p>
    <w:p w14:paraId="3C4EC3E8">
      <w:pPr>
        <w:spacing w:before="182" w:line="220" w:lineRule="auto"/>
        <w:ind w:left="1323"/>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9"/>
          <w:sz w:val="24"/>
          <w:szCs w:val="24"/>
          <w:highlight w:val="none"/>
        </w:rPr>
        <w:t>日</w:t>
      </w:r>
    </w:p>
    <w:p w14:paraId="1E9743A4">
      <w:pPr>
        <w:spacing w:line="220" w:lineRule="auto"/>
        <w:rPr>
          <w:rFonts w:ascii="宋体" w:hAnsi="宋体" w:eastAsia="宋体" w:cs="宋体"/>
          <w:sz w:val="24"/>
          <w:szCs w:val="24"/>
          <w:highlight w:val="none"/>
        </w:rPr>
        <w:sectPr>
          <w:footerReference r:id="rId69" w:type="default"/>
          <w:pgSz w:w="11909" w:h="16841"/>
          <w:pgMar w:top="1425" w:right="1079" w:bottom="1045" w:left="1087" w:header="0" w:footer="814" w:gutter="0"/>
          <w:cols w:space="720" w:num="1"/>
        </w:sectPr>
      </w:pPr>
    </w:p>
    <w:p w14:paraId="3F2BB054">
      <w:pPr>
        <w:spacing w:before="68" w:line="219" w:lineRule="auto"/>
        <w:ind w:left="213"/>
        <w:rPr>
          <w:rFonts w:ascii="宋体" w:hAnsi="宋体" w:eastAsia="宋体" w:cs="宋体"/>
          <w:sz w:val="24"/>
          <w:szCs w:val="24"/>
          <w:highlight w:val="none"/>
        </w:rPr>
      </w:pPr>
      <w:r>
        <w:rPr>
          <w:rFonts w:ascii="宋体" w:hAnsi="宋体" w:eastAsia="宋体" w:cs="宋体"/>
          <w:spacing w:val="-19"/>
          <w:sz w:val="24"/>
          <w:szCs w:val="24"/>
          <w:highlight w:val="none"/>
        </w:rPr>
        <w:t>附件</w:t>
      </w:r>
      <w:r>
        <w:rPr>
          <w:rFonts w:ascii="宋体" w:hAnsi="宋体" w:eastAsia="宋体" w:cs="宋体"/>
          <w:spacing w:val="-59"/>
          <w:sz w:val="24"/>
          <w:szCs w:val="24"/>
          <w:highlight w:val="none"/>
        </w:rPr>
        <w:t xml:space="preserve"> </w:t>
      </w:r>
      <w:r>
        <w:rPr>
          <w:rFonts w:ascii="宋体" w:hAnsi="宋体" w:eastAsia="宋体" w:cs="宋体"/>
          <w:spacing w:val="-19"/>
          <w:sz w:val="24"/>
          <w:szCs w:val="24"/>
          <w:highlight w:val="none"/>
        </w:rPr>
        <w:t>11：</w:t>
      </w:r>
    </w:p>
    <w:p w14:paraId="6F6282FB">
      <w:pPr>
        <w:spacing w:before="289" w:line="218" w:lineRule="auto"/>
        <w:ind w:left="3810"/>
        <w:rPr>
          <w:rFonts w:ascii="宋体" w:hAnsi="宋体" w:eastAsia="宋体" w:cs="宋体"/>
          <w:sz w:val="24"/>
          <w:szCs w:val="24"/>
          <w:highlight w:val="none"/>
        </w:rPr>
      </w:pPr>
      <w:r>
        <w:rPr>
          <w:rFonts w:ascii="宋体" w:hAnsi="宋体" w:eastAsia="宋体" w:cs="宋体"/>
          <w:spacing w:val="-8"/>
          <w:sz w:val="24"/>
          <w:szCs w:val="24"/>
          <w:highlight w:val="none"/>
        </w:rPr>
        <w:t>11-1：材料暂估价表</w:t>
      </w:r>
    </w:p>
    <w:p w14:paraId="3B31E4E2">
      <w:pPr>
        <w:spacing w:line="131" w:lineRule="exact"/>
        <w:rPr>
          <w:highlight w:val="none"/>
        </w:rPr>
      </w:pPr>
    </w:p>
    <w:tbl>
      <w:tblPr>
        <w:tblStyle w:val="24"/>
        <w:tblW w:w="966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8"/>
        <w:gridCol w:w="2103"/>
        <w:gridCol w:w="900"/>
        <w:gridCol w:w="819"/>
        <w:gridCol w:w="1429"/>
        <w:gridCol w:w="1502"/>
        <w:gridCol w:w="1830"/>
      </w:tblGrid>
      <w:tr w14:paraId="6731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78" w:type="dxa"/>
            <w:tcBorders>
              <w:top w:val="single" w:color="000000" w:sz="10" w:space="0"/>
              <w:left w:val="single" w:color="000000" w:sz="8" w:space="0"/>
            </w:tcBorders>
            <w:vAlign w:val="top"/>
          </w:tcPr>
          <w:p w14:paraId="6143BC25">
            <w:pPr>
              <w:spacing w:before="164" w:line="221" w:lineRule="auto"/>
              <w:ind w:left="267"/>
              <w:rPr>
                <w:rFonts w:ascii="宋体" w:hAnsi="宋体" w:eastAsia="宋体" w:cs="宋体"/>
                <w:sz w:val="24"/>
                <w:szCs w:val="24"/>
                <w:highlight w:val="none"/>
              </w:rPr>
            </w:pPr>
            <w:r>
              <w:rPr>
                <w:rFonts w:ascii="宋体" w:hAnsi="宋体" w:eastAsia="宋体" w:cs="宋体"/>
                <w:spacing w:val="-4"/>
                <w:sz w:val="24"/>
                <w:szCs w:val="24"/>
                <w:highlight w:val="none"/>
              </w:rPr>
              <w:t>序号</w:t>
            </w:r>
          </w:p>
        </w:tc>
        <w:tc>
          <w:tcPr>
            <w:tcW w:w="2103" w:type="dxa"/>
            <w:tcBorders>
              <w:top w:val="single" w:color="000000" w:sz="10" w:space="0"/>
            </w:tcBorders>
            <w:vAlign w:val="top"/>
          </w:tcPr>
          <w:p w14:paraId="7EE26AB7">
            <w:pPr>
              <w:spacing w:before="166" w:line="222" w:lineRule="auto"/>
              <w:ind w:left="758"/>
              <w:rPr>
                <w:rFonts w:ascii="宋体" w:hAnsi="宋体" w:eastAsia="宋体" w:cs="宋体"/>
                <w:sz w:val="24"/>
                <w:szCs w:val="24"/>
                <w:highlight w:val="none"/>
              </w:rPr>
            </w:pPr>
            <w:r>
              <w:rPr>
                <w:rFonts w:ascii="宋体" w:hAnsi="宋体" w:eastAsia="宋体" w:cs="宋体"/>
                <w:spacing w:val="-6"/>
                <w:sz w:val="24"/>
                <w:szCs w:val="24"/>
                <w:highlight w:val="none"/>
              </w:rPr>
              <w:t>名称</w:t>
            </w:r>
          </w:p>
        </w:tc>
        <w:tc>
          <w:tcPr>
            <w:tcW w:w="900" w:type="dxa"/>
            <w:tcBorders>
              <w:top w:val="single" w:color="000000" w:sz="10" w:space="0"/>
            </w:tcBorders>
            <w:vAlign w:val="top"/>
          </w:tcPr>
          <w:p w14:paraId="5CFFC22E">
            <w:pPr>
              <w:spacing w:before="165" w:line="220" w:lineRule="auto"/>
              <w:ind w:left="197"/>
              <w:rPr>
                <w:rFonts w:ascii="宋体" w:hAnsi="宋体" w:eastAsia="宋体" w:cs="宋体"/>
                <w:sz w:val="24"/>
                <w:szCs w:val="24"/>
                <w:highlight w:val="none"/>
              </w:rPr>
            </w:pPr>
            <w:r>
              <w:rPr>
                <w:rFonts w:ascii="宋体" w:hAnsi="宋体" w:eastAsia="宋体" w:cs="宋体"/>
                <w:spacing w:val="-5"/>
                <w:sz w:val="24"/>
                <w:szCs w:val="24"/>
                <w:highlight w:val="none"/>
              </w:rPr>
              <w:t>单位</w:t>
            </w:r>
          </w:p>
        </w:tc>
        <w:tc>
          <w:tcPr>
            <w:tcW w:w="819" w:type="dxa"/>
            <w:tcBorders>
              <w:top w:val="single" w:color="000000" w:sz="10" w:space="0"/>
            </w:tcBorders>
            <w:vAlign w:val="top"/>
          </w:tcPr>
          <w:p w14:paraId="5C9770C2">
            <w:pPr>
              <w:spacing w:before="161" w:line="220" w:lineRule="auto"/>
              <w:ind w:left="164"/>
              <w:rPr>
                <w:rFonts w:ascii="宋体" w:hAnsi="宋体" w:eastAsia="宋体" w:cs="宋体"/>
                <w:sz w:val="24"/>
                <w:szCs w:val="24"/>
                <w:highlight w:val="none"/>
              </w:rPr>
            </w:pPr>
            <w:r>
              <w:rPr>
                <w:rFonts w:ascii="宋体" w:hAnsi="宋体" w:eastAsia="宋体" w:cs="宋体"/>
                <w:spacing w:val="-5"/>
                <w:sz w:val="24"/>
                <w:szCs w:val="24"/>
                <w:highlight w:val="none"/>
              </w:rPr>
              <w:t>数量</w:t>
            </w:r>
          </w:p>
        </w:tc>
        <w:tc>
          <w:tcPr>
            <w:tcW w:w="1429" w:type="dxa"/>
            <w:tcBorders>
              <w:top w:val="single" w:color="000000" w:sz="10" w:space="0"/>
            </w:tcBorders>
            <w:vAlign w:val="top"/>
          </w:tcPr>
          <w:p w14:paraId="6CDB073D">
            <w:pPr>
              <w:spacing w:before="164" w:line="218" w:lineRule="auto"/>
              <w:ind w:left="147"/>
              <w:rPr>
                <w:rFonts w:ascii="宋体" w:hAnsi="宋体" w:eastAsia="宋体" w:cs="宋体"/>
                <w:sz w:val="24"/>
                <w:szCs w:val="24"/>
                <w:highlight w:val="none"/>
              </w:rPr>
            </w:pPr>
            <w:r>
              <w:rPr>
                <w:rFonts w:ascii="宋体" w:hAnsi="宋体" w:eastAsia="宋体" w:cs="宋体"/>
                <w:spacing w:val="-11"/>
                <w:sz w:val="24"/>
                <w:szCs w:val="24"/>
                <w:highlight w:val="none"/>
              </w:rPr>
              <w:t>单价（元）</w:t>
            </w:r>
          </w:p>
        </w:tc>
        <w:tc>
          <w:tcPr>
            <w:tcW w:w="1502" w:type="dxa"/>
            <w:tcBorders>
              <w:top w:val="single" w:color="000000" w:sz="10" w:space="0"/>
            </w:tcBorders>
            <w:vAlign w:val="top"/>
          </w:tcPr>
          <w:p w14:paraId="4E15350A">
            <w:pPr>
              <w:spacing w:before="164" w:line="218" w:lineRule="auto"/>
              <w:ind w:left="152"/>
              <w:rPr>
                <w:rFonts w:ascii="宋体" w:hAnsi="宋体" w:eastAsia="宋体" w:cs="宋体"/>
                <w:sz w:val="24"/>
                <w:szCs w:val="24"/>
                <w:highlight w:val="none"/>
              </w:rPr>
            </w:pPr>
            <w:r>
              <w:rPr>
                <w:rFonts w:ascii="宋体" w:hAnsi="宋体" w:eastAsia="宋体" w:cs="宋体"/>
                <w:spacing w:val="-11"/>
                <w:sz w:val="24"/>
                <w:szCs w:val="24"/>
                <w:highlight w:val="none"/>
              </w:rPr>
              <w:t>合价（元）</w:t>
            </w:r>
          </w:p>
        </w:tc>
        <w:tc>
          <w:tcPr>
            <w:tcW w:w="1830" w:type="dxa"/>
            <w:tcBorders>
              <w:top w:val="single" w:color="000000" w:sz="10" w:space="0"/>
              <w:right w:val="single" w:color="000000" w:sz="10" w:space="0"/>
            </w:tcBorders>
            <w:vAlign w:val="top"/>
          </w:tcPr>
          <w:p w14:paraId="42C162A5">
            <w:pPr>
              <w:spacing w:before="164" w:line="221" w:lineRule="auto"/>
              <w:ind w:left="649"/>
              <w:rPr>
                <w:rFonts w:ascii="宋体" w:hAnsi="宋体" w:eastAsia="宋体" w:cs="宋体"/>
                <w:sz w:val="24"/>
                <w:szCs w:val="24"/>
                <w:highlight w:val="none"/>
              </w:rPr>
            </w:pPr>
            <w:r>
              <w:rPr>
                <w:rFonts w:ascii="宋体" w:hAnsi="宋体" w:eastAsia="宋体" w:cs="宋体"/>
                <w:spacing w:val="-6"/>
                <w:sz w:val="24"/>
                <w:szCs w:val="24"/>
                <w:highlight w:val="none"/>
              </w:rPr>
              <w:t>备注</w:t>
            </w:r>
          </w:p>
        </w:tc>
      </w:tr>
      <w:tr w14:paraId="198D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77A3CC47">
            <w:pPr>
              <w:rPr>
                <w:rFonts w:ascii="Arial"/>
                <w:sz w:val="21"/>
                <w:highlight w:val="none"/>
              </w:rPr>
            </w:pPr>
          </w:p>
        </w:tc>
        <w:tc>
          <w:tcPr>
            <w:tcW w:w="2103" w:type="dxa"/>
            <w:vAlign w:val="top"/>
          </w:tcPr>
          <w:p w14:paraId="1A8BC8CC">
            <w:pPr>
              <w:rPr>
                <w:rFonts w:ascii="Arial"/>
                <w:sz w:val="21"/>
                <w:highlight w:val="none"/>
              </w:rPr>
            </w:pPr>
          </w:p>
        </w:tc>
        <w:tc>
          <w:tcPr>
            <w:tcW w:w="900" w:type="dxa"/>
            <w:vAlign w:val="top"/>
          </w:tcPr>
          <w:p w14:paraId="2F526AC7">
            <w:pPr>
              <w:rPr>
                <w:rFonts w:ascii="Arial"/>
                <w:sz w:val="21"/>
                <w:highlight w:val="none"/>
              </w:rPr>
            </w:pPr>
          </w:p>
        </w:tc>
        <w:tc>
          <w:tcPr>
            <w:tcW w:w="819" w:type="dxa"/>
            <w:vAlign w:val="top"/>
          </w:tcPr>
          <w:p w14:paraId="2D06A20C">
            <w:pPr>
              <w:rPr>
                <w:rFonts w:ascii="Arial"/>
                <w:sz w:val="21"/>
                <w:highlight w:val="none"/>
              </w:rPr>
            </w:pPr>
          </w:p>
        </w:tc>
        <w:tc>
          <w:tcPr>
            <w:tcW w:w="1429" w:type="dxa"/>
            <w:vAlign w:val="top"/>
          </w:tcPr>
          <w:p w14:paraId="3D5F0F10">
            <w:pPr>
              <w:rPr>
                <w:rFonts w:ascii="Arial"/>
                <w:sz w:val="21"/>
                <w:highlight w:val="none"/>
              </w:rPr>
            </w:pPr>
          </w:p>
        </w:tc>
        <w:tc>
          <w:tcPr>
            <w:tcW w:w="1502" w:type="dxa"/>
            <w:vAlign w:val="top"/>
          </w:tcPr>
          <w:p w14:paraId="6E557A82">
            <w:pPr>
              <w:rPr>
                <w:rFonts w:ascii="Arial"/>
                <w:sz w:val="21"/>
                <w:highlight w:val="none"/>
              </w:rPr>
            </w:pPr>
          </w:p>
        </w:tc>
        <w:tc>
          <w:tcPr>
            <w:tcW w:w="1830" w:type="dxa"/>
            <w:tcBorders>
              <w:right w:val="single" w:color="000000" w:sz="10" w:space="0"/>
            </w:tcBorders>
            <w:vAlign w:val="top"/>
          </w:tcPr>
          <w:p w14:paraId="16EF75F6">
            <w:pPr>
              <w:rPr>
                <w:rFonts w:ascii="Arial"/>
                <w:sz w:val="21"/>
                <w:highlight w:val="none"/>
              </w:rPr>
            </w:pPr>
          </w:p>
        </w:tc>
      </w:tr>
      <w:tr w14:paraId="786FF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6D0F07BE">
            <w:pPr>
              <w:rPr>
                <w:rFonts w:ascii="Arial"/>
                <w:sz w:val="21"/>
                <w:highlight w:val="none"/>
              </w:rPr>
            </w:pPr>
          </w:p>
        </w:tc>
        <w:tc>
          <w:tcPr>
            <w:tcW w:w="2103" w:type="dxa"/>
            <w:vAlign w:val="top"/>
          </w:tcPr>
          <w:p w14:paraId="0656EAA4">
            <w:pPr>
              <w:rPr>
                <w:rFonts w:ascii="Arial"/>
                <w:sz w:val="21"/>
                <w:highlight w:val="none"/>
              </w:rPr>
            </w:pPr>
          </w:p>
        </w:tc>
        <w:tc>
          <w:tcPr>
            <w:tcW w:w="900" w:type="dxa"/>
            <w:vAlign w:val="top"/>
          </w:tcPr>
          <w:p w14:paraId="0D5D8D7B">
            <w:pPr>
              <w:rPr>
                <w:rFonts w:ascii="Arial"/>
                <w:sz w:val="21"/>
                <w:highlight w:val="none"/>
              </w:rPr>
            </w:pPr>
          </w:p>
        </w:tc>
        <w:tc>
          <w:tcPr>
            <w:tcW w:w="819" w:type="dxa"/>
            <w:vAlign w:val="top"/>
          </w:tcPr>
          <w:p w14:paraId="631A1B67">
            <w:pPr>
              <w:rPr>
                <w:rFonts w:ascii="Arial"/>
                <w:sz w:val="21"/>
                <w:highlight w:val="none"/>
              </w:rPr>
            </w:pPr>
          </w:p>
        </w:tc>
        <w:tc>
          <w:tcPr>
            <w:tcW w:w="1429" w:type="dxa"/>
            <w:vAlign w:val="top"/>
          </w:tcPr>
          <w:p w14:paraId="66B2866A">
            <w:pPr>
              <w:rPr>
                <w:rFonts w:ascii="Arial"/>
                <w:sz w:val="21"/>
                <w:highlight w:val="none"/>
              </w:rPr>
            </w:pPr>
          </w:p>
        </w:tc>
        <w:tc>
          <w:tcPr>
            <w:tcW w:w="1502" w:type="dxa"/>
            <w:vAlign w:val="top"/>
          </w:tcPr>
          <w:p w14:paraId="53539F3F">
            <w:pPr>
              <w:rPr>
                <w:rFonts w:ascii="Arial"/>
                <w:sz w:val="21"/>
                <w:highlight w:val="none"/>
              </w:rPr>
            </w:pPr>
          </w:p>
        </w:tc>
        <w:tc>
          <w:tcPr>
            <w:tcW w:w="1830" w:type="dxa"/>
            <w:tcBorders>
              <w:right w:val="single" w:color="000000" w:sz="10" w:space="0"/>
            </w:tcBorders>
            <w:vAlign w:val="top"/>
          </w:tcPr>
          <w:p w14:paraId="62178A4C">
            <w:pPr>
              <w:rPr>
                <w:rFonts w:ascii="Arial"/>
                <w:sz w:val="21"/>
                <w:highlight w:val="none"/>
              </w:rPr>
            </w:pPr>
          </w:p>
        </w:tc>
      </w:tr>
      <w:tr w14:paraId="594E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8" w:type="dxa"/>
            <w:tcBorders>
              <w:left w:val="single" w:color="000000" w:sz="8" w:space="0"/>
            </w:tcBorders>
            <w:vAlign w:val="top"/>
          </w:tcPr>
          <w:p w14:paraId="69A16098">
            <w:pPr>
              <w:rPr>
                <w:rFonts w:ascii="Arial"/>
                <w:sz w:val="21"/>
                <w:highlight w:val="none"/>
              </w:rPr>
            </w:pPr>
          </w:p>
        </w:tc>
        <w:tc>
          <w:tcPr>
            <w:tcW w:w="2103" w:type="dxa"/>
            <w:vAlign w:val="top"/>
          </w:tcPr>
          <w:p w14:paraId="3BEB9FE1">
            <w:pPr>
              <w:rPr>
                <w:rFonts w:ascii="Arial"/>
                <w:sz w:val="21"/>
                <w:highlight w:val="none"/>
              </w:rPr>
            </w:pPr>
          </w:p>
        </w:tc>
        <w:tc>
          <w:tcPr>
            <w:tcW w:w="900" w:type="dxa"/>
            <w:vAlign w:val="top"/>
          </w:tcPr>
          <w:p w14:paraId="0B3C995A">
            <w:pPr>
              <w:rPr>
                <w:rFonts w:ascii="Arial"/>
                <w:sz w:val="21"/>
                <w:highlight w:val="none"/>
              </w:rPr>
            </w:pPr>
          </w:p>
        </w:tc>
        <w:tc>
          <w:tcPr>
            <w:tcW w:w="819" w:type="dxa"/>
            <w:vAlign w:val="top"/>
          </w:tcPr>
          <w:p w14:paraId="2E089963">
            <w:pPr>
              <w:rPr>
                <w:rFonts w:ascii="Arial"/>
                <w:sz w:val="21"/>
                <w:highlight w:val="none"/>
              </w:rPr>
            </w:pPr>
          </w:p>
        </w:tc>
        <w:tc>
          <w:tcPr>
            <w:tcW w:w="1429" w:type="dxa"/>
            <w:vAlign w:val="top"/>
          </w:tcPr>
          <w:p w14:paraId="62010686">
            <w:pPr>
              <w:rPr>
                <w:rFonts w:ascii="Arial"/>
                <w:sz w:val="21"/>
                <w:highlight w:val="none"/>
              </w:rPr>
            </w:pPr>
          </w:p>
        </w:tc>
        <w:tc>
          <w:tcPr>
            <w:tcW w:w="1502" w:type="dxa"/>
            <w:vAlign w:val="top"/>
          </w:tcPr>
          <w:p w14:paraId="0F0F4D15">
            <w:pPr>
              <w:rPr>
                <w:rFonts w:ascii="Arial"/>
                <w:sz w:val="21"/>
                <w:highlight w:val="none"/>
              </w:rPr>
            </w:pPr>
          </w:p>
        </w:tc>
        <w:tc>
          <w:tcPr>
            <w:tcW w:w="1830" w:type="dxa"/>
            <w:tcBorders>
              <w:right w:val="single" w:color="000000" w:sz="10" w:space="0"/>
            </w:tcBorders>
            <w:vAlign w:val="top"/>
          </w:tcPr>
          <w:p w14:paraId="1970AB81">
            <w:pPr>
              <w:rPr>
                <w:rFonts w:ascii="Arial"/>
                <w:sz w:val="21"/>
                <w:highlight w:val="none"/>
              </w:rPr>
            </w:pPr>
          </w:p>
        </w:tc>
      </w:tr>
      <w:tr w14:paraId="4BC50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12DD2EEA">
            <w:pPr>
              <w:rPr>
                <w:rFonts w:ascii="Arial"/>
                <w:sz w:val="21"/>
                <w:highlight w:val="none"/>
              </w:rPr>
            </w:pPr>
          </w:p>
        </w:tc>
        <w:tc>
          <w:tcPr>
            <w:tcW w:w="2103" w:type="dxa"/>
            <w:vAlign w:val="top"/>
          </w:tcPr>
          <w:p w14:paraId="5DBACD32">
            <w:pPr>
              <w:rPr>
                <w:rFonts w:ascii="Arial"/>
                <w:sz w:val="21"/>
                <w:highlight w:val="none"/>
              </w:rPr>
            </w:pPr>
          </w:p>
        </w:tc>
        <w:tc>
          <w:tcPr>
            <w:tcW w:w="900" w:type="dxa"/>
            <w:vAlign w:val="top"/>
          </w:tcPr>
          <w:p w14:paraId="03BE70C9">
            <w:pPr>
              <w:rPr>
                <w:rFonts w:ascii="Arial"/>
                <w:sz w:val="21"/>
                <w:highlight w:val="none"/>
              </w:rPr>
            </w:pPr>
          </w:p>
        </w:tc>
        <w:tc>
          <w:tcPr>
            <w:tcW w:w="819" w:type="dxa"/>
            <w:vAlign w:val="top"/>
          </w:tcPr>
          <w:p w14:paraId="7D31F3DE">
            <w:pPr>
              <w:rPr>
                <w:rFonts w:ascii="Arial"/>
                <w:sz w:val="21"/>
                <w:highlight w:val="none"/>
              </w:rPr>
            </w:pPr>
          </w:p>
        </w:tc>
        <w:tc>
          <w:tcPr>
            <w:tcW w:w="1429" w:type="dxa"/>
            <w:vAlign w:val="top"/>
          </w:tcPr>
          <w:p w14:paraId="71605153">
            <w:pPr>
              <w:rPr>
                <w:rFonts w:ascii="Arial"/>
                <w:sz w:val="21"/>
                <w:highlight w:val="none"/>
              </w:rPr>
            </w:pPr>
          </w:p>
        </w:tc>
        <w:tc>
          <w:tcPr>
            <w:tcW w:w="1502" w:type="dxa"/>
            <w:vAlign w:val="top"/>
          </w:tcPr>
          <w:p w14:paraId="5CDB7E83">
            <w:pPr>
              <w:rPr>
                <w:rFonts w:ascii="Arial"/>
                <w:sz w:val="21"/>
                <w:highlight w:val="none"/>
              </w:rPr>
            </w:pPr>
          </w:p>
        </w:tc>
        <w:tc>
          <w:tcPr>
            <w:tcW w:w="1830" w:type="dxa"/>
            <w:tcBorders>
              <w:right w:val="single" w:color="000000" w:sz="10" w:space="0"/>
            </w:tcBorders>
            <w:vAlign w:val="top"/>
          </w:tcPr>
          <w:p w14:paraId="65BBB2A1">
            <w:pPr>
              <w:rPr>
                <w:rFonts w:ascii="Arial"/>
                <w:sz w:val="21"/>
                <w:highlight w:val="none"/>
              </w:rPr>
            </w:pPr>
          </w:p>
        </w:tc>
      </w:tr>
      <w:tr w14:paraId="32A57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4453B48F">
            <w:pPr>
              <w:rPr>
                <w:rFonts w:ascii="Arial"/>
                <w:sz w:val="21"/>
                <w:highlight w:val="none"/>
              </w:rPr>
            </w:pPr>
          </w:p>
        </w:tc>
        <w:tc>
          <w:tcPr>
            <w:tcW w:w="2103" w:type="dxa"/>
            <w:vAlign w:val="top"/>
          </w:tcPr>
          <w:p w14:paraId="71C5C59F">
            <w:pPr>
              <w:rPr>
                <w:rFonts w:ascii="Arial"/>
                <w:sz w:val="21"/>
                <w:highlight w:val="none"/>
              </w:rPr>
            </w:pPr>
          </w:p>
        </w:tc>
        <w:tc>
          <w:tcPr>
            <w:tcW w:w="900" w:type="dxa"/>
            <w:vAlign w:val="top"/>
          </w:tcPr>
          <w:p w14:paraId="6890DF98">
            <w:pPr>
              <w:rPr>
                <w:rFonts w:ascii="Arial"/>
                <w:sz w:val="21"/>
                <w:highlight w:val="none"/>
              </w:rPr>
            </w:pPr>
          </w:p>
        </w:tc>
        <w:tc>
          <w:tcPr>
            <w:tcW w:w="819" w:type="dxa"/>
            <w:vAlign w:val="top"/>
          </w:tcPr>
          <w:p w14:paraId="661F2488">
            <w:pPr>
              <w:rPr>
                <w:rFonts w:ascii="Arial"/>
                <w:sz w:val="21"/>
                <w:highlight w:val="none"/>
              </w:rPr>
            </w:pPr>
          </w:p>
        </w:tc>
        <w:tc>
          <w:tcPr>
            <w:tcW w:w="1429" w:type="dxa"/>
            <w:vAlign w:val="top"/>
          </w:tcPr>
          <w:p w14:paraId="39438EFF">
            <w:pPr>
              <w:rPr>
                <w:rFonts w:ascii="Arial"/>
                <w:sz w:val="21"/>
                <w:highlight w:val="none"/>
              </w:rPr>
            </w:pPr>
          </w:p>
        </w:tc>
        <w:tc>
          <w:tcPr>
            <w:tcW w:w="1502" w:type="dxa"/>
            <w:vAlign w:val="top"/>
          </w:tcPr>
          <w:p w14:paraId="05C37AC3">
            <w:pPr>
              <w:rPr>
                <w:rFonts w:ascii="Arial"/>
                <w:sz w:val="21"/>
                <w:highlight w:val="none"/>
              </w:rPr>
            </w:pPr>
          </w:p>
        </w:tc>
        <w:tc>
          <w:tcPr>
            <w:tcW w:w="1830" w:type="dxa"/>
            <w:tcBorders>
              <w:right w:val="single" w:color="000000" w:sz="10" w:space="0"/>
            </w:tcBorders>
            <w:vAlign w:val="top"/>
          </w:tcPr>
          <w:p w14:paraId="4D0C8FE4">
            <w:pPr>
              <w:rPr>
                <w:rFonts w:ascii="Arial"/>
                <w:sz w:val="21"/>
                <w:highlight w:val="none"/>
              </w:rPr>
            </w:pPr>
          </w:p>
        </w:tc>
      </w:tr>
      <w:tr w14:paraId="7BC59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5C6B13F1">
            <w:pPr>
              <w:rPr>
                <w:rFonts w:ascii="Arial"/>
                <w:sz w:val="21"/>
                <w:highlight w:val="none"/>
              </w:rPr>
            </w:pPr>
          </w:p>
        </w:tc>
        <w:tc>
          <w:tcPr>
            <w:tcW w:w="2103" w:type="dxa"/>
            <w:vAlign w:val="top"/>
          </w:tcPr>
          <w:p w14:paraId="299FABD4">
            <w:pPr>
              <w:rPr>
                <w:rFonts w:ascii="Arial"/>
                <w:sz w:val="21"/>
                <w:highlight w:val="none"/>
              </w:rPr>
            </w:pPr>
          </w:p>
        </w:tc>
        <w:tc>
          <w:tcPr>
            <w:tcW w:w="900" w:type="dxa"/>
            <w:vAlign w:val="top"/>
          </w:tcPr>
          <w:p w14:paraId="08C8D670">
            <w:pPr>
              <w:rPr>
                <w:rFonts w:ascii="Arial"/>
                <w:sz w:val="21"/>
                <w:highlight w:val="none"/>
              </w:rPr>
            </w:pPr>
          </w:p>
        </w:tc>
        <w:tc>
          <w:tcPr>
            <w:tcW w:w="819" w:type="dxa"/>
            <w:vAlign w:val="top"/>
          </w:tcPr>
          <w:p w14:paraId="17DA562D">
            <w:pPr>
              <w:rPr>
                <w:rFonts w:ascii="Arial"/>
                <w:sz w:val="21"/>
                <w:highlight w:val="none"/>
              </w:rPr>
            </w:pPr>
          </w:p>
        </w:tc>
        <w:tc>
          <w:tcPr>
            <w:tcW w:w="1429" w:type="dxa"/>
            <w:vAlign w:val="top"/>
          </w:tcPr>
          <w:p w14:paraId="5FC4CB7F">
            <w:pPr>
              <w:rPr>
                <w:rFonts w:ascii="Arial"/>
                <w:sz w:val="21"/>
                <w:highlight w:val="none"/>
              </w:rPr>
            </w:pPr>
          </w:p>
        </w:tc>
        <w:tc>
          <w:tcPr>
            <w:tcW w:w="1502" w:type="dxa"/>
            <w:vAlign w:val="top"/>
          </w:tcPr>
          <w:p w14:paraId="60A614C3">
            <w:pPr>
              <w:rPr>
                <w:rFonts w:ascii="Arial"/>
                <w:sz w:val="21"/>
                <w:highlight w:val="none"/>
              </w:rPr>
            </w:pPr>
          </w:p>
        </w:tc>
        <w:tc>
          <w:tcPr>
            <w:tcW w:w="1830" w:type="dxa"/>
            <w:tcBorders>
              <w:right w:val="single" w:color="000000" w:sz="10" w:space="0"/>
            </w:tcBorders>
            <w:vAlign w:val="top"/>
          </w:tcPr>
          <w:p w14:paraId="4925FF04">
            <w:pPr>
              <w:rPr>
                <w:rFonts w:ascii="Arial"/>
                <w:sz w:val="21"/>
                <w:highlight w:val="none"/>
              </w:rPr>
            </w:pPr>
          </w:p>
        </w:tc>
      </w:tr>
      <w:tr w14:paraId="3068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1AEF91A6">
            <w:pPr>
              <w:rPr>
                <w:rFonts w:ascii="Arial"/>
                <w:sz w:val="21"/>
                <w:highlight w:val="none"/>
              </w:rPr>
            </w:pPr>
          </w:p>
        </w:tc>
        <w:tc>
          <w:tcPr>
            <w:tcW w:w="2103" w:type="dxa"/>
            <w:vAlign w:val="top"/>
          </w:tcPr>
          <w:p w14:paraId="3410EE58">
            <w:pPr>
              <w:rPr>
                <w:rFonts w:ascii="Arial"/>
                <w:sz w:val="21"/>
                <w:highlight w:val="none"/>
              </w:rPr>
            </w:pPr>
          </w:p>
        </w:tc>
        <w:tc>
          <w:tcPr>
            <w:tcW w:w="900" w:type="dxa"/>
            <w:vAlign w:val="top"/>
          </w:tcPr>
          <w:p w14:paraId="5E0D787C">
            <w:pPr>
              <w:rPr>
                <w:rFonts w:ascii="Arial"/>
                <w:sz w:val="21"/>
                <w:highlight w:val="none"/>
              </w:rPr>
            </w:pPr>
          </w:p>
        </w:tc>
        <w:tc>
          <w:tcPr>
            <w:tcW w:w="819" w:type="dxa"/>
            <w:vAlign w:val="top"/>
          </w:tcPr>
          <w:p w14:paraId="4CD8A9B1">
            <w:pPr>
              <w:rPr>
                <w:rFonts w:ascii="Arial"/>
                <w:sz w:val="21"/>
                <w:highlight w:val="none"/>
              </w:rPr>
            </w:pPr>
          </w:p>
        </w:tc>
        <w:tc>
          <w:tcPr>
            <w:tcW w:w="1429" w:type="dxa"/>
            <w:vAlign w:val="top"/>
          </w:tcPr>
          <w:p w14:paraId="5ADA31F5">
            <w:pPr>
              <w:rPr>
                <w:rFonts w:ascii="Arial"/>
                <w:sz w:val="21"/>
                <w:highlight w:val="none"/>
              </w:rPr>
            </w:pPr>
          </w:p>
        </w:tc>
        <w:tc>
          <w:tcPr>
            <w:tcW w:w="1502" w:type="dxa"/>
            <w:vAlign w:val="top"/>
          </w:tcPr>
          <w:p w14:paraId="3231218C">
            <w:pPr>
              <w:rPr>
                <w:rFonts w:ascii="Arial"/>
                <w:sz w:val="21"/>
                <w:highlight w:val="none"/>
              </w:rPr>
            </w:pPr>
          </w:p>
        </w:tc>
        <w:tc>
          <w:tcPr>
            <w:tcW w:w="1830" w:type="dxa"/>
            <w:tcBorders>
              <w:right w:val="single" w:color="000000" w:sz="10" w:space="0"/>
            </w:tcBorders>
            <w:vAlign w:val="top"/>
          </w:tcPr>
          <w:p w14:paraId="21D198E5">
            <w:pPr>
              <w:rPr>
                <w:rFonts w:ascii="Arial"/>
                <w:sz w:val="21"/>
                <w:highlight w:val="none"/>
              </w:rPr>
            </w:pPr>
          </w:p>
        </w:tc>
      </w:tr>
      <w:tr w14:paraId="77AA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8" w:type="dxa"/>
            <w:tcBorders>
              <w:left w:val="single" w:color="000000" w:sz="8" w:space="0"/>
            </w:tcBorders>
            <w:vAlign w:val="top"/>
          </w:tcPr>
          <w:p w14:paraId="142935F7">
            <w:pPr>
              <w:rPr>
                <w:rFonts w:ascii="Arial"/>
                <w:sz w:val="21"/>
                <w:highlight w:val="none"/>
              </w:rPr>
            </w:pPr>
          </w:p>
        </w:tc>
        <w:tc>
          <w:tcPr>
            <w:tcW w:w="2103" w:type="dxa"/>
            <w:vAlign w:val="top"/>
          </w:tcPr>
          <w:p w14:paraId="78788766">
            <w:pPr>
              <w:rPr>
                <w:rFonts w:ascii="Arial"/>
                <w:sz w:val="21"/>
                <w:highlight w:val="none"/>
              </w:rPr>
            </w:pPr>
          </w:p>
        </w:tc>
        <w:tc>
          <w:tcPr>
            <w:tcW w:w="900" w:type="dxa"/>
            <w:vAlign w:val="top"/>
          </w:tcPr>
          <w:p w14:paraId="36D3B692">
            <w:pPr>
              <w:rPr>
                <w:rFonts w:ascii="Arial"/>
                <w:sz w:val="21"/>
                <w:highlight w:val="none"/>
              </w:rPr>
            </w:pPr>
          </w:p>
        </w:tc>
        <w:tc>
          <w:tcPr>
            <w:tcW w:w="819" w:type="dxa"/>
            <w:vAlign w:val="top"/>
          </w:tcPr>
          <w:p w14:paraId="3B52E5C0">
            <w:pPr>
              <w:rPr>
                <w:rFonts w:ascii="Arial"/>
                <w:sz w:val="21"/>
                <w:highlight w:val="none"/>
              </w:rPr>
            </w:pPr>
          </w:p>
        </w:tc>
        <w:tc>
          <w:tcPr>
            <w:tcW w:w="1429" w:type="dxa"/>
            <w:vAlign w:val="top"/>
          </w:tcPr>
          <w:p w14:paraId="789262F8">
            <w:pPr>
              <w:rPr>
                <w:rFonts w:ascii="Arial"/>
                <w:sz w:val="21"/>
                <w:highlight w:val="none"/>
              </w:rPr>
            </w:pPr>
          </w:p>
        </w:tc>
        <w:tc>
          <w:tcPr>
            <w:tcW w:w="1502" w:type="dxa"/>
            <w:vAlign w:val="top"/>
          </w:tcPr>
          <w:p w14:paraId="0F28FD74">
            <w:pPr>
              <w:rPr>
                <w:rFonts w:ascii="Arial"/>
                <w:sz w:val="21"/>
                <w:highlight w:val="none"/>
              </w:rPr>
            </w:pPr>
          </w:p>
        </w:tc>
        <w:tc>
          <w:tcPr>
            <w:tcW w:w="1830" w:type="dxa"/>
            <w:tcBorders>
              <w:right w:val="single" w:color="000000" w:sz="10" w:space="0"/>
            </w:tcBorders>
            <w:vAlign w:val="top"/>
          </w:tcPr>
          <w:p w14:paraId="67BB49FE">
            <w:pPr>
              <w:rPr>
                <w:rFonts w:ascii="Arial"/>
                <w:sz w:val="21"/>
                <w:highlight w:val="none"/>
              </w:rPr>
            </w:pPr>
          </w:p>
        </w:tc>
      </w:tr>
      <w:tr w14:paraId="154F6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362BE280">
            <w:pPr>
              <w:rPr>
                <w:rFonts w:ascii="Arial"/>
                <w:sz w:val="21"/>
                <w:highlight w:val="none"/>
              </w:rPr>
            </w:pPr>
          </w:p>
        </w:tc>
        <w:tc>
          <w:tcPr>
            <w:tcW w:w="2103" w:type="dxa"/>
            <w:vAlign w:val="top"/>
          </w:tcPr>
          <w:p w14:paraId="3F554F6B">
            <w:pPr>
              <w:rPr>
                <w:rFonts w:ascii="Arial"/>
                <w:sz w:val="21"/>
                <w:highlight w:val="none"/>
              </w:rPr>
            </w:pPr>
          </w:p>
        </w:tc>
        <w:tc>
          <w:tcPr>
            <w:tcW w:w="900" w:type="dxa"/>
            <w:vAlign w:val="top"/>
          </w:tcPr>
          <w:p w14:paraId="543A0668">
            <w:pPr>
              <w:rPr>
                <w:rFonts w:ascii="Arial"/>
                <w:sz w:val="21"/>
                <w:highlight w:val="none"/>
              </w:rPr>
            </w:pPr>
          </w:p>
        </w:tc>
        <w:tc>
          <w:tcPr>
            <w:tcW w:w="819" w:type="dxa"/>
            <w:vAlign w:val="top"/>
          </w:tcPr>
          <w:p w14:paraId="5A258950">
            <w:pPr>
              <w:rPr>
                <w:rFonts w:ascii="Arial"/>
                <w:sz w:val="21"/>
                <w:highlight w:val="none"/>
              </w:rPr>
            </w:pPr>
          </w:p>
        </w:tc>
        <w:tc>
          <w:tcPr>
            <w:tcW w:w="1429" w:type="dxa"/>
            <w:vAlign w:val="top"/>
          </w:tcPr>
          <w:p w14:paraId="46166464">
            <w:pPr>
              <w:rPr>
                <w:rFonts w:ascii="Arial"/>
                <w:sz w:val="21"/>
                <w:highlight w:val="none"/>
              </w:rPr>
            </w:pPr>
          </w:p>
        </w:tc>
        <w:tc>
          <w:tcPr>
            <w:tcW w:w="1502" w:type="dxa"/>
            <w:vAlign w:val="top"/>
          </w:tcPr>
          <w:p w14:paraId="33ED8695">
            <w:pPr>
              <w:rPr>
                <w:rFonts w:ascii="Arial"/>
                <w:sz w:val="21"/>
                <w:highlight w:val="none"/>
              </w:rPr>
            </w:pPr>
          </w:p>
        </w:tc>
        <w:tc>
          <w:tcPr>
            <w:tcW w:w="1830" w:type="dxa"/>
            <w:tcBorders>
              <w:right w:val="single" w:color="000000" w:sz="10" w:space="0"/>
            </w:tcBorders>
            <w:vAlign w:val="top"/>
          </w:tcPr>
          <w:p w14:paraId="011C60B6">
            <w:pPr>
              <w:rPr>
                <w:rFonts w:ascii="Arial"/>
                <w:sz w:val="21"/>
                <w:highlight w:val="none"/>
              </w:rPr>
            </w:pPr>
          </w:p>
        </w:tc>
      </w:tr>
      <w:tr w14:paraId="6E44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40E4FDB3">
            <w:pPr>
              <w:rPr>
                <w:rFonts w:ascii="Arial"/>
                <w:sz w:val="21"/>
                <w:highlight w:val="none"/>
              </w:rPr>
            </w:pPr>
          </w:p>
        </w:tc>
        <w:tc>
          <w:tcPr>
            <w:tcW w:w="2103" w:type="dxa"/>
            <w:vAlign w:val="top"/>
          </w:tcPr>
          <w:p w14:paraId="41DC4066">
            <w:pPr>
              <w:rPr>
                <w:rFonts w:ascii="Arial"/>
                <w:sz w:val="21"/>
                <w:highlight w:val="none"/>
              </w:rPr>
            </w:pPr>
          </w:p>
        </w:tc>
        <w:tc>
          <w:tcPr>
            <w:tcW w:w="900" w:type="dxa"/>
            <w:vAlign w:val="top"/>
          </w:tcPr>
          <w:p w14:paraId="0633D483">
            <w:pPr>
              <w:rPr>
                <w:rFonts w:ascii="Arial"/>
                <w:sz w:val="21"/>
                <w:highlight w:val="none"/>
              </w:rPr>
            </w:pPr>
          </w:p>
        </w:tc>
        <w:tc>
          <w:tcPr>
            <w:tcW w:w="819" w:type="dxa"/>
            <w:vAlign w:val="top"/>
          </w:tcPr>
          <w:p w14:paraId="7418B970">
            <w:pPr>
              <w:rPr>
                <w:rFonts w:ascii="Arial"/>
                <w:sz w:val="21"/>
                <w:highlight w:val="none"/>
              </w:rPr>
            </w:pPr>
          </w:p>
        </w:tc>
        <w:tc>
          <w:tcPr>
            <w:tcW w:w="1429" w:type="dxa"/>
            <w:vAlign w:val="top"/>
          </w:tcPr>
          <w:p w14:paraId="1B75CCE8">
            <w:pPr>
              <w:rPr>
                <w:rFonts w:ascii="Arial"/>
                <w:sz w:val="21"/>
                <w:highlight w:val="none"/>
              </w:rPr>
            </w:pPr>
          </w:p>
        </w:tc>
        <w:tc>
          <w:tcPr>
            <w:tcW w:w="1502" w:type="dxa"/>
            <w:vAlign w:val="top"/>
          </w:tcPr>
          <w:p w14:paraId="2A2366EA">
            <w:pPr>
              <w:rPr>
                <w:rFonts w:ascii="Arial"/>
                <w:sz w:val="21"/>
                <w:highlight w:val="none"/>
              </w:rPr>
            </w:pPr>
          </w:p>
        </w:tc>
        <w:tc>
          <w:tcPr>
            <w:tcW w:w="1830" w:type="dxa"/>
            <w:tcBorders>
              <w:right w:val="single" w:color="000000" w:sz="10" w:space="0"/>
            </w:tcBorders>
            <w:vAlign w:val="top"/>
          </w:tcPr>
          <w:p w14:paraId="1F90D45B">
            <w:pPr>
              <w:rPr>
                <w:rFonts w:ascii="Arial"/>
                <w:sz w:val="21"/>
                <w:highlight w:val="none"/>
              </w:rPr>
            </w:pPr>
          </w:p>
        </w:tc>
      </w:tr>
      <w:tr w14:paraId="4667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0D892F92">
            <w:pPr>
              <w:rPr>
                <w:rFonts w:ascii="Arial"/>
                <w:sz w:val="21"/>
                <w:highlight w:val="none"/>
              </w:rPr>
            </w:pPr>
          </w:p>
        </w:tc>
        <w:tc>
          <w:tcPr>
            <w:tcW w:w="2103" w:type="dxa"/>
            <w:vAlign w:val="top"/>
          </w:tcPr>
          <w:p w14:paraId="231F960D">
            <w:pPr>
              <w:rPr>
                <w:rFonts w:ascii="Arial"/>
                <w:sz w:val="21"/>
                <w:highlight w:val="none"/>
              </w:rPr>
            </w:pPr>
          </w:p>
        </w:tc>
        <w:tc>
          <w:tcPr>
            <w:tcW w:w="900" w:type="dxa"/>
            <w:vAlign w:val="top"/>
          </w:tcPr>
          <w:p w14:paraId="62192DA6">
            <w:pPr>
              <w:rPr>
                <w:rFonts w:ascii="Arial"/>
                <w:sz w:val="21"/>
                <w:highlight w:val="none"/>
              </w:rPr>
            </w:pPr>
          </w:p>
        </w:tc>
        <w:tc>
          <w:tcPr>
            <w:tcW w:w="819" w:type="dxa"/>
            <w:vAlign w:val="top"/>
          </w:tcPr>
          <w:p w14:paraId="466D5E5F">
            <w:pPr>
              <w:rPr>
                <w:rFonts w:ascii="Arial"/>
                <w:sz w:val="21"/>
                <w:highlight w:val="none"/>
              </w:rPr>
            </w:pPr>
          </w:p>
        </w:tc>
        <w:tc>
          <w:tcPr>
            <w:tcW w:w="1429" w:type="dxa"/>
            <w:vAlign w:val="top"/>
          </w:tcPr>
          <w:p w14:paraId="39E616C2">
            <w:pPr>
              <w:rPr>
                <w:rFonts w:ascii="Arial"/>
                <w:sz w:val="21"/>
                <w:highlight w:val="none"/>
              </w:rPr>
            </w:pPr>
          </w:p>
        </w:tc>
        <w:tc>
          <w:tcPr>
            <w:tcW w:w="1502" w:type="dxa"/>
            <w:vAlign w:val="top"/>
          </w:tcPr>
          <w:p w14:paraId="6B7B2BDA">
            <w:pPr>
              <w:rPr>
                <w:rFonts w:ascii="Arial"/>
                <w:sz w:val="21"/>
                <w:highlight w:val="none"/>
              </w:rPr>
            </w:pPr>
          </w:p>
        </w:tc>
        <w:tc>
          <w:tcPr>
            <w:tcW w:w="1830" w:type="dxa"/>
            <w:tcBorders>
              <w:right w:val="single" w:color="000000" w:sz="10" w:space="0"/>
            </w:tcBorders>
            <w:vAlign w:val="top"/>
          </w:tcPr>
          <w:p w14:paraId="1709C4C1">
            <w:pPr>
              <w:rPr>
                <w:rFonts w:ascii="Arial"/>
                <w:sz w:val="21"/>
                <w:highlight w:val="none"/>
              </w:rPr>
            </w:pPr>
          </w:p>
        </w:tc>
      </w:tr>
      <w:tr w14:paraId="6100C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528C62C0">
            <w:pPr>
              <w:rPr>
                <w:rFonts w:ascii="Arial"/>
                <w:sz w:val="21"/>
                <w:highlight w:val="none"/>
              </w:rPr>
            </w:pPr>
          </w:p>
        </w:tc>
        <w:tc>
          <w:tcPr>
            <w:tcW w:w="2103" w:type="dxa"/>
            <w:vAlign w:val="top"/>
          </w:tcPr>
          <w:p w14:paraId="27CD9980">
            <w:pPr>
              <w:rPr>
                <w:rFonts w:ascii="Arial"/>
                <w:sz w:val="21"/>
                <w:highlight w:val="none"/>
              </w:rPr>
            </w:pPr>
          </w:p>
        </w:tc>
        <w:tc>
          <w:tcPr>
            <w:tcW w:w="900" w:type="dxa"/>
            <w:vAlign w:val="top"/>
          </w:tcPr>
          <w:p w14:paraId="5B48963F">
            <w:pPr>
              <w:rPr>
                <w:rFonts w:ascii="Arial"/>
                <w:sz w:val="21"/>
                <w:highlight w:val="none"/>
              </w:rPr>
            </w:pPr>
          </w:p>
        </w:tc>
        <w:tc>
          <w:tcPr>
            <w:tcW w:w="819" w:type="dxa"/>
            <w:vAlign w:val="top"/>
          </w:tcPr>
          <w:p w14:paraId="0CD7F138">
            <w:pPr>
              <w:rPr>
                <w:rFonts w:ascii="Arial"/>
                <w:sz w:val="21"/>
                <w:highlight w:val="none"/>
              </w:rPr>
            </w:pPr>
          </w:p>
        </w:tc>
        <w:tc>
          <w:tcPr>
            <w:tcW w:w="1429" w:type="dxa"/>
            <w:vAlign w:val="top"/>
          </w:tcPr>
          <w:p w14:paraId="7FCB108B">
            <w:pPr>
              <w:rPr>
                <w:rFonts w:ascii="Arial"/>
                <w:sz w:val="21"/>
                <w:highlight w:val="none"/>
              </w:rPr>
            </w:pPr>
          </w:p>
        </w:tc>
        <w:tc>
          <w:tcPr>
            <w:tcW w:w="1502" w:type="dxa"/>
            <w:vAlign w:val="top"/>
          </w:tcPr>
          <w:p w14:paraId="42429A27">
            <w:pPr>
              <w:rPr>
                <w:rFonts w:ascii="Arial"/>
                <w:sz w:val="21"/>
                <w:highlight w:val="none"/>
              </w:rPr>
            </w:pPr>
          </w:p>
        </w:tc>
        <w:tc>
          <w:tcPr>
            <w:tcW w:w="1830" w:type="dxa"/>
            <w:tcBorders>
              <w:right w:val="single" w:color="000000" w:sz="10" w:space="0"/>
            </w:tcBorders>
            <w:vAlign w:val="top"/>
          </w:tcPr>
          <w:p w14:paraId="32EE6783">
            <w:pPr>
              <w:rPr>
                <w:rFonts w:ascii="Arial"/>
                <w:sz w:val="21"/>
                <w:highlight w:val="none"/>
              </w:rPr>
            </w:pPr>
          </w:p>
        </w:tc>
      </w:tr>
      <w:tr w14:paraId="7403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0204FCA8">
            <w:pPr>
              <w:rPr>
                <w:rFonts w:ascii="Arial"/>
                <w:sz w:val="21"/>
                <w:highlight w:val="none"/>
              </w:rPr>
            </w:pPr>
          </w:p>
        </w:tc>
        <w:tc>
          <w:tcPr>
            <w:tcW w:w="2103" w:type="dxa"/>
            <w:vAlign w:val="top"/>
          </w:tcPr>
          <w:p w14:paraId="28C5C58A">
            <w:pPr>
              <w:rPr>
                <w:rFonts w:ascii="Arial"/>
                <w:sz w:val="21"/>
                <w:highlight w:val="none"/>
              </w:rPr>
            </w:pPr>
          </w:p>
        </w:tc>
        <w:tc>
          <w:tcPr>
            <w:tcW w:w="900" w:type="dxa"/>
            <w:vAlign w:val="top"/>
          </w:tcPr>
          <w:p w14:paraId="1437C6EA">
            <w:pPr>
              <w:rPr>
                <w:rFonts w:ascii="Arial"/>
                <w:sz w:val="21"/>
                <w:highlight w:val="none"/>
              </w:rPr>
            </w:pPr>
          </w:p>
        </w:tc>
        <w:tc>
          <w:tcPr>
            <w:tcW w:w="819" w:type="dxa"/>
            <w:vAlign w:val="top"/>
          </w:tcPr>
          <w:p w14:paraId="1D4397AF">
            <w:pPr>
              <w:rPr>
                <w:rFonts w:ascii="Arial"/>
                <w:sz w:val="21"/>
                <w:highlight w:val="none"/>
              </w:rPr>
            </w:pPr>
          </w:p>
        </w:tc>
        <w:tc>
          <w:tcPr>
            <w:tcW w:w="1429" w:type="dxa"/>
            <w:vAlign w:val="top"/>
          </w:tcPr>
          <w:p w14:paraId="42A02190">
            <w:pPr>
              <w:rPr>
                <w:rFonts w:ascii="Arial"/>
                <w:sz w:val="21"/>
                <w:highlight w:val="none"/>
              </w:rPr>
            </w:pPr>
          </w:p>
        </w:tc>
        <w:tc>
          <w:tcPr>
            <w:tcW w:w="1502" w:type="dxa"/>
            <w:vAlign w:val="top"/>
          </w:tcPr>
          <w:p w14:paraId="2E9916C7">
            <w:pPr>
              <w:rPr>
                <w:rFonts w:ascii="Arial"/>
                <w:sz w:val="21"/>
                <w:highlight w:val="none"/>
              </w:rPr>
            </w:pPr>
          </w:p>
        </w:tc>
        <w:tc>
          <w:tcPr>
            <w:tcW w:w="1830" w:type="dxa"/>
            <w:tcBorders>
              <w:right w:val="single" w:color="000000" w:sz="10" w:space="0"/>
            </w:tcBorders>
            <w:vAlign w:val="top"/>
          </w:tcPr>
          <w:p w14:paraId="51E403F8">
            <w:pPr>
              <w:rPr>
                <w:rFonts w:ascii="Arial"/>
                <w:sz w:val="21"/>
                <w:highlight w:val="none"/>
              </w:rPr>
            </w:pPr>
          </w:p>
        </w:tc>
      </w:tr>
      <w:tr w14:paraId="3B07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2EF61C36">
            <w:pPr>
              <w:rPr>
                <w:rFonts w:ascii="Arial"/>
                <w:sz w:val="21"/>
                <w:highlight w:val="none"/>
              </w:rPr>
            </w:pPr>
          </w:p>
        </w:tc>
        <w:tc>
          <w:tcPr>
            <w:tcW w:w="2103" w:type="dxa"/>
            <w:vAlign w:val="top"/>
          </w:tcPr>
          <w:p w14:paraId="3B89555B">
            <w:pPr>
              <w:rPr>
                <w:rFonts w:ascii="Arial"/>
                <w:sz w:val="21"/>
                <w:highlight w:val="none"/>
              </w:rPr>
            </w:pPr>
          </w:p>
        </w:tc>
        <w:tc>
          <w:tcPr>
            <w:tcW w:w="900" w:type="dxa"/>
            <w:vAlign w:val="top"/>
          </w:tcPr>
          <w:p w14:paraId="2D439120">
            <w:pPr>
              <w:rPr>
                <w:rFonts w:ascii="Arial"/>
                <w:sz w:val="21"/>
                <w:highlight w:val="none"/>
              </w:rPr>
            </w:pPr>
          </w:p>
        </w:tc>
        <w:tc>
          <w:tcPr>
            <w:tcW w:w="819" w:type="dxa"/>
            <w:vAlign w:val="top"/>
          </w:tcPr>
          <w:p w14:paraId="1054FFB8">
            <w:pPr>
              <w:rPr>
                <w:rFonts w:ascii="Arial"/>
                <w:sz w:val="21"/>
                <w:highlight w:val="none"/>
              </w:rPr>
            </w:pPr>
          </w:p>
        </w:tc>
        <w:tc>
          <w:tcPr>
            <w:tcW w:w="1429" w:type="dxa"/>
            <w:vAlign w:val="top"/>
          </w:tcPr>
          <w:p w14:paraId="50017991">
            <w:pPr>
              <w:rPr>
                <w:rFonts w:ascii="Arial"/>
                <w:sz w:val="21"/>
                <w:highlight w:val="none"/>
              </w:rPr>
            </w:pPr>
          </w:p>
        </w:tc>
        <w:tc>
          <w:tcPr>
            <w:tcW w:w="1502" w:type="dxa"/>
            <w:vAlign w:val="top"/>
          </w:tcPr>
          <w:p w14:paraId="28744623">
            <w:pPr>
              <w:rPr>
                <w:rFonts w:ascii="Arial"/>
                <w:sz w:val="21"/>
                <w:highlight w:val="none"/>
              </w:rPr>
            </w:pPr>
          </w:p>
        </w:tc>
        <w:tc>
          <w:tcPr>
            <w:tcW w:w="1830" w:type="dxa"/>
            <w:tcBorders>
              <w:right w:val="single" w:color="000000" w:sz="10" w:space="0"/>
            </w:tcBorders>
            <w:vAlign w:val="top"/>
          </w:tcPr>
          <w:p w14:paraId="19AE4E23">
            <w:pPr>
              <w:rPr>
                <w:rFonts w:ascii="Arial"/>
                <w:sz w:val="21"/>
                <w:highlight w:val="none"/>
              </w:rPr>
            </w:pPr>
          </w:p>
        </w:tc>
      </w:tr>
      <w:tr w14:paraId="17E79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66CBA3DE">
            <w:pPr>
              <w:rPr>
                <w:rFonts w:ascii="Arial"/>
                <w:sz w:val="21"/>
                <w:highlight w:val="none"/>
              </w:rPr>
            </w:pPr>
          </w:p>
        </w:tc>
        <w:tc>
          <w:tcPr>
            <w:tcW w:w="2103" w:type="dxa"/>
            <w:vAlign w:val="top"/>
          </w:tcPr>
          <w:p w14:paraId="5E4FB393">
            <w:pPr>
              <w:rPr>
                <w:rFonts w:ascii="Arial"/>
                <w:sz w:val="21"/>
                <w:highlight w:val="none"/>
              </w:rPr>
            </w:pPr>
          </w:p>
        </w:tc>
        <w:tc>
          <w:tcPr>
            <w:tcW w:w="900" w:type="dxa"/>
            <w:vAlign w:val="top"/>
          </w:tcPr>
          <w:p w14:paraId="23EE888B">
            <w:pPr>
              <w:rPr>
                <w:rFonts w:ascii="Arial"/>
                <w:sz w:val="21"/>
                <w:highlight w:val="none"/>
              </w:rPr>
            </w:pPr>
          </w:p>
        </w:tc>
        <w:tc>
          <w:tcPr>
            <w:tcW w:w="819" w:type="dxa"/>
            <w:vAlign w:val="top"/>
          </w:tcPr>
          <w:p w14:paraId="490453C5">
            <w:pPr>
              <w:rPr>
                <w:rFonts w:ascii="Arial"/>
                <w:sz w:val="21"/>
                <w:highlight w:val="none"/>
              </w:rPr>
            </w:pPr>
          </w:p>
        </w:tc>
        <w:tc>
          <w:tcPr>
            <w:tcW w:w="1429" w:type="dxa"/>
            <w:vAlign w:val="top"/>
          </w:tcPr>
          <w:p w14:paraId="3417D6A6">
            <w:pPr>
              <w:rPr>
                <w:rFonts w:ascii="Arial"/>
                <w:sz w:val="21"/>
                <w:highlight w:val="none"/>
              </w:rPr>
            </w:pPr>
          </w:p>
        </w:tc>
        <w:tc>
          <w:tcPr>
            <w:tcW w:w="1502" w:type="dxa"/>
            <w:vAlign w:val="top"/>
          </w:tcPr>
          <w:p w14:paraId="5D66698E">
            <w:pPr>
              <w:rPr>
                <w:rFonts w:ascii="Arial"/>
                <w:sz w:val="21"/>
                <w:highlight w:val="none"/>
              </w:rPr>
            </w:pPr>
          </w:p>
        </w:tc>
        <w:tc>
          <w:tcPr>
            <w:tcW w:w="1830" w:type="dxa"/>
            <w:tcBorders>
              <w:right w:val="single" w:color="000000" w:sz="10" w:space="0"/>
            </w:tcBorders>
            <w:vAlign w:val="top"/>
          </w:tcPr>
          <w:p w14:paraId="003924A8">
            <w:pPr>
              <w:rPr>
                <w:rFonts w:ascii="Arial"/>
                <w:sz w:val="21"/>
                <w:highlight w:val="none"/>
              </w:rPr>
            </w:pPr>
          </w:p>
        </w:tc>
      </w:tr>
      <w:tr w14:paraId="5BD8F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5FD6BFA0">
            <w:pPr>
              <w:rPr>
                <w:rFonts w:ascii="Arial"/>
                <w:sz w:val="21"/>
                <w:highlight w:val="none"/>
              </w:rPr>
            </w:pPr>
          </w:p>
        </w:tc>
        <w:tc>
          <w:tcPr>
            <w:tcW w:w="2103" w:type="dxa"/>
            <w:vAlign w:val="top"/>
          </w:tcPr>
          <w:p w14:paraId="34D9D6BE">
            <w:pPr>
              <w:rPr>
                <w:rFonts w:ascii="Arial"/>
                <w:sz w:val="21"/>
                <w:highlight w:val="none"/>
              </w:rPr>
            </w:pPr>
          </w:p>
        </w:tc>
        <w:tc>
          <w:tcPr>
            <w:tcW w:w="900" w:type="dxa"/>
            <w:vAlign w:val="top"/>
          </w:tcPr>
          <w:p w14:paraId="2631CECA">
            <w:pPr>
              <w:rPr>
                <w:rFonts w:ascii="Arial"/>
                <w:sz w:val="21"/>
                <w:highlight w:val="none"/>
              </w:rPr>
            </w:pPr>
          </w:p>
        </w:tc>
        <w:tc>
          <w:tcPr>
            <w:tcW w:w="819" w:type="dxa"/>
            <w:vAlign w:val="top"/>
          </w:tcPr>
          <w:p w14:paraId="68508793">
            <w:pPr>
              <w:rPr>
                <w:rFonts w:ascii="Arial"/>
                <w:sz w:val="21"/>
                <w:highlight w:val="none"/>
              </w:rPr>
            </w:pPr>
          </w:p>
        </w:tc>
        <w:tc>
          <w:tcPr>
            <w:tcW w:w="1429" w:type="dxa"/>
            <w:vAlign w:val="top"/>
          </w:tcPr>
          <w:p w14:paraId="22A30F04">
            <w:pPr>
              <w:rPr>
                <w:rFonts w:ascii="Arial"/>
                <w:sz w:val="21"/>
                <w:highlight w:val="none"/>
              </w:rPr>
            </w:pPr>
          </w:p>
        </w:tc>
        <w:tc>
          <w:tcPr>
            <w:tcW w:w="1502" w:type="dxa"/>
            <w:vAlign w:val="top"/>
          </w:tcPr>
          <w:p w14:paraId="7B4B0F13">
            <w:pPr>
              <w:rPr>
                <w:rFonts w:ascii="Arial"/>
                <w:sz w:val="21"/>
                <w:highlight w:val="none"/>
              </w:rPr>
            </w:pPr>
          </w:p>
        </w:tc>
        <w:tc>
          <w:tcPr>
            <w:tcW w:w="1830" w:type="dxa"/>
            <w:tcBorders>
              <w:right w:val="single" w:color="000000" w:sz="10" w:space="0"/>
            </w:tcBorders>
            <w:vAlign w:val="top"/>
          </w:tcPr>
          <w:p w14:paraId="014F9407">
            <w:pPr>
              <w:rPr>
                <w:rFonts w:ascii="Arial"/>
                <w:sz w:val="21"/>
                <w:highlight w:val="none"/>
              </w:rPr>
            </w:pPr>
          </w:p>
        </w:tc>
      </w:tr>
      <w:tr w14:paraId="6200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8" w:type="dxa"/>
            <w:tcBorders>
              <w:left w:val="single" w:color="000000" w:sz="8" w:space="0"/>
            </w:tcBorders>
            <w:vAlign w:val="top"/>
          </w:tcPr>
          <w:p w14:paraId="63F53A08">
            <w:pPr>
              <w:rPr>
                <w:rFonts w:ascii="Arial"/>
                <w:sz w:val="21"/>
                <w:highlight w:val="none"/>
              </w:rPr>
            </w:pPr>
          </w:p>
        </w:tc>
        <w:tc>
          <w:tcPr>
            <w:tcW w:w="2103" w:type="dxa"/>
            <w:vAlign w:val="top"/>
          </w:tcPr>
          <w:p w14:paraId="6509084C">
            <w:pPr>
              <w:rPr>
                <w:rFonts w:ascii="Arial"/>
                <w:sz w:val="21"/>
                <w:highlight w:val="none"/>
              </w:rPr>
            </w:pPr>
          </w:p>
        </w:tc>
        <w:tc>
          <w:tcPr>
            <w:tcW w:w="900" w:type="dxa"/>
            <w:vAlign w:val="top"/>
          </w:tcPr>
          <w:p w14:paraId="4E34AA36">
            <w:pPr>
              <w:rPr>
                <w:rFonts w:ascii="Arial"/>
                <w:sz w:val="21"/>
                <w:highlight w:val="none"/>
              </w:rPr>
            </w:pPr>
          </w:p>
        </w:tc>
        <w:tc>
          <w:tcPr>
            <w:tcW w:w="819" w:type="dxa"/>
            <w:vAlign w:val="top"/>
          </w:tcPr>
          <w:p w14:paraId="5E5F3918">
            <w:pPr>
              <w:rPr>
                <w:rFonts w:ascii="Arial"/>
                <w:sz w:val="21"/>
                <w:highlight w:val="none"/>
              </w:rPr>
            </w:pPr>
          </w:p>
        </w:tc>
        <w:tc>
          <w:tcPr>
            <w:tcW w:w="1429" w:type="dxa"/>
            <w:vAlign w:val="top"/>
          </w:tcPr>
          <w:p w14:paraId="0C7AC7A3">
            <w:pPr>
              <w:rPr>
                <w:rFonts w:ascii="Arial"/>
                <w:sz w:val="21"/>
                <w:highlight w:val="none"/>
              </w:rPr>
            </w:pPr>
          </w:p>
        </w:tc>
        <w:tc>
          <w:tcPr>
            <w:tcW w:w="1502" w:type="dxa"/>
            <w:vAlign w:val="top"/>
          </w:tcPr>
          <w:p w14:paraId="66F94746">
            <w:pPr>
              <w:rPr>
                <w:rFonts w:ascii="Arial"/>
                <w:sz w:val="21"/>
                <w:highlight w:val="none"/>
              </w:rPr>
            </w:pPr>
          </w:p>
        </w:tc>
        <w:tc>
          <w:tcPr>
            <w:tcW w:w="1830" w:type="dxa"/>
            <w:tcBorders>
              <w:right w:val="single" w:color="000000" w:sz="10" w:space="0"/>
            </w:tcBorders>
            <w:vAlign w:val="top"/>
          </w:tcPr>
          <w:p w14:paraId="1E9F1B03">
            <w:pPr>
              <w:rPr>
                <w:rFonts w:ascii="Arial"/>
                <w:sz w:val="21"/>
                <w:highlight w:val="none"/>
              </w:rPr>
            </w:pPr>
          </w:p>
        </w:tc>
      </w:tr>
      <w:tr w14:paraId="7B986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6E81F80C">
            <w:pPr>
              <w:rPr>
                <w:rFonts w:ascii="Arial"/>
                <w:sz w:val="21"/>
                <w:highlight w:val="none"/>
              </w:rPr>
            </w:pPr>
          </w:p>
        </w:tc>
        <w:tc>
          <w:tcPr>
            <w:tcW w:w="2103" w:type="dxa"/>
            <w:vAlign w:val="top"/>
          </w:tcPr>
          <w:p w14:paraId="65CCF837">
            <w:pPr>
              <w:rPr>
                <w:rFonts w:ascii="Arial"/>
                <w:sz w:val="21"/>
                <w:highlight w:val="none"/>
              </w:rPr>
            </w:pPr>
          </w:p>
        </w:tc>
        <w:tc>
          <w:tcPr>
            <w:tcW w:w="900" w:type="dxa"/>
            <w:vAlign w:val="top"/>
          </w:tcPr>
          <w:p w14:paraId="60AD0C72">
            <w:pPr>
              <w:rPr>
                <w:rFonts w:ascii="Arial"/>
                <w:sz w:val="21"/>
                <w:highlight w:val="none"/>
              </w:rPr>
            </w:pPr>
          </w:p>
        </w:tc>
        <w:tc>
          <w:tcPr>
            <w:tcW w:w="819" w:type="dxa"/>
            <w:vAlign w:val="top"/>
          </w:tcPr>
          <w:p w14:paraId="60278FAB">
            <w:pPr>
              <w:rPr>
                <w:rFonts w:ascii="Arial"/>
                <w:sz w:val="21"/>
                <w:highlight w:val="none"/>
              </w:rPr>
            </w:pPr>
          </w:p>
        </w:tc>
        <w:tc>
          <w:tcPr>
            <w:tcW w:w="1429" w:type="dxa"/>
            <w:vAlign w:val="top"/>
          </w:tcPr>
          <w:p w14:paraId="38C3C131">
            <w:pPr>
              <w:rPr>
                <w:rFonts w:ascii="Arial"/>
                <w:sz w:val="21"/>
                <w:highlight w:val="none"/>
              </w:rPr>
            </w:pPr>
          </w:p>
        </w:tc>
        <w:tc>
          <w:tcPr>
            <w:tcW w:w="1502" w:type="dxa"/>
            <w:vAlign w:val="top"/>
          </w:tcPr>
          <w:p w14:paraId="536880C8">
            <w:pPr>
              <w:rPr>
                <w:rFonts w:ascii="Arial"/>
                <w:sz w:val="21"/>
                <w:highlight w:val="none"/>
              </w:rPr>
            </w:pPr>
          </w:p>
        </w:tc>
        <w:tc>
          <w:tcPr>
            <w:tcW w:w="1830" w:type="dxa"/>
            <w:tcBorders>
              <w:right w:val="single" w:color="000000" w:sz="10" w:space="0"/>
            </w:tcBorders>
            <w:vAlign w:val="top"/>
          </w:tcPr>
          <w:p w14:paraId="1A70B7FA">
            <w:pPr>
              <w:rPr>
                <w:rFonts w:ascii="Arial"/>
                <w:sz w:val="21"/>
                <w:highlight w:val="none"/>
              </w:rPr>
            </w:pPr>
          </w:p>
        </w:tc>
      </w:tr>
      <w:tr w14:paraId="7A73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2CFCE723">
            <w:pPr>
              <w:rPr>
                <w:rFonts w:ascii="Arial"/>
                <w:sz w:val="21"/>
                <w:highlight w:val="none"/>
              </w:rPr>
            </w:pPr>
          </w:p>
        </w:tc>
        <w:tc>
          <w:tcPr>
            <w:tcW w:w="2103" w:type="dxa"/>
            <w:vAlign w:val="top"/>
          </w:tcPr>
          <w:p w14:paraId="23CADF26">
            <w:pPr>
              <w:rPr>
                <w:rFonts w:ascii="Arial"/>
                <w:sz w:val="21"/>
                <w:highlight w:val="none"/>
              </w:rPr>
            </w:pPr>
          </w:p>
        </w:tc>
        <w:tc>
          <w:tcPr>
            <w:tcW w:w="900" w:type="dxa"/>
            <w:vAlign w:val="top"/>
          </w:tcPr>
          <w:p w14:paraId="6FC01A8F">
            <w:pPr>
              <w:rPr>
                <w:rFonts w:ascii="Arial"/>
                <w:sz w:val="21"/>
                <w:highlight w:val="none"/>
              </w:rPr>
            </w:pPr>
          </w:p>
        </w:tc>
        <w:tc>
          <w:tcPr>
            <w:tcW w:w="819" w:type="dxa"/>
            <w:vAlign w:val="top"/>
          </w:tcPr>
          <w:p w14:paraId="5B76B11D">
            <w:pPr>
              <w:rPr>
                <w:rFonts w:ascii="Arial"/>
                <w:sz w:val="21"/>
                <w:highlight w:val="none"/>
              </w:rPr>
            </w:pPr>
          </w:p>
        </w:tc>
        <w:tc>
          <w:tcPr>
            <w:tcW w:w="1429" w:type="dxa"/>
            <w:vAlign w:val="top"/>
          </w:tcPr>
          <w:p w14:paraId="2AFAFB92">
            <w:pPr>
              <w:rPr>
                <w:rFonts w:ascii="Arial"/>
                <w:sz w:val="21"/>
                <w:highlight w:val="none"/>
              </w:rPr>
            </w:pPr>
          </w:p>
        </w:tc>
        <w:tc>
          <w:tcPr>
            <w:tcW w:w="1502" w:type="dxa"/>
            <w:vAlign w:val="top"/>
          </w:tcPr>
          <w:p w14:paraId="11AA4CB8">
            <w:pPr>
              <w:rPr>
                <w:rFonts w:ascii="Arial"/>
                <w:sz w:val="21"/>
                <w:highlight w:val="none"/>
              </w:rPr>
            </w:pPr>
          </w:p>
        </w:tc>
        <w:tc>
          <w:tcPr>
            <w:tcW w:w="1830" w:type="dxa"/>
            <w:tcBorders>
              <w:right w:val="single" w:color="000000" w:sz="10" w:space="0"/>
            </w:tcBorders>
            <w:vAlign w:val="top"/>
          </w:tcPr>
          <w:p w14:paraId="33E8D638">
            <w:pPr>
              <w:rPr>
                <w:rFonts w:ascii="Arial"/>
                <w:sz w:val="21"/>
                <w:highlight w:val="none"/>
              </w:rPr>
            </w:pPr>
          </w:p>
        </w:tc>
      </w:tr>
      <w:tr w14:paraId="7CC22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7EC73331">
            <w:pPr>
              <w:rPr>
                <w:rFonts w:ascii="Arial"/>
                <w:sz w:val="21"/>
                <w:highlight w:val="none"/>
              </w:rPr>
            </w:pPr>
          </w:p>
        </w:tc>
        <w:tc>
          <w:tcPr>
            <w:tcW w:w="2103" w:type="dxa"/>
            <w:vAlign w:val="top"/>
          </w:tcPr>
          <w:p w14:paraId="59537B85">
            <w:pPr>
              <w:rPr>
                <w:rFonts w:ascii="Arial"/>
                <w:sz w:val="21"/>
                <w:highlight w:val="none"/>
              </w:rPr>
            </w:pPr>
          </w:p>
        </w:tc>
        <w:tc>
          <w:tcPr>
            <w:tcW w:w="900" w:type="dxa"/>
            <w:vAlign w:val="top"/>
          </w:tcPr>
          <w:p w14:paraId="62DAD2F8">
            <w:pPr>
              <w:rPr>
                <w:rFonts w:ascii="Arial"/>
                <w:sz w:val="21"/>
                <w:highlight w:val="none"/>
              </w:rPr>
            </w:pPr>
          </w:p>
        </w:tc>
        <w:tc>
          <w:tcPr>
            <w:tcW w:w="819" w:type="dxa"/>
            <w:vAlign w:val="top"/>
          </w:tcPr>
          <w:p w14:paraId="465C616F">
            <w:pPr>
              <w:rPr>
                <w:rFonts w:ascii="Arial"/>
                <w:sz w:val="21"/>
                <w:highlight w:val="none"/>
              </w:rPr>
            </w:pPr>
          </w:p>
        </w:tc>
        <w:tc>
          <w:tcPr>
            <w:tcW w:w="1429" w:type="dxa"/>
            <w:vAlign w:val="top"/>
          </w:tcPr>
          <w:p w14:paraId="0A3AAC95">
            <w:pPr>
              <w:rPr>
                <w:rFonts w:ascii="Arial"/>
                <w:sz w:val="21"/>
                <w:highlight w:val="none"/>
              </w:rPr>
            </w:pPr>
          </w:p>
        </w:tc>
        <w:tc>
          <w:tcPr>
            <w:tcW w:w="1502" w:type="dxa"/>
            <w:vAlign w:val="top"/>
          </w:tcPr>
          <w:p w14:paraId="7680B09E">
            <w:pPr>
              <w:rPr>
                <w:rFonts w:ascii="Arial"/>
                <w:sz w:val="21"/>
                <w:highlight w:val="none"/>
              </w:rPr>
            </w:pPr>
          </w:p>
        </w:tc>
        <w:tc>
          <w:tcPr>
            <w:tcW w:w="1830" w:type="dxa"/>
            <w:tcBorders>
              <w:right w:val="single" w:color="000000" w:sz="10" w:space="0"/>
            </w:tcBorders>
            <w:vAlign w:val="top"/>
          </w:tcPr>
          <w:p w14:paraId="0885BE19">
            <w:pPr>
              <w:rPr>
                <w:rFonts w:ascii="Arial"/>
                <w:sz w:val="21"/>
                <w:highlight w:val="none"/>
              </w:rPr>
            </w:pPr>
          </w:p>
        </w:tc>
      </w:tr>
      <w:tr w14:paraId="45FE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45E84083">
            <w:pPr>
              <w:rPr>
                <w:rFonts w:ascii="Arial"/>
                <w:sz w:val="21"/>
                <w:highlight w:val="none"/>
              </w:rPr>
            </w:pPr>
          </w:p>
        </w:tc>
        <w:tc>
          <w:tcPr>
            <w:tcW w:w="2103" w:type="dxa"/>
            <w:vAlign w:val="top"/>
          </w:tcPr>
          <w:p w14:paraId="1939A314">
            <w:pPr>
              <w:rPr>
                <w:rFonts w:ascii="Arial"/>
                <w:sz w:val="21"/>
                <w:highlight w:val="none"/>
              </w:rPr>
            </w:pPr>
          </w:p>
        </w:tc>
        <w:tc>
          <w:tcPr>
            <w:tcW w:w="900" w:type="dxa"/>
            <w:vAlign w:val="top"/>
          </w:tcPr>
          <w:p w14:paraId="52D8B332">
            <w:pPr>
              <w:rPr>
                <w:rFonts w:ascii="Arial"/>
                <w:sz w:val="21"/>
                <w:highlight w:val="none"/>
              </w:rPr>
            </w:pPr>
          </w:p>
        </w:tc>
        <w:tc>
          <w:tcPr>
            <w:tcW w:w="819" w:type="dxa"/>
            <w:vAlign w:val="top"/>
          </w:tcPr>
          <w:p w14:paraId="6E40E716">
            <w:pPr>
              <w:rPr>
                <w:rFonts w:ascii="Arial"/>
                <w:sz w:val="21"/>
                <w:highlight w:val="none"/>
              </w:rPr>
            </w:pPr>
          </w:p>
        </w:tc>
        <w:tc>
          <w:tcPr>
            <w:tcW w:w="1429" w:type="dxa"/>
            <w:vAlign w:val="top"/>
          </w:tcPr>
          <w:p w14:paraId="147D60BA">
            <w:pPr>
              <w:rPr>
                <w:rFonts w:ascii="Arial"/>
                <w:sz w:val="21"/>
                <w:highlight w:val="none"/>
              </w:rPr>
            </w:pPr>
          </w:p>
        </w:tc>
        <w:tc>
          <w:tcPr>
            <w:tcW w:w="1502" w:type="dxa"/>
            <w:vAlign w:val="top"/>
          </w:tcPr>
          <w:p w14:paraId="0241B0E5">
            <w:pPr>
              <w:rPr>
                <w:rFonts w:ascii="Arial"/>
                <w:sz w:val="21"/>
                <w:highlight w:val="none"/>
              </w:rPr>
            </w:pPr>
          </w:p>
        </w:tc>
        <w:tc>
          <w:tcPr>
            <w:tcW w:w="1830" w:type="dxa"/>
            <w:tcBorders>
              <w:right w:val="single" w:color="000000" w:sz="10" w:space="0"/>
            </w:tcBorders>
            <w:vAlign w:val="top"/>
          </w:tcPr>
          <w:p w14:paraId="06E01F58">
            <w:pPr>
              <w:rPr>
                <w:rFonts w:ascii="Arial"/>
                <w:sz w:val="21"/>
                <w:highlight w:val="none"/>
              </w:rPr>
            </w:pPr>
          </w:p>
        </w:tc>
      </w:tr>
      <w:tr w14:paraId="205B7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1527DA93">
            <w:pPr>
              <w:rPr>
                <w:rFonts w:ascii="Arial"/>
                <w:sz w:val="21"/>
                <w:highlight w:val="none"/>
              </w:rPr>
            </w:pPr>
          </w:p>
        </w:tc>
        <w:tc>
          <w:tcPr>
            <w:tcW w:w="2103" w:type="dxa"/>
            <w:vAlign w:val="top"/>
          </w:tcPr>
          <w:p w14:paraId="1DABE3EC">
            <w:pPr>
              <w:rPr>
                <w:rFonts w:ascii="Arial"/>
                <w:sz w:val="21"/>
                <w:highlight w:val="none"/>
              </w:rPr>
            </w:pPr>
          </w:p>
        </w:tc>
        <w:tc>
          <w:tcPr>
            <w:tcW w:w="900" w:type="dxa"/>
            <w:vAlign w:val="top"/>
          </w:tcPr>
          <w:p w14:paraId="500F4B83">
            <w:pPr>
              <w:rPr>
                <w:rFonts w:ascii="Arial"/>
                <w:sz w:val="21"/>
                <w:highlight w:val="none"/>
              </w:rPr>
            </w:pPr>
          </w:p>
        </w:tc>
        <w:tc>
          <w:tcPr>
            <w:tcW w:w="819" w:type="dxa"/>
            <w:vAlign w:val="top"/>
          </w:tcPr>
          <w:p w14:paraId="030DFF44">
            <w:pPr>
              <w:rPr>
                <w:rFonts w:ascii="Arial"/>
                <w:sz w:val="21"/>
                <w:highlight w:val="none"/>
              </w:rPr>
            </w:pPr>
          </w:p>
        </w:tc>
        <w:tc>
          <w:tcPr>
            <w:tcW w:w="1429" w:type="dxa"/>
            <w:vAlign w:val="top"/>
          </w:tcPr>
          <w:p w14:paraId="7C9FE22E">
            <w:pPr>
              <w:rPr>
                <w:rFonts w:ascii="Arial"/>
                <w:sz w:val="21"/>
                <w:highlight w:val="none"/>
              </w:rPr>
            </w:pPr>
          </w:p>
        </w:tc>
        <w:tc>
          <w:tcPr>
            <w:tcW w:w="1502" w:type="dxa"/>
            <w:vAlign w:val="top"/>
          </w:tcPr>
          <w:p w14:paraId="58E0562F">
            <w:pPr>
              <w:rPr>
                <w:rFonts w:ascii="Arial"/>
                <w:sz w:val="21"/>
                <w:highlight w:val="none"/>
              </w:rPr>
            </w:pPr>
          </w:p>
        </w:tc>
        <w:tc>
          <w:tcPr>
            <w:tcW w:w="1830" w:type="dxa"/>
            <w:tcBorders>
              <w:right w:val="single" w:color="000000" w:sz="10" w:space="0"/>
            </w:tcBorders>
            <w:vAlign w:val="top"/>
          </w:tcPr>
          <w:p w14:paraId="07E7F5DB">
            <w:pPr>
              <w:rPr>
                <w:rFonts w:ascii="Arial"/>
                <w:sz w:val="21"/>
                <w:highlight w:val="none"/>
              </w:rPr>
            </w:pPr>
          </w:p>
        </w:tc>
      </w:tr>
      <w:tr w14:paraId="159A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8" w:type="dxa"/>
            <w:tcBorders>
              <w:left w:val="single" w:color="000000" w:sz="8" w:space="0"/>
            </w:tcBorders>
            <w:vAlign w:val="top"/>
          </w:tcPr>
          <w:p w14:paraId="2EA61475">
            <w:pPr>
              <w:rPr>
                <w:rFonts w:ascii="Arial"/>
                <w:sz w:val="21"/>
                <w:highlight w:val="none"/>
              </w:rPr>
            </w:pPr>
          </w:p>
        </w:tc>
        <w:tc>
          <w:tcPr>
            <w:tcW w:w="2103" w:type="dxa"/>
            <w:vAlign w:val="top"/>
          </w:tcPr>
          <w:p w14:paraId="19A0D8F5">
            <w:pPr>
              <w:rPr>
                <w:rFonts w:ascii="Arial"/>
                <w:sz w:val="21"/>
                <w:highlight w:val="none"/>
              </w:rPr>
            </w:pPr>
          </w:p>
        </w:tc>
        <w:tc>
          <w:tcPr>
            <w:tcW w:w="900" w:type="dxa"/>
            <w:vAlign w:val="top"/>
          </w:tcPr>
          <w:p w14:paraId="7FD625EC">
            <w:pPr>
              <w:rPr>
                <w:rFonts w:ascii="Arial"/>
                <w:sz w:val="21"/>
                <w:highlight w:val="none"/>
              </w:rPr>
            </w:pPr>
          </w:p>
        </w:tc>
        <w:tc>
          <w:tcPr>
            <w:tcW w:w="819" w:type="dxa"/>
            <w:vAlign w:val="top"/>
          </w:tcPr>
          <w:p w14:paraId="5FFFE2E1">
            <w:pPr>
              <w:rPr>
                <w:rFonts w:ascii="Arial"/>
                <w:sz w:val="21"/>
                <w:highlight w:val="none"/>
              </w:rPr>
            </w:pPr>
          </w:p>
        </w:tc>
        <w:tc>
          <w:tcPr>
            <w:tcW w:w="1429" w:type="dxa"/>
            <w:vAlign w:val="top"/>
          </w:tcPr>
          <w:p w14:paraId="4D56F54E">
            <w:pPr>
              <w:rPr>
                <w:rFonts w:ascii="Arial"/>
                <w:sz w:val="21"/>
                <w:highlight w:val="none"/>
              </w:rPr>
            </w:pPr>
          </w:p>
        </w:tc>
        <w:tc>
          <w:tcPr>
            <w:tcW w:w="1502" w:type="dxa"/>
            <w:vAlign w:val="top"/>
          </w:tcPr>
          <w:p w14:paraId="72FE2E51">
            <w:pPr>
              <w:rPr>
                <w:rFonts w:ascii="Arial"/>
                <w:sz w:val="21"/>
                <w:highlight w:val="none"/>
              </w:rPr>
            </w:pPr>
          </w:p>
        </w:tc>
        <w:tc>
          <w:tcPr>
            <w:tcW w:w="1830" w:type="dxa"/>
            <w:tcBorders>
              <w:right w:val="single" w:color="000000" w:sz="10" w:space="0"/>
            </w:tcBorders>
            <w:vAlign w:val="top"/>
          </w:tcPr>
          <w:p w14:paraId="7884B603">
            <w:pPr>
              <w:rPr>
                <w:rFonts w:ascii="Arial"/>
                <w:sz w:val="21"/>
                <w:highlight w:val="none"/>
              </w:rPr>
            </w:pPr>
          </w:p>
        </w:tc>
      </w:tr>
      <w:tr w14:paraId="53F7A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8" w:type="dxa"/>
            <w:tcBorders>
              <w:left w:val="single" w:color="000000" w:sz="8" w:space="0"/>
            </w:tcBorders>
            <w:vAlign w:val="top"/>
          </w:tcPr>
          <w:p w14:paraId="5B10D371">
            <w:pPr>
              <w:rPr>
                <w:rFonts w:ascii="Arial"/>
                <w:sz w:val="21"/>
                <w:highlight w:val="none"/>
              </w:rPr>
            </w:pPr>
          </w:p>
        </w:tc>
        <w:tc>
          <w:tcPr>
            <w:tcW w:w="2103" w:type="dxa"/>
            <w:vAlign w:val="top"/>
          </w:tcPr>
          <w:p w14:paraId="26483D09">
            <w:pPr>
              <w:rPr>
                <w:rFonts w:ascii="Arial"/>
                <w:sz w:val="21"/>
                <w:highlight w:val="none"/>
              </w:rPr>
            </w:pPr>
          </w:p>
        </w:tc>
        <w:tc>
          <w:tcPr>
            <w:tcW w:w="900" w:type="dxa"/>
            <w:vAlign w:val="top"/>
          </w:tcPr>
          <w:p w14:paraId="1C194B85">
            <w:pPr>
              <w:rPr>
                <w:rFonts w:ascii="Arial"/>
                <w:sz w:val="21"/>
                <w:highlight w:val="none"/>
              </w:rPr>
            </w:pPr>
          </w:p>
        </w:tc>
        <w:tc>
          <w:tcPr>
            <w:tcW w:w="819" w:type="dxa"/>
            <w:vAlign w:val="top"/>
          </w:tcPr>
          <w:p w14:paraId="69E16C69">
            <w:pPr>
              <w:rPr>
                <w:rFonts w:ascii="Arial"/>
                <w:sz w:val="21"/>
                <w:highlight w:val="none"/>
              </w:rPr>
            </w:pPr>
          </w:p>
        </w:tc>
        <w:tc>
          <w:tcPr>
            <w:tcW w:w="1429" w:type="dxa"/>
            <w:vAlign w:val="top"/>
          </w:tcPr>
          <w:p w14:paraId="0A535AA0">
            <w:pPr>
              <w:rPr>
                <w:rFonts w:ascii="Arial"/>
                <w:sz w:val="21"/>
                <w:highlight w:val="none"/>
              </w:rPr>
            </w:pPr>
          </w:p>
        </w:tc>
        <w:tc>
          <w:tcPr>
            <w:tcW w:w="1502" w:type="dxa"/>
            <w:vAlign w:val="top"/>
          </w:tcPr>
          <w:p w14:paraId="625438BB">
            <w:pPr>
              <w:rPr>
                <w:rFonts w:ascii="Arial"/>
                <w:sz w:val="21"/>
                <w:highlight w:val="none"/>
              </w:rPr>
            </w:pPr>
          </w:p>
        </w:tc>
        <w:tc>
          <w:tcPr>
            <w:tcW w:w="1830" w:type="dxa"/>
            <w:tcBorders>
              <w:right w:val="single" w:color="000000" w:sz="10" w:space="0"/>
            </w:tcBorders>
            <w:vAlign w:val="top"/>
          </w:tcPr>
          <w:p w14:paraId="738ECF98">
            <w:pPr>
              <w:rPr>
                <w:rFonts w:ascii="Arial"/>
                <w:sz w:val="21"/>
                <w:highlight w:val="none"/>
              </w:rPr>
            </w:pPr>
          </w:p>
        </w:tc>
      </w:tr>
      <w:tr w14:paraId="5F25A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8" w:type="dxa"/>
            <w:tcBorders>
              <w:left w:val="single" w:color="000000" w:sz="8" w:space="0"/>
              <w:bottom w:val="single" w:color="000000" w:sz="10" w:space="0"/>
            </w:tcBorders>
            <w:vAlign w:val="top"/>
          </w:tcPr>
          <w:p w14:paraId="7DA50658">
            <w:pPr>
              <w:rPr>
                <w:rFonts w:ascii="Arial"/>
                <w:sz w:val="21"/>
                <w:highlight w:val="none"/>
              </w:rPr>
            </w:pPr>
          </w:p>
        </w:tc>
        <w:tc>
          <w:tcPr>
            <w:tcW w:w="2103" w:type="dxa"/>
            <w:tcBorders>
              <w:bottom w:val="single" w:color="000000" w:sz="10" w:space="0"/>
            </w:tcBorders>
            <w:vAlign w:val="top"/>
          </w:tcPr>
          <w:p w14:paraId="16E38E13">
            <w:pPr>
              <w:rPr>
                <w:rFonts w:ascii="Arial"/>
                <w:sz w:val="21"/>
                <w:highlight w:val="none"/>
              </w:rPr>
            </w:pPr>
          </w:p>
        </w:tc>
        <w:tc>
          <w:tcPr>
            <w:tcW w:w="900" w:type="dxa"/>
            <w:tcBorders>
              <w:bottom w:val="single" w:color="000000" w:sz="10" w:space="0"/>
            </w:tcBorders>
            <w:vAlign w:val="top"/>
          </w:tcPr>
          <w:p w14:paraId="565B6B2E">
            <w:pPr>
              <w:rPr>
                <w:rFonts w:ascii="Arial"/>
                <w:sz w:val="21"/>
                <w:highlight w:val="none"/>
              </w:rPr>
            </w:pPr>
          </w:p>
        </w:tc>
        <w:tc>
          <w:tcPr>
            <w:tcW w:w="819" w:type="dxa"/>
            <w:tcBorders>
              <w:bottom w:val="single" w:color="000000" w:sz="10" w:space="0"/>
            </w:tcBorders>
            <w:vAlign w:val="top"/>
          </w:tcPr>
          <w:p w14:paraId="32856A9E">
            <w:pPr>
              <w:rPr>
                <w:rFonts w:ascii="Arial"/>
                <w:sz w:val="21"/>
                <w:highlight w:val="none"/>
              </w:rPr>
            </w:pPr>
          </w:p>
        </w:tc>
        <w:tc>
          <w:tcPr>
            <w:tcW w:w="1429" w:type="dxa"/>
            <w:tcBorders>
              <w:bottom w:val="single" w:color="000000" w:sz="10" w:space="0"/>
            </w:tcBorders>
            <w:vAlign w:val="top"/>
          </w:tcPr>
          <w:p w14:paraId="676F4AB1">
            <w:pPr>
              <w:rPr>
                <w:rFonts w:ascii="Arial"/>
                <w:sz w:val="21"/>
                <w:highlight w:val="none"/>
              </w:rPr>
            </w:pPr>
          </w:p>
        </w:tc>
        <w:tc>
          <w:tcPr>
            <w:tcW w:w="1502" w:type="dxa"/>
            <w:tcBorders>
              <w:bottom w:val="single" w:color="000000" w:sz="10" w:space="0"/>
            </w:tcBorders>
            <w:vAlign w:val="top"/>
          </w:tcPr>
          <w:p w14:paraId="619410CB">
            <w:pPr>
              <w:rPr>
                <w:rFonts w:ascii="Arial"/>
                <w:sz w:val="21"/>
                <w:highlight w:val="none"/>
              </w:rPr>
            </w:pPr>
          </w:p>
        </w:tc>
        <w:tc>
          <w:tcPr>
            <w:tcW w:w="1830" w:type="dxa"/>
            <w:tcBorders>
              <w:bottom w:val="single" w:color="000000" w:sz="10" w:space="0"/>
              <w:right w:val="single" w:color="000000" w:sz="10" w:space="0"/>
            </w:tcBorders>
            <w:vAlign w:val="top"/>
          </w:tcPr>
          <w:p w14:paraId="0E68CFCC">
            <w:pPr>
              <w:rPr>
                <w:rFonts w:ascii="Arial"/>
                <w:sz w:val="21"/>
                <w:highlight w:val="none"/>
              </w:rPr>
            </w:pPr>
          </w:p>
        </w:tc>
      </w:tr>
    </w:tbl>
    <w:p w14:paraId="0F15BB24">
      <w:pPr>
        <w:pStyle w:val="3"/>
        <w:rPr>
          <w:highlight w:val="none"/>
        </w:rPr>
      </w:pPr>
    </w:p>
    <w:p w14:paraId="00F5FA0F">
      <w:pPr>
        <w:rPr>
          <w:highlight w:val="none"/>
        </w:rPr>
        <w:sectPr>
          <w:footerReference r:id="rId70" w:type="default"/>
          <w:pgSz w:w="11909" w:h="16841"/>
          <w:pgMar w:top="1431" w:right="1144" w:bottom="1045" w:left="1080" w:header="0" w:footer="814" w:gutter="0"/>
          <w:cols w:space="720" w:num="1"/>
        </w:sectPr>
      </w:pPr>
    </w:p>
    <w:p w14:paraId="1728085A">
      <w:pPr>
        <w:spacing w:before="69" w:line="218" w:lineRule="auto"/>
        <w:ind w:left="3570"/>
        <w:rPr>
          <w:rFonts w:ascii="宋体" w:hAnsi="宋体" w:eastAsia="宋体" w:cs="宋体"/>
          <w:sz w:val="24"/>
          <w:szCs w:val="24"/>
          <w:highlight w:val="none"/>
        </w:rPr>
      </w:pPr>
      <w:r>
        <w:rPr>
          <w:rFonts w:ascii="宋体" w:hAnsi="宋体" w:eastAsia="宋体" w:cs="宋体"/>
          <w:spacing w:val="-7"/>
          <w:sz w:val="24"/>
          <w:szCs w:val="24"/>
          <w:highlight w:val="none"/>
        </w:rPr>
        <w:t>11-2：工程设备暂估价表</w:t>
      </w:r>
    </w:p>
    <w:p w14:paraId="4F7B8F10">
      <w:pPr>
        <w:spacing w:line="133" w:lineRule="exact"/>
        <w:rPr>
          <w:highlight w:val="none"/>
        </w:rPr>
      </w:pPr>
    </w:p>
    <w:tbl>
      <w:tblPr>
        <w:tblStyle w:val="24"/>
        <w:tblW w:w="960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
        <w:gridCol w:w="2089"/>
        <w:gridCol w:w="893"/>
        <w:gridCol w:w="815"/>
        <w:gridCol w:w="1422"/>
        <w:gridCol w:w="1492"/>
        <w:gridCol w:w="1817"/>
      </w:tblGrid>
      <w:tr w14:paraId="60C91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73" w:type="dxa"/>
            <w:tcBorders>
              <w:top w:val="single" w:color="000000" w:sz="10" w:space="0"/>
              <w:left w:val="single" w:color="000000" w:sz="8" w:space="0"/>
            </w:tcBorders>
            <w:vAlign w:val="top"/>
          </w:tcPr>
          <w:p w14:paraId="08A30721">
            <w:pPr>
              <w:spacing w:before="164" w:line="221" w:lineRule="auto"/>
              <w:ind w:left="267"/>
              <w:rPr>
                <w:rFonts w:ascii="宋体" w:hAnsi="宋体" w:eastAsia="宋体" w:cs="宋体"/>
                <w:sz w:val="24"/>
                <w:szCs w:val="24"/>
                <w:highlight w:val="none"/>
              </w:rPr>
            </w:pPr>
            <w:r>
              <w:rPr>
                <w:rFonts w:ascii="宋体" w:hAnsi="宋体" w:eastAsia="宋体" w:cs="宋体"/>
                <w:spacing w:val="-4"/>
                <w:sz w:val="24"/>
                <w:szCs w:val="24"/>
                <w:highlight w:val="none"/>
              </w:rPr>
              <w:t>序号</w:t>
            </w:r>
          </w:p>
        </w:tc>
        <w:tc>
          <w:tcPr>
            <w:tcW w:w="2089" w:type="dxa"/>
            <w:tcBorders>
              <w:top w:val="single" w:color="000000" w:sz="10" w:space="0"/>
            </w:tcBorders>
            <w:vAlign w:val="top"/>
          </w:tcPr>
          <w:p w14:paraId="185FDBAC">
            <w:pPr>
              <w:spacing w:before="166" w:line="222" w:lineRule="auto"/>
              <w:ind w:left="755"/>
              <w:rPr>
                <w:rFonts w:ascii="宋体" w:hAnsi="宋体" w:eastAsia="宋体" w:cs="宋体"/>
                <w:sz w:val="24"/>
                <w:szCs w:val="24"/>
                <w:highlight w:val="none"/>
              </w:rPr>
            </w:pPr>
            <w:r>
              <w:rPr>
                <w:rFonts w:ascii="宋体" w:hAnsi="宋体" w:eastAsia="宋体" w:cs="宋体"/>
                <w:spacing w:val="-6"/>
                <w:sz w:val="24"/>
                <w:szCs w:val="24"/>
                <w:highlight w:val="none"/>
              </w:rPr>
              <w:t>名称</w:t>
            </w:r>
          </w:p>
        </w:tc>
        <w:tc>
          <w:tcPr>
            <w:tcW w:w="893" w:type="dxa"/>
            <w:tcBorders>
              <w:top w:val="single" w:color="000000" w:sz="10" w:space="0"/>
            </w:tcBorders>
            <w:vAlign w:val="top"/>
          </w:tcPr>
          <w:p w14:paraId="52C39685">
            <w:pPr>
              <w:spacing w:before="165" w:line="220" w:lineRule="auto"/>
              <w:ind w:left="197"/>
              <w:rPr>
                <w:rFonts w:ascii="宋体" w:hAnsi="宋体" w:eastAsia="宋体" w:cs="宋体"/>
                <w:sz w:val="24"/>
                <w:szCs w:val="24"/>
                <w:highlight w:val="none"/>
              </w:rPr>
            </w:pPr>
            <w:r>
              <w:rPr>
                <w:rFonts w:ascii="宋体" w:hAnsi="宋体" w:eastAsia="宋体" w:cs="宋体"/>
                <w:spacing w:val="-5"/>
                <w:sz w:val="24"/>
                <w:szCs w:val="24"/>
                <w:highlight w:val="none"/>
              </w:rPr>
              <w:t>单位</w:t>
            </w:r>
          </w:p>
        </w:tc>
        <w:tc>
          <w:tcPr>
            <w:tcW w:w="815" w:type="dxa"/>
            <w:tcBorders>
              <w:top w:val="single" w:color="000000" w:sz="10" w:space="0"/>
            </w:tcBorders>
            <w:vAlign w:val="top"/>
          </w:tcPr>
          <w:p w14:paraId="27624912">
            <w:pPr>
              <w:spacing w:before="161" w:line="220" w:lineRule="auto"/>
              <w:ind w:left="163"/>
              <w:rPr>
                <w:rFonts w:ascii="宋体" w:hAnsi="宋体" w:eastAsia="宋体" w:cs="宋体"/>
                <w:sz w:val="24"/>
                <w:szCs w:val="24"/>
                <w:highlight w:val="none"/>
              </w:rPr>
            </w:pPr>
            <w:r>
              <w:rPr>
                <w:rFonts w:ascii="宋体" w:hAnsi="宋体" w:eastAsia="宋体" w:cs="宋体"/>
                <w:spacing w:val="-5"/>
                <w:sz w:val="24"/>
                <w:szCs w:val="24"/>
                <w:highlight w:val="none"/>
              </w:rPr>
              <w:t>数量</w:t>
            </w:r>
          </w:p>
        </w:tc>
        <w:tc>
          <w:tcPr>
            <w:tcW w:w="1422" w:type="dxa"/>
            <w:tcBorders>
              <w:top w:val="single" w:color="000000" w:sz="10" w:space="0"/>
            </w:tcBorders>
            <w:vAlign w:val="top"/>
          </w:tcPr>
          <w:p w14:paraId="334B1CCF">
            <w:pPr>
              <w:spacing w:before="164" w:line="218" w:lineRule="auto"/>
              <w:ind w:left="146"/>
              <w:rPr>
                <w:rFonts w:ascii="宋体" w:hAnsi="宋体" w:eastAsia="宋体" w:cs="宋体"/>
                <w:sz w:val="24"/>
                <w:szCs w:val="24"/>
                <w:highlight w:val="none"/>
              </w:rPr>
            </w:pPr>
            <w:r>
              <w:rPr>
                <w:rFonts w:ascii="宋体" w:hAnsi="宋体" w:eastAsia="宋体" w:cs="宋体"/>
                <w:spacing w:val="-11"/>
                <w:sz w:val="24"/>
                <w:szCs w:val="24"/>
                <w:highlight w:val="none"/>
              </w:rPr>
              <w:t>单价（元）</w:t>
            </w:r>
          </w:p>
        </w:tc>
        <w:tc>
          <w:tcPr>
            <w:tcW w:w="1492" w:type="dxa"/>
            <w:tcBorders>
              <w:top w:val="single" w:color="000000" w:sz="10" w:space="0"/>
            </w:tcBorders>
            <w:vAlign w:val="top"/>
          </w:tcPr>
          <w:p w14:paraId="0F449073">
            <w:pPr>
              <w:spacing w:before="164" w:line="218" w:lineRule="auto"/>
              <w:ind w:left="151"/>
              <w:rPr>
                <w:rFonts w:ascii="宋体" w:hAnsi="宋体" w:eastAsia="宋体" w:cs="宋体"/>
                <w:sz w:val="24"/>
                <w:szCs w:val="24"/>
                <w:highlight w:val="none"/>
              </w:rPr>
            </w:pPr>
            <w:r>
              <w:rPr>
                <w:rFonts w:ascii="宋体" w:hAnsi="宋体" w:eastAsia="宋体" w:cs="宋体"/>
                <w:spacing w:val="-11"/>
                <w:sz w:val="24"/>
                <w:szCs w:val="24"/>
                <w:highlight w:val="none"/>
              </w:rPr>
              <w:t>合价（元）</w:t>
            </w:r>
          </w:p>
        </w:tc>
        <w:tc>
          <w:tcPr>
            <w:tcW w:w="1817" w:type="dxa"/>
            <w:tcBorders>
              <w:top w:val="single" w:color="000000" w:sz="10" w:space="0"/>
              <w:right w:val="single" w:color="000000" w:sz="10" w:space="0"/>
            </w:tcBorders>
            <w:vAlign w:val="top"/>
          </w:tcPr>
          <w:p w14:paraId="3D32578C">
            <w:pPr>
              <w:spacing w:before="164" w:line="221" w:lineRule="auto"/>
              <w:ind w:left="648"/>
              <w:rPr>
                <w:rFonts w:ascii="宋体" w:hAnsi="宋体" w:eastAsia="宋体" w:cs="宋体"/>
                <w:sz w:val="24"/>
                <w:szCs w:val="24"/>
                <w:highlight w:val="none"/>
              </w:rPr>
            </w:pPr>
            <w:r>
              <w:rPr>
                <w:rFonts w:ascii="宋体" w:hAnsi="宋体" w:eastAsia="宋体" w:cs="宋体"/>
                <w:spacing w:val="-6"/>
                <w:sz w:val="24"/>
                <w:szCs w:val="24"/>
                <w:highlight w:val="none"/>
              </w:rPr>
              <w:t>备注</w:t>
            </w:r>
          </w:p>
        </w:tc>
      </w:tr>
      <w:tr w14:paraId="1D23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73" w:type="dxa"/>
            <w:tcBorders>
              <w:left w:val="single" w:color="000000" w:sz="8" w:space="0"/>
            </w:tcBorders>
            <w:vAlign w:val="top"/>
          </w:tcPr>
          <w:p w14:paraId="2D9F7492">
            <w:pPr>
              <w:rPr>
                <w:rFonts w:ascii="Arial"/>
                <w:sz w:val="21"/>
                <w:highlight w:val="none"/>
              </w:rPr>
            </w:pPr>
          </w:p>
        </w:tc>
        <w:tc>
          <w:tcPr>
            <w:tcW w:w="2089" w:type="dxa"/>
            <w:vAlign w:val="top"/>
          </w:tcPr>
          <w:p w14:paraId="04CD5F78">
            <w:pPr>
              <w:rPr>
                <w:rFonts w:ascii="Arial"/>
                <w:sz w:val="21"/>
                <w:highlight w:val="none"/>
              </w:rPr>
            </w:pPr>
          </w:p>
        </w:tc>
        <w:tc>
          <w:tcPr>
            <w:tcW w:w="893" w:type="dxa"/>
            <w:vAlign w:val="top"/>
          </w:tcPr>
          <w:p w14:paraId="36C4B506">
            <w:pPr>
              <w:rPr>
                <w:rFonts w:ascii="Arial"/>
                <w:sz w:val="21"/>
                <w:highlight w:val="none"/>
              </w:rPr>
            </w:pPr>
          </w:p>
        </w:tc>
        <w:tc>
          <w:tcPr>
            <w:tcW w:w="815" w:type="dxa"/>
            <w:vAlign w:val="top"/>
          </w:tcPr>
          <w:p w14:paraId="2807AE18">
            <w:pPr>
              <w:rPr>
                <w:rFonts w:ascii="Arial"/>
                <w:sz w:val="21"/>
                <w:highlight w:val="none"/>
              </w:rPr>
            </w:pPr>
          </w:p>
        </w:tc>
        <w:tc>
          <w:tcPr>
            <w:tcW w:w="1422" w:type="dxa"/>
            <w:vAlign w:val="top"/>
          </w:tcPr>
          <w:p w14:paraId="0A19717B">
            <w:pPr>
              <w:rPr>
                <w:rFonts w:ascii="Arial"/>
                <w:sz w:val="21"/>
                <w:highlight w:val="none"/>
              </w:rPr>
            </w:pPr>
          </w:p>
        </w:tc>
        <w:tc>
          <w:tcPr>
            <w:tcW w:w="1492" w:type="dxa"/>
            <w:vAlign w:val="top"/>
          </w:tcPr>
          <w:p w14:paraId="7C0BCAF5">
            <w:pPr>
              <w:rPr>
                <w:rFonts w:ascii="Arial"/>
                <w:sz w:val="21"/>
                <w:highlight w:val="none"/>
              </w:rPr>
            </w:pPr>
          </w:p>
        </w:tc>
        <w:tc>
          <w:tcPr>
            <w:tcW w:w="1817" w:type="dxa"/>
            <w:tcBorders>
              <w:right w:val="single" w:color="000000" w:sz="10" w:space="0"/>
            </w:tcBorders>
            <w:vAlign w:val="top"/>
          </w:tcPr>
          <w:p w14:paraId="6C90F76F">
            <w:pPr>
              <w:rPr>
                <w:rFonts w:ascii="Arial"/>
                <w:sz w:val="21"/>
                <w:highlight w:val="none"/>
              </w:rPr>
            </w:pPr>
          </w:p>
        </w:tc>
      </w:tr>
      <w:tr w14:paraId="2F89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73" w:type="dxa"/>
            <w:tcBorders>
              <w:left w:val="single" w:color="000000" w:sz="8" w:space="0"/>
            </w:tcBorders>
            <w:vAlign w:val="top"/>
          </w:tcPr>
          <w:p w14:paraId="0E5DAA1C">
            <w:pPr>
              <w:rPr>
                <w:rFonts w:ascii="Arial"/>
                <w:sz w:val="21"/>
                <w:highlight w:val="none"/>
              </w:rPr>
            </w:pPr>
          </w:p>
        </w:tc>
        <w:tc>
          <w:tcPr>
            <w:tcW w:w="2089" w:type="dxa"/>
            <w:vAlign w:val="top"/>
          </w:tcPr>
          <w:p w14:paraId="18A3DF8C">
            <w:pPr>
              <w:rPr>
                <w:rFonts w:ascii="Arial"/>
                <w:sz w:val="21"/>
                <w:highlight w:val="none"/>
              </w:rPr>
            </w:pPr>
          </w:p>
        </w:tc>
        <w:tc>
          <w:tcPr>
            <w:tcW w:w="893" w:type="dxa"/>
            <w:vAlign w:val="top"/>
          </w:tcPr>
          <w:p w14:paraId="6D059FD7">
            <w:pPr>
              <w:rPr>
                <w:rFonts w:ascii="Arial"/>
                <w:sz w:val="21"/>
                <w:highlight w:val="none"/>
              </w:rPr>
            </w:pPr>
          </w:p>
        </w:tc>
        <w:tc>
          <w:tcPr>
            <w:tcW w:w="815" w:type="dxa"/>
            <w:vAlign w:val="top"/>
          </w:tcPr>
          <w:p w14:paraId="319E133E">
            <w:pPr>
              <w:rPr>
                <w:rFonts w:ascii="Arial"/>
                <w:sz w:val="21"/>
                <w:highlight w:val="none"/>
              </w:rPr>
            </w:pPr>
          </w:p>
        </w:tc>
        <w:tc>
          <w:tcPr>
            <w:tcW w:w="1422" w:type="dxa"/>
            <w:vAlign w:val="top"/>
          </w:tcPr>
          <w:p w14:paraId="394DAB47">
            <w:pPr>
              <w:rPr>
                <w:rFonts w:ascii="Arial"/>
                <w:sz w:val="21"/>
                <w:highlight w:val="none"/>
              </w:rPr>
            </w:pPr>
          </w:p>
        </w:tc>
        <w:tc>
          <w:tcPr>
            <w:tcW w:w="1492" w:type="dxa"/>
            <w:vAlign w:val="top"/>
          </w:tcPr>
          <w:p w14:paraId="41829386">
            <w:pPr>
              <w:rPr>
                <w:rFonts w:ascii="Arial"/>
                <w:sz w:val="21"/>
                <w:highlight w:val="none"/>
              </w:rPr>
            </w:pPr>
          </w:p>
        </w:tc>
        <w:tc>
          <w:tcPr>
            <w:tcW w:w="1817" w:type="dxa"/>
            <w:tcBorders>
              <w:right w:val="single" w:color="000000" w:sz="10" w:space="0"/>
            </w:tcBorders>
            <w:vAlign w:val="top"/>
          </w:tcPr>
          <w:p w14:paraId="608585B1">
            <w:pPr>
              <w:rPr>
                <w:rFonts w:ascii="Arial"/>
                <w:sz w:val="21"/>
                <w:highlight w:val="none"/>
              </w:rPr>
            </w:pPr>
          </w:p>
        </w:tc>
      </w:tr>
      <w:tr w14:paraId="2A5F9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3" w:type="dxa"/>
            <w:tcBorders>
              <w:left w:val="single" w:color="000000" w:sz="8" w:space="0"/>
            </w:tcBorders>
            <w:vAlign w:val="top"/>
          </w:tcPr>
          <w:p w14:paraId="694F34AD">
            <w:pPr>
              <w:rPr>
                <w:rFonts w:ascii="Arial"/>
                <w:sz w:val="21"/>
                <w:highlight w:val="none"/>
              </w:rPr>
            </w:pPr>
          </w:p>
        </w:tc>
        <w:tc>
          <w:tcPr>
            <w:tcW w:w="2089" w:type="dxa"/>
            <w:vAlign w:val="top"/>
          </w:tcPr>
          <w:p w14:paraId="086F8A96">
            <w:pPr>
              <w:rPr>
                <w:rFonts w:ascii="Arial"/>
                <w:sz w:val="21"/>
                <w:highlight w:val="none"/>
              </w:rPr>
            </w:pPr>
          </w:p>
        </w:tc>
        <w:tc>
          <w:tcPr>
            <w:tcW w:w="893" w:type="dxa"/>
            <w:vAlign w:val="top"/>
          </w:tcPr>
          <w:p w14:paraId="15B52567">
            <w:pPr>
              <w:rPr>
                <w:rFonts w:ascii="Arial"/>
                <w:sz w:val="21"/>
                <w:highlight w:val="none"/>
              </w:rPr>
            </w:pPr>
          </w:p>
        </w:tc>
        <w:tc>
          <w:tcPr>
            <w:tcW w:w="815" w:type="dxa"/>
            <w:vAlign w:val="top"/>
          </w:tcPr>
          <w:p w14:paraId="16635938">
            <w:pPr>
              <w:rPr>
                <w:rFonts w:ascii="Arial"/>
                <w:sz w:val="21"/>
                <w:highlight w:val="none"/>
              </w:rPr>
            </w:pPr>
          </w:p>
        </w:tc>
        <w:tc>
          <w:tcPr>
            <w:tcW w:w="1422" w:type="dxa"/>
            <w:vAlign w:val="top"/>
          </w:tcPr>
          <w:p w14:paraId="54F96C3D">
            <w:pPr>
              <w:rPr>
                <w:rFonts w:ascii="Arial"/>
                <w:sz w:val="21"/>
                <w:highlight w:val="none"/>
              </w:rPr>
            </w:pPr>
          </w:p>
        </w:tc>
        <w:tc>
          <w:tcPr>
            <w:tcW w:w="1492" w:type="dxa"/>
            <w:vAlign w:val="top"/>
          </w:tcPr>
          <w:p w14:paraId="51518E80">
            <w:pPr>
              <w:rPr>
                <w:rFonts w:ascii="Arial"/>
                <w:sz w:val="21"/>
                <w:highlight w:val="none"/>
              </w:rPr>
            </w:pPr>
          </w:p>
        </w:tc>
        <w:tc>
          <w:tcPr>
            <w:tcW w:w="1817" w:type="dxa"/>
            <w:tcBorders>
              <w:right w:val="single" w:color="000000" w:sz="10" w:space="0"/>
            </w:tcBorders>
            <w:vAlign w:val="top"/>
          </w:tcPr>
          <w:p w14:paraId="123DF350">
            <w:pPr>
              <w:rPr>
                <w:rFonts w:ascii="Arial"/>
                <w:sz w:val="21"/>
                <w:highlight w:val="none"/>
              </w:rPr>
            </w:pPr>
          </w:p>
        </w:tc>
      </w:tr>
      <w:tr w14:paraId="659F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73" w:type="dxa"/>
            <w:tcBorders>
              <w:left w:val="single" w:color="000000" w:sz="8" w:space="0"/>
            </w:tcBorders>
            <w:vAlign w:val="top"/>
          </w:tcPr>
          <w:p w14:paraId="62A01283">
            <w:pPr>
              <w:rPr>
                <w:rFonts w:ascii="Arial"/>
                <w:sz w:val="21"/>
                <w:highlight w:val="none"/>
              </w:rPr>
            </w:pPr>
          </w:p>
        </w:tc>
        <w:tc>
          <w:tcPr>
            <w:tcW w:w="2089" w:type="dxa"/>
            <w:vAlign w:val="top"/>
          </w:tcPr>
          <w:p w14:paraId="4718929A">
            <w:pPr>
              <w:rPr>
                <w:rFonts w:ascii="Arial"/>
                <w:sz w:val="21"/>
                <w:highlight w:val="none"/>
              </w:rPr>
            </w:pPr>
          </w:p>
        </w:tc>
        <w:tc>
          <w:tcPr>
            <w:tcW w:w="893" w:type="dxa"/>
            <w:vAlign w:val="top"/>
          </w:tcPr>
          <w:p w14:paraId="68E196AB">
            <w:pPr>
              <w:rPr>
                <w:rFonts w:ascii="Arial"/>
                <w:sz w:val="21"/>
                <w:highlight w:val="none"/>
              </w:rPr>
            </w:pPr>
          </w:p>
        </w:tc>
        <w:tc>
          <w:tcPr>
            <w:tcW w:w="815" w:type="dxa"/>
            <w:vAlign w:val="top"/>
          </w:tcPr>
          <w:p w14:paraId="4F347087">
            <w:pPr>
              <w:rPr>
                <w:rFonts w:ascii="Arial"/>
                <w:sz w:val="21"/>
                <w:highlight w:val="none"/>
              </w:rPr>
            </w:pPr>
          </w:p>
        </w:tc>
        <w:tc>
          <w:tcPr>
            <w:tcW w:w="1422" w:type="dxa"/>
            <w:vAlign w:val="top"/>
          </w:tcPr>
          <w:p w14:paraId="539433DC">
            <w:pPr>
              <w:rPr>
                <w:rFonts w:ascii="Arial"/>
                <w:sz w:val="21"/>
                <w:highlight w:val="none"/>
              </w:rPr>
            </w:pPr>
          </w:p>
        </w:tc>
        <w:tc>
          <w:tcPr>
            <w:tcW w:w="1492" w:type="dxa"/>
            <w:vAlign w:val="top"/>
          </w:tcPr>
          <w:p w14:paraId="1D560A35">
            <w:pPr>
              <w:rPr>
                <w:rFonts w:ascii="Arial"/>
                <w:sz w:val="21"/>
                <w:highlight w:val="none"/>
              </w:rPr>
            </w:pPr>
          </w:p>
        </w:tc>
        <w:tc>
          <w:tcPr>
            <w:tcW w:w="1817" w:type="dxa"/>
            <w:tcBorders>
              <w:right w:val="single" w:color="000000" w:sz="10" w:space="0"/>
            </w:tcBorders>
            <w:vAlign w:val="top"/>
          </w:tcPr>
          <w:p w14:paraId="4705CA29">
            <w:pPr>
              <w:rPr>
                <w:rFonts w:ascii="Arial"/>
                <w:sz w:val="21"/>
                <w:highlight w:val="none"/>
              </w:rPr>
            </w:pPr>
          </w:p>
        </w:tc>
      </w:tr>
      <w:tr w14:paraId="5B7A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3" w:type="dxa"/>
            <w:tcBorders>
              <w:left w:val="single" w:color="000000" w:sz="8" w:space="0"/>
            </w:tcBorders>
            <w:vAlign w:val="top"/>
          </w:tcPr>
          <w:p w14:paraId="1A0649A6">
            <w:pPr>
              <w:rPr>
                <w:rFonts w:ascii="Arial"/>
                <w:sz w:val="21"/>
                <w:highlight w:val="none"/>
              </w:rPr>
            </w:pPr>
          </w:p>
        </w:tc>
        <w:tc>
          <w:tcPr>
            <w:tcW w:w="2089" w:type="dxa"/>
            <w:vAlign w:val="top"/>
          </w:tcPr>
          <w:p w14:paraId="340417EA">
            <w:pPr>
              <w:rPr>
                <w:rFonts w:ascii="Arial"/>
                <w:sz w:val="21"/>
                <w:highlight w:val="none"/>
              </w:rPr>
            </w:pPr>
          </w:p>
        </w:tc>
        <w:tc>
          <w:tcPr>
            <w:tcW w:w="893" w:type="dxa"/>
            <w:vAlign w:val="top"/>
          </w:tcPr>
          <w:p w14:paraId="7612DB19">
            <w:pPr>
              <w:rPr>
                <w:rFonts w:ascii="Arial"/>
                <w:sz w:val="21"/>
                <w:highlight w:val="none"/>
              </w:rPr>
            </w:pPr>
          </w:p>
        </w:tc>
        <w:tc>
          <w:tcPr>
            <w:tcW w:w="815" w:type="dxa"/>
            <w:vAlign w:val="top"/>
          </w:tcPr>
          <w:p w14:paraId="29AAE569">
            <w:pPr>
              <w:rPr>
                <w:rFonts w:ascii="Arial"/>
                <w:sz w:val="21"/>
                <w:highlight w:val="none"/>
              </w:rPr>
            </w:pPr>
          </w:p>
        </w:tc>
        <w:tc>
          <w:tcPr>
            <w:tcW w:w="1422" w:type="dxa"/>
            <w:vAlign w:val="top"/>
          </w:tcPr>
          <w:p w14:paraId="3DEAB51F">
            <w:pPr>
              <w:rPr>
                <w:rFonts w:ascii="Arial"/>
                <w:sz w:val="21"/>
                <w:highlight w:val="none"/>
              </w:rPr>
            </w:pPr>
          </w:p>
        </w:tc>
        <w:tc>
          <w:tcPr>
            <w:tcW w:w="1492" w:type="dxa"/>
            <w:vAlign w:val="top"/>
          </w:tcPr>
          <w:p w14:paraId="6C148FFD">
            <w:pPr>
              <w:rPr>
                <w:rFonts w:ascii="Arial"/>
                <w:sz w:val="21"/>
                <w:highlight w:val="none"/>
              </w:rPr>
            </w:pPr>
          </w:p>
        </w:tc>
        <w:tc>
          <w:tcPr>
            <w:tcW w:w="1817" w:type="dxa"/>
            <w:tcBorders>
              <w:right w:val="single" w:color="000000" w:sz="10" w:space="0"/>
            </w:tcBorders>
            <w:vAlign w:val="top"/>
          </w:tcPr>
          <w:p w14:paraId="5229ED9B">
            <w:pPr>
              <w:rPr>
                <w:rFonts w:ascii="Arial"/>
                <w:sz w:val="21"/>
                <w:highlight w:val="none"/>
              </w:rPr>
            </w:pPr>
          </w:p>
        </w:tc>
      </w:tr>
      <w:tr w14:paraId="14115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073" w:type="dxa"/>
            <w:tcBorders>
              <w:left w:val="single" w:color="000000" w:sz="8" w:space="0"/>
            </w:tcBorders>
            <w:vAlign w:val="top"/>
          </w:tcPr>
          <w:p w14:paraId="38AA19CC">
            <w:pPr>
              <w:rPr>
                <w:rFonts w:ascii="Arial"/>
                <w:sz w:val="21"/>
                <w:highlight w:val="none"/>
              </w:rPr>
            </w:pPr>
          </w:p>
        </w:tc>
        <w:tc>
          <w:tcPr>
            <w:tcW w:w="2089" w:type="dxa"/>
            <w:vAlign w:val="top"/>
          </w:tcPr>
          <w:p w14:paraId="7E76BBA4">
            <w:pPr>
              <w:rPr>
                <w:rFonts w:ascii="Arial"/>
                <w:sz w:val="21"/>
                <w:highlight w:val="none"/>
              </w:rPr>
            </w:pPr>
          </w:p>
        </w:tc>
        <w:tc>
          <w:tcPr>
            <w:tcW w:w="893" w:type="dxa"/>
            <w:vAlign w:val="top"/>
          </w:tcPr>
          <w:p w14:paraId="39D1DEAA">
            <w:pPr>
              <w:rPr>
                <w:rFonts w:ascii="Arial"/>
                <w:sz w:val="21"/>
                <w:highlight w:val="none"/>
              </w:rPr>
            </w:pPr>
          </w:p>
        </w:tc>
        <w:tc>
          <w:tcPr>
            <w:tcW w:w="815" w:type="dxa"/>
            <w:vAlign w:val="top"/>
          </w:tcPr>
          <w:p w14:paraId="56A45171">
            <w:pPr>
              <w:rPr>
                <w:rFonts w:ascii="Arial"/>
                <w:sz w:val="21"/>
                <w:highlight w:val="none"/>
              </w:rPr>
            </w:pPr>
          </w:p>
        </w:tc>
        <w:tc>
          <w:tcPr>
            <w:tcW w:w="1422" w:type="dxa"/>
            <w:vAlign w:val="top"/>
          </w:tcPr>
          <w:p w14:paraId="6C7FD407">
            <w:pPr>
              <w:rPr>
                <w:rFonts w:ascii="Arial"/>
                <w:sz w:val="21"/>
                <w:highlight w:val="none"/>
              </w:rPr>
            </w:pPr>
          </w:p>
        </w:tc>
        <w:tc>
          <w:tcPr>
            <w:tcW w:w="1492" w:type="dxa"/>
            <w:vAlign w:val="top"/>
          </w:tcPr>
          <w:p w14:paraId="60CFB059">
            <w:pPr>
              <w:rPr>
                <w:rFonts w:ascii="Arial"/>
                <w:sz w:val="21"/>
                <w:highlight w:val="none"/>
              </w:rPr>
            </w:pPr>
          </w:p>
        </w:tc>
        <w:tc>
          <w:tcPr>
            <w:tcW w:w="1817" w:type="dxa"/>
            <w:tcBorders>
              <w:right w:val="single" w:color="000000" w:sz="10" w:space="0"/>
            </w:tcBorders>
            <w:vAlign w:val="top"/>
          </w:tcPr>
          <w:p w14:paraId="7EF8C9CE">
            <w:pPr>
              <w:rPr>
                <w:rFonts w:ascii="Arial"/>
                <w:sz w:val="21"/>
                <w:highlight w:val="none"/>
              </w:rPr>
            </w:pPr>
          </w:p>
        </w:tc>
      </w:tr>
      <w:tr w14:paraId="718E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1073" w:type="dxa"/>
            <w:tcBorders>
              <w:left w:val="single" w:color="000000" w:sz="8" w:space="0"/>
            </w:tcBorders>
            <w:vAlign w:val="top"/>
          </w:tcPr>
          <w:p w14:paraId="0925BB1B">
            <w:pPr>
              <w:rPr>
                <w:rFonts w:ascii="Arial"/>
                <w:sz w:val="21"/>
                <w:highlight w:val="none"/>
              </w:rPr>
            </w:pPr>
          </w:p>
        </w:tc>
        <w:tc>
          <w:tcPr>
            <w:tcW w:w="2089" w:type="dxa"/>
            <w:vAlign w:val="top"/>
          </w:tcPr>
          <w:p w14:paraId="60712381">
            <w:pPr>
              <w:rPr>
                <w:rFonts w:ascii="Arial"/>
                <w:sz w:val="21"/>
                <w:highlight w:val="none"/>
              </w:rPr>
            </w:pPr>
          </w:p>
        </w:tc>
        <w:tc>
          <w:tcPr>
            <w:tcW w:w="893" w:type="dxa"/>
            <w:vAlign w:val="top"/>
          </w:tcPr>
          <w:p w14:paraId="322A8200">
            <w:pPr>
              <w:rPr>
                <w:rFonts w:ascii="Arial"/>
                <w:sz w:val="21"/>
                <w:highlight w:val="none"/>
              </w:rPr>
            </w:pPr>
          </w:p>
        </w:tc>
        <w:tc>
          <w:tcPr>
            <w:tcW w:w="815" w:type="dxa"/>
            <w:vAlign w:val="top"/>
          </w:tcPr>
          <w:p w14:paraId="156165DF">
            <w:pPr>
              <w:rPr>
                <w:rFonts w:ascii="Arial"/>
                <w:sz w:val="21"/>
                <w:highlight w:val="none"/>
              </w:rPr>
            </w:pPr>
          </w:p>
        </w:tc>
        <w:tc>
          <w:tcPr>
            <w:tcW w:w="1422" w:type="dxa"/>
            <w:vAlign w:val="top"/>
          </w:tcPr>
          <w:p w14:paraId="48DCFF80">
            <w:pPr>
              <w:rPr>
                <w:rFonts w:ascii="Arial"/>
                <w:sz w:val="21"/>
                <w:highlight w:val="none"/>
              </w:rPr>
            </w:pPr>
          </w:p>
        </w:tc>
        <w:tc>
          <w:tcPr>
            <w:tcW w:w="1492" w:type="dxa"/>
            <w:vAlign w:val="top"/>
          </w:tcPr>
          <w:p w14:paraId="45A4D1A3">
            <w:pPr>
              <w:rPr>
                <w:rFonts w:ascii="Arial"/>
                <w:sz w:val="21"/>
                <w:highlight w:val="none"/>
              </w:rPr>
            </w:pPr>
          </w:p>
        </w:tc>
        <w:tc>
          <w:tcPr>
            <w:tcW w:w="1817" w:type="dxa"/>
            <w:tcBorders>
              <w:right w:val="single" w:color="000000" w:sz="10" w:space="0"/>
            </w:tcBorders>
            <w:vAlign w:val="top"/>
          </w:tcPr>
          <w:p w14:paraId="6D87BE7A">
            <w:pPr>
              <w:rPr>
                <w:rFonts w:ascii="Arial"/>
                <w:sz w:val="21"/>
                <w:highlight w:val="none"/>
              </w:rPr>
            </w:pPr>
          </w:p>
        </w:tc>
      </w:tr>
      <w:tr w14:paraId="5DBDC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1073" w:type="dxa"/>
            <w:tcBorders>
              <w:left w:val="single" w:color="000000" w:sz="8" w:space="0"/>
            </w:tcBorders>
            <w:vAlign w:val="top"/>
          </w:tcPr>
          <w:p w14:paraId="2D7B0B88">
            <w:pPr>
              <w:rPr>
                <w:rFonts w:ascii="Arial"/>
                <w:sz w:val="21"/>
                <w:highlight w:val="none"/>
              </w:rPr>
            </w:pPr>
          </w:p>
        </w:tc>
        <w:tc>
          <w:tcPr>
            <w:tcW w:w="2089" w:type="dxa"/>
            <w:vAlign w:val="top"/>
          </w:tcPr>
          <w:p w14:paraId="2D4E5DB4">
            <w:pPr>
              <w:rPr>
                <w:rFonts w:ascii="Arial"/>
                <w:sz w:val="21"/>
                <w:highlight w:val="none"/>
              </w:rPr>
            </w:pPr>
          </w:p>
        </w:tc>
        <w:tc>
          <w:tcPr>
            <w:tcW w:w="893" w:type="dxa"/>
            <w:vAlign w:val="top"/>
          </w:tcPr>
          <w:p w14:paraId="77BD4EBF">
            <w:pPr>
              <w:rPr>
                <w:rFonts w:ascii="Arial"/>
                <w:sz w:val="21"/>
                <w:highlight w:val="none"/>
              </w:rPr>
            </w:pPr>
          </w:p>
        </w:tc>
        <w:tc>
          <w:tcPr>
            <w:tcW w:w="815" w:type="dxa"/>
            <w:vAlign w:val="top"/>
          </w:tcPr>
          <w:p w14:paraId="34EC8F35">
            <w:pPr>
              <w:rPr>
                <w:rFonts w:ascii="Arial"/>
                <w:sz w:val="21"/>
                <w:highlight w:val="none"/>
              </w:rPr>
            </w:pPr>
          </w:p>
        </w:tc>
        <w:tc>
          <w:tcPr>
            <w:tcW w:w="1422" w:type="dxa"/>
            <w:vAlign w:val="top"/>
          </w:tcPr>
          <w:p w14:paraId="3195C386">
            <w:pPr>
              <w:rPr>
                <w:rFonts w:ascii="Arial"/>
                <w:sz w:val="21"/>
                <w:highlight w:val="none"/>
              </w:rPr>
            </w:pPr>
          </w:p>
        </w:tc>
        <w:tc>
          <w:tcPr>
            <w:tcW w:w="1492" w:type="dxa"/>
            <w:vAlign w:val="top"/>
          </w:tcPr>
          <w:p w14:paraId="4373A1E0">
            <w:pPr>
              <w:rPr>
                <w:rFonts w:ascii="Arial"/>
                <w:sz w:val="21"/>
                <w:highlight w:val="none"/>
              </w:rPr>
            </w:pPr>
          </w:p>
        </w:tc>
        <w:tc>
          <w:tcPr>
            <w:tcW w:w="1817" w:type="dxa"/>
            <w:tcBorders>
              <w:right w:val="single" w:color="000000" w:sz="10" w:space="0"/>
            </w:tcBorders>
            <w:vAlign w:val="top"/>
          </w:tcPr>
          <w:p w14:paraId="4D4307F5">
            <w:pPr>
              <w:rPr>
                <w:rFonts w:ascii="Arial"/>
                <w:sz w:val="21"/>
                <w:highlight w:val="none"/>
              </w:rPr>
            </w:pPr>
          </w:p>
        </w:tc>
      </w:tr>
      <w:tr w14:paraId="5FF1F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4E6F5966">
            <w:pPr>
              <w:rPr>
                <w:rFonts w:ascii="Arial"/>
                <w:sz w:val="21"/>
                <w:highlight w:val="none"/>
              </w:rPr>
            </w:pPr>
          </w:p>
        </w:tc>
        <w:tc>
          <w:tcPr>
            <w:tcW w:w="2089" w:type="dxa"/>
            <w:vAlign w:val="top"/>
          </w:tcPr>
          <w:p w14:paraId="09C51067">
            <w:pPr>
              <w:rPr>
                <w:rFonts w:ascii="Arial"/>
                <w:sz w:val="21"/>
                <w:highlight w:val="none"/>
              </w:rPr>
            </w:pPr>
          </w:p>
        </w:tc>
        <w:tc>
          <w:tcPr>
            <w:tcW w:w="893" w:type="dxa"/>
            <w:vAlign w:val="top"/>
          </w:tcPr>
          <w:p w14:paraId="05729112">
            <w:pPr>
              <w:rPr>
                <w:rFonts w:ascii="Arial"/>
                <w:sz w:val="21"/>
                <w:highlight w:val="none"/>
              </w:rPr>
            </w:pPr>
          </w:p>
        </w:tc>
        <w:tc>
          <w:tcPr>
            <w:tcW w:w="815" w:type="dxa"/>
            <w:vAlign w:val="top"/>
          </w:tcPr>
          <w:p w14:paraId="4DC3E2E9">
            <w:pPr>
              <w:rPr>
                <w:rFonts w:ascii="Arial"/>
                <w:sz w:val="21"/>
                <w:highlight w:val="none"/>
              </w:rPr>
            </w:pPr>
          </w:p>
        </w:tc>
        <w:tc>
          <w:tcPr>
            <w:tcW w:w="1422" w:type="dxa"/>
            <w:vAlign w:val="top"/>
          </w:tcPr>
          <w:p w14:paraId="52A7DC4E">
            <w:pPr>
              <w:rPr>
                <w:rFonts w:ascii="Arial"/>
                <w:sz w:val="21"/>
                <w:highlight w:val="none"/>
              </w:rPr>
            </w:pPr>
          </w:p>
        </w:tc>
        <w:tc>
          <w:tcPr>
            <w:tcW w:w="1492" w:type="dxa"/>
            <w:vAlign w:val="top"/>
          </w:tcPr>
          <w:p w14:paraId="0735DB3C">
            <w:pPr>
              <w:rPr>
                <w:rFonts w:ascii="Arial"/>
                <w:sz w:val="21"/>
                <w:highlight w:val="none"/>
              </w:rPr>
            </w:pPr>
          </w:p>
        </w:tc>
        <w:tc>
          <w:tcPr>
            <w:tcW w:w="1817" w:type="dxa"/>
            <w:tcBorders>
              <w:right w:val="single" w:color="000000" w:sz="10" w:space="0"/>
            </w:tcBorders>
            <w:vAlign w:val="top"/>
          </w:tcPr>
          <w:p w14:paraId="1DC39B13">
            <w:pPr>
              <w:rPr>
                <w:rFonts w:ascii="Arial"/>
                <w:sz w:val="21"/>
                <w:highlight w:val="none"/>
              </w:rPr>
            </w:pPr>
          </w:p>
        </w:tc>
      </w:tr>
      <w:tr w14:paraId="1E653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0C2D2383">
            <w:pPr>
              <w:rPr>
                <w:rFonts w:ascii="Arial"/>
                <w:sz w:val="21"/>
                <w:highlight w:val="none"/>
              </w:rPr>
            </w:pPr>
          </w:p>
        </w:tc>
        <w:tc>
          <w:tcPr>
            <w:tcW w:w="2089" w:type="dxa"/>
            <w:vAlign w:val="top"/>
          </w:tcPr>
          <w:p w14:paraId="5BB648A0">
            <w:pPr>
              <w:rPr>
                <w:rFonts w:ascii="Arial"/>
                <w:sz w:val="21"/>
                <w:highlight w:val="none"/>
              </w:rPr>
            </w:pPr>
          </w:p>
        </w:tc>
        <w:tc>
          <w:tcPr>
            <w:tcW w:w="893" w:type="dxa"/>
            <w:vAlign w:val="top"/>
          </w:tcPr>
          <w:p w14:paraId="2302597C">
            <w:pPr>
              <w:rPr>
                <w:rFonts w:ascii="Arial"/>
                <w:sz w:val="21"/>
                <w:highlight w:val="none"/>
              </w:rPr>
            </w:pPr>
          </w:p>
        </w:tc>
        <w:tc>
          <w:tcPr>
            <w:tcW w:w="815" w:type="dxa"/>
            <w:vAlign w:val="top"/>
          </w:tcPr>
          <w:p w14:paraId="75D7E279">
            <w:pPr>
              <w:rPr>
                <w:rFonts w:ascii="Arial"/>
                <w:sz w:val="21"/>
                <w:highlight w:val="none"/>
              </w:rPr>
            </w:pPr>
          </w:p>
        </w:tc>
        <w:tc>
          <w:tcPr>
            <w:tcW w:w="1422" w:type="dxa"/>
            <w:vAlign w:val="top"/>
          </w:tcPr>
          <w:p w14:paraId="37BF17DD">
            <w:pPr>
              <w:rPr>
                <w:rFonts w:ascii="Arial"/>
                <w:sz w:val="21"/>
                <w:highlight w:val="none"/>
              </w:rPr>
            </w:pPr>
          </w:p>
        </w:tc>
        <w:tc>
          <w:tcPr>
            <w:tcW w:w="1492" w:type="dxa"/>
            <w:vAlign w:val="top"/>
          </w:tcPr>
          <w:p w14:paraId="1714AA6D">
            <w:pPr>
              <w:rPr>
                <w:rFonts w:ascii="Arial"/>
                <w:sz w:val="21"/>
                <w:highlight w:val="none"/>
              </w:rPr>
            </w:pPr>
          </w:p>
        </w:tc>
        <w:tc>
          <w:tcPr>
            <w:tcW w:w="1817" w:type="dxa"/>
            <w:tcBorders>
              <w:right w:val="single" w:color="000000" w:sz="10" w:space="0"/>
            </w:tcBorders>
            <w:vAlign w:val="top"/>
          </w:tcPr>
          <w:p w14:paraId="68665C3E">
            <w:pPr>
              <w:rPr>
                <w:rFonts w:ascii="Arial"/>
                <w:sz w:val="21"/>
                <w:highlight w:val="none"/>
              </w:rPr>
            </w:pPr>
          </w:p>
        </w:tc>
      </w:tr>
      <w:tr w14:paraId="06555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2022CD85">
            <w:pPr>
              <w:rPr>
                <w:rFonts w:ascii="Arial"/>
                <w:sz w:val="21"/>
                <w:highlight w:val="none"/>
              </w:rPr>
            </w:pPr>
          </w:p>
        </w:tc>
        <w:tc>
          <w:tcPr>
            <w:tcW w:w="2089" w:type="dxa"/>
            <w:vAlign w:val="top"/>
          </w:tcPr>
          <w:p w14:paraId="257443DA">
            <w:pPr>
              <w:rPr>
                <w:rFonts w:ascii="Arial"/>
                <w:sz w:val="21"/>
                <w:highlight w:val="none"/>
              </w:rPr>
            </w:pPr>
          </w:p>
        </w:tc>
        <w:tc>
          <w:tcPr>
            <w:tcW w:w="893" w:type="dxa"/>
            <w:vAlign w:val="top"/>
          </w:tcPr>
          <w:p w14:paraId="1DBC20C9">
            <w:pPr>
              <w:rPr>
                <w:rFonts w:ascii="Arial"/>
                <w:sz w:val="21"/>
                <w:highlight w:val="none"/>
              </w:rPr>
            </w:pPr>
          </w:p>
        </w:tc>
        <w:tc>
          <w:tcPr>
            <w:tcW w:w="815" w:type="dxa"/>
            <w:vAlign w:val="top"/>
          </w:tcPr>
          <w:p w14:paraId="6E971141">
            <w:pPr>
              <w:rPr>
                <w:rFonts w:ascii="Arial"/>
                <w:sz w:val="21"/>
                <w:highlight w:val="none"/>
              </w:rPr>
            </w:pPr>
          </w:p>
        </w:tc>
        <w:tc>
          <w:tcPr>
            <w:tcW w:w="1422" w:type="dxa"/>
            <w:vAlign w:val="top"/>
          </w:tcPr>
          <w:p w14:paraId="5CD31C00">
            <w:pPr>
              <w:rPr>
                <w:rFonts w:ascii="Arial"/>
                <w:sz w:val="21"/>
                <w:highlight w:val="none"/>
              </w:rPr>
            </w:pPr>
          </w:p>
        </w:tc>
        <w:tc>
          <w:tcPr>
            <w:tcW w:w="1492" w:type="dxa"/>
            <w:vAlign w:val="top"/>
          </w:tcPr>
          <w:p w14:paraId="2095EF2F">
            <w:pPr>
              <w:rPr>
                <w:rFonts w:ascii="Arial"/>
                <w:sz w:val="21"/>
                <w:highlight w:val="none"/>
              </w:rPr>
            </w:pPr>
          </w:p>
        </w:tc>
        <w:tc>
          <w:tcPr>
            <w:tcW w:w="1817" w:type="dxa"/>
            <w:tcBorders>
              <w:right w:val="single" w:color="000000" w:sz="10" w:space="0"/>
            </w:tcBorders>
            <w:vAlign w:val="top"/>
          </w:tcPr>
          <w:p w14:paraId="57513065">
            <w:pPr>
              <w:rPr>
                <w:rFonts w:ascii="Arial"/>
                <w:sz w:val="21"/>
                <w:highlight w:val="none"/>
              </w:rPr>
            </w:pPr>
          </w:p>
        </w:tc>
      </w:tr>
      <w:tr w14:paraId="59B3A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3" w:type="dxa"/>
            <w:tcBorders>
              <w:left w:val="single" w:color="000000" w:sz="8" w:space="0"/>
            </w:tcBorders>
            <w:vAlign w:val="top"/>
          </w:tcPr>
          <w:p w14:paraId="37D638BB">
            <w:pPr>
              <w:rPr>
                <w:rFonts w:ascii="Arial"/>
                <w:sz w:val="21"/>
                <w:highlight w:val="none"/>
              </w:rPr>
            </w:pPr>
          </w:p>
        </w:tc>
        <w:tc>
          <w:tcPr>
            <w:tcW w:w="2089" w:type="dxa"/>
            <w:vAlign w:val="top"/>
          </w:tcPr>
          <w:p w14:paraId="40C4448F">
            <w:pPr>
              <w:rPr>
                <w:rFonts w:ascii="Arial"/>
                <w:sz w:val="21"/>
                <w:highlight w:val="none"/>
              </w:rPr>
            </w:pPr>
          </w:p>
        </w:tc>
        <w:tc>
          <w:tcPr>
            <w:tcW w:w="893" w:type="dxa"/>
            <w:vAlign w:val="top"/>
          </w:tcPr>
          <w:p w14:paraId="7D6F0379">
            <w:pPr>
              <w:rPr>
                <w:rFonts w:ascii="Arial"/>
                <w:sz w:val="21"/>
                <w:highlight w:val="none"/>
              </w:rPr>
            </w:pPr>
          </w:p>
        </w:tc>
        <w:tc>
          <w:tcPr>
            <w:tcW w:w="815" w:type="dxa"/>
            <w:vAlign w:val="top"/>
          </w:tcPr>
          <w:p w14:paraId="6EAB1EFC">
            <w:pPr>
              <w:rPr>
                <w:rFonts w:ascii="Arial"/>
                <w:sz w:val="21"/>
                <w:highlight w:val="none"/>
              </w:rPr>
            </w:pPr>
          </w:p>
        </w:tc>
        <w:tc>
          <w:tcPr>
            <w:tcW w:w="1422" w:type="dxa"/>
            <w:vAlign w:val="top"/>
          </w:tcPr>
          <w:p w14:paraId="2F780D23">
            <w:pPr>
              <w:rPr>
                <w:rFonts w:ascii="Arial"/>
                <w:sz w:val="21"/>
                <w:highlight w:val="none"/>
              </w:rPr>
            </w:pPr>
          </w:p>
        </w:tc>
        <w:tc>
          <w:tcPr>
            <w:tcW w:w="1492" w:type="dxa"/>
            <w:vAlign w:val="top"/>
          </w:tcPr>
          <w:p w14:paraId="60F30F1F">
            <w:pPr>
              <w:rPr>
                <w:rFonts w:ascii="Arial"/>
                <w:sz w:val="21"/>
                <w:highlight w:val="none"/>
              </w:rPr>
            </w:pPr>
          </w:p>
        </w:tc>
        <w:tc>
          <w:tcPr>
            <w:tcW w:w="1817" w:type="dxa"/>
            <w:tcBorders>
              <w:right w:val="single" w:color="000000" w:sz="10" w:space="0"/>
            </w:tcBorders>
            <w:vAlign w:val="top"/>
          </w:tcPr>
          <w:p w14:paraId="06476E7A">
            <w:pPr>
              <w:rPr>
                <w:rFonts w:ascii="Arial"/>
                <w:sz w:val="21"/>
                <w:highlight w:val="none"/>
              </w:rPr>
            </w:pPr>
          </w:p>
        </w:tc>
      </w:tr>
      <w:tr w14:paraId="520D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1073" w:type="dxa"/>
            <w:tcBorders>
              <w:left w:val="single" w:color="000000" w:sz="8" w:space="0"/>
            </w:tcBorders>
            <w:vAlign w:val="top"/>
          </w:tcPr>
          <w:p w14:paraId="61A673ED">
            <w:pPr>
              <w:rPr>
                <w:rFonts w:ascii="Arial"/>
                <w:sz w:val="21"/>
                <w:highlight w:val="none"/>
              </w:rPr>
            </w:pPr>
          </w:p>
        </w:tc>
        <w:tc>
          <w:tcPr>
            <w:tcW w:w="2089" w:type="dxa"/>
            <w:vAlign w:val="top"/>
          </w:tcPr>
          <w:p w14:paraId="061C2CEA">
            <w:pPr>
              <w:rPr>
                <w:rFonts w:ascii="Arial"/>
                <w:sz w:val="21"/>
                <w:highlight w:val="none"/>
              </w:rPr>
            </w:pPr>
          </w:p>
        </w:tc>
        <w:tc>
          <w:tcPr>
            <w:tcW w:w="893" w:type="dxa"/>
            <w:vAlign w:val="top"/>
          </w:tcPr>
          <w:p w14:paraId="089F8B6B">
            <w:pPr>
              <w:rPr>
                <w:rFonts w:ascii="Arial"/>
                <w:sz w:val="21"/>
                <w:highlight w:val="none"/>
              </w:rPr>
            </w:pPr>
          </w:p>
        </w:tc>
        <w:tc>
          <w:tcPr>
            <w:tcW w:w="815" w:type="dxa"/>
            <w:vAlign w:val="top"/>
          </w:tcPr>
          <w:p w14:paraId="3B55673F">
            <w:pPr>
              <w:rPr>
                <w:rFonts w:ascii="Arial"/>
                <w:sz w:val="21"/>
                <w:highlight w:val="none"/>
              </w:rPr>
            </w:pPr>
          </w:p>
        </w:tc>
        <w:tc>
          <w:tcPr>
            <w:tcW w:w="1422" w:type="dxa"/>
            <w:vAlign w:val="top"/>
          </w:tcPr>
          <w:p w14:paraId="56768718">
            <w:pPr>
              <w:rPr>
                <w:rFonts w:ascii="Arial"/>
                <w:sz w:val="21"/>
                <w:highlight w:val="none"/>
              </w:rPr>
            </w:pPr>
          </w:p>
        </w:tc>
        <w:tc>
          <w:tcPr>
            <w:tcW w:w="1492" w:type="dxa"/>
            <w:vAlign w:val="top"/>
          </w:tcPr>
          <w:p w14:paraId="69F86141">
            <w:pPr>
              <w:rPr>
                <w:rFonts w:ascii="Arial"/>
                <w:sz w:val="21"/>
                <w:highlight w:val="none"/>
              </w:rPr>
            </w:pPr>
          </w:p>
        </w:tc>
        <w:tc>
          <w:tcPr>
            <w:tcW w:w="1817" w:type="dxa"/>
            <w:tcBorders>
              <w:right w:val="single" w:color="000000" w:sz="10" w:space="0"/>
            </w:tcBorders>
            <w:vAlign w:val="top"/>
          </w:tcPr>
          <w:p w14:paraId="0977AE61">
            <w:pPr>
              <w:rPr>
                <w:rFonts w:ascii="Arial"/>
                <w:sz w:val="21"/>
                <w:highlight w:val="none"/>
              </w:rPr>
            </w:pPr>
          </w:p>
        </w:tc>
      </w:tr>
      <w:tr w14:paraId="37535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75E49DBF">
            <w:pPr>
              <w:rPr>
                <w:rFonts w:ascii="Arial"/>
                <w:sz w:val="21"/>
                <w:highlight w:val="none"/>
              </w:rPr>
            </w:pPr>
          </w:p>
        </w:tc>
        <w:tc>
          <w:tcPr>
            <w:tcW w:w="2089" w:type="dxa"/>
            <w:vAlign w:val="top"/>
          </w:tcPr>
          <w:p w14:paraId="4EB6E1F9">
            <w:pPr>
              <w:rPr>
                <w:rFonts w:ascii="Arial"/>
                <w:sz w:val="21"/>
                <w:highlight w:val="none"/>
              </w:rPr>
            </w:pPr>
          </w:p>
        </w:tc>
        <w:tc>
          <w:tcPr>
            <w:tcW w:w="893" w:type="dxa"/>
            <w:vAlign w:val="top"/>
          </w:tcPr>
          <w:p w14:paraId="5AC4EA4A">
            <w:pPr>
              <w:rPr>
                <w:rFonts w:ascii="Arial"/>
                <w:sz w:val="21"/>
                <w:highlight w:val="none"/>
              </w:rPr>
            </w:pPr>
          </w:p>
        </w:tc>
        <w:tc>
          <w:tcPr>
            <w:tcW w:w="815" w:type="dxa"/>
            <w:vAlign w:val="top"/>
          </w:tcPr>
          <w:p w14:paraId="73B04A0F">
            <w:pPr>
              <w:rPr>
                <w:rFonts w:ascii="Arial"/>
                <w:sz w:val="21"/>
                <w:highlight w:val="none"/>
              </w:rPr>
            </w:pPr>
          </w:p>
        </w:tc>
        <w:tc>
          <w:tcPr>
            <w:tcW w:w="1422" w:type="dxa"/>
            <w:vAlign w:val="top"/>
          </w:tcPr>
          <w:p w14:paraId="17278536">
            <w:pPr>
              <w:rPr>
                <w:rFonts w:ascii="Arial"/>
                <w:sz w:val="21"/>
                <w:highlight w:val="none"/>
              </w:rPr>
            </w:pPr>
          </w:p>
        </w:tc>
        <w:tc>
          <w:tcPr>
            <w:tcW w:w="1492" w:type="dxa"/>
            <w:vAlign w:val="top"/>
          </w:tcPr>
          <w:p w14:paraId="7CF8F314">
            <w:pPr>
              <w:rPr>
                <w:rFonts w:ascii="Arial"/>
                <w:sz w:val="21"/>
                <w:highlight w:val="none"/>
              </w:rPr>
            </w:pPr>
          </w:p>
        </w:tc>
        <w:tc>
          <w:tcPr>
            <w:tcW w:w="1817" w:type="dxa"/>
            <w:tcBorders>
              <w:right w:val="single" w:color="000000" w:sz="10" w:space="0"/>
            </w:tcBorders>
            <w:vAlign w:val="top"/>
          </w:tcPr>
          <w:p w14:paraId="72969AC9">
            <w:pPr>
              <w:rPr>
                <w:rFonts w:ascii="Arial"/>
                <w:sz w:val="21"/>
                <w:highlight w:val="none"/>
              </w:rPr>
            </w:pPr>
          </w:p>
        </w:tc>
      </w:tr>
      <w:tr w14:paraId="42E0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3" w:type="dxa"/>
            <w:tcBorders>
              <w:left w:val="single" w:color="000000" w:sz="8" w:space="0"/>
            </w:tcBorders>
            <w:vAlign w:val="top"/>
          </w:tcPr>
          <w:p w14:paraId="64760B94">
            <w:pPr>
              <w:rPr>
                <w:rFonts w:ascii="Arial"/>
                <w:sz w:val="21"/>
                <w:highlight w:val="none"/>
              </w:rPr>
            </w:pPr>
          </w:p>
        </w:tc>
        <w:tc>
          <w:tcPr>
            <w:tcW w:w="2089" w:type="dxa"/>
            <w:vAlign w:val="top"/>
          </w:tcPr>
          <w:p w14:paraId="01C9DD5A">
            <w:pPr>
              <w:rPr>
                <w:rFonts w:ascii="Arial"/>
                <w:sz w:val="21"/>
                <w:highlight w:val="none"/>
              </w:rPr>
            </w:pPr>
          </w:p>
        </w:tc>
        <w:tc>
          <w:tcPr>
            <w:tcW w:w="893" w:type="dxa"/>
            <w:vAlign w:val="top"/>
          </w:tcPr>
          <w:p w14:paraId="0D527A34">
            <w:pPr>
              <w:rPr>
                <w:rFonts w:ascii="Arial"/>
                <w:sz w:val="21"/>
                <w:highlight w:val="none"/>
              </w:rPr>
            </w:pPr>
          </w:p>
        </w:tc>
        <w:tc>
          <w:tcPr>
            <w:tcW w:w="815" w:type="dxa"/>
            <w:vAlign w:val="top"/>
          </w:tcPr>
          <w:p w14:paraId="22309FD7">
            <w:pPr>
              <w:rPr>
                <w:rFonts w:ascii="Arial"/>
                <w:sz w:val="21"/>
                <w:highlight w:val="none"/>
              </w:rPr>
            </w:pPr>
          </w:p>
        </w:tc>
        <w:tc>
          <w:tcPr>
            <w:tcW w:w="1422" w:type="dxa"/>
            <w:vAlign w:val="top"/>
          </w:tcPr>
          <w:p w14:paraId="26BB7289">
            <w:pPr>
              <w:rPr>
                <w:rFonts w:ascii="Arial"/>
                <w:sz w:val="21"/>
                <w:highlight w:val="none"/>
              </w:rPr>
            </w:pPr>
          </w:p>
        </w:tc>
        <w:tc>
          <w:tcPr>
            <w:tcW w:w="1492" w:type="dxa"/>
            <w:vAlign w:val="top"/>
          </w:tcPr>
          <w:p w14:paraId="3CBD12E6">
            <w:pPr>
              <w:rPr>
                <w:rFonts w:ascii="Arial"/>
                <w:sz w:val="21"/>
                <w:highlight w:val="none"/>
              </w:rPr>
            </w:pPr>
          </w:p>
        </w:tc>
        <w:tc>
          <w:tcPr>
            <w:tcW w:w="1817" w:type="dxa"/>
            <w:tcBorders>
              <w:right w:val="single" w:color="000000" w:sz="10" w:space="0"/>
            </w:tcBorders>
            <w:vAlign w:val="top"/>
          </w:tcPr>
          <w:p w14:paraId="00F07222">
            <w:pPr>
              <w:rPr>
                <w:rFonts w:ascii="Arial"/>
                <w:sz w:val="21"/>
                <w:highlight w:val="none"/>
              </w:rPr>
            </w:pPr>
          </w:p>
        </w:tc>
      </w:tr>
      <w:tr w14:paraId="5593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3" w:type="dxa"/>
            <w:tcBorders>
              <w:left w:val="single" w:color="000000" w:sz="8" w:space="0"/>
            </w:tcBorders>
            <w:vAlign w:val="top"/>
          </w:tcPr>
          <w:p w14:paraId="407D2A35">
            <w:pPr>
              <w:rPr>
                <w:rFonts w:ascii="Arial"/>
                <w:sz w:val="21"/>
                <w:highlight w:val="none"/>
              </w:rPr>
            </w:pPr>
          </w:p>
        </w:tc>
        <w:tc>
          <w:tcPr>
            <w:tcW w:w="2089" w:type="dxa"/>
            <w:vAlign w:val="top"/>
          </w:tcPr>
          <w:p w14:paraId="5AB97853">
            <w:pPr>
              <w:rPr>
                <w:rFonts w:ascii="Arial"/>
                <w:sz w:val="21"/>
                <w:highlight w:val="none"/>
              </w:rPr>
            </w:pPr>
          </w:p>
        </w:tc>
        <w:tc>
          <w:tcPr>
            <w:tcW w:w="893" w:type="dxa"/>
            <w:vAlign w:val="top"/>
          </w:tcPr>
          <w:p w14:paraId="2728C81D">
            <w:pPr>
              <w:rPr>
                <w:rFonts w:ascii="Arial"/>
                <w:sz w:val="21"/>
                <w:highlight w:val="none"/>
              </w:rPr>
            </w:pPr>
          </w:p>
        </w:tc>
        <w:tc>
          <w:tcPr>
            <w:tcW w:w="815" w:type="dxa"/>
            <w:vAlign w:val="top"/>
          </w:tcPr>
          <w:p w14:paraId="1F0E2E08">
            <w:pPr>
              <w:rPr>
                <w:rFonts w:ascii="Arial"/>
                <w:sz w:val="21"/>
                <w:highlight w:val="none"/>
              </w:rPr>
            </w:pPr>
          </w:p>
        </w:tc>
        <w:tc>
          <w:tcPr>
            <w:tcW w:w="1422" w:type="dxa"/>
            <w:vAlign w:val="top"/>
          </w:tcPr>
          <w:p w14:paraId="48F9BDC7">
            <w:pPr>
              <w:rPr>
                <w:rFonts w:ascii="Arial"/>
                <w:sz w:val="21"/>
                <w:highlight w:val="none"/>
              </w:rPr>
            </w:pPr>
          </w:p>
        </w:tc>
        <w:tc>
          <w:tcPr>
            <w:tcW w:w="1492" w:type="dxa"/>
            <w:vAlign w:val="top"/>
          </w:tcPr>
          <w:p w14:paraId="0C822FA4">
            <w:pPr>
              <w:rPr>
                <w:rFonts w:ascii="Arial"/>
                <w:sz w:val="21"/>
                <w:highlight w:val="none"/>
              </w:rPr>
            </w:pPr>
          </w:p>
        </w:tc>
        <w:tc>
          <w:tcPr>
            <w:tcW w:w="1817" w:type="dxa"/>
            <w:tcBorders>
              <w:right w:val="single" w:color="000000" w:sz="10" w:space="0"/>
            </w:tcBorders>
            <w:vAlign w:val="top"/>
          </w:tcPr>
          <w:p w14:paraId="022867DC">
            <w:pPr>
              <w:rPr>
                <w:rFonts w:ascii="Arial"/>
                <w:sz w:val="21"/>
                <w:highlight w:val="none"/>
              </w:rPr>
            </w:pPr>
          </w:p>
        </w:tc>
      </w:tr>
      <w:tr w14:paraId="524EF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1073" w:type="dxa"/>
            <w:tcBorders>
              <w:left w:val="single" w:color="000000" w:sz="8" w:space="0"/>
            </w:tcBorders>
            <w:vAlign w:val="top"/>
          </w:tcPr>
          <w:p w14:paraId="0584C0B4">
            <w:pPr>
              <w:rPr>
                <w:rFonts w:ascii="Arial"/>
                <w:sz w:val="21"/>
                <w:highlight w:val="none"/>
              </w:rPr>
            </w:pPr>
          </w:p>
        </w:tc>
        <w:tc>
          <w:tcPr>
            <w:tcW w:w="2089" w:type="dxa"/>
            <w:vAlign w:val="top"/>
          </w:tcPr>
          <w:p w14:paraId="296608B4">
            <w:pPr>
              <w:rPr>
                <w:rFonts w:ascii="Arial"/>
                <w:sz w:val="21"/>
                <w:highlight w:val="none"/>
              </w:rPr>
            </w:pPr>
          </w:p>
        </w:tc>
        <w:tc>
          <w:tcPr>
            <w:tcW w:w="893" w:type="dxa"/>
            <w:vAlign w:val="top"/>
          </w:tcPr>
          <w:p w14:paraId="6A3C9E7B">
            <w:pPr>
              <w:rPr>
                <w:rFonts w:ascii="Arial"/>
                <w:sz w:val="21"/>
                <w:highlight w:val="none"/>
              </w:rPr>
            </w:pPr>
          </w:p>
        </w:tc>
        <w:tc>
          <w:tcPr>
            <w:tcW w:w="815" w:type="dxa"/>
            <w:vAlign w:val="top"/>
          </w:tcPr>
          <w:p w14:paraId="469B83BC">
            <w:pPr>
              <w:rPr>
                <w:rFonts w:ascii="Arial"/>
                <w:sz w:val="21"/>
                <w:highlight w:val="none"/>
              </w:rPr>
            </w:pPr>
          </w:p>
        </w:tc>
        <w:tc>
          <w:tcPr>
            <w:tcW w:w="1422" w:type="dxa"/>
            <w:vAlign w:val="top"/>
          </w:tcPr>
          <w:p w14:paraId="7E2A5D4C">
            <w:pPr>
              <w:rPr>
                <w:rFonts w:ascii="Arial"/>
                <w:sz w:val="21"/>
                <w:highlight w:val="none"/>
              </w:rPr>
            </w:pPr>
          </w:p>
        </w:tc>
        <w:tc>
          <w:tcPr>
            <w:tcW w:w="1492" w:type="dxa"/>
            <w:vAlign w:val="top"/>
          </w:tcPr>
          <w:p w14:paraId="597BBC5D">
            <w:pPr>
              <w:rPr>
                <w:rFonts w:ascii="Arial"/>
                <w:sz w:val="21"/>
                <w:highlight w:val="none"/>
              </w:rPr>
            </w:pPr>
          </w:p>
        </w:tc>
        <w:tc>
          <w:tcPr>
            <w:tcW w:w="1817" w:type="dxa"/>
            <w:tcBorders>
              <w:right w:val="single" w:color="000000" w:sz="10" w:space="0"/>
            </w:tcBorders>
            <w:vAlign w:val="top"/>
          </w:tcPr>
          <w:p w14:paraId="66EC228B">
            <w:pPr>
              <w:rPr>
                <w:rFonts w:ascii="Arial"/>
                <w:sz w:val="21"/>
                <w:highlight w:val="none"/>
              </w:rPr>
            </w:pPr>
          </w:p>
        </w:tc>
      </w:tr>
      <w:tr w14:paraId="1049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14BC264E">
            <w:pPr>
              <w:rPr>
                <w:rFonts w:ascii="Arial"/>
                <w:sz w:val="21"/>
                <w:highlight w:val="none"/>
              </w:rPr>
            </w:pPr>
          </w:p>
        </w:tc>
        <w:tc>
          <w:tcPr>
            <w:tcW w:w="2089" w:type="dxa"/>
            <w:vAlign w:val="top"/>
          </w:tcPr>
          <w:p w14:paraId="1F565C47">
            <w:pPr>
              <w:rPr>
                <w:rFonts w:ascii="Arial"/>
                <w:sz w:val="21"/>
                <w:highlight w:val="none"/>
              </w:rPr>
            </w:pPr>
          </w:p>
        </w:tc>
        <w:tc>
          <w:tcPr>
            <w:tcW w:w="893" w:type="dxa"/>
            <w:vAlign w:val="top"/>
          </w:tcPr>
          <w:p w14:paraId="0608DA19">
            <w:pPr>
              <w:rPr>
                <w:rFonts w:ascii="Arial"/>
                <w:sz w:val="21"/>
                <w:highlight w:val="none"/>
              </w:rPr>
            </w:pPr>
          </w:p>
        </w:tc>
        <w:tc>
          <w:tcPr>
            <w:tcW w:w="815" w:type="dxa"/>
            <w:vAlign w:val="top"/>
          </w:tcPr>
          <w:p w14:paraId="7736BFC4">
            <w:pPr>
              <w:rPr>
                <w:rFonts w:ascii="Arial"/>
                <w:sz w:val="21"/>
                <w:highlight w:val="none"/>
              </w:rPr>
            </w:pPr>
          </w:p>
        </w:tc>
        <w:tc>
          <w:tcPr>
            <w:tcW w:w="1422" w:type="dxa"/>
            <w:vAlign w:val="top"/>
          </w:tcPr>
          <w:p w14:paraId="2A89A6E4">
            <w:pPr>
              <w:rPr>
                <w:rFonts w:ascii="Arial"/>
                <w:sz w:val="21"/>
                <w:highlight w:val="none"/>
              </w:rPr>
            </w:pPr>
          </w:p>
        </w:tc>
        <w:tc>
          <w:tcPr>
            <w:tcW w:w="1492" w:type="dxa"/>
            <w:vAlign w:val="top"/>
          </w:tcPr>
          <w:p w14:paraId="2D4F2EA3">
            <w:pPr>
              <w:rPr>
                <w:rFonts w:ascii="Arial"/>
                <w:sz w:val="21"/>
                <w:highlight w:val="none"/>
              </w:rPr>
            </w:pPr>
          </w:p>
        </w:tc>
        <w:tc>
          <w:tcPr>
            <w:tcW w:w="1817" w:type="dxa"/>
            <w:tcBorders>
              <w:right w:val="single" w:color="000000" w:sz="10" w:space="0"/>
            </w:tcBorders>
            <w:vAlign w:val="top"/>
          </w:tcPr>
          <w:p w14:paraId="77A8C3C7">
            <w:pPr>
              <w:rPr>
                <w:rFonts w:ascii="Arial"/>
                <w:sz w:val="21"/>
                <w:highlight w:val="none"/>
              </w:rPr>
            </w:pPr>
          </w:p>
        </w:tc>
      </w:tr>
      <w:tr w14:paraId="2910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40DD3BB4">
            <w:pPr>
              <w:rPr>
                <w:rFonts w:ascii="Arial"/>
                <w:sz w:val="21"/>
                <w:highlight w:val="none"/>
              </w:rPr>
            </w:pPr>
          </w:p>
        </w:tc>
        <w:tc>
          <w:tcPr>
            <w:tcW w:w="2089" w:type="dxa"/>
            <w:vAlign w:val="top"/>
          </w:tcPr>
          <w:p w14:paraId="4B0FC05C">
            <w:pPr>
              <w:rPr>
                <w:rFonts w:ascii="Arial"/>
                <w:sz w:val="21"/>
                <w:highlight w:val="none"/>
              </w:rPr>
            </w:pPr>
          </w:p>
        </w:tc>
        <w:tc>
          <w:tcPr>
            <w:tcW w:w="893" w:type="dxa"/>
            <w:vAlign w:val="top"/>
          </w:tcPr>
          <w:p w14:paraId="6FD32F8E">
            <w:pPr>
              <w:rPr>
                <w:rFonts w:ascii="Arial"/>
                <w:sz w:val="21"/>
                <w:highlight w:val="none"/>
              </w:rPr>
            </w:pPr>
          </w:p>
        </w:tc>
        <w:tc>
          <w:tcPr>
            <w:tcW w:w="815" w:type="dxa"/>
            <w:vAlign w:val="top"/>
          </w:tcPr>
          <w:p w14:paraId="1EB2EEFB">
            <w:pPr>
              <w:rPr>
                <w:rFonts w:ascii="Arial"/>
                <w:sz w:val="21"/>
                <w:highlight w:val="none"/>
              </w:rPr>
            </w:pPr>
          </w:p>
        </w:tc>
        <w:tc>
          <w:tcPr>
            <w:tcW w:w="1422" w:type="dxa"/>
            <w:vAlign w:val="top"/>
          </w:tcPr>
          <w:p w14:paraId="72926A41">
            <w:pPr>
              <w:rPr>
                <w:rFonts w:ascii="Arial"/>
                <w:sz w:val="21"/>
                <w:highlight w:val="none"/>
              </w:rPr>
            </w:pPr>
          </w:p>
        </w:tc>
        <w:tc>
          <w:tcPr>
            <w:tcW w:w="1492" w:type="dxa"/>
            <w:vAlign w:val="top"/>
          </w:tcPr>
          <w:p w14:paraId="7D776679">
            <w:pPr>
              <w:rPr>
                <w:rFonts w:ascii="Arial"/>
                <w:sz w:val="21"/>
                <w:highlight w:val="none"/>
              </w:rPr>
            </w:pPr>
          </w:p>
        </w:tc>
        <w:tc>
          <w:tcPr>
            <w:tcW w:w="1817" w:type="dxa"/>
            <w:tcBorders>
              <w:right w:val="single" w:color="000000" w:sz="10" w:space="0"/>
            </w:tcBorders>
            <w:vAlign w:val="top"/>
          </w:tcPr>
          <w:p w14:paraId="1582E298">
            <w:pPr>
              <w:rPr>
                <w:rFonts w:ascii="Arial"/>
                <w:sz w:val="21"/>
                <w:highlight w:val="none"/>
              </w:rPr>
            </w:pPr>
          </w:p>
        </w:tc>
      </w:tr>
      <w:tr w14:paraId="0A05E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073" w:type="dxa"/>
            <w:tcBorders>
              <w:left w:val="single" w:color="000000" w:sz="8" w:space="0"/>
            </w:tcBorders>
            <w:vAlign w:val="top"/>
          </w:tcPr>
          <w:p w14:paraId="7EBE074E">
            <w:pPr>
              <w:rPr>
                <w:rFonts w:ascii="Arial"/>
                <w:sz w:val="21"/>
                <w:highlight w:val="none"/>
              </w:rPr>
            </w:pPr>
          </w:p>
        </w:tc>
        <w:tc>
          <w:tcPr>
            <w:tcW w:w="2089" w:type="dxa"/>
            <w:vAlign w:val="top"/>
          </w:tcPr>
          <w:p w14:paraId="3A059B1D">
            <w:pPr>
              <w:rPr>
                <w:rFonts w:ascii="Arial"/>
                <w:sz w:val="21"/>
                <w:highlight w:val="none"/>
              </w:rPr>
            </w:pPr>
          </w:p>
        </w:tc>
        <w:tc>
          <w:tcPr>
            <w:tcW w:w="893" w:type="dxa"/>
            <w:vAlign w:val="top"/>
          </w:tcPr>
          <w:p w14:paraId="41D108D5">
            <w:pPr>
              <w:rPr>
                <w:rFonts w:ascii="Arial"/>
                <w:sz w:val="21"/>
                <w:highlight w:val="none"/>
              </w:rPr>
            </w:pPr>
          </w:p>
        </w:tc>
        <w:tc>
          <w:tcPr>
            <w:tcW w:w="815" w:type="dxa"/>
            <w:vAlign w:val="top"/>
          </w:tcPr>
          <w:p w14:paraId="2A603F55">
            <w:pPr>
              <w:rPr>
                <w:rFonts w:ascii="Arial"/>
                <w:sz w:val="21"/>
                <w:highlight w:val="none"/>
              </w:rPr>
            </w:pPr>
          </w:p>
        </w:tc>
        <w:tc>
          <w:tcPr>
            <w:tcW w:w="1422" w:type="dxa"/>
            <w:vAlign w:val="top"/>
          </w:tcPr>
          <w:p w14:paraId="4EB85C31">
            <w:pPr>
              <w:rPr>
                <w:rFonts w:ascii="Arial"/>
                <w:sz w:val="21"/>
                <w:highlight w:val="none"/>
              </w:rPr>
            </w:pPr>
          </w:p>
        </w:tc>
        <w:tc>
          <w:tcPr>
            <w:tcW w:w="1492" w:type="dxa"/>
            <w:vAlign w:val="top"/>
          </w:tcPr>
          <w:p w14:paraId="6D175D75">
            <w:pPr>
              <w:rPr>
                <w:rFonts w:ascii="Arial"/>
                <w:sz w:val="21"/>
                <w:highlight w:val="none"/>
              </w:rPr>
            </w:pPr>
          </w:p>
        </w:tc>
        <w:tc>
          <w:tcPr>
            <w:tcW w:w="1817" w:type="dxa"/>
            <w:tcBorders>
              <w:right w:val="single" w:color="000000" w:sz="10" w:space="0"/>
            </w:tcBorders>
            <w:vAlign w:val="top"/>
          </w:tcPr>
          <w:p w14:paraId="44F6844F">
            <w:pPr>
              <w:rPr>
                <w:rFonts w:ascii="Arial"/>
                <w:sz w:val="21"/>
                <w:highlight w:val="none"/>
              </w:rPr>
            </w:pPr>
          </w:p>
        </w:tc>
      </w:tr>
      <w:tr w14:paraId="4925D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1073" w:type="dxa"/>
            <w:tcBorders>
              <w:left w:val="single" w:color="000000" w:sz="8" w:space="0"/>
            </w:tcBorders>
            <w:vAlign w:val="top"/>
          </w:tcPr>
          <w:p w14:paraId="29E55248">
            <w:pPr>
              <w:rPr>
                <w:rFonts w:ascii="Arial"/>
                <w:sz w:val="21"/>
                <w:highlight w:val="none"/>
              </w:rPr>
            </w:pPr>
          </w:p>
        </w:tc>
        <w:tc>
          <w:tcPr>
            <w:tcW w:w="2089" w:type="dxa"/>
            <w:vAlign w:val="top"/>
          </w:tcPr>
          <w:p w14:paraId="6451DF9D">
            <w:pPr>
              <w:rPr>
                <w:rFonts w:ascii="Arial"/>
                <w:sz w:val="21"/>
                <w:highlight w:val="none"/>
              </w:rPr>
            </w:pPr>
          </w:p>
        </w:tc>
        <w:tc>
          <w:tcPr>
            <w:tcW w:w="893" w:type="dxa"/>
            <w:vAlign w:val="top"/>
          </w:tcPr>
          <w:p w14:paraId="0DAB4674">
            <w:pPr>
              <w:rPr>
                <w:rFonts w:ascii="Arial"/>
                <w:sz w:val="21"/>
                <w:highlight w:val="none"/>
              </w:rPr>
            </w:pPr>
          </w:p>
        </w:tc>
        <w:tc>
          <w:tcPr>
            <w:tcW w:w="815" w:type="dxa"/>
            <w:vAlign w:val="top"/>
          </w:tcPr>
          <w:p w14:paraId="1EC9BCBF">
            <w:pPr>
              <w:rPr>
                <w:rFonts w:ascii="Arial"/>
                <w:sz w:val="21"/>
                <w:highlight w:val="none"/>
              </w:rPr>
            </w:pPr>
          </w:p>
        </w:tc>
        <w:tc>
          <w:tcPr>
            <w:tcW w:w="1422" w:type="dxa"/>
            <w:vAlign w:val="top"/>
          </w:tcPr>
          <w:p w14:paraId="13B0E2DD">
            <w:pPr>
              <w:rPr>
                <w:rFonts w:ascii="Arial"/>
                <w:sz w:val="21"/>
                <w:highlight w:val="none"/>
              </w:rPr>
            </w:pPr>
          </w:p>
        </w:tc>
        <w:tc>
          <w:tcPr>
            <w:tcW w:w="1492" w:type="dxa"/>
            <w:vAlign w:val="top"/>
          </w:tcPr>
          <w:p w14:paraId="7E1F6F1F">
            <w:pPr>
              <w:rPr>
                <w:rFonts w:ascii="Arial"/>
                <w:sz w:val="21"/>
                <w:highlight w:val="none"/>
              </w:rPr>
            </w:pPr>
          </w:p>
        </w:tc>
        <w:tc>
          <w:tcPr>
            <w:tcW w:w="1817" w:type="dxa"/>
            <w:tcBorders>
              <w:right w:val="single" w:color="000000" w:sz="10" w:space="0"/>
            </w:tcBorders>
            <w:vAlign w:val="top"/>
          </w:tcPr>
          <w:p w14:paraId="706DACA2">
            <w:pPr>
              <w:rPr>
                <w:rFonts w:ascii="Arial"/>
                <w:sz w:val="21"/>
                <w:highlight w:val="none"/>
              </w:rPr>
            </w:pPr>
          </w:p>
        </w:tc>
      </w:tr>
      <w:tr w14:paraId="5C19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438A0D1F">
            <w:pPr>
              <w:rPr>
                <w:rFonts w:ascii="Arial"/>
                <w:sz w:val="21"/>
                <w:highlight w:val="none"/>
              </w:rPr>
            </w:pPr>
          </w:p>
        </w:tc>
        <w:tc>
          <w:tcPr>
            <w:tcW w:w="2089" w:type="dxa"/>
            <w:vAlign w:val="top"/>
          </w:tcPr>
          <w:p w14:paraId="10E33D79">
            <w:pPr>
              <w:rPr>
                <w:rFonts w:ascii="Arial"/>
                <w:sz w:val="21"/>
                <w:highlight w:val="none"/>
              </w:rPr>
            </w:pPr>
          </w:p>
        </w:tc>
        <w:tc>
          <w:tcPr>
            <w:tcW w:w="893" w:type="dxa"/>
            <w:vAlign w:val="top"/>
          </w:tcPr>
          <w:p w14:paraId="3F10FB0A">
            <w:pPr>
              <w:rPr>
                <w:rFonts w:ascii="Arial"/>
                <w:sz w:val="21"/>
                <w:highlight w:val="none"/>
              </w:rPr>
            </w:pPr>
          </w:p>
        </w:tc>
        <w:tc>
          <w:tcPr>
            <w:tcW w:w="815" w:type="dxa"/>
            <w:vAlign w:val="top"/>
          </w:tcPr>
          <w:p w14:paraId="48516605">
            <w:pPr>
              <w:rPr>
                <w:rFonts w:ascii="Arial"/>
                <w:sz w:val="21"/>
                <w:highlight w:val="none"/>
              </w:rPr>
            </w:pPr>
          </w:p>
        </w:tc>
        <w:tc>
          <w:tcPr>
            <w:tcW w:w="1422" w:type="dxa"/>
            <w:vAlign w:val="top"/>
          </w:tcPr>
          <w:p w14:paraId="4DD0C5FD">
            <w:pPr>
              <w:rPr>
                <w:rFonts w:ascii="Arial"/>
                <w:sz w:val="21"/>
                <w:highlight w:val="none"/>
              </w:rPr>
            </w:pPr>
          </w:p>
        </w:tc>
        <w:tc>
          <w:tcPr>
            <w:tcW w:w="1492" w:type="dxa"/>
            <w:vAlign w:val="top"/>
          </w:tcPr>
          <w:p w14:paraId="5A7D05E0">
            <w:pPr>
              <w:rPr>
                <w:rFonts w:ascii="Arial"/>
                <w:sz w:val="21"/>
                <w:highlight w:val="none"/>
              </w:rPr>
            </w:pPr>
          </w:p>
        </w:tc>
        <w:tc>
          <w:tcPr>
            <w:tcW w:w="1817" w:type="dxa"/>
            <w:tcBorders>
              <w:right w:val="single" w:color="000000" w:sz="10" w:space="0"/>
            </w:tcBorders>
            <w:vAlign w:val="top"/>
          </w:tcPr>
          <w:p w14:paraId="4A7201F5">
            <w:pPr>
              <w:rPr>
                <w:rFonts w:ascii="Arial"/>
                <w:sz w:val="21"/>
                <w:highlight w:val="none"/>
              </w:rPr>
            </w:pPr>
          </w:p>
        </w:tc>
      </w:tr>
      <w:tr w14:paraId="20EEC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073" w:type="dxa"/>
            <w:tcBorders>
              <w:left w:val="single" w:color="000000" w:sz="8" w:space="0"/>
            </w:tcBorders>
            <w:vAlign w:val="top"/>
          </w:tcPr>
          <w:p w14:paraId="6C3D1175">
            <w:pPr>
              <w:rPr>
                <w:rFonts w:ascii="Arial"/>
                <w:sz w:val="21"/>
                <w:highlight w:val="none"/>
              </w:rPr>
            </w:pPr>
          </w:p>
        </w:tc>
        <w:tc>
          <w:tcPr>
            <w:tcW w:w="2089" w:type="dxa"/>
            <w:vAlign w:val="top"/>
          </w:tcPr>
          <w:p w14:paraId="2D2D22DA">
            <w:pPr>
              <w:rPr>
                <w:rFonts w:ascii="Arial"/>
                <w:sz w:val="21"/>
                <w:highlight w:val="none"/>
              </w:rPr>
            </w:pPr>
          </w:p>
        </w:tc>
        <w:tc>
          <w:tcPr>
            <w:tcW w:w="893" w:type="dxa"/>
            <w:vAlign w:val="top"/>
          </w:tcPr>
          <w:p w14:paraId="732EF7A2">
            <w:pPr>
              <w:rPr>
                <w:rFonts w:ascii="Arial"/>
                <w:sz w:val="21"/>
                <w:highlight w:val="none"/>
              </w:rPr>
            </w:pPr>
          </w:p>
        </w:tc>
        <w:tc>
          <w:tcPr>
            <w:tcW w:w="815" w:type="dxa"/>
            <w:vAlign w:val="top"/>
          </w:tcPr>
          <w:p w14:paraId="7A91270A">
            <w:pPr>
              <w:rPr>
                <w:rFonts w:ascii="Arial"/>
                <w:sz w:val="21"/>
                <w:highlight w:val="none"/>
              </w:rPr>
            </w:pPr>
          </w:p>
        </w:tc>
        <w:tc>
          <w:tcPr>
            <w:tcW w:w="1422" w:type="dxa"/>
            <w:vAlign w:val="top"/>
          </w:tcPr>
          <w:p w14:paraId="3F28EC92">
            <w:pPr>
              <w:rPr>
                <w:rFonts w:ascii="Arial"/>
                <w:sz w:val="21"/>
                <w:highlight w:val="none"/>
              </w:rPr>
            </w:pPr>
          </w:p>
        </w:tc>
        <w:tc>
          <w:tcPr>
            <w:tcW w:w="1492" w:type="dxa"/>
            <w:vAlign w:val="top"/>
          </w:tcPr>
          <w:p w14:paraId="67CF8915">
            <w:pPr>
              <w:rPr>
                <w:rFonts w:ascii="Arial"/>
                <w:sz w:val="21"/>
                <w:highlight w:val="none"/>
              </w:rPr>
            </w:pPr>
          </w:p>
        </w:tc>
        <w:tc>
          <w:tcPr>
            <w:tcW w:w="1817" w:type="dxa"/>
            <w:tcBorders>
              <w:right w:val="single" w:color="000000" w:sz="10" w:space="0"/>
            </w:tcBorders>
            <w:vAlign w:val="top"/>
          </w:tcPr>
          <w:p w14:paraId="708D8932">
            <w:pPr>
              <w:rPr>
                <w:rFonts w:ascii="Arial"/>
                <w:sz w:val="21"/>
                <w:highlight w:val="none"/>
              </w:rPr>
            </w:pPr>
          </w:p>
        </w:tc>
      </w:tr>
      <w:tr w14:paraId="06D1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73" w:type="dxa"/>
            <w:tcBorders>
              <w:left w:val="single" w:color="000000" w:sz="8" w:space="0"/>
            </w:tcBorders>
            <w:vAlign w:val="top"/>
          </w:tcPr>
          <w:p w14:paraId="4F59DD13">
            <w:pPr>
              <w:rPr>
                <w:rFonts w:ascii="Arial"/>
                <w:sz w:val="21"/>
                <w:highlight w:val="none"/>
              </w:rPr>
            </w:pPr>
          </w:p>
        </w:tc>
        <w:tc>
          <w:tcPr>
            <w:tcW w:w="2089" w:type="dxa"/>
            <w:vAlign w:val="top"/>
          </w:tcPr>
          <w:p w14:paraId="145489E7">
            <w:pPr>
              <w:rPr>
                <w:rFonts w:ascii="Arial"/>
                <w:sz w:val="21"/>
                <w:highlight w:val="none"/>
              </w:rPr>
            </w:pPr>
          </w:p>
        </w:tc>
        <w:tc>
          <w:tcPr>
            <w:tcW w:w="893" w:type="dxa"/>
            <w:vAlign w:val="top"/>
          </w:tcPr>
          <w:p w14:paraId="3455639F">
            <w:pPr>
              <w:rPr>
                <w:rFonts w:ascii="Arial"/>
                <w:sz w:val="21"/>
                <w:highlight w:val="none"/>
              </w:rPr>
            </w:pPr>
          </w:p>
        </w:tc>
        <w:tc>
          <w:tcPr>
            <w:tcW w:w="815" w:type="dxa"/>
            <w:vAlign w:val="top"/>
          </w:tcPr>
          <w:p w14:paraId="4286159D">
            <w:pPr>
              <w:rPr>
                <w:rFonts w:ascii="Arial"/>
                <w:sz w:val="21"/>
                <w:highlight w:val="none"/>
              </w:rPr>
            </w:pPr>
          </w:p>
        </w:tc>
        <w:tc>
          <w:tcPr>
            <w:tcW w:w="1422" w:type="dxa"/>
            <w:vAlign w:val="top"/>
          </w:tcPr>
          <w:p w14:paraId="0F89B1E1">
            <w:pPr>
              <w:rPr>
                <w:rFonts w:ascii="Arial"/>
                <w:sz w:val="21"/>
                <w:highlight w:val="none"/>
              </w:rPr>
            </w:pPr>
          </w:p>
        </w:tc>
        <w:tc>
          <w:tcPr>
            <w:tcW w:w="1492" w:type="dxa"/>
            <w:vAlign w:val="top"/>
          </w:tcPr>
          <w:p w14:paraId="346E305A">
            <w:pPr>
              <w:rPr>
                <w:rFonts w:ascii="Arial"/>
                <w:sz w:val="21"/>
                <w:highlight w:val="none"/>
              </w:rPr>
            </w:pPr>
          </w:p>
        </w:tc>
        <w:tc>
          <w:tcPr>
            <w:tcW w:w="1817" w:type="dxa"/>
            <w:tcBorders>
              <w:right w:val="single" w:color="000000" w:sz="10" w:space="0"/>
            </w:tcBorders>
            <w:vAlign w:val="top"/>
          </w:tcPr>
          <w:p w14:paraId="424963BF">
            <w:pPr>
              <w:rPr>
                <w:rFonts w:ascii="Arial"/>
                <w:sz w:val="21"/>
                <w:highlight w:val="none"/>
              </w:rPr>
            </w:pPr>
          </w:p>
        </w:tc>
      </w:tr>
      <w:tr w14:paraId="2498E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73" w:type="dxa"/>
            <w:tcBorders>
              <w:left w:val="single" w:color="000000" w:sz="8" w:space="0"/>
              <w:bottom w:val="single" w:color="000000" w:sz="10" w:space="0"/>
            </w:tcBorders>
            <w:vAlign w:val="top"/>
          </w:tcPr>
          <w:p w14:paraId="111AA23A">
            <w:pPr>
              <w:rPr>
                <w:rFonts w:ascii="Arial"/>
                <w:sz w:val="21"/>
                <w:highlight w:val="none"/>
              </w:rPr>
            </w:pPr>
          </w:p>
        </w:tc>
        <w:tc>
          <w:tcPr>
            <w:tcW w:w="2089" w:type="dxa"/>
            <w:tcBorders>
              <w:bottom w:val="single" w:color="000000" w:sz="10" w:space="0"/>
            </w:tcBorders>
            <w:vAlign w:val="top"/>
          </w:tcPr>
          <w:p w14:paraId="0D33A200">
            <w:pPr>
              <w:rPr>
                <w:rFonts w:ascii="Arial"/>
                <w:sz w:val="21"/>
                <w:highlight w:val="none"/>
              </w:rPr>
            </w:pPr>
          </w:p>
        </w:tc>
        <w:tc>
          <w:tcPr>
            <w:tcW w:w="893" w:type="dxa"/>
            <w:tcBorders>
              <w:bottom w:val="single" w:color="000000" w:sz="10" w:space="0"/>
            </w:tcBorders>
            <w:vAlign w:val="top"/>
          </w:tcPr>
          <w:p w14:paraId="0614714A">
            <w:pPr>
              <w:rPr>
                <w:rFonts w:ascii="Arial"/>
                <w:sz w:val="21"/>
                <w:highlight w:val="none"/>
              </w:rPr>
            </w:pPr>
          </w:p>
        </w:tc>
        <w:tc>
          <w:tcPr>
            <w:tcW w:w="815" w:type="dxa"/>
            <w:tcBorders>
              <w:bottom w:val="single" w:color="000000" w:sz="10" w:space="0"/>
            </w:tcBorders>
            <w:vAlign w:val="top"/>
          </w:tcPr>
          <w:p w14:paraId="0299C3BC">
            <w:pPr>
              <w:rPr>
                <w:rFonts w:ascii="Arial"/>
                <w:sz w:val="21"/>
                <w:highlight w:val="none"/>
              </w:rPr>
            </w:pPr>
          </w:p>
        </w:tc>
        <w:tc>
          <w:tcPr>
            <w:tcW w:w="1422" w:type="dxa"/>
            <w:tcBorders>
              <w:bottom w:val="single" w:color="000000" w:sz="10" w:space="0"/>
            </w:tcBorders>
            <w:vAlign w:val="top"/>
          </w:tcPr>
          <w:p w14:paraId="7138C89F">
            <w:pPr>
              <w:rPr>
                <w:rFonts w:ascii="Arial"/>
                <w:sz w:val="21"/>
                <w:highlight w:val="none"/>
              </w:rPr>
            </w:pPr>
          </w:p>
        </w:tc>
        <w:tc>
          <w:tcPr>
            <w:tcW w:w="1492" w:type="dxa"/>
            <w:tcBorders>
              <w:bottom w:val="single" w:color="000000" w:sz="10" w:space="0"/>
            </w:tcBorders>
            <w:vAlign w:val="top"/>
          </w:tcPr>
          <w:p w14:paraId="072AC8FD">
            <w:pPr>
              <w:rPr>
                <w:rFonts w:ascii="Arial"/>
                <w:sz w:val="21"/>
                <w:highlight w:val="none"/>
              </w:rPr>
            </w:pPr>
          </w:p>
        </w:tc>
        <w:tc>
          <w:tcPr>
            <w:tcW w:w="1817" w:type="dxa"/>
            <w:tcBorders>
              <w:bottom w:val="single" w:color="000000" w:sz="10" w:space="0"/>
              <w:right w:val="single" w:color="000000" w:sz="10" w:space="0"/>
            </w:tcBorders>
            <w:vAlign w:val="top"/>
          </w:tcPr>
          <w:p w14:paraId="10998E73">
            <w:pPr>
              <w:rPr>
                <w:rFonts w:ascii="Arial"/>
                <w:sz w:val="21"/>
                <w:highlight w:val="none"/>
              </w:rPr>
            </w:pPr>
          </w:p>
        </w:tc>
      </w:tr>
    </w:tbl>
    <w:p w14:paraId="58A677AD">
      <w:pPr>
        <w:pStyle w:val="3"/>
        <w:rPr>
          <w:highlight w:val="none"/>
        </w:rPr>
      </w:pPr>
    </w:p>
    <w:p w14:paraId="48419C3F">
      <w:pPr>
        <w:rPr>
          <w:highlight w:val="none"/>
        </w:rPr>
        <w:sectPr>
          <w:footerReference r:id="rId71" w:type="default"/>
          <w:pgSz w:w="11909" w:h="16841"/>
          <w:pgMar w:top="1431" w:right="1205" w:bottom="1045" w:left="1080" w:header="0" w:footer="814" w:gutter="0"/>
          <w:cols w:space="720" w:num="1"/>
        </w:sectPr>
      </w:pPr>
    </w:p>
    <w:p w14:paraId="0FF1E19D">
      <w:pPr>
        <w:spacing w:before="69" w:line="218" w:lineRule="auto"/>
        <w:ind w:left="3454"/>
        <w:rPr>
          <w:rFonts w:ascii="宋体" w:hAnsi="宋体" w:eastAsia="宋体" w:cs="宋体"/>
          <w:sz w:val="24"/>
          <w:szCs w:val="24"/>
          <w:highlight w:val="none"/>
        </w:rPr>
      </w:pPr>
      <w:r>
        <w:rPr>
          <w:rFonts w:ascii="宋体" w:hAnsi="宋体" w:eastAsia="宋体" w:cs="宋体"/>
          <w:spacing w:val="-7"/>
          <w:sz w:val="24"/>
          <w:szCs w:val="24"/>
          <w:highlight w:val="none"/>
        </w:rPr>
        <w:t>11-3：专业工程暂估价表</w:t>
      </w:r>
    </w:p>
    <w:p w14:paraId="693F9868">
      <w:pPr>
        <w:spacing w:before="192"/>
        <w:rPr>
          <w:highlight w:val="none"/>
        </w:rPr>
      </w:pPr>
    </w:p>
    <w:tbl>
      <w:tblPr>
        <w:tblStyle w:val="24"/>
        <w:tblW w:w="95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2344"/>
        <w:gridCol w:w="4681"/>
        <w:gridCol w:w="1436"/>
      </w:tblGrid>
      <w:tr w14:paraId="4EF88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1122" w:type="dxa"/>
            <w:tcBorders>
              <w:top w:val="single" w:color="000000" w:sz="10" w:space="0"/>
              <w:left w:val="single" w:color="000000" w:sz="10" w:space="0"/>
            </w:tcBorders>
            <w:vAlign w:val="top"/>
          </w:tcPr>
          <w:p w14:paraId="62434A50">
            <w:pPr>
              <w:spacing w:before="164" w:line="221" w:lineRule="auto"/>
              <w:ind w:left="261"/>
              <w:rPr>
                <w:rFonts w:ascii="宋体" w:hAnsi="宋体" w:eastAsia="宋体" w:cs="宋体"/>
                <w:sz w:val="24"/>
                <w:szCs w:val="24"/>
                <w:highlight w:val="none"/>
              </w:rPr>
            </w:pPr>
            <w:r>
              <w:rPr>
                <w:rFonts w:ascii="宋体" w:hAnsi="宋体" w:eastAsia="宋体" w:cs="宋体"/>
                <w:spacing w:val="-4"/>
                <w:sz w:val="24"/>
                <w:szCs w:val="24"/>
                <w:highlight w:val="none"/>
              </w:rPr>
              <w:t>序号</w:t>
            </w:r>
          </w:p>
        </w:tc>
        <w:tc>
          <w:tcPr>
            <w:tcW w:w="2344" w:type="dxa"/>
            <w:tcBorders>
              <w:top w:val="single" w:color="000000" w:sz="10" w:space="0"/>
            </w:tcBorders>
            <w:vAlign w:val="top"/>
          </w:tcPr>
          <w:p w14:paraId="15085EDE">
            <w:pPr>
              <w:spacing w:before="165" w:line="220" w:lineRule="auto"/>
              <w:ind w:left="339"/>
              <w:rPr>
                <w:rFonts w:ascii="宋体" w:hAnsi="宋体" w:eastAsia="宋体" w:cs="宋体"/>
                <w:sz w:val="24"/>
                <w:szCs w:val="24"/>
                <w:highlight w:val="none"/>
              </w:rPr>
            </w:pPr>
            <w:r>
              <w:rPr>
                <w:rFonts w:ascii="宋体" w:hAnsi="宋体" w:eastAsia="宋体" w:cs="宋体"/>
                <w:spacing w:val="-5"/>
                <w:sz w:val="24"/>
                <w:szCs w:val="24"/>
                <w:highlight w:val="none"/>
              </w:rPr>
              <w:t>专业工程名称</w:t>
            </w:r>
          </w:p>
        </w:tc>
        <w:tc>
          <w:tcPr>
            <w:tcW w:w="4681" w:type="dxa"/>
            <w:tcBorders>
              <w:top w:val="single" w:color="000000" w:sz="10" w:space="0"/>
            </w:tcBorders>
            <w:vAlign w:val="top"/>
          </w:tcPr>
          <w:p w14:paraId="1C794F0A">
            <w:pPr>
              <w:spacing w:before="161" w:line="220" w:lineRule="auto"/>
              <w:ind w:left="1660"/>
              <w:rPr>
                <w:rFonts w:ascii="宋体" w:hAnsi="宋体" w:eastAsia="宋体" w:cs="宋体"/>
                <w:sz w:val="24"/>
                <w:szCs w:val="24"/>
                <w:highlight w:val="none"/>
              </w:rPr>
            </w:pPr>
            <w:r>
              <w:rPr>
                <w:rFonts w:ascii="宋体" w:hAnsi="宋体" w:eastAsia="宋体" w:cs="宋体"/>
                <w:spacing w:val="-6"/>
                <w:sz w:val="24"/>
                <w:szCs w:val="24"/>
                <w:highlight w:val="none"/>
              </w:rPr>
              <w:t>工程内容</w:t>
            </w:r>
          </w:p>
        </w:tc>
        <w:tc>
          <w:tcPr>
            <w:tcW w:w="1436" w:type="dxa"/>
            <w:tcBorders>
              <w:top w:val="single" w:color="000000" w:sz="10" w:space="0"/>
              <w:right w:val="single" w:color="000000" w:sz="10" w:space="0"/>
            </w:tcBorders>
            <w:vAlign w:val="top"/>
          </w:tcPr>
          <w:p w14:paraId="48050F39">
            <w:pPr>
              <w:spacing w:before="161" w:line="220" w:lineRule="auto"/>
              <w:ind w:left="435"/>
              <w:rPr>
                <w:rFonts w:ascii="宋体" w:hAnsi="宋体" w:eastAsia="宋体" w:cs="宋体"/>
                <w:sz w:val="24"/>
                <w:szCs w:val="24"/>
                <w:highlight w:val="none"/>
              </w:rPr>
            </w:pPr>
            <w:r>
              <w:rPr>
                <w:rFonts w:ascii="宋体" w:hAnsi="宋体" w:eastAsia="宋体" w:cs="宋体"/>
                <w:spacing w:val="-5"/>
                <w:sz w:val="24"/>
                <w:szCs w:val="24"/>
                <w:highlight w:val="none"/>
              </w:rPr>
              <w:t>金额</w:t>
            </w:r>
          </w:p>
        </w:tc>
      </w:tr>
      <w:tr w14:paraId="0A4A6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22" w:type="dxa"/>
            <w:tcBorders>
              <w:left w:val="single" w:color="000000" w:sz="10" w:space="0"/>
            </w:tcBorders>
            <w:vAlign w:val="top"/>
          </w:tcPr>
          <w:p w14:paraId="104838FF">
            <w:pPr>
              <w:rPr>
                <w:rFonts w:ascii="Arial"/>
                <w:sz w:val="21"/>
                <w:highlight w:val="none"/>
              </w:rPr>
            </w:pPr>
          </w:p>
        </w:tc>
        <w:tc>
          <w:tcPr>
            <w:tcW w:w="2344" w:type="dxa"/>
            <w:vAlign w:val="top"/>
          </w:tcPr>
          <w:p w14:paraId="5790A135">
            <w:pPr>
              <w:rPr>
                <w:rFonts w:ascii="Arial"/>
                <w:sz w:val="21"/>
                <w:highlight w:val="none"/>
              </w:rPr>
            </w:pPr>
          </w:p>
        </w:tc>
        <w:tc>
          <w:tcPr>
            <w:tcW w:w="4681" w:type="dxa"/>
            <w:vAlign w:val="top"/>
          </w:tcPr>
          <w:p w14:paraId="238D7204">
            <w:pPr>
              <w:rPr>
                <w:rFonts w:ascii="Arial"/>
                <w:sz w:val="21"/>
                <w:highlight w:val="none"/>
              </w:rPr>
            </w:pPr>
          </w:p>
        </w:tc>
        <w:tc>
          <w:tcPr>
            <w:tcW w:w="1436" w:type="dxa"/>
            <w:tcBorders>
              <w:right w:val="single" w:color="000000" w:sz="10" w:space="0"/>
            </w:tcBorders>
            <w:vAlign w:val="top"/>
          </w:tcPr>
          <w:p w14:paraId="05260E08">
            <w:pPr>
              <w:rPr>
                <w:rFonts w:ascii="Arial"/>
                <w:sz w:val="21"/>
                <w:highlight w:val="none"/>
              </w:rPr>
            </w:pPr>
          </w:p>
        </w:tc>
      </w:tr>
      <w:tr w14:paraId="5C8B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4D00B297">
            <w:pPr>
              <w:rPr>
                <w:rFonts w:ascii="Arial"/>
                <w:sz w:val="21"/>
                <w:highlight w:val="none"/>
              </w:rPr>
            </w:pPr>
          </w:p>
        </w:tc>
        <w:tc>
          <w:tcPr>
            <w:tcW w:w="2344" w:type="dxa"/>
            <w:vAlign w:val="top"/>
          </w:tcPr>
          <w:p w14:paraId="300F1ADA">
            <w:pPr>
              <w:rPr>
                <w:rFonts w:ascii="Arial"/>
                <w:sz w:val="21"/>
                <w:highlight w:val="none"/>
              </w:rPr>
            </w:pPr>
          </w:p>
        </w:tc>
        <w:tc>
          <w:tcPr>
            <w:tcW w:w="4681" w:type="dxa"/>
            <w:vAlign w:val="top"/>
          </w:tcPr>
          <w:p w14:paraId="4E1CD052">
            <w:pPr>
              <w:rPr>
                <w:rFonts w:ascii="Arial"/>
                <w:sz w:val="21"/>
                <w:highlight w:val="none"/>
              </w:rPr>
            </w:pPr>
          </w:p>
        </w:tc>
        <w:tc>
          <w:tcPr>
            <w:tcW w:w="1436" w:type="dxa"/>
            <w:tcBorders>
              <w:right w:val="single" w:color="000000" w:sz="10" w:space="0"/>
            </w:tcBorders>
            <w:vAlign w:val="top"/>
          </w:tcPr>
          <w:p w14:paraId="6AB200F4">
            <w:pPr>
              <w:rPr>
                <w:rFonts w:ascii="Arial"/>
                <w:sz w:val="21"/>
                <w:highlight w:val="none"/>
              </w:rPr>
            </w:pPr>
          </w:p>
        </w:tc>
      </w:tr>
      <w:tr w14:paraId="56060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22" w:type="dxa"/>
            <w:tcBorders>
              <w:left w:val="single" w:color="000000" w:sz="10" w:space="0"/>
            </w:tcBorders>
            <w:vAlign w:val="top"/>
          </w:tcPr>
          <w:p w14:paraId="5D8547C8">
            <w:pPr>
              <w:rPr>
                <w:rFonts w:ascii="Arial"/>
                <w:sz w:val="21"/>
                <w:highlight w:val="none"/>
              </w:rPr>
            </w:pPr>
          </w:p>
        </w:tc>
        <w:tc>
          <w:tcPr>
            <w:tcW w:w="2344" w:type="dxa"/>
            <w:vAlign w:val="top"/>
          </w:tcPr>
          <w:p w14:paraId="32B76099">
            <w:pPr>
              <w:rPr>
                <w:rFonts w:ascii="Arial"/>
                <w:sz w:val="21"/>
                <w:highlight w:val="none"/>
              </w:rPr>
            </w:pPr>
          </w:p>
        </w:tc>
        <w:tc>
          <w:tcPr>
            <w:tcW w:w="4681" w:type="dxa"/>
            <w:vAlign w:val="top"/>
          </w:tcPr>
          <w:p w14:paraId="591DBCBA">
            <w:pPr>
              <w:rPr>
                <w:rFonts w:ascii="Arial"/>
                <w:sz w:val="21"/>
                <w:highlight w:val="none"/>
              </w:rPr>
            </w:pPr>
          </w:p>
        </w:tc>
        <w:tc>
          <w:tcPr>
            <w:tcW w:w="1436" w:type="dxa"/>
            <w:tcBorders>
              <w:right w:val="single" w:color="000000" w:sz="10" w:space="0"/>
            </w:tcBorders>
            <w:vAlign w:val="top"/>
          </w:tcPr>
          <w:p w14:paraId="26B2AF35">
            <w:pPr>
              <w:rPr>
                <w:rFonts w:ascii="Arial"/>
                <w:sz w:val="21"/>
                <w:highlight w:val="none"/>
              </w:rPr>
            </w:pPr>
          </w:p>
        </w:tc>
      </w:tr>
      <w:tr w14:paraId="3052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7D1BF1BA">
            <w:pPr>
              <w:rPr>
                <w:rFonts w:ascii="Arial"/>
                <w:sz w:val="21"/>
                <w:highlight w:val="none"/>
              </w:rPr>
            </w:pPr>
          </w:p>
        </w:tc>
        <w:tc>
          <w:tcPr>
            <w:tcW w:w="2344" w:type="dxa"/>
            <w:vAlign w:val="top"/>
          </w:tcPr>
          <w:p w14:paraId="7ACFE519">
            <w:pPr>
              <w:rPr>
                <w:rFonts w:ascii="Arial"/>
                <w:sz w:val="21"/>
                <w:highlight w:val="none"/>
              </w:rPr>
            </w:pPr>
          </w:p>
        </w:tc>
        <w:tc>
          <w:tcPr>
            <w:tcW w:w="4681" w:type="dxa"/>
            <w:vAlign w:val="top"/>
          </w:tcPr>
          <w:p w14:paraId="485F12EA">
            <w:pPr>
              <w:rPr>
                <w:rFonts w:ascii="Arial"/>
                <w:sz w:val="21"/>
                <w:highlight w:val="none"/>
              </w:rPr>
            </w:pPr>
          </w:p>
        </w:tc>
        <w:tc>
          <w:tcPr>
            <w:tcW w:w="1436" w:type="dxa"/>
            <w:tcBorders>
              <w:right w:val="single" w:color="000000" w:sz="10" w:space="0"/>
            </w:tcBorders>
            <w:vAlign w:val="top"/>
          </w:tcPr>
          <w:p w14:paraId="5067E978">
            <w:pPr>
              <w:rPr>
                <w:rFonts w:ascii="Arial"/>
                <w:sz w:val="21"/>
                <w:highlight w:val="none"/>
              </w:rPr>
            </w:pPr>
          </w:p>
        </w:tc>
      </w:tr>
      <w:tr w14:paraId="05B5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22" w:type="dxa"/>
            <w:tcBorders>
              <w:left w:val="single" w:color="000000" w:sz="10" w:space="0"/>
            </w:tcBorders>
            <w:vAlign w:val="top"/>
          </w:tcPr>
          <w:p w14:paraId="7ABFCE03">
            <w:pPr>
              <w:rPr>
                <w:rFonts w:ascii="Arial"/>
                <w:sz w:val="21"/>
                <w:highlight w:val="none"/>
              </w:rPr>
            </w:pPr>
          </w:p>
        </w:tc>
        <w:tc>
          <w:tcPr>
            <w:tcW w:w="2344" w:type="dxa"/>
            <w:vAlign w:val="top"/>
          </w:tcPr>
          <w:p w14:paraId="2A98334C">
            <w:pPr>
              <w:rPr>
                <w:rFonts w:ascii="Arial"/>
                <w:sz w:val="21"/>
                <w:highlight w:val="none"/>
              </w:rPr>
            </w:pPr>
          </w:p>
        </w:tc>
        <w:tc>
          <w:tcPr>
            <w:tcW w:w="4681" w:type="dxa"/>
            <w:vAlign w:val="top"/>
          </w:tcPr>
          <w:p w14:paraId="1B30B2FA">
            <w:pPr>
              <w:rPr>
                <w:rFonts w:ascii="Arial"/>
                <w:sz w:val="21"/>
                <w:highlight w:val="none"/>
              </w:rPr>
            </w:pPr>
          </w:p>
        </w:tc>
        <w:tc>
          <w:tcPr>
            <w:tcW w:w="1436" w:type="dxa"/>
            <w:tcBorders>
              <w:right w:val="single" w:color="000000" w:sz="10" w:space="0"/>
            </w:tcBorders>
            <w:vAlign w:val="top"/>
          </w:tcPr>
          <w:p w14:paraId="1CF6DC99">
            <w:pPr>
              <w:rPr>
                <w:rFonts w:ascii="Arial"/>
                <w:sz w:val="21"/>
                <w:highlight w:val="none"/>
              </w:rPr>
            </w:pPr>
          </w:p>
        </w:tc>
      </w:tr>
      <w:tr w14:paraId="51D22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6EC36F4E">
            <w:pPr>
              <w:rPr>
                <w:rFonts w:ascii="Arial"/>
                <w:sz w:val="21"/>
                <w:highlight w:val="none"/>
              </w:rPr>
            </w:pPr>
          </w:p>
        </w:tc>
        <w:tc>
          <w:tcPr>
            <w:tcW w:w="2344" w:type="dxa"/>
            <w:vAlign w:val="top"/>
          </w:tcPr>
          <w:p w14:paraId="15F3310A">
            <w:pPr>
              <w:rPr>
                <w:rFonts w:ascii="Arial"/>
                <w:sz w:val="21"/>
                <w:highlight w:val="none"/>
              </w:rPr>
            </w:pPr>
          </w:p>
        </w:tc>
        <w:tc>
          <w:tcPr>
            <w:tcW w:w="4681" w:type="dxa"/>
            <w:vAlign w:val="top"/>
          </w:tcPr>
          <w:p w14:paraId="5749D3CD">
            <w:pPr>
              <w:rPr>
                <w:rFonts w:ascii="Arial"/>
                <w:sz w:val="21"/>
                <w:highlight w:val="none"/>
              </w:rPr>
            </w:pPr>
          </w:p>
        </w:tc>
        <w:tc>
          <w:tcPr>
            <w:tcW w:w="1436" w:type="dxa"/>
            <w:tcBorders>
              <w:right w:val="single" w:color="000000" w:sz="10" w:space="0"/>
            </w:tcBorders>
            <w:vAlign w:val="top"/>
          </w:tcPr>
          <w:p w14:paraId="5373EA04">
            <w:pPr>
              <w:rPr>
                <w:rFonts w:ascii="Arial"/>
                <w:sz w:val="21"/>
                <w:highlight w:val="none"/>
              </w:rPr>
            </w:pPr>
          </w:p>
        </w:tc>
      </w:tr>
      <w:tr w14:paraId="0448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122" w:type="dxa"/>
            <w:tcBorders>
              <w:left w:val="single" w:color="000000" w:sz="10" w:space="0"/>
            </w:tcBorders>
            <w:vAlign w:val="top"/>
          </w:tcPr>
          <w:p w14:paraId="0D06DC4B">
            <w:pPr>
              <w:rPr>
                <w:rFonts w:ascii="Arial"/>
                <w:sz w:val="21"/>
                <w:highlight w:val="none"/>
              </w:rPr>
            </w:pPr>
          </w:p>
        </w:tc>
        <w:tc>
          <w:tcPr>
            <w:tcW w:w="2344" w:type="dxa"/>
            <w:vAlign w:val="top"/>
          </w:tcPr>
          <w:p w14:paraId="174A4006">
            <w:pPr>
              <w:rPr>
                <w:rFonts w:ascii="Arial"/>
                <w:sz w:val="21"/>
                <w:highlight w:val="none"/>
              </w:rPr>
            </w:pPr>
          </w:p>
        </w:tc>
        <w:tc>
          <w:tcPr>
            <w:tcW w:w="4681" w:type="dxa"/>
            <w:vAlign w:val="top"/>
          </w:tcPr>
          <w:p w14:paraId="6CE6D9D9">
            <w:pPr>
              <w:rPr>
                <w:rFonts w:ascii="Arial"/>
                <w:sz w:val="21"/>
                <w:highlight w:val="none"/>
              </w:rPr>
            </w:pPr>
          </w:p>
        </w:tc>
        <w:tc>
          <w:tcPr>
            <w:tcW w:w="1436" w:type="dxa"/>
            <w:tcBorders>
              <w:right w:val="single" w:color="000000" w:sz="10" w:space="0"/>
            </w:tcBorders>
            <w:vAlign w:val="top"/>
          </w:tcPr>
          <w:p w14:paraId="3FCC29AB">
            <w:pPr>
              <w:rPr>
                <w:rFonts w:ascii="Arial"/>
                <w:sz w:val="21"/>
                <w:highlight w:val="none"/>
              </w:rPr>
            </w:pPr>
          </w:p>
        </w:tc>
      </w:tr>
      <w:tr w14:paraId="1A18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22" w:type="dxa"/>
            <w:tcBorders>
              <w:left w:val="single" w:color="000000" w:sz="10" w:space="0"/>
            </w:tcBorders>
            <w:vAlign w:val="top"/>
          </w:tcPr>
          <w:p w14:paraId="6829BB4D">
            <w:pPr>
              <w:rPr>
                <w:rFonts w:ascii="Arial"/>
                <w:sz w:val="21"/>
                <w:highlight w:val="none"/>
              </w:rPr>
            </w:pPr>
          </w:p>
        </w:tc>
        <w:tc>
          <w:tcPr>
            <w:tcW w:w="2344" w:type="dxa"/>
            <w:vAlign w:val="top"/>
          </w:tcPr>
          <w:p w14:paraId="6813206A">
            <w:pPr>
              <w:rPr>
                <w:rFonts w:ascii="Arial"/>
                <w:sz w:val="21"/>
                <w:highlight w:val="none"/>
              </w:rPr>
            </w:pPr>
          </w:p>
        </w:tc>
        <w:tc>
          <w:tcPr>
            <w:tcW w:w="4681" w:type="dxa"/>
            <w:vAlign w:val="top"/>
          </w:tcPr>
          <w:p w14:paraId="64C6DCC7">
            <w:pPr>
              <w:rPr>
                <w:rFonts w:ascii="Arial"/>
                <w:sz w:val="21"/>
                <w:highlight w:val="none"/>
              </w:rPr>
            </w:pPr>
          </w:p>
        </w:tc>
        <w:tc>
          <w:tcPr>
            <w:tcW w:w="1436" w:type="dxa"/>
            <w:tcBorders>
              <w:right w:val="single" w:color="000000" w:sz="10" w:space="0"/>
            </w:tcBorders>
            <w:vAlign w:val="top"/>
          </w:tcPr>
          <w:p w14:paraId="07CCD1DB">
            <w:pPr>
              <w:rPr>
                <w:rFonts w:ascii="Arial"/>
                <w:sz w:val="21"/>
                <w:highlight w:val="none"/>
              </w:rPr>
            </w:pPr>
          </w:p>
        </w:tc>
      </w:tr>
      <w:tr w14:paraId="01DF1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108248E7">
            <w:pPr>
              <w:rPr>
                <w:rFonts w:ascii="Arial"/>
                <w:sz w:val="21"/>
                <w:highlight w:val="none"/>
              </w:rPr>
            </w:pPr>
          </w:p>
        </w:tc>
        <w:tc>
          <w:tcPr>
            <w:tcW w:w="2344" w:type="dxa"/>
            <w:vAlign w:val="top"/>
          </w:tcPr>
          <w:p w14:paraId="14C914F9">
            <w:pPr>
              <w:rPr>
                <w:rFonts w:ascii="Arial"/>
                <w:sz w:val="21"/>
                <w:highlight w:val="none"/>
              </w:rPr>
            </w:pPr>
          </w:p>
        </w:tc>
        <w:tc>
          <w:tcPr>
            <w:tcW w:w="4681" w:type="dxa"/>
            <w:vAlign w:val="top"/>
          </w:tcPr>
          <w:p w14:paraId="0EB7CBF1">
            <w:pPr>
              <w:rPr>
                <w:rFonts w:ascii="Arial"/>
                <w:sz w:val="21"/>
                <w:highlight w:val="none"/>
              </w:rPr>
            </w:pPr>
          </w:p>
        </w:tc>
        <w:tc>
          <w:tcPr>
            <w:tcW w:w="1436" w:type="dxa"/>
            <w:tcBorders>
              <w:right w:val="single" w:color="000000" w:sz="10" w:space="0"/>
            </w:tcBorders>
            <w:vAlign w:val="top"/>
          </w:tcPr>
          <w:p w14:paraId="134839ED">
            <w:pPr>
              <w:rPr>
                <w:rFonts w:ascii="Arial"/>
                <w:sz w:val="21"/>
                <w:highlight w:val="none"/>
              </w:rPr>
            </w:pPr>
          </w:p>
        </w:tc>
      </w:tr>
      <w:tr w14:paraId="79AF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727BCF37">
            <w:pPr>
              <w:rPr>
                <w:rFonts w:ascii="Arial"/>
                <w:sz w:val="21"/>
                <w:highlight w:val="none"/>
              </w:rPr>
            </w:pPr>
          </w:p>
        </w:tc>
        <w:tc>
          <w:tcPr>
            <w:tcW w:w="2344" w:type="dxa"/>
            <w:vAlign w:val="top"/>
          </w:tcPr>
          <w:p w14:paraId="486185EC">
            <w:pPr>
              <w:rPr>
                <w:rFonts w:ascii="Arial"/>
                <w:sz w:val="21"/>
                <w:highlight w:val="none"/>
              </w:rPr>
            </w:pPr>
          </w:p>
        </w:tc>
        <w:tc>
          <w:tcPr>
            <w:tcW w:w="4681" w:type="dxa"/>
            <w:vAlign w:val="top"/>
          </w:tcPr>
          <w:p w14:paraId="62B46135">
            <w:pPr>
              <w:rPr>
                <w:rFonts w:ascii="Arial"/>
                <w:sz w:val="21"/>
                <w:highlight w:val="none"/>
              </w:rPr>
            </w:pPr>
          </w:p>
        </w:tc>
        <w:tc>
          <w:tcPr>
            <w:tcW w:w="1436" w:type="dxa"/>
            <w:tcBorders>
              <w:right w:val="single" w:color="000000" w:sz="10" w:space="0"/>
            </w:tcBorders>
            <w:vAlign w:val="top"/>
          </w:tcPr>
          <w:p w14:paraId="0070D0EA">
            <w:pPr>
              <w:rPr>
                <w:rFonts w:ascii="Arial"/>
                <w:sz w:val="21"/>
                <w:highlight w:val="none"/>
              </w:rPr>
            </w:pPr>
          </w:p>
        </w:tc>
      </w:tr>
      <w:tr w14:paraId="75C9E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122" w:type="dxa"/>
            <w:tcBorders>
              <w:left w:val="single" w:color="000000" w:sz="10" w:space="0"/>
            </w:tcBorders>
            <w:vAlign w:val="top"/>
          </w:tcPr>
          <w:p w14:paraId="1E7EDEF8">
            <w:pPr>
              <w:rPr>
                <w:rFonts w:ascii="Arial"/>
                <w:sz w:val="21"/>
                <w:highlight w:val="none"/>
              </w:rPr>
            </w:pPr>
          </w:p>
        </w:tc>
        <w:tc>
          <w:tcPr>
            <w:tcW w:w="2344" w:type="dxa"/>
            <w:vAlign w:val="top"/>
          </w:tcPr>
          <w:p w14:paraId="3B97CE82">
            <w:pPr>
              <w:rPr>
                <w:rFonts w:ascii="Arial"/>
                <w:sz w:val="21"/>
                <w:highlight w:val="none"/>
              </w:rPr>
            </w:pPr>
          </w:p>
        </w:tc>
        <w:tc>
          <w:tcPr>
            <w:tcW w:w="4681" w:type="dxa"/>
            <w:vAlign w:val="top"/>
          </w:tcPr>
          <w:p w14:paraId="19CD1C9E">
            <w:pPr>
              <w:rPr>
                <w:rFonts w:ascii="Arial"/>
                <w:sz w:val="21"/>
                <w:highlight w:val="none"/>
              </w:rPr>
            </w:pPr>
          </w:p>
        </w:tc>
        <w:tc>
          <w:tcPr>
            <w:tcW w:w="1436" w:type="dxa"/>
            <w:tcBorders>
              <w:right w:val="single" w:color="000000" w:sz="10" w:space="0"/>
            </w:tcBorders>
            <w:vAlign w:val="top"/>
          </w:tcPr>
          <w:p w14:paraId="1A207562">
            <w:pPr>
              <w:rPr>
                <w:rFonts w:ascii="Arial"/>
                <w:sz w:val="21"/>
                <w:highlight w:val="none"/>
              </w:rPr>
            </w:pPr>
          </w:p>
        </w:tc>
      </w:tr>
      <w:tr w14:paraId="1587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785B1FE6">
            <w:pPr>
              <w:rPr>
                <w:rFonts w:ascii="Arial"/>
                <w:sz w:val="21"/>
                <w:highlight w:val="none"/>
              </w:rPr>
            </w:pPr>
          </w:p>
        </w:tc>
        <w:tc>
          <w:tcPr>
            <w:tcW w:w="2344" w:type="dxa"/>
            <w:vAlign w:val="top"/>
          </w:tcPr>
          <w:p w14:paraId="30C763C7">
            <w:pPr>
              <w:rPr>
                <w:rFonts w:ascii="Arial"/>
                <w:sz w:val="21"/>
                <w:highlight w:val="none"/>
              </w:rPr>
            </w:pPr>
          </w:p>
        </w:tc>
        <w:tc>
          <w:tcPr>
            <w:tcW w:w="4681" w:type="dxa"/>
            <w:vAlign w:val="top"/>
          </w:tcPr>
          <w:p w14:paraId="2A4B94F0">
            <w:pPr>
              <w:rPr>
                <w:rFonts w:ascii="Arial"/>
                <w:sz w:val="21"/>
                <w:highlight w:val="none"/>
              </w:rPr>
            </w:pPr>
          </w:p>
        </w:tc>
        <w:tc>
          <w:tcPr>
            <w:tcW w:w="1436" w:type="dxa"/>
            <w:tcBorders>
              <w:right w:val="single" w:color="000000" w:sz="10" w:space="0"/>
            </w:tcBorders>
            <w:vAlign w:val="top"/>
          </w:tcPr>
          <w:p w14:paraId="735DB6FE">
            <w:pPr>
              <w:rPr>
                <w:rFonts w:ascii="Arial"/>
                <w:sz w:val="21"/>
                <w:highlight w:val="none"/>
              </w:rPr>
            </w:pPr>
          </w:p>
        </w:tc>
      </w:tr>
      <w:tr w14:paraId="3A1DF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736DE288">
            <w:pPr>
              <w:rPr>
                <w:rFonts w:ascii="Arial"/>
                <w:sz w:val="21"/>
                <w:highlight w:val="none"/>
              </w:rPr>
            </w:pPr>
          </w:p>
        </w:tc>
        <w:tc>
          <w:tcPr>
            <w:tcW w:w="2344" w:type="dxa"/>
            <w:vAlign w:val="top"/>
          </w:tcPr>
          <w:p w14:paraId="592172E2">
            <w:pPr>
              <w:rPr>
                <w:rFonts w:ascii="Arial"/>
                <w:sz w:val="21"/>
                <w:highlight w:val="none"/>
              </w:rPr>
            </w:pPr>
          </w:p>
        </w:tc>
        <w:tc>
          <w:tcPr>
            <w:tcW w:w="4681" w:type="dxa"/>
            <w:vAlign w:val="top"/>
          </w:tcPr>
          <w:p w14:paraId="32929F93">
            <w:pPr>
              <w:rPr>
                <w:rFonts w:ascii="Arial"/>
                <w:sz w:val="21"/>
                <w:highlight w:val="none"/>
              </w:rPr>
            </w:pPr>
          </w:p>
        </w:tc>
        <w:tc>
          <w:tcPr>
            <w:tcW w:w="1436" w:type="dxa"/>
            <w:tcBorders>
              <w:right w:val="single" w:color="000000" w:sz="10" w:space="0"/>
            </w:tcBorders>
            <w:vAlign w:val="top"/>
          </w:tcPr>
          <w:p w14:paraId="77116368">
            <w:pPr>
              <w:rPr>
                <w:rFonts w:ascii="Arial"/>
                <w:sz w:val="21"/>
                <w:highlight w:val="none"/>
              </w:rPr>
            </w:pPr>
          </w:p>
        </w:tc>
      </w:tr>
      <w:tr w14:paraId="112A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22" w:type="dxa"/>
            <w:tcBorders>
              <w:left w:val="single" w:color="000000" w:sz="10" w:space="0"/>
            </w:tcBorders>
            <w:vAlign w:val="top"/>
          </w:tcPr>
          <w:p w14:paraId="73263380">
            <w:pPr>
              <w:rPr>
                <w:rFonts w:ascii="Arial"/>
                <w:sz w:val="21"/>
                <w:highlight w:val="none"/>
              </w:rPr>
            </w:pPr>
          </w:p>
        </w:tc>
        <w:tc>
          <w:tcPr>
            <w:tcW w:w="2344" w:type="dxa"/>
            <w:vAlign w:val="top"/>
          </w:tcPr>
          <w:p w14:paraId="3B6D43FD">
            <w:pPr>
              <w:rPr>
                <w:rFonts w:ascii="Arial"/>
                <w:sz w:val="21"/>
                <w:highlight w:val="none"/>
              </w:rPr>
            </w:pPr>
          </w:p>
        </w:tc>
        <w:tc>
          <w:tcPr>
            <w:tcW w:w="4681" w:type="dxa"/>
            <w:vAlign w:val="top"/>
          </w:tcPr>
          <w:p w14:paraId="5B8DD4D5">
            <w:pPr>
              <w:rPr>
                <w:rFonts w:ascii="Arial"/>
                <w:sz w:val="21"/>
                <w:highlight w:val="none"/>
              </w:rPr>
            </w:pPr>
          </w:p>
        </w:tc>
        <w:tc>
          <w:tcPr>
            <w:tcW w:w="1436" w:type="dxa"/>
            <w:tcBorders>
              <w:right w:val="single" w:color="000000" w:sz="10" w:space="0"/>
            </w:tcBorders>
            <w:vAlign w:val="top"/>
          </w:tcPr>
          <w:p w14:paraId="2F02876D">
            <w:pPr>
              <w:rPr>
                <w:rFonts w:ascii="Arial"/>
                <w:sz w:val="21"/>
                <w:highlight w:val="none"/>
              </w:rPr>
            </w:pPr>
          </w:p>
        </w:tc>
      </w:tr>
      <w:tr w14:paraId="529B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3DE403B0">
            <w:pPr>
              <w:rPr>
                <w:rFonts w:ascii="Arial"/>
                <w:sz w:val="21"/>
                <w:highlight w:val="none"/>
              </w:rPr>
            </w:pPr>
          </w:p>
        </w:tc>
        <w:tc>
          <w:tcPr>
            <w:tcW w:w="2344" w:type="dxa"/>
            <w:vAlign w:val="top"/>
          </w:tcPr>
          <w:p w14:paraId="790C5527">
            <w:pPr>
              <w:rPr>
                <w:rFonts w:ascii="Arial"/>
                <w:sz w:val="21"/>
                <w:highlight w:val="none"/>
              </w:rPr>
            </w:pPr>
          </w:p>
        </w:tc>
        <w:tc>
          <w:tcPr>
            <w:tcW w:w="4681" w:type="dxa"/>
            <w:vAlign w:val="top"/>
          </w:tcPr>
          <w:p w14:paraId="1097DFD0">
            <w:pPr>
              <w:rPr>
                <w:rFonts w:ascii="Arial"/>
                <w:sz w:val="21"/>
                <w:highlight w:val="none"/>
              </w:rPr>
            </w:pPr>
          </w:p>
        </w:tc>
        <w:tc>
          <w:tcPr>
            <w:tcW w:w="1436" w:type="dxa"/>
            <w:tcBorders>
              <w:right w:val="single" w:color="000000" w:sz="10" w:space="0"/>
            </w:tcBorders>
            <w:vAlign w:val="top"/>
          </w:tcPr>
          <w:p w14:paraId="4E718CAE">
            <w:pPr>
              <w:rPr>
                <w:rFonts w:ascii="Arial"/>
                <w:sz w:val="21"/>
                <w:highlight w:val="none"/>
              </w:rPr>
            </w:pPr>
          </w:p>
        </w:tc>
      </w:tr>
      <w:tr w14:paraId="1E12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122" w:type="dxa"/>
            <w:tcBorders>
              <w:left w:val="single" w:color="000000" w:sz="10" w:space="0"/>
            </w:tcBorders>
            <w:vAlign w:val="top"/>
          </w:tcPr>
          <w:p w14:paraId="5ED353E8">
            <w:pPr>
              <w:rPr>
                <w:rFonts w:ascii="Arial"/>
                <w:sz w:val="21"/>
                <w:highlight w:val="none"/>
              </w:rPr>
            </w:pPr>
          </w:p>
        </w:tc>
        <w:tc>
          <w:tcPr>
            <w:tcW w:w="2344" w:type="dxa"/>
            <w:vAlign w:val="top"/>
          </w:tcPr>
          <w:p w14:paraId="2FCE7C35">
            <w:pPr>
              <w:rPr>
                <w:rFonts w:ascii="Arial"/>
                <w:sz w:val="21"/>
                <w:highlight w:val="none"/>
              </w:rPr>
            </w:pPr>
          </w:p>
        </w:tc>
        <w:tc>
          <w:tcPr>
            <w:tcW w:w="4681" w:type="dxa"/>
            <w:vAlign w:val="top"/>
          </w:tcPr>
          <w:p w14:paraId="03249D1F">
            <w:pPr>
              <w:rPr>
                <w:rFonts w:ascii="Arial"/>
                <w:sz w:val="21"/>
                <w:highlight w:val="none"/>
              </w:rPr>
            </w:pPr>
          </w:p>
        </w:tc>
        <w:tc>
          <w:tcPr>
            <w:tcW w:w="1436" w:type="dxa"/>
            <w:tcBorders>
              <w:right w:val="single" w:color="000000" w:sz="10" w:space="0"/>
            </w:tcBorders>
            <w:vAlign w:val="top"/>
          </w:tcPr>
          <w:p w14:paraId="44A77AC0">
            <w:pPr>
              <w:rPr>
                <w:rFonts w:ascii="Arial"/>
                <w:sz w:val="21"/>
                <w:highlight w:val="none"/>
              </w:rPr>
            </w:pPr>
          </w:p>
        </w:tc>
      </w:tr>
      <w:tr w14:paraId="516BA5C0">
        <w:tblPrEx>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3CBC2AAF">
            <w:pPr>
              <w:rPr>
                <w:rFonts w:ascii="Arial"/>
                <w:sz w:val="21"/>
                <w:highlight w:val="none"/>
              </w:rPr>
            </w:pPr>
          </w:p>
        </w:tc>
        <w:tc>
          <w:tcPr>
            <w:tcW w:w="2344" w:type="dxa"/>
            <w:vAlign w:val="top"/>
          </w:tcPr>
          <w:p w14:paraId="6B69222D">
            <w:pPr>
              <w:rPr>
                <w:rFonts w:ascii="Arial"/>
                <w:sz w:val="21"/>
                <w:highlight w:val="none"/>
              </w:rPr>
            </w:pPr>
          </w:p>
        </w:tc>
        <w:tc>
          <w:tcPr>
            <w:tcW w:w="4681" w:type="dxa"/>
            <w:vAlign w:val="top"/>
          </w:tcPr>
          <w:p w14:paraId="37FE9D9C">
            <w:pPr>
              <w:rPr>
                <w:rFonts w:ascii="Arial"/>
                <w:sz w:val="21"/>
                <w:highlight w:val="none"/>
              </w:rPr>
            </w:pPr>
          </w:p>
        </w:tc>
        <w:tc>
          <w:tcPr>
            <w:tcW w:w="1436" w:type="dxa"/>
            <w:tcBorders>
              <w:right w:val="single" w:color="000000" w:sz="10" w:space="0"/>
            </w:tcBorders>
            <w:vAlign w:val="top"/>
          </w:tcPr>
          <w:p w14:paraId="7B68BF7D">
            <w:pPr>
              <w:rPr>
                <w:rFonts w:ascii="Arial"/>
                <w:sz w:val="21"/>
                <w:highlight w:val="none"/>
              </w:rPr>
            </w:pPr>
          </w:p>
        </w:tc>
      </w:tr>
      <w:tr w14:paraId="6FB5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4A7F99E3">
            <w:pPr>
              <w:rPr>
                <w:rFonts w:ascii="Arial"/>
                <w:sz w:val="21"/>
                <w:highlight w:val="none"/>
              </w:rPr>
            </w:pPr>
          </w:p>
        </w:tc>
        <w:tc>
          <w:tcPr>
            <w:tcW w:w="2344" w:type="dxa"/>
            <w:vAlign w:val="top"/>
          </w:tcPr>
          <w:p w14:paraId="68F4996E">
            <w:pPr>
              <w:rPr>
                <w:rFonts w:ascii="Arial"/>
                <w:sz w:val="21"/>
                <w:highlight w:val="none"/>
              </w:rPr>
            </w:pPr>
          </w:p>
        </w:tc>
        <w:tc>
          <w:tcPr>
            <w:tcW w:w="4681" w:type="dxa"/>
            <w:vAlign w:val="top"/>
          </w:tcPr>
          <w:p w14:paraId="567FA243">
            <w:pPr>
              <w:rPr>
                <w:rFonts w:ascii="Arial"/>
                <w:sz w:val="21"/>
                <w:highlight w:val="none"/>
              </w:rPr>
            </w:pPr>
          </w:p>
        </w:tc>
        <w:tc>
          <w:tcPr>
            <w:tcW w:w="1436" w:type="dxa"/>
            <w:tcBorders>
              <w:right w:val="single" w:color="000000" w:sz="10" w:space="0"/>
            </w:tcBorders>
            <w:vAlign w:val="top"/>
          </w:tcPr>
          <w:p w14:paraId="41597C32">
            <w:pPr>
              <w:rPr>
                <w:rFonts w:ascii="Arial"/>
                <w:sz w:val="21"/>
                <w:highlight w:val="none"/>
              </w:rPr>
            </w:pPr>
          </w:p>
        </w:tc>
      </w:tr>
      <w:tr w14:paraId="4CC5E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78BE129E">
            <w:pPr>
              <w:rPr>
                <w:rFonts w:ascii="Arial"/>
                <w:sz w:val="21"/>
                <w:highlight w:val="none"/>
              </w:rPr>
            </w:pPr>
          </w:p>
        </w:tc>
        <w:tc>
          <w:tcPr>
            <w:tcW w:w="2344" w:type="dxa"/>
            <w:vAlign w:val="top"/>
          </w:tcPr>
          <w:p w14:paraId="07FA6930">
            <w:pPr>
              <w:rPr>
                <w:rFonts w:ascii="Arial"/>
                <w:sz w:val="21"/>
                <w:highlight w:val="none"/>
              </w:rPr>
            </w:pPr>
          </w:p>
        </w:tc>
        <w:tc>
          <w:tcPr>
            <w:tcW w:w="4681" w:type="dxa"/>
            <w:vAlign w:val="top"/>
          </w:tcPr>
          <w:p w14:paraId="672D5C47">
            <w:pPr>
              <w:rPr>
                <w:rFonts w:ascii="Arial"/>
                <w:sz w:val="21"/>
                <w:highlight w:val="none"/>
              </w:rPr>
            </w:pPr>
          </w:p>
        </w:tc>
        <w:tc>
          <w:tcPr>
            <w:tcW w:w="1436" w:type="dxa"/>
            <w:tcBorders>
              <w:right w:val="single" w:color="000000" w:sz="10" w:space="0"/>
            </w:tcBorders>
            <w:vAlign w:val="top"/>
          </w:tcPr>
          <w:p w14:paraId="6DC4218C">
            <w:pPr>
              <w:rPr>
                <w:rFonts w:ascii="Arial"/>
                <w:sz w:val="21"/>
                <w:highlight w:val="none"/>
              </w:rPr>
            </w:pPr>
          </w:p>
        </w:tc>
      </w:tr>
      <w:tr w14:paraId="0EB7B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66600E56">
            <w:pPr>
              <w:rPr>
                <w:rFonts w:ascii="Arial"/>
                <w:sz w:val="21"/>
                <w:highlight w:val="none"/>
              </w:rPr>
            </w:pPr>
          </w:p>
        </w:tc>
        <w:tc>
          <w:tcPr>
            <w:tcW w:w="2344" w:type="dxa"/>
            <w:vAlign w:val="top"/>
          </w:tcPr>
          <w:p w14:paraId="3F11AA69">
            <w:pPr>
              <w:rPr>
                <w:rFonts w:ascii="Arial"/>
                <w:sz w:val="21"/>
                <w:highlight w:val="none"/>
              </w:rPr>
            </w:pPr>
          </w:p>
        </w:tc>
        <w:tc>
          <w:tcPr>
            <w:tcW w:w="4681" w:type="dxa"/>
            <w:vAlign w:val="top"/>
          </w:tcPr>
          <w:p w14:paraId="5CB06EDF">
            <w:pPr>
              <w:rPr>
                <w:rFonts w:ascii="Arial"/>
                <w:sz w:val="21"/>
                <w:highlight w:val="none"/>
              </w:rPr>
            </w:pPr>
          </w:p>
        </w:tc>
        <w:tc>
          <w:tcPr>
            <w:tcW w:w="1436" w:type="dxa"/>
            <w:tcBorders>
              <w:right w:val="single" w:color="000000" w:sz="10" w:space="0"/>
            </w:tcBorders>
            <w:vAlign w:val="top"/>
          </w:tcPr>
          <w:p w14:paraId="04B7B04C">
            <w:pPr>
              <w:rPr>
                <w:rFonts w:ascii="Arial"/>
                <w:sz w:val="21"/>
                <w:highlight w:val="none"/>
              </w:rPr>
            </w:pPr>
          </w:p>
        </w:tc>
      </w:tr>
      <w:tr w14:paraId="66DB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0C98A5E6">
            <w:pPr>
              <w:rPr>
                <w:rFonts w:ascii="Arial"/>
                <w:sz w:val="21"/>
                <w:highlight w:val="none"/>
              </w:rPr>
            </w:pPr>
          </w:p>
        </w:tc>
        <w:tc>
          <w:tcPr>
            <w:tcW w:w="2344" w:type="dxa"/>
            <w:vAlign w:val="top"/>
          </w:tcPr>
          <w:p w14:paraId="315A4E89">
            <w:pPr>
              <w:rPr>
                <w:rFonts w:ascii="Arial"/>
                <w:sz w:val="21"/>
                <w:highlight w:val="none"/>
              </w:rPr>
            </w:pPr>
          </w:p>
        </w:tc>
        <w:tc>
          <w:tcPr>
            <w:tcW w:w="4681" w:type="dxa"/>
            <w:vAlign w:val="top"/>
          </w:tcPr>
          <w:p w14:paraId="16A34D02">
            <w:pPr>
              <w:rPr>
                <w:rFonts w:ascii="Arial"/>
                <w:sz w:val="21"/>
                <w:highlight w:val="none"/>
              </w:rPr>
            </w:pPr>
          </w:p>
        </w:tc>
        <w:tc>
          <w:tcPr>
            <w:tcW w:w="1436" w:type="dxa"/>
            <w:tcBorders>
              <w:right w:val="single" w:color="000000" w:sz="10" w:space="0"/>
            </w:tcBorders>
            <w:vAlign w:val="top"/>
          </w:tcPr>
          <w:p w14:paraId="1710E8D7">
            <w:pPr>
              <w:rPr>
                <w:rFonts w:ascii="Arial"/>
                <w:sz w:val="21"/>
                <w:highlight w:val="none"/>
              </w:rPr>
            </w:pPr>
          </w:p>
        </w:tc>
      </w:tr>
      <w:tr w14:paraId="66B75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67F4A212">
            <w:pPr>
              <w:rPr>
                <w:rFonts w:ascii="Arial"/>
                <w:sz w:val="21"/>
                <w:highlight w:val="none"/>
              </w:rPr>
            </w:pPr>
          </w:p>
        </w:tc>
        <w:tc>
          <w:tcPr>
            <w:tcW w:w="2344" w:type="dxa"/>
            <w:vAlign w:val="top"/>
          </w:tcPr>
          <w:p w14:paraId="26ED72BD">
            <w:pPr>
              <w:rPr>
                <w:rFonts w:ascii="Arial"/>
                <w:sz w:val="21"/>
                <w:highlight w:val="none"/>
              </w:rPr>
            </w:pPr>
          </w:p>
        </w:tc>
        <w:tc>
          <w:tcPr>
            <w:tcW w:w="4681" w:type="dxa"/>
            <w:vAlign w:val="top"/>
          </w:tcPr>
          <w:p w14:paraId="02FCBF84">
            <w:pPr>
              <w:rPr>
                <w:rFonts w:ascii="Arial"/>
                <w:sz w:val="21"/>
                <w:highlight w:val="none"/>
              </w:rPr>
            </w:pPr>
          </w:p>
        </w:tc>
        <w:tc>
          <w:tcPr>
            <w:tcW w:w="1436" w:type="dxa"/>
            <w:tcBorders>
              <w:right w:val="single" w:color="000000" w:sz="10" w:space="0"/>
            </w:tcBorders>
            <w:vAlign w:val="top"/>
          </w:tcPr>
          <w:p w14:paraId="741FDABA">
            <w:pPr>
              <w:rPr>
                <w:rFonts w:ascii="Arial"/>
                <w:sz w:val="21"/>
                <w:highlight w:val="none"/>
              </w:rPr>
            </w:pPr>
          </w:p>
        </w:tc>
      </w:tr>
      <w:tr w14:paraId="6C130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1122" w:type="dxa"/>
            <w:tcBorders>
              <w:left w:val="single" w:color="000000" w:sz="10" w:space="0"/>
            </w:tcBorders>
            <w:vAlign w:val="top"/>
          </w:tcPr>
          <w:p w14:paraId="3C946B2E">
            <w:pPr>
              <w:rPr>
                <w:rFonts w:ascii="Arial"/>
                <w:sz w:val="21"/>
                <w:highlight w:val="none"/>
              </w:rPr>
            </w:pPr>
          </w:p>
        </w:tc>
        <w:tc>
          <w:tcPr>
            <w:tcW w:w="2344" w:type="dxa"/>
            <w:vAlign w:val="top"/>
          </w:tcPr>
          <w:p w14:paraId="6E7EDE0E">
            <w:pPr>
              <w:rPr>
                <w:rFonts w:ascii="Arial"/>
                <w:sz w:val="21"/>
                <w:highlight w:val="none"/>
              </w:rPr>
            </w:pPr>
          </w:p>
        </w:tc>
        <w:tc>
          <w:tcPr>
            <w:tcW w:w="4681" w:type="dxa"/>
            <w:vAlign w:val="top"/>
          </w:tcPr>
          <w:p w14:paraId="3B2D2AFE">
            <w:pPr>
              <w:rPr>
                <w:rFonts w:ascii="Arial"/>
                <w:sz w:val="21"/>
                <w:highlight w:val="none"/>
              </w:rPr>
            </w:pPr>
          </w:p>
        </w:tc>
        <w:tc>
          <w:tcPr>
            <w:tcW w:w="1436" w:type="dxa"/>
            <w:tcBorders>
              <w:right w:val="single" w:color="000000" w:sz="10" w:space="0"/>
            </w:tcBorders>
            <w:vAlign w:val="top"/>
          </w:tcPr>
          <w:p w14:paraId="57AD9143">
            <w:pPr>
              <w:rPr>
                <w:rFonts w:ascii="Arial"/>
                <w:sz w:val="21"/>
                <w:highlight w:val="none"/>
              </w:rPr>
            </w:pPr>
          </w:p>
        </w:tc>
      </w:tr>
      <w:tr w14:paraId="126C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2" w:type="dxa"/>
            <w:tcBorders>
              <w:left w:val="single" w:color="000000" w:sz="10" w:space="0"/>
            </w:tcBorders>
            <w:vAlign w:val="top"/>
          </w:tcPr>
          <w:p w14:paraId="0DDF14E0">
            <w:pPr>
              <w:rPr>
                <w:rFonts w:ascii="Arial"/>
                <w:sz w:val="21"/>
                <w:highlight w:val="none"/>
              </w:rPr>
            </w:pPr>
          </w:p>
        </w:tc>
        <w:tc>
          <w:tcPr>
            <w:tcW w:w="2344" w:type="dxa"/>
            <w:vAlign w:val="top"/>
          </w:tcPr>
          <w:p w14:paraId="0508F106">
            <w:pPr>
              <w:rPr>
                <w:rFonts w:ascii="Arial"/>
                <w:sz w:val="21"/>
                <w:highlight w:val="none"/>
              </w:rPr>
            </w:pPr>
          </w:p>
        </w:tc>
        <w:tc>
          <w:tcPr>
            <w:tcW w:w="4681" w:type="dxa"/>
            <w:vAlign w:val="top"/>
          </w:tcPr>
          <w:p w14:paraId="43C67D2D">
            <w:pPr>
              <w:rPr>
                <w:rFonts w:ascii="Arial"/>
                <w:sz w:val="21"/>
                <w:highlight w:val="none"/>
              </w:rPr>
            </w:pPr>
          </w:p>
        </w:tc>
        <w:tc>
          <w:tcPr>
            <w:tcW w:w="1436" w:type="dxa"/>
            <w:tcBorders>
              <w:right w:val="single" w:color="000000" w:sz="10" w:space="0"/>
            </w:tcBorders>
            <w:vAlign w:val="top"/>
          </w:tcPr>
          <w:p w14:paraId="0839605A">
            <w:pPr>
              <w:rPr>
                <w:rFonts w:ascii="Arial"/>
                <w:sz w:val="21"/>
                <w:highlight w:val="none"/>
              </w:rPr>
            </w:pPr>
          </w:p>
        </w:tc>
      </w:tr>
      <w:tr w14:paraId="68FE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122" w:type="dxa"/>
            <w:tcBorders>
              <w:left w:val="single" w:color="000000" w:sz="10" w:space="0"/>
              <w:bottom w:val="single" w:color="000000" w:sz="10" w:space="0"/>
              <w:right w:val="nil"/>
            </w:tcBorders>
            <w:vAlign w:val="top"/>
          </w:tcPr>
          <w:p w14:paraId="28C30D31">
            <w:pPr>
              <w:rPr>
                <w:rFonts w:ascii="Arial"/>
                <w:sz w:val="21"/>
                <w:highlight w:val="none"/>
              </w:rPr>
            </w:pPr>
          </w:p>
        </w:tc>
        <w:tc>
          <w:tcPr>
            <w:tcW w:w="2344" w:type="dxa"/>
            <w:tcBorders>
              <w:left w:val="nil"/>
              <w:bottom w:val="single" w:color="000000" w:sz="10" w:space="0"/>
              <w:right w:val="nil"/>
            </w:tcBorders>
            <w:vAlign w:val="top"/>
          </w:tcPr>
          <w:p w14:paraId="3214931E">
            <w:pPr>
              <w:rPr>
                <w:rFonts w:ascii="Arial"/>
                <w:sz w:val="21"/>
                <w:highlight w:val="none"/>
              </w:rPr>
            </w:pPr>
          </w:p>
        </w:tc>
        <w:tc>
          <w:tcPr>
            <w:tcW w:w="4681" w:type="dxa"/>
            <w:tcBorders>
              <w:left w:val="nil"/>
              <w:bottom w:val="single" w:color="000000" w:sz="10" w:space="0"/>
              <w:right w:val="nil"/>
            </w:tcBorders>
            <w:vAlign w:val="top"/>
          </w:tcPr>
          <w:p w14:paraId="7AB1E764">
            <w:pPr>
              <w:spacing w:before="207" w:line="221" w:lineRule="auto"/>
              <w:ind w:left="531"/>
              <w:rPr>
                <w:rFonts w:ascii="宋体" w:hAnsi="宋体" w:eastAsia="宋体" w:cs="宋体"/>
                <w:sz w:val="24"/>
                <w:szCs w:val="24"/>
                <w:highlight w:val="none"/>
              </w:rPr>
            </w:pPr>
            <w:r>
              <w:rPr>
                <w:rFonts w:ascii="宋体" w:hAnsi="宋体" w:eastAsia="宋体" w:cs="宋体"/>
                <w:spacing w:val="-17"/>
                <w:sz w:val="24"/>
                <w:szCs w:val="24"/>
                <w:highlight w:val="none"/>
              </w:rPr>
              <w:t>小计：</w:t>
            </w:r>
          </w:p>
        </w:tc>
        <w:tc>
          <w:tcPr>
            <w:tcW w:w="1436" w:type="dxa"/>
            <w:tcBorders>
              <w:left w:val="nil"/>
              <w:bottom w:val="single" w:color="000000" w:sz="10" w:space="0"/>
              <w:right w:val="single" w:color="000000" w:sz="10" w:space="0"/>
            </w:tcBorders>
            <w:vAlign w:val="top"/>
          </w:tcPr>
          <w:p w14:paraId="02453FF0">
            <w:pPr>
              <w:rPr>
                <w:rFonts w:ascii="Arial"/>
                <w:sz w:val="21"/>
                <w:highlight w:val="none"/>
              </w:rPr>
            </w:pPr>
          </w:p>
        </w:tc>
      </w:tr>
    </w:tbl>
    <w:p w14:paraId="5D7CA298">
      <w:pPr>
        <w:pStyle w:val="3"/>
        <w:rPr>
          <w:highlight w:val="none"/>
        </w:rPr>
      </w:pPr>
    </w:p>
    <w:p w14:paraId="13D65428">
      <w:pPr>
        <w:rPr>
          <w:highlight w:val="none"/>
        </w:rPr>
        <w:sectPr>
          <w:footerReference r:id="rId72" w:type="default"/>
          <w:pgSz w:w="11907" w:h="16839"/>
          <w:pgMar w:top="1431" w:right="576" w:bottom="1199" w:left="1721" w:header="0" w:footer="968" w:gutter="0"/>
          <w:cols w:space="720" w:num="1"/>
        </w:sectPr>
      </w:pPr>
    </w:p>
    <w:p w14:paraId="7711B576">
      <w:pPr>
        <w:spacing w:before="203" w:line="220" w:lineRule="auto"/>
        <w:ind w:left="4035"/>
        <w:rPr>
          <w:rFonts w:ascii="仿宋" w:hAnsi="仿宋" w:eastAsia="仿宋" w:cs="仿宋"/>
          <w:sz w:val="24"/>
          <w:szCs w:val="24"/>
          <w:highlight w:val="none"/>
        </w:rPr>
      </w:pPr>
      <w:r>
        <w:rPr>
          <w:rFonts w:ascii="仿宋" w:hAnsi="仿宋" w:eastAsia="仿宋" w:cs="仿宋"/>
          <w:b/>
          <w:bCs/>
          <w:spacing w:val="-8"/>
          <w:sz w:val="24"/>
          <w:szCs w:val="24"/>
          <w:highlight w:val="none"/>
        </w:rPr>
        <w:t>运营合同</w:t>
      </w:r>
    </w:p>
    <w:p w14:paraId="14AFB3FD">
      <w:pPr>
        <w:spacing w:before="98" w:line="221" w:lineRule="auto"/>
        <w:ind w:left="6712"/>
        <w:rPr>
          <w:rFonts w:ascii="宋体" w:hAnsi="宋体" w:eastAsia="宋体" w:cs="宋体"/>
          <w:sz w:val="21"/>
          <w:szCs w:val="21"/>
          <w:highlight w:val="none"/>
        </w:rPr>
      </w:pPr>
      <w:r>
        <w:rPr>
          <w:rFonts w:ascii="宋体" w:hAnsi="宋体" w:eastAsia="宋体" w:cs="宋体"/>
          <w:spacing w:val="-27"/>
          <w:sz w:val="21"/>
          <w:szCs w:val="21"/>
          <w:highlight w:val="none"/>
        </w:rPr>
        <w:t>合同编号：</w:t>
      </w:r>
    </w:p>
    <w:p w14:paraId="1A498E94">
      <w:pPr>
        <w:pStyle w:val="3"/>
        <w:spacing w:line="248" w:lineRule="auto"/>
        <w:rPr>
          <w:highlight w:val="none"/>
        </w:rPr>
      </w:pPr>
    </w:p>
    <w:p w14:paraId="12C31B53">
      <w:pPr>
        <w:pStyle w:val="3"/>
        <w:spacing w:line="249" w:lineRule="auto"/>
        <w:rPr>
          <w:highlight w:val="none"/>
        </w:rPr>
      </w:pPr>
    </w:p>
    <w:p w14:paraId="07DA6901">
      <w:pPr>
        <w:spacing w:before="78" w:line="219" w:lineRule="auto"/>
        <w:ind w:left="123"/>
        <w:rPr>
          <w:rFonts w:ascii="宋体" w:hAnsi="宋体" w:eastAsia="宋体" w:cs="宋体"/>
          <w:sz w:val="24"/>
          <w:szCs w:val="24"/>
          <w:highlight w:val="none"/>
        </w:rPr>
      </w:pPr>
      <w:r>
        <w:rPr>
          <w:rFonts w:ascii="宋体" w:hAnsi="宋体" w:eastAsia="宋体" w:cs="宋体"/>
          <w:spacing w:val="6"/>
          <w:sz w:val="24"/>
          <w:szCs w:val="24"/>
          <w:highlight w:val="none"/>
        </w:rPr>
        <w:t>甲方</w:t>
      </w:r>
      <w:r>
        <w:rPr>
          <w:rFonts w:ascii="宋体" w:hAnsi="宋体" w:eastAsia="宋体" w:cs="宋体"/>
          <w:spacing w:val="-6"/>
          <w:sz w:val="24"/>
          <w:szCs w:val="24"/>
          <w:highlight w:val="none"/>
        </w:rPr>
        <w:t>：</w:t>
      </w:r>
      <w:r>
        <w:rPr>
          <w:rFonts w:ascii="宋体" w:hAnsi="宋体" w:eastAsia="宋体" w:cs="宋体"/>
          <w:spacing w:val="-6"/>
          <w:sz w:val="24"/>
          <w:szCs w:val="24"/>
          <w:highlight w:val="none"/>
          <w:u w:val="single" w:color="auto"/>
        </w:rPr>
        <w:t>（</w:t>
      </w:r>
      <w:r>
        <w:rPr>
          <w:rFonts w:ascii="宋体" w:hAnsi="宋体" w:eastAsia="宋体" w:cs="宋体"/>
          <w:spacing w:val="6"/>
          <w:sz w:val="24"/>
          <w:szCs w:val="24"/>
          <w:highlight w:val="none"/>
          <w:u w:val="single" w:color="auto"/>
        </w:rPr>
        <w:t>以下简称</w:t>
      </w:r>
      <w:r>
        <w:rPr>
          <w:rFonts w:ascii="Calibri" w:hAnsi="Calibri" w:eastAsia="Calibri" w:cs="Calibri"/>
          <w:spacing w:val="6"/>
          <w:sz w:val="24"/>
          <w:szCs w:val="24"/>
          <w:highlight w:val="none"/>
          <w:u w:val="single" w:color="auto"/>
        </w:rPr>
        <w:t>“</w:t>
      </w:r>
      <w:r>
        <w:rPr>
          <w:rFonts w:ascii="宋体" w:hAnsi="宋体" w:eastAsia="宋体" w:cs="宋体"/>
          <w:spacing w:val="6"/>
          <w:sz w:val="24"/>
          <w:szCs w:val="24"/>
          <w:highlight w:val="none"/>
          <w:u w:val="single" w:color="auto"/>
        </w:rPr>
        <w:t>甲方</w:t>
      </w:r>
      <w:r>
        <w:rPr>
          <w:rFonts w:ascii="Calibri" w:hAnsi="Calibri" w:eastAsia="Calibri" w:cs="Calibri"/>
          <w:spacing w:val="6"/>
          <w:sz w:val="24"/>
          <w:szCs w:val="24"/>
          <w:highlight w:val="none"/>
          <w:u w:val="single" w:color="auto"/>
        </w:rPr>
        <w:t>”</w:t>
      </w:r>
      <w:r>
        <w:rPr>
          <w:rFonts w:ascii="宋体" w:hAnsi="宋体" w:eastAsia="宋体" w:cs="宋体"/>
          <w:spacing w:val="6"/>
          <w:sz w:val="24"/>
          <w:szCs w:val="24"/>
          <w:highlight w:val="none"/>
          <w:u w:val="single" w:color="auto"/>
        </w:rPr>
        <w:t>）</w:t>
      </w:r>
    </w:p>
    <w:p w14:paraId="643D705D">
      <w:pPr>
        <w:spacing w:before="293" w:line="219" w:lineRule="auto"/>
        <w:ind w:left="108"/>
        <w:rPr>
          <w:rFonts w:ascii="宋体" w:hAnsi="宋体" w:eastAsia="宋体" w:cs="宋体"/>
          <w:sz w:val="24"/>
          <w:szCs w:val="24"/>
          <w:highlight w:val="none"/>
        </w:rPr>
      </w:pPr>
      <w:r>
        <w:rPr>
          <w:rFonts w:ascii="宋体" w:hAnsi="宋体" w:eastAsia="宋体" w:cs="宋体"/>
          <w:spacing w:val="4"/>
          <w:sz w:val="24"/>
          <w:szCs w:val="24"/>
          <w:highlight w:val="none"/>
        </w:rPr>
        <w:t>乙方（联合体成员负责运营单位</w:t>
      </w:r>
      <w:r>
        <w:rPr>
          <w:rFonts w:ascii="宋体" w:hAnsi="宋体" w:eastAsia="宋体" w:cs="宋体"/>
          <w:spacing w:val="-7"/>
          <w:sz w:val="24"/>
          <w:szCs w:val="24"/>
          <w:highlight w:val="none"/>
        </w:rPr>
        <w:t>）：</w:t>
      </w:r>
      <w:r>
        <w:rPr>
          <w:rFonts w:ascii="宋体" w:hAnsi="宋体" w:eastAsia="宋体" w:cs="宋体"/>
          <w:spacing w:val="4"/>
          <w:sz w:val="24"/>
          <w:szCs w:val="24"/>
          <w:highlight w:val="none"/>
          <w:u w:val="single" w:color="auto"/>
        </w:rPr>
        <w:t xml:space="preserve">                      </w:t>
      </w:r>
      <w:r>
        <w:rPr>
          <w:rFonts w:ascii="宋体" w:hAnsi="宋体" w:eastAsia="宋体" w:cs="宋体"/>
          <w:spacing w:val="-7"/>
          <w:sz w:val="24"/>
          <w:szCs w:val="24"/>
          <w:highlight w:val="none"/>
          <w:u w:val="single" w:color="auto"/>
        </w:rPr>
        <w:t>（</w:t>
      </w:r>
      <w:r>
        <w:rPr>
          <w:rFonts w:ascii="宋体" w:hAnsi="宋体" w:eastAsia="宋体" w:cs="宋体"/>
          <w:spacing w:val="4"/>
          <w:sz w:val="24"/>
          <w:szCs w:val="24"/>
          <w:highlight w:val="none"/>
          <w:u w:val="single" w:color="auto"/>
        </w:rPr>
        <w:t>以下简称</w:t>
      </w:r>
      <w:r>
        <w:rPr>
          <w:rFonts w:ascii="Calibri" w:hAnsi="Calibri" w:eastAsia="Calibri" w:cs="Calibri"/>
          <w:spacing w:val="4"/>
          <w:sz w:val="24"/>
          <w:szCs w:val="24"/>
          <w:highlight w:val="none"/>
          <w:u w:val="single" w:color="auto"/>
        </w:rPr>
        <w:t>“</w:t>
      </w:r>
      <w:r>
        <w:rPr>
          <w:rFonts w:ascii="宋体" w:hAnsi="宋体" w:eastAsia="宋体" w:cs="宋体"/>
          <w:spacing w:val="3"/>
          <w:sz w:val="24"/>
          <w:szCs w:val="24"/>
          <w:highlight w:val="none"/>
          <w:u w:val="single" w:color="auto"/>
        </w:rPr>
        <w:t>乙方</w:t>
      </w:r>
      <w:r>
        <w:rPr>
          <w:rFonts w:ascii="Calibri" w:hAnsi="Calibri" w:eastAsia="Calibri" w:cs="Calibri"/>
          <w:spacing w:val="3"/>
          <w:sz w:val="24"/>
          <w:szCs w:val="24"/>
          <w:highlight w:val="none"/>
          <w:u w:val="single" w:color="auto"/>
        </w:rPr>
        <w:t>”</w:t>
      </w:r>
      <w:r>
        <w:rPr>
          <w:rFonts w:ascii="宋体" w:hAnsi="宋体" w:eastAsia="宋体" w:cs="宋体"/>
          <w:spacing w:val="3"/>
          <w:sz w:val="24"/>
          <w:szCs w:val="24"/>
          <w:highlight w:val="none"/>
          <w:u w:val="single" w:color="auto"/>
        </w:rPr>
        <w:t>）</w:t>
      </w:r>
    </w:p>
    <w:p w14:paraId="32ACBFF4">
      <w:pPr>
        <w:spacing w:before="96" w:line="342" w:lineRule="auto"/>
        <w:ind w:right="3" w:firstLine="490"/>
        <w:jc w:val="both"/>
        <w:rPr>
          <w:rFonts w:ascii="宋体" w:hAnsi="宋体" w:eastAsia="宋体" w:cs="宋体"/>
          <w:sz w:val="24"/>
          <w:szCs w:val="24"/>
          <w:highlight w:val="none"/>
        </w:rPr>
      </w:pPr>
      <w:r>
        <w:rPr>
          <w:rFonts w:ascii="宋体" w:hAnsi="宋体" w:eastAsia="宋体" w:cs="宋体"/>
          <w:spacing w:val="6"/>
          <w:sz w:val="24"/>
          <w:szCs w:val="24"/>
          <w:highlight w:val="none"/>
        </w:rPr>
        <w:t>根据《中华人民共和国民法典》等法律法规，甲乙</w:t>
      </w:r>
      <w:r>
        <w:rPr>
          <w:rFonts w:ascii="宋体" w:hAnsi="宋体" w:eastAsia="宋体" w:cs="宋体"/>
          <w:spacing w:val="5"/>
          <w:sz w:val="24"/>
          <w:szCs w:val="24"/>
          <w:highlight w:val="none"/>
        </w:rPr>
        <w:t>双方经友好协商，本 着</w:t>
      </w:r>
      <w:r>
        <w:rPr>
          <w:rFonts w:ascii="Calibri" w:hAnsi="Calibri" w:eastAsia="Calibri" w:cs="Calibri"/>
          <w:spacing w:val="5"/>
          <w:sz w:val="24"/>
          <w:szCs w:val="24"/>
          <w:highlight w:val="none"/>
        </w:rPr>
        <w:t>“</w:t>
      </w:r>
      <w:r>
        <w:rPr>
          <w:rFonts w:ascii="宋体" w:hAnsi="宋体" w:eastAsia="宋体" w:cs="宋体"/>
          <w:spacing w:val="5"/>
          <w:sz w:val="24"/>
          <w:szCs w:val="24"/>
          <w:highlight w:val="none"/>
        </w:rPr>
        <w:t>平</w:t>
      </w:r>
      <w:r>
        <w:rPr>
          <w:rFonts w:ascii="宋体" w:hAnsi="宋体" w:eastAsia="宋体" w:cs="宋体"/>
          <w:spacing w:val="7"/>
          <w:sz w:val="24"/>
          <w:szCs w:val="24"/>
          <w:highlight w:val="none"/>
        </w:rPr>
        <w:t>等互利和诚实信用</w:t>
      </w:r>
      <w:r>
        <w:rPr>
          <w:rFonts w:ascii="Calibri" w:hAnsi="Calibri" w:eastAsia="Calibri" w:cs="Calibri"/>
          <w:spacing w:val="7"/>
          <w:sz w:val="24"/>
          <w:szCs w:val="24"/>
          <w:highlight w:val="none"/>
        </w:rPr>
        <w:t>”</w:t>
      </w:r>
      <w:r>
        <w:rPr>
          <w:rFonts w:ascii="宋体" w:hAnsi="宋体" w:eastAsia="宋体" w:cs="宋体"/>
          <w:spacing w:val="7"/>
          <w:sz w:val="24"/>
          <w:szCs w:val="24"/>
          <w:highlight w:val="none"/>
        </w:rPr>
        <w:t>的原则，就</w:t>
      </w:r>
      <w:r>
        <w:rPr>
          <w:rFonts w:hint="eastAsia" w:ascii="宋体" w:hAnsi="宋体" w:eastAsia="宋体" w:cs="宋体"/>
          <w:spacing w:val="7"/>
          <w:sz w:val="24"/>
          <w:szCs w:val="24"/>
          <w:highlight w:val="none"/>
          <w:u w:val="single"/>
          <w:lang w:val="en-US" w:eastAsia="zh-CN"/>
        </w:rPr>
        <w:t>2026年三流乡双塔寺村龙虾交易大市场项目(EPCO)</w:t>
      </w:r>
      <w:r>
        <w:rPr>
          <w:rFonts w:ascii="宋体" w:hAnsi="宋体" w:eastAsia="宋体" w:cs="宋体"/>
          <w:spacing w:val="-19"/>
          <w:sz w:val="24"/>
          <w:szCs w:val="24"/>
          <w:highlight w:val="none"/>
          <w:u w:val="single" w:color="auto"/>
        </w:rPr>
        <w:t xml:space="preserve"> </w:t>
      </w:r>
      <w:r>
        <w:rPr>
          <w:rFonts w:ascii="宋体" w:hAnsi="宋体" w:eastAsia="宋体" w:cs="宋体"/>
          <w:spacing w:val="7"/>
          <w:sz w:val="24"/>
          <w:szCs w:val="24"/>
          <w:highlight w:val="none"/>
        </w:rPr>
        <w:t>的运营管理和经</w:t>
      </w:r>
      <w:r>
        <w:rPr>
          <w:rFonts w:ascii="宋体" w:hAnsi="宋体" w:eastAsia="宋体" w:cs="宋体"/>
          <w:spacing w:val="6"/>
          <w:sz w:val="24"/>
          <w:szCs w:val="24"/>
          <w:highlight w:val="none"/>
        </w:rPr>
        <w:t>营合作事项达成一致，</w:t>
      </w:r>
      <w:r>
        <w:rPr>
          <w:rFonts w:ascii="宋体" w:hAnsi="宋体" w:eastAsia="宋体" w:cs="宋体"/>
          <w:spacing w:val="-2"/>
          <w:sz w:val="24"/>
          <w:szCs w:val="24"/>
          <w:highlight w:val="none"/>
        </w:rPr>
        <w:t>一致同</w:t>
      </w:r>
      <w:r>
        <w:rPr>
          <w:rFonts w:ascii="宋体" w:hAnsi="宋体" w:eastAsia="宋体" w:cs="宋体"/>
          <w:spacing w:val="53"/>
          <w:sz w:val="24"/>
          <w:szCs w:val="24"/>
          <w:highlight w:val="none"/>
        </w:rPr>
        <w:t xml:space="preserve"> </w:t>
      </w:r>
      <w:r>
        <w:rPr>
          <w:rFonts w:ascii="宋体" w:hAnsi="宋体" w:eastAsia="宋体" w:cs="宋体"/>
          <w:spacing w:val="-2"/>
          <w:sz w:val="24"/>
          <w:szCs w:val="24"/>
          <w:highlight w:val="none"/>
        </w:rPr>
        <w:t>意签订本合同。</w:t>
      </w:r>
    </w:p>
    <w:p w14:paraId="78563D80">
      <w:pPr>
        <w:spacing w:before="155" w:line="220"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第一条项目概况</w:t>
      </w:r>
    </w:p>
    <w:p w14:paraId="4F9FFC94">
      <w:pPr>
        <w:spacing w:before="213" w:line="385" w:lineRule="auto"/>
        <w:ind w:firstLine="482"/>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本工程为EPCO总承包建设项目，建设单位以一体化总承包方式招标。建设内容为：项目总建筑面积6508.81㎡，其中1#商业用房建筑面积2442.04㎡，2#商业用房建筑面积2649.77㎡，3#商业用房建筑面积556.92㎡;配电房、保鲜库、冷库建筑面积369.64㎡;公厕建筑面积100.04㎡;污水处理池建筑面积390.4㎡;对原有一栋旧教学楼外立面改造。配套建设消防、给排水、强弱电、停车位等配套设施。</w:t>
      </w:r>
    </w:p>
    <w:p w14:paraId="2D6734A7">
      <w:pPr>
        <w:spacing w:before="213" w:line="385" w:lineRule="auto"/>
        <w:ind w:firstLine="482"/>
        <w:jc w:val="both"/>
        <w:rPr>
          <w:rFonts w:ascii="宋体" w:hAnsi="宋体" w:eastAsia="宋体" w:cs="宋体"/>
          <w:spacing w:val="-1"/>
          <w:sz w:val="24"/>
          <w:szCs w:val="24"/>
          <w:highlight w:val="none"/>
        </w:rPr>
      </w:pPr>
      <w:r>
        <w:rPr>
          <w:rFonts w:ascii="宋体" w:hAnsi="宋体" w:eastAsia="宋体" w:cs="宋体"/>
          <w:spacing w:val="-1"/>
          <w:sz w:val="24"/>
          <w:szCs w:val="24"/>
          <w:highlight w:val="none"/>
        </w:rPr>
        <w:t>第二条运营内容</w:t>
      </w:r>
    </w:p>
    <w:p w14:paraId="3F9A1FD0">
      <w:pPr>
        <w:spacing w:before="213" w:line="385" w:lineRule="auto"/>
        <w:ind w:firstLine="482"/>
        <w:jc w:val="both"/>
        <w:rPr>
          <w:rFonts w:ascii="宋体" w:hAnsi="宋体" w:eastAsia="宋体" w:cs="宋体"/>
          <w:sz w:val="24"/>
          <w:szCs w:val="24"/>
          <w:highlight w:val="none"/>
        </w:rPr>
      </w:pPr>
      <w:r>
        <w:rPr>
          <w:rFonts w:ascii="宋体" w:hAnsi="宋体" w:eastAsia="宋体" w:cs="宋体"/>
          <w:spacing w:val="-1"/>
          <w:sz w:val="24"/>
          <w:szCs w:val="24"/>
          <w:highlight w:val="none"/>
        </w:rPr>
        <w:t>项目运营阶段需提供全方位运营服务，涵盖项目运营管理（包括人员管理、设施维护、服务质量管控等）、营销策划（制定精准营销方案，开展品牌推广、活动策划等，</w:t>
      </w:r>
      <w:r>
        <w:rPr>
          <w:rFonts w:ascii="宋体" w:hAnsi="宋体" w:eastAsia="宋体" w:cs="宋体"/>
          <w:spacing w:val="-5"/>
          <w:sz w:val="24"/>
          <w:szCs w:val="24"/>
          <w:highlight w:val="none"/>
        </w:rPr>
        <w:t>提升项目知名度与客流量）等核心内容。运营单位需</w:t>
      </w:r>
      <w:r>
        <w:rPr>
          <w:rFonts w:ascii="宋体" w:hAnsi="宋体" w:eastAsia="宋体" w:cs="宋体"/>
          <w:spacing w:val="-6"/>
          <w:sz w:val="24"/>
          <w:szCs w:val="24"/>
          <w:highlight w:val="none"/>
        </w:rPr>
        <w:t>根据项目运营期限，制定长期运营</w:t>
      </w:r>
      <w:r>
        <w:rPr>
          <w:rFonts w:ascii="宋体" w:hAnsi="宋体" w:eastAsia="宋体" w:cs="宋体"/>
          <w:spacing w:val="-1"/>
          <w:sz w:val="24"/>
          <w:szCs w:val="24"/>
          <w:highlight w:val="none"/>
        </w:rPr>
        <w:t>规划与阶段性运营目标，保障项目持续稳定运营并实现预期效益</w:t>
      </w:r>
      <w:r>
        <w:rPr>
          <w:rFonts w:ascii="宋体" w:hAnsi="宋体" w:eastAsia="宋体" w:cs="宋体"/>
          <w:spacing w:val="-2"/>
          <w:sz w:val="24"/>
          <w:szCs w:val="24"/>
          <w:highlight w:val="none"/>
        </w:rPr>
        <w:t>。</w:t>
      </w:r>
    </w:p>
    <w:p w14:paraId="2F3DA980">
      <w:pPr>
        <w:spacing w:before="98" w:line="220" w:lineRule="auto"/>
        <w:ind w:left="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第三条 委托运营期限</w:t>
      </w:r>
    </w:p>
    <w:p w14:paraId="63CBEACA">
      <w:pPr>
        <w:spacing w:before="224" w:line="219" w:lineRule="auto"/>
        <w:ind w:left="512"/>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本项目建设运营期限为两期。</w:t>
      </w:r>
    </w:p>
    <w:p w14:paraId="1D6BEFA1">
      <w:pPr>
        <w:spacing w:before="223" w:line="338" w:lineRule="auto"/>
        <w:ind w:left="5" w:right="62" w:firstLine="483"/>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 xml:space="preserve">一期为 </w:t>
      </w:r>
      <w:r>
        <w:rPr>
          <w:rFonts w:ascii="Times New Roman" w:hAnsi="Times New Roman" w:eastAsia="Times New Roman" w:cs="Times New Roman"/>
          <w:color w:val="auto"/>
          <w:spacing w:val="3"/>
          <w:sz w:val="24"/>
          <w:szCs w:val="24"/>
          <w:highlight w:val="none"/>
          <w:u w:val="single" w:color="auto"/>
        </w:rPr>
        <w:t>10</w:t>
      </w:r>
      <w:r>
        <w:rPr>
          <w:rFonts w:ascii="Times New Roman" w:hAnsi="Times New Roman" w:eastAsia="Times New Roman" w:cs="Times New Roman"/>
          <w:color w:val="auto"/>
          <w:spacing w:val="43"/>
          <w:sz w:val="24"/>
          <w:szCs w:val="24"/>
          <w:highlight w:val="none"/>
          <w:u w:val="single" w:color="auto"/>
        </w:rPr>
        <w:t xml:space="preserve"> </w:t>
      </w:r>
      <w:r>
        <w:rPr>
          <w:rFonts w:ascii="宋体" w:hAnsi="宋体" w:eastAsia="宋体" w:cs="宋体"/>
          <w:color w:val="auto"/>
          <w:spacing w:val="3"/>
          <w:sz w:val="24"/>
          <w:szCs w:val="24"/>
          <w:highlight w:val="none"/>
        </w:rPr>
        <w:t>年，从自通过项目验收、满足和符合乙方运营标准和条件，正</w:t>
      </w:r>
      <w:r>
        <w:rPr>
          <w:rFonts w:ascii="宋体" w:hAnsi="宋体" w:eastAsia="宋体" w:cs="宋体"/>
          <w:color w:val="auto"/>
          <w:spacing w:val="8"/>
          <w:sz w:val="24"/>
          <w:szCs w:val="24"/>
          <w:highlight w:val="none"/>
        </w:rPr>
        <w:t>式交付使用之日起计算视为启动运营；若正式运营延期，则项目运营管理委托</w:t>
      </w:r>
      <w:r>
        <w:rPr>
          <w:rFonts w:ascii="宋体" w:hAnsi="宋体" w:eastAsia="宋体" w:cs="宋体"/>
          <w:color w:val="auto"/>
          <w:spacing w:val="1"/>
          <w:sz w:val="24"/>
          <w:szCs w:val="24"/>
          <w:highlight w:val="none"/>
        </w:rPr>
        <w:t>启动和截止时间相应顺延。</w:t>
      </w:r>
    </w:p>
    <w:p w14:paraId="03444DD1">
      <w:pPr>
        <w:spacing w:before="95" w:line="337" w:lineRule="auto"/>
        <w:ind w:right="44" w:firstLine="493"/>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在一期</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1"/>
          <w:sz w:val="24"/>
          <w:szCs w:val="24"/>
          <w:highlight w:val="none"/>
          <w:u w:val="single" w:color="auto"/>
        </w:rPr>
        <w:t xml:space="preserve">10 </w:t>
      </w:r>
      <w:r>
        <w:rPr>
          <w:rFonts w:ascii="宋体" w:hAnsi="宋体" w:eastAsia="宋体" w:cs="宋体"/>
          <w:color w:val="auto"/>
          <w:spacing w:val="1"/>
          <w:sz w:val="24"/>
          <w:szCs w:val="24"/>
          <w:highlight w:val="none"/>
        </w:rPr>
        <w:t>年合作期满前</w:t>
      </w:r>
      <w:r>
        <w:rPr>
          <w:rFonts w:ascii="宋体" w:hAnsi="宋体" w:eastAsia="宋体" w:cs="宋体"/>
          <w:color w:val="auto"/>
          <w:spacing w:val="-4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60 </w:t>
      </w:r>
      <w:r>
        <w:rPr>
          <w:rFonts w:ascii="宋体" w:hAnsi="宋体" w:eastAsia="宋体" w:cs="宋体"/>
          <w:color w:val="auto"/>
          <w:spacing w:val="1"/>
          <w:sz w:val="24"/>
          <w:szCs w:val="24"/>
          <w:highlight w:val="none"/>
        </w:rPr>
        <w:t>个工作日内，甲乙方根据合同履行情况协商续</w:t>
      </w:r>
      <w:r>
        <w:rPr>
          <w:rFonts w:ascii="宋体" w:hAnsi="宋体" w:eastAsia="宋体" w:cs="宋体"/>
          <w:color w:val="auto"/>
          <w:sz w:val="24"/>
          <w:szCs w:val="24"/>
          <w:highlight w:val="none"/>
        </w:rPr>
        <w:t xml:space="preserve"> 约二期运营合作，二期合作期限暂定</w:t>
      </w:r>
      <w:r>
        <w:rPr>
          <w:rFonts w:ascii="宋体" w:hAnsi="宋体" w:eastAsia="宋体" w:cs="宋体"/>
          <w:color w:val="auto"/>
          <w:spacing w:val="-17"/>
          <w:sz w:val="24"/>
          <w:szCs w:val="24"/>
          <w:highlight w:val="none"/>
        </w:rPr>
        <w:t xml:space="preserve"> </w:t>
      </w:r>
      <w:r>
        <w:rPr>
          <w:rFonts w:ascii="Times New Roman" w:hAnsi="Times New Roman" w:eastAsia="Times New Roman" w:cs="Times New Roman"/>
          <w:color w:val="auto"/>
          <w:sz w:val="24"/>
          <w:szCs w:val="24"/>
          <w:highlight w:val="none"/>
        </w:rPr>
        <w:t>10</w:t>
      </w:r>
      <w:r>
        <w:rPr>
          <w:rFonts w:ascii="Times New Roman" w:hAnsi="Times New Roman" w:eastAsia="Times New Roman" w:cs="Times New Roman"/>
          <w:color w:val="auto"/>
          <w:spacing w:val="16"/>
          <w:w w:val="101"/>
          <w:sz w:val="24"/>
          <w:szCs w:val="24"/>
          <w:highlight w:val="none"/>
        </w:rPr>
        <w:t xml:space="preserve"> </w:t>
      </w:r>
      <w:r>
        <w:rPr>
          <w:rFonts w:ascii="宋体" w:hAnsi="宋体" w:eastAsia="宋体" w:cs="宋体"/>
          <w:color w:val="auto"/>
          <w:sz w:val="24"/>
          <w:szCs w:val="24"/>
          <w:highlight w:val="none"/>
        </w:rPr>
        <w:t>年，具体以双方协商确认为准，同等条</w:t>
      </w:r>
      <w:r>
        <w:rPr>
          <w:rFonts w:ascii="宋体" w:hAnsi="宋体" w:eastAsia="宋体" w:cs="宋体"/>
          <w:color w:val="auto"/>
          <w:spacing w:val="-3"/>
          <w:sz w:val="24"/>
          <w:szCs w:val="24"/>
          <w:highlight w:val="none"/>
        </w:rPr>
        <w:t>件下，乙方享有优先续约权。</w:t>
      </w:r>
    </w:p>
    <w:p w14:paraId="137CC5A1">
      <w:pPr>
        <w:spacing w:before="94" w:line="220" w:lineRule="auto"/>
        <w:ind w:left="47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第四条</w:t>
      </w:r>
      <w:r>
        <w:rPr>
          <w:rFonts w:ascii="宋体" w:hAnsi="宋体" w:eastAsia="宋体" w:cs="宋体"/>
          <w:color w:val="auto"/>
          <w:spacing w:val="19"/>
          <w:sz w:val="24"/>
          <w:szCs w:val="24"/>
          <w:highlight w:val="none"/>
        </w:rPr>
        <w:t xml:space="preserve"> </w:t>
      </w:r>
      <w:r>
        <w:rPr>
          <w:rFonts w:ascii="宋体" w:hAnsi="宋体" w:eastAsia="宋体" w:cs="宋体"/>
          <w:color w:val="auto"/>
          <w:spacing w:val="-6"/>
          <w:sz w:val="24"/>
          <w:szCs w:val="24"/>
          <w:highlight w:val="none"/>
        </w:rPr>
        <w:t>收益分成</w:t>
      </w:r>
    </w:p>
    <w:p w14:paraId="203AE59A">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1.</w:t>
      </w:r>
      <w:r>
        <w:rPr>
          <w:rFonts w:hint="eastAsia" w:ascii="Times New Roman" w:hAnsi="Times New Roman" w:eastAsia="Times New Roman" w:cs="Times New Roman"/>
          <w:color w:val="auto"/>
          <w:spacing w:val="1"/>
          <w:sz w:val="24"/>
          <w:szCs w:val="24"/>
          <w:highlight w:val="none"/>
        </w:rPr>
        <w:t>乙方独立经营，运营费用（包括但不限于营销费用、维保费、税费、工人工资及福利等）全由乙方负责，自负盈亏。</w:t>
      </w:r>
    </w:p>
    <w:p w14:paraId="501420E2">
      <w:pPr>
        <w:spacing w:before="224" w:line="341" w:lineRule="auto"/>
        <w:ind w:right="52" w:firstLine="492" w:firstLineChars="200"/>
        <w:jc w:val="both"/>
        <w:rPr>
          <w:rFonts w:hint="eastAsia"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3"/>
          <w:sz w:val="24"/>
          <w:szCs w:val="24"/>
          <w:highlight w:val="none"/>
        </w:rPr>
        <w:t>2.</w:t>
      </w:r>
      <w:r>
        <w:rPr>
          <w:rFonts w:hint="eastAsia" w:ascii="Times New Roman" w:hAnsi="Times New Roman" w:eastAsia="Times New Roman" w:cs="Times New Roman"/>
          <w:color w:val="auto"/>
          <w:spacing w:val="1"/>
          <w:sz w:val="24"/>
          <w:szCs w:val="24"/>
          <w:highlight w:val="none"/>
        </w:rPr>
        <w:t>项目经营收入全部归属于乙方所有。</w:t>
      </w:r>
    </w:p>
    <w:p w14:paraId="72881FA4">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hint="eastAsia" w:ascii="Times New Roman" w:hAnsi="Times New Roman" w:eastAsia="宋体" w:cs="Times New Roman"/>
          <w:color w:val="auto"/>
          <w:spacing w:val="3"/>
          <w:sz w:val="24"/>
          <w:szCs w:val="24"/>
          <w:highlight w:val="none"/>
          <w:lang w:val="en-US" w:eastAsia="zh-CN"/>
        </w:rPr>
        <w:t>3</w:t>
      </w:r>
      <w:r>
        <w:rPr>
          <w:rFonts w:ascii="Times New Roman" w:hAnsi="Times New Roman" w:eastAsia="Times New Roman" w:cs="Times New Roman"/>
          <w:color w:val="auto"/>
          <w:spacing w:val="3"/>
          <w:sz w:val="24"/>
          <w:szCs w:val="24"/>
          <w:highlight w:val="none"/>
        </w:rPr>
        <w:t>.</w:t>
      </w:r>
      <w:r>
        <w:rPr>
          <w:rFonts w:hint="eastAsia" w:ascii="Times New Roman" w:hAnsi="Times New Roman" w:eastAsia="Times New Roman" w:cs="Times New Roman"/>
          <w:color w:val="auto"/>
          <w:spacing w:val="1"/>
          <w:sz w:val="24"/>
          <w:szCs w:val="24"/>
          <w:highlight w:val="none"/>
        </w:rPr>
        <w:t>项目中标后中标方与业主方签订运营合同，且运营方在施工进度以及支付款项达到60%时需缴纳合同价的10%作为运营保障，可以银行保函或担保保函的方式代替现金，保障后期正常运营。</w:t>
      </w:r>
    </w:p>
    <w:p w14:paraId="2F1E5068">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hint="eastAsia" w:ascii="Times New Roman" w:hAnsi="Times New Roman" w:eastAsia="宋体" w:cs="Times New Roman"/>
          <w:color w:val="auto"/>
          <w:spacing w:val="3"/>
          <w:sz w:val="24"/>
          <w:szCs w:val="24"/>
          <w:highlight w:val="none"/>
          <w:lang w:val="en-US" w:eastAsia="zh-CN"/>
        </w:rPr>
        <w:t>4</w:t>
      </w:r>
      <w:r>
        <w:rPr>
          <w:rFonts w:ascii="Times New Roman" w:hAnsi="Times New Roman" w:eastAsia="Times New Roman" w:cs="Times New Roman"/>
          <w:color w:val="auto"/>
          <w:spacing w:val="3"/>
          <w:sz w:val="24"/>
          <w:szCs w:val="24"/>
          <w:highlight w:val="none"/>
        </w:rPr>
        <w:t>.</w:t>
      </w:r>
      <w:r>
        <w:rPr>
          <w:rFonts w:hint="eastAsia" w:ascii="Times New Roman" w:hAnsi="Times New Roman" w:eastAsia="Times New Roman" w:cs="Times New Roman"/>
          <w:color w:val="auto"/>
          <w:spacing w:val="1"/>
          <w:sz w:val="24"/>
          <w:szCs w:val="24"/>
          <w:highlight w:val="none"/>
        </w:rPr>
        <w:t>本项目建设运营期限为两期。一期为10年，从自通过项目验收、满足和符合乙方运营标准和条件，正式交付使用之日起计算视为启动运营；若正式运营延期，则项目运营管理委托启动和截止时间相应顺延。在一期10年合作期满前60个工作日内，甲乙方根据合同履行情况协商续约二期运营合作，二期合作期限暂定10年，具体以双方协商确认为准，同等条件下，乙方享有优先续约权。</w:t>
      </w:r>
    </w:p>
    <w:p w14:paraId="3F8448A9">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hint="eastAsia" w:ascii="Times New Roman" w:hAnsi="Times New Roman" w:eastAsia="宋体" w:cs="Times New Roman"/>
          <w:color w:val="auto"/>
          <w:spacing w:val="3"/>
          <w:sz w:val="24"/>
          <w:szCs w:val="24"/>
          <w:highlight w:val="none"/>
          <w:lang w:val="en-US" w:eastAsia="zh-CN"/>
        </w:rPr>
        <w:t>5</w:t>
      </w:r>
      <w:r>
        <w:rPr>
          <w:rFonts w:ascii="Times New Roman" w:hAnsi="Times New Roman" w:eastAsia="Times New Roman" w:cs="Times New Roman"/>
          <w:color w:val="auto"/>
          <w:spacing w:val="3"/>
          <w:sz w:val="24"/>
          <w:szCs w:val="24"/>
          <w:highlight w:val="none"/>
        </w:rPr>
        <w:t>.</w:t>
      </w:r>
      <w:r>
        <w:rPr>
          <w:rFonts w:hint="eastAsia" w:ascii="Times New Roman" w:hAnsi="Times New Roman" w:eastAsia="Times New Roman" w:cs="Times New Roman"/>
          <w:color w:val="auto"/>
          <w:spacing w:val="1"/>
          <w:sz w:val="24"/>
          <w:szCs w:val="24"/>
          <w:highlight w:val="none"/>
        </w:rPr>
        <w:t>交付运营之日起，6个月运营培育期，免缴固定资产收益。</w:t>
      </w:r>
    </w:p>
    <w:p w14:paraId="69D56EA9">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hint="eastAsia" w:ascii="Times New Roman" w:hAnsi="Times New Roman" w:eastAsia="宋体" w:cs="Times New Roman"/>
          <w:color w:val="auto"/>
          <w:spacing w:val="3"/>
          <w:sz w:val="24"/>
          <w:szCs w:val="24"/>
          <w:highlight w:val="none"/>
          <w:lang w:val="en-US" w:eastAsia="zh-CN"/>
        </w:rPr>
        <w:t>6</w:t>
      </w:r>
      <w:r>
        <w:rPr>
          <w:rFonts w:ascii="Times New Roman" w:hAnsi="Times New Roman" w:eastAsia="Times New Roman" w:cs="Times New Roman"/>
          <w:color w:val="auto"/>
          <w:spacing w:val="3"/>
          <w:sz w:val="24"/>
          <w:szCs w:val="24"/>
          <w:highlight w:val="none"/>
        </w:rPr>
        <w:t>.</w:t>
      </w:r>
      <w:r>
        <w:rPr>
          <w:rFonts w:hint="eastAsia" w:ascii="Times New Roman" w:hAnsi="Times New Roman" w:eastAsia="Times New Roman" w:cs="Times New Roman"/>
          <w:color w:val="auto"/>
          <w:spacing w:val="1"/>
          <w:sz w:val="24"/>
          <w:szCs w:val="24"/>
          <w:highlight w:val="none"/>
        </w:rPr>
        <w:t>交付运营之日，乙方一次性缴纳30个月的经营类项目固定资产收益，按审计决算投资总额5%支付给甲方。</w:t>
      </w:r>
    </w:p>
    <w:p w14:paraId="7AE56E86">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hint="eastAsia" w:ascii="Times New Roman" w:hAnsi="Times New Roman" w:eastAsia="Times New Roman" w:cs="Times New Roman"/>
          <w:color w:val="auto"/>
          <w:spacing w:val="1"/>
          <w:sz w:val="24"/>
          <w:szCs w:val="24"/>
          <w:highlight w:val="none"/>
        </w:rPr>
        <w:t>从第4年到第5年：每年按审计决算投资总额2%支付给甲方。</w:t>
      </w:r>
    </w:p>
    <w:p w14:paraId="01E62DB3">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hint="eastAsia" w:ascii="Times New Roman" w:hAnsi="Times New Roman" w:eastAsia="Times New Roman" w:cs="Times New Roman"/>
          <w:color w:val="auto"/>
          <w:spacing w:val="1"/>
          <w:sz w:val="24"/>
          <w:szCs w:val="24"/>
          <w:highlight w:val="none"/>
        </w:rPr>
        <w:t>从第6年到</w:t>
      </w:r>
      <w:r>
        <w:rPr>
          <w:rFonts w:hint="eastAsia" w:ascii="Times New Roman" w:hAnsi="Times New Roman" w:eastAsia="宋体" w:cs="Times New Roman"/>
          <w:color w:val="auto"/>
          <w:spacing w:val="1"/>
          <w:sz w:val="24"/>
          <w:szCs w:val="24"/>
          <w:highlight w:val="none"/>
          <w:lang w:val="en-US" w:eastAsia="zh-CN"/>
        </w:rPr>
        <w:t>第</w:t>
      </w:r>
      <w:r>
        <w:rPr>
          <w:rFonts w:hint="eastAsia" w:ascii="Times New Roman" w:hAnsi="Times New Roman" w:eastAsia="Times New Roman" w:cs="Times New Roman"/>
          <w:color w:val="auto"/>
          <w:spacing w:val="1"/>
          <w:sz w:val="24"/>
          <w:szCs w:val="24"/>
          <w:highlight w:val="none"/>
        </w:rPr>
        <w:t>8年：每年按审计决算投资总额4%支付给甲方。</w:t>
      </w:r>
    </w:p>
    <w:p w14:paraId="72092C6C">
      <w:pPr>
        <w:spacing w:before="224" w:line="341" w:lineRule="auto"/>
        <w:ind w:left="2" w:right="52" w:firstLine="509"/>
        <w:jc w:val="both"/>
        <w:rPr>
          <w:rFonts w:hint="eastAsia" w:ascii="Times New Roman" w:hAnsi="Times New Roman" w:eastAsia="Times New Roman" w:cs="Times New Roman"/>
          <w:color w:val="auto"/>
          <w:spacing w:val="1"/>
          <w:sz w:val="24"/>
          <w:szCs w:val="24"/>
          <w:highlight w:val="none"/>
        </w:rPr>
      </w:pPr>
      <w:r>
        <w:rPr>
          <w:rFonts w:hint="eastAsia" w:ascii="Times New Roman" w:hAnsi="Times New Roman" w:eastAsia="Times New Roman" w:cs="Times New Roman"/>
          <w:color w:val="auto"/>
          <w:spacing w:val="1"/>
          <w:sz w:val="24"/>
          <w:szCs w:val="24"/>
          <w:highlight w:val="none"/>
        </w:rPr>
        <w:t>从第9年到</w:t>
      </w:r>
      <w:r>
        <w:rPr>
          <w:rFonts w:hint="eastAsia" w:ascii="Times New Roman" w:hAnsi="Times New Roman" w:eastAsia="宋体" w:cs="Times New Roman"/>
          <w:color w:val="auto"/>
          <w:spacing w:val="1"/>
          <w:sz w:val="24"/>
          <w:szCs w:val="24"/>
          <w:highlight w:val="none"/>
          <w:lang w:val="en-US" w:eastAsia="zh-CN"/>
        </w:rPr>
        <w:t>第</w:t>
      </w:r>
      <w:r>
        <w:rPr>
          <w:rFonts w:hint="eastAsia" w:ascii="Times New Roman" w:hAnsi="Times New Roman" w:eastAsia="Times New Roman" w:cs="Times New Roman"/>
          <w:color w:val="auto"/>
          <w:spacing w:val="1"/>
          <w:sz w:val="24"/>
          <w:szCs w:val="24"/>
          <w:highlight w:val="none"/>
        </w:rPr>
        <w:t>10年：每年按审计决算投资总额5%支付给甲方。</w:t>
      </w:r>
    </w:p>
    <w:p w14:paraId="6D772154">
      <w:pPr>
        <w:spacing w:before="224" w:line="341" w:lineRule="auto"/>
        <w:ind w:right="52"/>
        <w:jc w:val="both"/>
        <w:rPr>
          <w:rFonts w:hint="eastAsia" w:ascii="Times New Roman" w:hAnsi="Times New Roman" w:eastAsia="Times New Roman" w:cs="Times New Roman"/>
          <w:color w:val="auto"/>
          <w:spacing w:val="2"/>
          <w:sz w:val="24"/>
          <w:szCs w:val="24"/>
          <w:highlight w:val="none"/>
          <w:u w:val="single" w:color="auto"/>
          <w:lang w:val="en-US" w:eastAsia="zh-CN"/>
        </w:rPr>
      </w:pPr>
      <w:r>
        <w:rPr>
          <w:rFonts w:hint="eastAsia" w:ascii="Times New Roman" w:hAnsi="Times New Roman" w:eastAsia="Times New Roman" w:cs="Times New Roman"/>
          <w:color w:val="auto"/>
          <w:spacing w:val="1"/>
          <w:sz w:val="24"/>
          <w:szCs w:val="24"/>
          <w:highlight w:val="none"/>
        </w:rPr>
        <w:t>如不缴纳则从保证金中扣除，保证金额度不足时需补足。10年后双方另行约定。</w:t>
      </w:r>
    </w:p>
    <w:p w14:paraId="475BE0DB">
      <w:pPr>
        <w:spacing w:before="95" w:line="379" w:lineRule="auto"/>
        <w:ind w:left="496" w:right="5084" w:hanging="31"/>
        <w:rPr>
          <w:rFonts w:ascii="宋体" w:hAnsi="宋体" w:eastAsia="宋体" w:cs="宋体"/>
          <w:color w:val="auto"/>
          <w:spacing w:val="8"/>
          <w:sz w:val="24"/>
          <w:szCs w:val="24"/>
          <w:highlight w:val="none"/>
        </w:rPr>
      </w:pPr>
      <w:r>
        <w:rPr>
          <w:rFonts w:ascii="宋体" w:hAnsi="宋体" w:eastAsia="宋体" w:cs="宋体"/>
          <w:color w:val="auto"/>
          <w:spacing w:val="-10"/>
          <w:sz w:val="24"/>
          <w:szCs w:val="24"/>
          <w:highlight w:val="none"/>
        </w:rPr>
        <w:t>第五条  甲乙丙三方权利义务</w:t>
      </w:r>
      <w:r>
        <w:rPr>
          <w:rFonts w:ascii="宋体" w:hAnsi="宋体" w:eastAsia="宋体" w:cs="宋体"/>
          <w:color w:val="auto"/>
          <w:spacing w:val="8"/>
          <w:sz w:val="24"/>
          <w:szCs w:val="24"/>
          <w:highlight w:val="none"/>
        </w:rPr>
        <w:t xml:space="preserve"> </w:t>
      </w:r>
    </w:p>
    <w:p w14:paraId="160DF448">
      <w:pPr>
        <w:spacing w:before="95" w:line="379" w:lineRule="auto"/>
        <w:ind w:left="496" w:right="5084" w:hanging="3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一）甲乙丙三方权利</w:t>
      </w:r>
    </w:p>
    <w:p w14:paraId="44D7C543">
      <w:pPr>
        <w:spacing w:before="34" w:line="220" w:lineRule="auto"/>
        <w:ind w:left="512"/>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丙方有权监督项目的建设运营管理等相关事项。</w:t>
      </w:r>
    </w:p>
    <w:p w14:paraId="22548BE0">
      <w:pPr>
        <w:spacing w:before="225" w:line="337" w:lineRule="auto"/>
        <w:ind w:firstLine="488"/>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2.</w:t>
      </w:r>
      <w:r>
        <w:rPr>
          <w:rFonts w:ascii="宋体" w:hAnsi="宋体" w:eastAsia="宋体" w:cs="宋体"/>
          <w:color w:val="auto"/>
          <w:spacing w:val="6"/>
          <w:sz w:val="24"/>
          <w:szCs w:val="24"/>
          <w:highlight w:val="none"/>
        </w:rPr>
        <w:t>甲方有权对委托项目的运营管理项目的</w:t>
      </w:r>
      <w:r>
        <w:rPr>
          <w:rFonts w:ascii="宋体" w:hAnsi="宋体" w:eastAsia="宋体" w:cs="宋体"/>
          <w:color w:val="auto"/>
          <w:spacing w:val="5"/>
          <w:sz w:val="24"/>
          <w:szCs w:val="24"/>
          <w:highlight w:val="none"/>
        </w:rPr>
        <w:t>服务质量、制度管理、决策管理、</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 xml:space="preserve">协调等进行监督检查，对违规行为予以纠正，对项目运营管理过程中出现的问 </w:t>
      </w:r>
      <w:r>
        <w:rPr>
          <w:rFonts w:ascii="宋体" w:hAnsi="宋体" w:eastAsia="宋体" w:cs="宋体"/>
          <w:color w:val="auto"/>
          <w:spacing w:val="2"/>
          <w:sz w:val="24"/>
          <w:szCs w:val="24"/>
          <w:highlight w:val="none"/>
        </w:rPr>
        <w:t>题向乙方提出整改意见和建议。</w:t>
      </w:r>
    </w:p>
    <w:p w14:paraId="3BF47E46">
      <w:pPr>
        <w:spacing w:before="95" w:line="333" w:lineRule="auto"/>
        <w:ind w:left="6" w:right="87" w:firstLine="48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乙方有权对本项目中经营项目进行自主合法经营管理，并按期支付每年固定资产收益，</w:t>
      </w:r>
      <w:r>
        <w:rPr>
          <w:rFonts w:hint="eastAsia" w:ascii="宋体" w:hAnsi="宋体" w:eastAsia="宋体" w:cs="宋体"/>
          <w:color w:val="auto"/>
          <w:spacing w:val="-1"/>
          <w:sz w:val="24"/>
          <w:szCs w:val="24"/>
          <w:highlight w:val="none"/>
          <w:lang w:eastAsia="zh-CN"/>
        </w:rPr>
        <w:t>乙方根据实际合同约定每年向甲方一次支付</w:t>
      </w:r>
      <w:r>
        <w:rPr>
          <w:rFonts w:ascii="宋体" w:hAnsi="宋体" w:eastAsia="宋体" w:cs="宋体"/>
          <w:color w:val="auto"/>
          <w:spacing w:val="-1"/>
          <w:sz w:val="24"/>
          <w:szCs w:val="24"/>
          <w:highlight w:val="none"/>
        </w:rPr>
        <w:t>。</w:t>
      </w:r>
    </w:p>
    <w:p w14:paraId="1C255942">
      <w:pPr>
        <w:spacing w:before="94" w:line="220" w:lineRule="auto"/>
        <w:ind w:left="487"/>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乙方有权对经营类项目进行招商，但乙方招商商户须有生产运营资质。</w:t>
      </w:r>
    </w:p>
    <w:p w14:paraId="738921E7">
      <w:pPr>
        <w:spacing w:before="224" w:line="333" w:lineRule="auto"/>
        <w:ind w:left="31" w:right="18" w:firstLine="46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乙方有权拒绝甲方、</w:t>
      </w:r>
      <w:r>
        <w:rPr>
          <w:rFonts w:ascii="宋体" w:hAnsi="宋体" w:eastAsia="宋体" w:cs="宋体"/>
          <w:color w:val="auto"/>
          <w:spacing w:val="-24"/>
          <w:sz w:val="24"/>
          <w:szCs w:val="24"/>
          <w:highlight w:val="none"/>
        </w:rPr>
        <w:t xml:space="preserve"> </w:t>
      </w:r>
      <w:r>
        <w:rPr>
          <w:rFonts w:ascii="宋体" w:hAnsi="宋体" w:eastAsia="宋体" w:cs="宋体"/>
          <w:color w:val="auto"/>
          <w:spacing w:val="2"/>
          <w:sz w:val="24"/>
          <w:szCs w:val="24"/>
          <w:highlight w:val="none"/>
        </w:rPr>
        <w:t>丙方提出的与本委托运营管理合同约定之外的要求，</w:t>
      </w:r>
      <w:r>
        <w:rPr>
          <w:rFonts w:ascii="宋体" w:hAnsi="宋体" w:eastAsia="宋体" w:cs="宋体"/>
          <w:color w:val="auto"/>
          <w:spacing w:val="3"/>
          <w:sz w:val="24"/>
          <w:szCs w:val="24"/>
          <w:highlight w:val="none"/>
        </w:rPr>
        <w:t>甲方、丙方不得以此为由拒不配合合同的履行。</w:t>
      </w:r>
    </w:p>
    <w:p w14:paraId="576F5385">
      <w:pPr>
        <w:spacing w:before="94" w:line="220"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二）甲乙双方义务</w:t>
      </w:r>
    </w:p>
    <w:p w14:paraId="7CC11881">
      <w:pPr>
        <w:spacing w:before="224" w:line="220" w:lineRule="auto"/>
        <w:ind w:left="512"/>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甲乙双方均有定期向丙方汇报项目建设运营情况的义务。</w:t>
      </w:r>
    </w:p>
    <w:p w14:paraId="4E87DBC1">
      <w:pPr>
        <w:spacing w:before="78" w:line="220" w:lineRule="auto"/>
        <w:ind w:left="493"/>
        <w:rPr>
          <w:rFonts w:ascii="宋体" w:hAnsi="宋体" w:eastAsia="宋体" w:cs="宋体"/>
          <w:color w:val="auto"/>
          <w:spacing w:val="3"/>
          <w:sz w:val="24"/>
          <w:szCs w:val="24"/>
          <w:highlight w:val="none"/>
        </w:rPr>
      </w:pP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甲方协助丙方负责项目立项、用地、规划、报批报建、建设、施工环境等</w:t>
      </w:r>
      <w:r>
        <w:rPr>
          <w:rFonts w:ascii="宋体" w:hAnsi="宋体" w:eastAsia="宋体" w:cs="宋体"/>
          <w:color w:val="auto"/>
          <w:spacing w:val="4"/>
          <w:sz w:val="24"/>
          <w:szCs w:val="24"/>
          <w:highlight w:val="none"/>
        </w:rPr>
        <w:t>合法合规，以保障项目顺利建设及运营所需</w:t>
      </w:r>
      <w:r>
        <w:rPr>
          <w:rFonts w:ascii="宋体" w:hAnsi="宋体" w:eastAsia="宋体" w:cs="宋体"/>
          <w:color w:val="auto"/>
          <w:spacing w:val="3"/>
          <w:sz w:val="24"/>
          <w:szCs w:val="24"/>
          <w:highlight w:val="none"/>
        </w:rPr>
        <w:t>手续齐备。</w:t>
      </w:r>
    </w:p>
    <w:p w14:paraId="4B33C1AC">
      <w:pPr>
        <w:spacing w:before="78" w:line="220" w:lineRule="auto"/>
        <w:ind w:left="493"/>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甲方需保障项目场所周边的环境、道路能够达到正常经营需求。</w:t>
      </w:r>
    </w:p>
    <w:p w14:paraId="346A5970">
      <w:pPr>
        <w:spacing w:before="225" w:line="333" w:lineRule="auto"/>
        <w:ind w:firstLine="48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甲方、丙方应配合乙方申报相关的项目奖</w:t>
      </w:r>
      <w:r>
        <w:rPr>
          <w:rFonts w:ascii="宋体" w:hAnsi="宋体" w:eastAsia="宋体" w:cs="宋体"/>
          <w:color w:val="auto"/>
          <w:spacing w:val="1"/>
          <w:sz w:val="24"/>
          <w:szCs w:val="24"/>
          <w:highlight w:val="none"/>
        </w:rPr>
        <w:t>补政策以及相关奖项的评比工作，创造良好的运营优势。</w:t>
      </w:r>
    </w:p>
    <w:p w14:paraId="541EB588">
      <w:pPr>
        <w:spacing w:before="95" w:line="337" w:lineRule="auto"/>
        <w:ind w:left="5" w:right="194" w:firstLine="48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5.</w:t>
      </w:r>
      <w:r>
        <w:rPr>
          <w:rFonts w:ascii="宋体" w:hAnsi="宋体" w:eastAsia="宋体" w:cs="宋体"/>
          <w:color w:val="auto"/>
          <w:spacing w:val="3"/>
          <w:sz w:val="24"/>
          <w:szCs w:val="24"/>
          <w:highlight w:val="none"/>
        </w:rPr>
        <w:t>乙方派管理和技术团队负责项目的日常生产、管理、</w:t>
      </w:r>
      <w:r>
        <w:rPr>
          <w:rFonts w:ascii="宋体" w:hAnsi="宋体" w:eastAsia="宋体" w:cs="宋体"/>
          <w:color w:val="auto"/>
          <w:spacing w:val="2"/>
          <w:sz w:val="24"/>
          <w:szCs w:val="24"/>
          <w:highlight w:val="none"/>
        </w:rPr>
        <w:t>运营，包括但不限于</w:t>
      </w:r>
      <w:r>
        <w:rPr>
          <w:rFonts w:ascii="宋体" w:hAnsi="宋体" w:eastAsia="宋体" w:cs="宋体"/>
          <w:color w:val="auto"/>
          <w:spacing w:val="8"/>
          <w:sz w:val="24"/>
          <w:szCs w:val="24"/>
          <w:highlight w:val="none"/>
        </w:rPr>
        <w:t>与甲方确定项目设计、施工方案、施工前三通一平的保障、施工过程管理、项</w:t>
      </w:r>
      <w:r>
        <w:rPr>
          <w:rFonts w:ascii="宋体" w:hAnsi="宋体" w:eastAsia="宋体" w:cs="宋体"/>
          <w:color w:val="auto"/>
          <w:spacing w:val="4"/>
          <w:sz w:val="24"/>
          <w:szCs w:val="24"/>
          <w:highlight w:val="none"/>
        </w:rPr>
        <w:t>目竣工验收、项目经营管理、项目的全托管运营和业务赋能运营等工作。</w:t>
      </w:r>
    </w:p>
    <w:p w14:paraId="7733FC42">
      <w:pPr>
        <w:spacing w:before="94" w:line="328" w:lineRule="auto"/>
        <w:ind w:left="2" w:right="195" w:firstLine="491"/>
        <w:rPr>
          <w:rFonts w:ascii="宋体" w:hAnsi="宋体" w:eastAsia="宋体" w:cs="宋体"/>
          <w:color w:val="auto"/>
          <w:sz w:val="24"/>
          <w:szCs w:val="24"/>
          <w:highlight w:val="none"/>
        </w:rPr>
      </w:pPr>
      <w:r>
        <w:rPr>
          <w:rFonts w:ascii="Times New Roman" w:hAnsi="Times New Roman" w:eastAsia="Times New Roman" w:cs="Times New Roman"/>
          <w:color w:val="auto"/>
          <w:spacing w:val="8"/>
          <w:sz w:val="24"/>
          <w:szCs w:val="24"/>
          <w:highlight w:val="none"/>
        </w:rPr>
        <w:t>6.</w:t>
      </w:r>
      <w:r>
        <w:rPr>
          <w:rFonts w:ascii="宋体" w:hAnsi="宋体" w:eastAsia="宋体" w:cs="宋体"/>
          <w:color w:val="auto"/>
          <w:spacing w:val="8"/>
          <w:sz w:val="24"/>
          <w:szCs w:val="24"/>
          <w:highlight w:val="none"/>
        </w:rPr>
        <w:t>乙方负责控制建设造价等投入成本</w:t>
      </w:r>
      <w:r>
        <w:rPr>
          <w:rFonts w:ascii="Times New Roman" w:hAnsi="Times New Roman" w:eastAsia="Times New Roman" w:cs="Times New Roman"/>
          <w:color w:val="auto"/>
          <w:spacing w:val="8"/>
          <w:sz w:val="24"/>
          <w:szCs w:val="24"/>
          <w:highlight w:val="none"/>
        </w:rPr>
        <w:t>,</w:t>
      </w:r>
      <w:r>
        <w:rPr>
          <w:rFonts w:ascii="宋体" w:hAnsi="宋体" w:eastAsia="宋体" w:cs="宋体"/>
          <w:color w:val="auto"/>
          <w:spacing w:val="8"/>
          <w:sz w:val="24"/>
          <w:szCs w:val="24"/>
          <w:highlight w:val="none"/>
        </w:rPr>
        <w:t>按项目投资不高于中标价作为投入标</w:t>
      </w:r>
      <w:r>
        <w:rPr>
          <w:rFonts w:ascii="宋体" w:hAnsi="宋体" w:eastAsia="宋体" w:cs="宋体"/>
          <w:color w:val="auto"/>
          <w:spacing w:val="5"/>
          <w:sz w:val="24"/>
          <w:szCs w:val="24"/>
          <w:highlight w:val="none"/>
        </w:rPr>
        <w:t>准</w:t>
      </w:r>
      <w:r>
        <w:rPr>
          <w:rFonts w:ascii="Times New Roman" w:hAnsi="Times New Roman" w:eastAsia="Times New Roman" w:cs="Times New Roman"/>
          <w:color w:val="auto"/>
          <w:spacing w:val="5"/>
          <w:sz w:val="24"/>
          <w:szCs w:val="24"/>
          <w:highlight w:val="none"/>
        </w:rPr>
        <w:t>(</w:t>
      </w:r>
      <w:r>
        <w:rPr>
          <w:rFonts w:ascii="宋体" w:hAnsi="宋体" w:eastAsia="宋体" w:cs="宋体"/>
          <w:color w:val="auto"/>
          <w:spacing w:val="5"/>
          <w:sz w:val="24"/>
          <w:szCs w:val="24"/>
          <w:highlight w:val="none"/>
        </w:rPr>
        <w:t>含方案设计费、施工图设计费、技术服务费用、工程费用等全部费用</w:t>
      </w:r>
      <w:r>
        <w:rPr>
          <w:rFonts w:ascii="Times New Roman" w:hAnsi="Times New Roman" w:eastAsia="Times New Roman" w:cs="Times New Roman"/>
          <w:color w:val="auto"/>
          <w:spacing w:val="5"/>
          <w:sz w:val="24"/>
          <w:szCs w:val="24"/>
          <w:highlight w:val="none"/>
        </w:rPr>
        <w:t>)</w:t>
      </w:r>
      <w:r>
        <w:rPr>
          <w:rFonts w:ascii="宋体" w:hAnsi="宋体" w:eastAsia="宋体" w:cs="宋体"/>
          <w:color w:val="auto"/>
          <w:spacing w:val="5"/>
          <w:sz w:val="24"/>
          <w:szCs w:val="24"/>
          <w:highlight w:val="none"/>
        </w:rPr>
        <w:t>。</w:t>
      </w:r>
    </w:p>
    <w:p w14:paraId="528AF98B">
      <w:pPr>
        <w:spacing w:before="107" w:line="333" w:lineRule="auto"/>
        <w:ind w:left="2" w:right="192" w:firstLine="49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7.</w:t>
      </w:r>
      <w:r>
        <w:rPr>
          <w:rFonts w:ascii="宋体" w:hAnsi="宋体" w:eastAsia="宋体" w:cs="宋体"/>
          <w:color w:val="auto"/>
          <w:spacing w:val="4"/>
          <w:sz w:val="24"/>
          <w:szCs w:val="24"/>
          <w:highlight w:val="none"/>
        </w:rPr>
        <w:t>乙方负责承担项目运营期间的运营成本。经营期结束后</w:t>
      </w:r>
      <w:r>
        <w:rPr>
          <w:rFonts w:ascii="宋体" w:hAnsi="宋体" w:eastAsia="宋体" w:cs="宋体"/>
          <w:color w:val="auto"/>
          <w:spacing w:val="-11"/>
          <w:sz w:val="24"/>
          <w:szCs w:val="24"/>
          <w:highlight w:val="none"/>
        </w:rPr>
        <w:t xml:space="preserve"> </w:t>
      </w:r>
      <w:r>
        <w:rPr>
          <w:rFonts w:ascii="Times New Roman" w:hAnsi="Times New Roman" w:eastAsia="Times New Roman" w:cs="Times New Roman"/>
          <w:color w:val="auto"/>
          <w:spacing w:val="4"/>
          <w:sz w:val="24"/>
          <w:szCs w:val="24"/>
          <w:highlight w:val="none"/>
        </w:rPr>
        <w:t>30</w:t>
      </w:r>
      <w:r>
        <w:rPr>
          <w:rFonts w:ascii="Times New Roman" w:hAnsi="Times New Roman" w:eastAsia="Times New Roman" w:cs="Times New Roman"/>
          <w:color w:val="auto"/>
          <w:spacing w:val="33"/>
          <w:sz w:val="24"/>
          <w:szCs w:val="24"/>
          <w:highlight w:val="none"/>
        </w:rPr>
        <w:t xml:space="preserve"> </w:t>
      </w:r>
      <w:r>
        <w:rPr>
          <w:rFonts w:ascii="宋体" w:hAnsi="宋体" w:eastAsia="宋体" w:cs="宋体"/>
          <w:color w:val="auto"/>
          <w:spacing w:val="4"/>
          <w:sz w:val="24"/>
          <w:szCs w:val="24"/>
          <w:highlight w:val="none"/>
        </w:rPr>
        <w:t>个工作日内完</w:t>
      </w:r>
      <w:r>
        <w:rPr>
          <w:rFonts w:ascii="宋体" w:hAnsi="宋体" w:eastAsia="宋体" w:cs="宋体"/>
          <w:color w:val="auto"/>
          <w:spacing w:val="3"/>
          <w:sz w:val="24"/>
          <w:szCs w:val="24"/>
          <w:highlight w:val="none"/>
        </w:rPr>
        <w:t>成资产清算及移交（不包括引入的第三方项目）。</w:t>
      </w:r>
    </w:p>
    <w:p w14:paraId="7728043F">
      <w:pPr>
        <w:spacing w:before="94" w:line="332" w:lineRule="auto"/>
        <w:ind w:left="16" w:right="193"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8.</w:t>
      </w:r>
      <w:r>
        <w:rPr>
          <w:rFonts w:ascii="宋体" w:hAnsi="宋体" w:eastAsia="宋体" w:cs="宋体"/>
          <w:color w:val="auto"/>
          <w:spacing w:val="-2"/>
          <w:sz w:val="24"/>
          <w:szCs w:val="24"/>
          <w:highlight w:val="none"/>
        </w:rPr>
        <w:t>乙方应保证项目安全、合规、合法运营，</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项目</w:t>
      </w:r>
      <w:r>
        <w:rPr>
          <w:rFonts w:ascii="宋体" w:hAnsi="宋体" w:eastAsia="宋体" w:cs="宋体"/>
          <w:color w:val="auto"/>
          <w:spacing w:val="-3"/>
          <w:sz w:val="24"/>
          <w:szCs w:val="24"/>
          <w:highlight w:val="none"/>
        </w:rPr>
        <w:t>内不得存放有毒有害、易燃</w:t>
      </w:r>
      <w:r>
        <w:rPr>
          <w:rFonts w:ascii="宋体" w:hAnsi="宋体" w:eastAsia="宋体" w:cs="宋体"/>
          <w:color w:val="auto"/>
          <w:spacing w:val="4"/>
          <w:sz w:val="24"/>
          <w:szCs w:val="24"/>
          <w:highlight w:val="none"/>
        </w:rPr>
        <w:t>易爆等危险化学物品</w:t>
      </w:r>
      <w:r>
        <w:rPr>
          <w:rFonts w:ascii="Times New Roman" w:hAnsi="Times New Roman" w:eastAsia="Times New Roman" w:cs="Times New Roman"/>
          <w:color w:val="auto"/>
          <w:spacing w:val="4"/>
          <w:sz w:val="24"/>
          <w:szCs w:val="24"/>
          <w:highlight w:val="none"/>
        </w:rPr>
        <w:t>(</w:t>
      </w:r>
      <w:r>
        <w:rPr>
          <w:rFonts w:ascii="宋体" w:hAnsi="宋体" w:eastAsia="宋体" w:cs="宋体"/>
          <w:color w:val="auto"/>
          <w:spacing w:val="4"/>
          <w:sz w:val="24"/>
          <w:szCs w:val="24"/>
          <w:highlight w:val="none"/>
        </w:rPr>
        <w:t>不包括运营所需燃气罐、炭火等经营所需的</w:t>
      </w:r>
      <w:r>
        <w:rPr>
          <w:rFonts w:ascii="宋体" w:hAnsi="宋体" w:eastAsia="宋体" w:cs="宋体"/>
          <w:color w:val="auto"/>
          <w:spacing w:val="3"/>
          <w:sz w:val="24"/>
          <w:szCs w:val="24"/>
          <w:highlight w:val="none"/>
        </w:rPr>
        <w:t>物资）。</w:t>
      </w:r>
    </w:p>
    <w:p w14:paraId="1407A884">
      <w:pPr>
        <w:spacing w:before="97" w:line="333" w:lineRule="auto"/>
        <w:ind w:left="8" w:right="192" w:firstLine="485"/>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9.</w:t>
      </w:r>
      <w:r>
        <w:rPr>
          <w:rFonts w:ascii="宋体" w:hAnsi="宋体" w:eastAsia="宋体" w:cs="宋体"/>
          <w:color w:val="auto"/>
          <w:spacing w:val="3"/>
          <w:sz w:val="24"/>
          <w:szCs w:val="24"/>
          <w:highlight w:val="none"/>
        </w:rPr>
        <w:t>乙方应在合同约定的协议用途范围内，在国家及政府有关主管</w:t>
      </w:r>
      <w:r>
        <w:rPr>
          <w:rFonts w:ascii="宋体" w:hAnsi="宋体" w:eastAsia="宋体" w:cs="宋体"/>
          <w:color w:val="auto"/>
          <w:spacing w:val="2"/>
          <w:sz w:val="24"/>
          <w:szCs w:val="24"/>
          <w:highlight w:val="none"/>
        </w:rPr>
        <w:t>部门的许可</w:t>
      </w:r>
      <w:r>
        <w:rPr>
          <w:rFonts w:ascii="宋体" w:hAnsi="宋体" w:eastAsia="宋体" w:cs="宋体"/>
          <w:color w:val="auto"/>
          <w:sz w:val="24"/>
          <w:szCs w:val="24"/>
          <w:highlight w:val="none"/>
        </w:rPr>
        <w:t>下从事生产经营活动。</w:t>
      </w:r>
    </w:p>
    <w:p w14:paraId="43ECDCDC">
      <w:pPr>
        <w:spacing w:before="93" w:line="219" w:lineRule="auto"/>
        <w:ind w:left="512"/>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10.</w:t>
      </w:r>
      <w:r>
        <w:rPr>
          <w:rFonts w:ascii="宋体" w:hAnsi="宋体" w:eastAsia="宋体" w:cs="宋体"/>
          <w:color w:val="auto"/>
          <w:spacing w:val="2"/>
          <w:sz w:val="24"/>
          <w:szCs w:val="24"/>
          <w:highlight w:val="none"/>
        </w:rPr>
        <w:t>乙方员工应严守双方商业机密，维护项目形象。</w:t>
      </w:r>
    </w:p>
    <w:p w14:paraId="1E2109BF">
      <w:pPr>
        <w:spacing w:before="225" w:line="333" w:lineRule="auto"/>
        <w:ind w:left="2" w:right="193" w:firstLine="509"/>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11.</w:t>
      </w:r>
      <w:r>
        <w:rPr>
          <w:rFonts w:ascii="宋体" w:hAnsi="宋体" w:eastAsia="宋体" w:cs="宋体"/>
          <w:color w:val="auto"/>
          <w:spacing w:val="6"/>
          <w:sz w:val="24"/>
          <w:szCs w:val="24"/>
          <w:highlight w:val="none"/>
        </w:rPr>
        <w:t>乙方在履行本合同义务期间，遵守国家有关法律法规，</w:t>
      </w:r>
      <w:r>
        <w:rPr>
          <w:rFonts w:ascii="宋体" w:hAnsi="宋体" w:eastAsia="宋体" w:cs="宋体"/>
          <w:color w:val="auto"/>
          <w:spacing w:val="5"/>
          <w:sz w:val="24"/>
          <w:szCs w:val="24"/>
          <w:highlight w:val="none"/>
        </w:rPr>
        <w:t>维护甲方合法权</w:t>
      </w:r>
      <w:r>
        <w:rPr>
          <w:rFonts w:ascii="宋体" w:hAnsi="宋体" w:eastAsia="宋体" w:cs="宋体"/>
          <w:color w:val="auto"/>
          <w:spacing w:val="1"/>
          <w:sz w:val="24"/>
          <w:szCs w:val="24"/>
          <w:highlight w:val="none"/>
        </w:rPr>
        <w:t>益以及不得损害国家利益。</w:t>
      </w:r>
    </w:p>
    <w:p w14:paraId="40A2E2A3">
      <w:pPr>
        <w:spacing w:before="95" w:line="218" w:lineRule="auto"/>
        <w:ind w:left="512"/>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12.</w:t>
      </w:r>
      <w:r>
        <w:rPr>
          <w:rFonts w:ascii="宋体" w:hAnsi="宋体" w:eastAsia="宋体" w:cs="宋体"/>
          <w:color w:val="auto"/>
          <w:spacing w:val="3"/>
          <w:sz w:val="24"/>
          <w:szCs w:val="24"/>
          <w:highlight w:val="none"/>
        </w:rPr>
        <w:t>乙方在履行本合同义务期间，应履行重大事项及时报告义务。</w:t>
      </w:r>
    </w:p>
    <w:p w14:paraId="1ECD6F13">
      <w:pPr>
        <w:spacing w:before="228" w:line="337" w:lineRule="auto"/>
        <w:ind w:right="193" w:firstLine="512"/>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13.</w:t>
      </w:r>
      <w:r>
        <w:rPr>
          <w:rFonts w:ascii="宋体" w:hAnsi="宋体" w:eastAsia="宋体" w:cs="宋体"/>
          <w:color w:val="auto"/>
          <w:spacing w:val="6"/>
          <w:sz w:val="24"/>
          <w:szCs w:val="24"/>
          <w:highlight w:val="none"/>
        </w:rPr>
        <w:t>委托运营期间，遇不可抗力因素或政策调整，经双方协</w:t>
      </w:r>
      <w:r>
        <w:rPr>
          <w:rFonts w:ascii="宋体" w:hAnsi="宋体" w:eastAsia="宋体" w:cs="宋体"/>
          <w:color w:val="auto"/>
          <w:spacing w:val="5"/>
          <w:sz w:val="24"/>
          <w:szCs w:val="24"/>
          <w:highlight w:val="none"/>
        </w:rPr>
        <w:t>商一致，可以合</w:t>
      </w:r>
      <w:r>
        <w:rPr>
          <w:rFonts w:ascii="宋体" w:hAnsi="宋体" w:eastAsia="宋体" w:cs="宋体"/>
          <w:color w:val="auto"/>
          <w:spacing w:val="7"/>
          <w:sz w:val="24"/>
          <w:szCs w:val="24"/>
          <w:highlight w:val="none"/>
        </w:rPr>
        <w:t>理调整运营费用；</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国家、省、市、区（县）政府层面出台的相关</w:t>
      </w:r>
      <w:r>
        <w:rPr>
          <w:rFonts w:ascii="宋体" w:hAnsi="宋体" w:eastAsia="宋体" w:cs="宋体"/>
          <w:color w:val="auto"/>
          <w:spacing w:val="6"/>
          <w:sz w:val="24"/>
          <w:szCs w:val="24"/>
          <w:highlight w:val="none"/>
        </w:rPr>
        <w:t>优惠政策、奖</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励、补贴，甲方应当</w:t>
      </w:r>
      <w:r>
        <w:rPr>
          <w:rFonts w:hint="eastAsia" w:ascii="宋体" w:hAnsi="宋体" w:eastAsia="宋体" w:cs="宋体"/>
          <w:color w:val="auto"/>
          <w:spacing w:val="4"/>
          <w:sz w:val="24"/>
          <w:szCs w:val="24"/>
          <w:highlight w:val="none"/>
          <w:lang w:eastAsia="zh-CN"/>
        </w:rPr>
        <w:t>给予</w:t>
      </w:r>
      <w:r>
        <w:rPr>
          <w:rFonts w:ascii="宋体" w:hAnsi="宋体" w:eastAsia="宋体" w:cs="宋体"/>
          <w:color w:val="auto"/>
          <w:spacing w:val="4"/>
          <w:sz w:val="24"/>
          <w:szCs w:val="24"/>
          <w:highlight w:val="none"/>
        </w:rPr>
        <w:t>乙方。</w:t>
      </w:r>
    </w:p>
    <w:p w14:paraId="72F04BDB">
      <w:pPr>
        <w:spacing w:before="94" w:line="220" w:lineRule="auto"/>
        <w:ind w:left="46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第六条 违约责任</w:t>
      </w:r>
    </w:p>
    <w:p w14:paraId="07030617">
      <w:pPr>
        <w:spacing w:before="224" w:line="333" w:lineRule="auto"/>
        <w:ind w:right="199" w:firstLine="511"/>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委托经营期间，非本合同明确约定的情形外，双方均不得无故单方面解除</w:t>
      </w:r>
      <w:r>
        <w:rPr>
          <w:rFonts w:ascii="宋体" w:hAnsi="宋体" w:eastAsia="宋体" w:cs="宋体"/>
          <w:color w:val="auto"/>
          <w:spacing w:val="3"/>
          <w:sz w:val="24"/>
          <w:szCs w:val="24"/>
          <w:highlight w:val="none"/>
        </w:rPr>
        <w:t xml:space="preserve"> </w:t>
      </w:r>
      <w:r>
        <w:rPr>
          <w:rFonts w:ascii="宋体" w:hAnsi="宋体" w:eastAsia="宋体" w:cs="宋体"/>
          <w:color w:val="auto"/>
          <w:spacing w:val="5"/>
          <w:sz w:val="24"/>
          <w:szCs w:val="24"/>
          <w:highlight w:val="none"/>
        </w:rPr>
        <w:t>运营管理合同，否则，违约方须赔偿守约方损失。</w:t>
      </w:r>
    </w:p>
    <w:p w14:paraId="16B6AB8B">
      <w:pPr>
        <w:spacing w:before="96" w:line="338" w:lineRule="auto"/>
        <w:ind w:left="1" w:right="192" w:firstLine="48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项目中标后中标方与业主方签订运营合同，且乙方在施工进</w:t>
      </w:r>
      <w:r>
        <w:rPr>
          <w:rFonts w:ascii="宋体" w:hAnsi="宋体" w:eastAsia="宋体" w:cs="宋体"/>
          <w:color w:val="auto"/>
          <w:spacing w:val="1"/>
          <w:sz w:val="24"/>
          <w:szCs w:val="24"/>
          <w:highlight w:val="none"/>
        </w:rPr>
        <w:t>度</w:t>
      </w:r>
      <w:r>
        <w:rPr>
          <w:rFonts w:ascii="宋体" w:hAnsi="宋体" w:eastAsia="宋体" w:cs="宋体"/>
          <w:color w:val="auto"/>
          <w:spacing w:val="-41"/>
          <w:sz w:val="24"/>
          <w:szCs w:val="24"/>
          <w:highlight w:val="none"/>
        </w:rPr>
        <w:t xml:space="preserve"> </w:t>
      </w:r>
      <w:r>
        <w:rPr>
          <w:rFonts w:ascii="Times New Roman" w:hAnsi="Times New Roman" w:eastAsia="Times New Roman" w:cs="Times New Roman"/>
          <w:color w:val="auto"/>
          <w:spacing w:val="1"/>
          <w:sz w:val="24"/>
          <w:szCs w:val="24"/>
          <w:highlight w:val="none"/>
        </w:rPr>
        <w:t>60%</w:t>
      </w:r>
      <w:r>
        <w:rPr>
          <w:rFonts w:ascii="宋体" w:hAnsi="宋体" w:eastAsia="宋体" w:cs="宋体"/>
          <w:color w:val="auto"/>
          <w:spacing w:val="1"/>
          <w:sz w:val="24"/>
          <w:szCs w:val="24"/>
          <w:highlight w:val="none"/>
        </w:rPr>
        <w:t>时需缴</w:t>
      </w:r>
      <w:r>
        <w:rPr>
          <w:rFonts w:ascii="宋体" w:hAnsi="宋体" w:eastAsia="宋体" w:cs="宋体"/>
          <w:color w:val="auto"/>
          <w:spacing w:val="5"/>
          <w:sz w:val="24"/>
          <w:szCs w:val="24"/>
          <w:highlight w:val="none"/>
        </w:rPr>
        <w:t>纳不低于建安工程费合同价的</w:t>
      </w:r>
      <w:r>
        <w:rPr>
          <w:rFonts w:ascii="Times New Roman" w:hAnsi="Times New Roman" w:eastAsia="Times New Roman" w:cs="Times New Roman"/>
          <w:color w:val="auto"/>
          <w:spacing w:val="5"/>
          <w:sz w:val="24"/>
          <w:szCs w:val="24"/>
          <w:highlight w:val="none"/>
        </w:rPr>
        <w:t>10%</w:t>
      </w:r>
      <w:r>
        <w:rPr>
          <w:rFonts w:ascii="宋体" w:hAnsi="宋体" w:eastAsia="宋体" w:cs="宋体"/>
          <w:color w:val="auto"/>
          <w:spacing w:val="5"/>
          <w:sz w:val="24"/>
          <w:szCs w:val="24"/>
          <w:highlight w:val="none"/>
        </w:rPr>
        <w:t>的运营保障到甲</w:t>
      </w:r>
      <w:r>
        <w:rPr>
          <w:rFonts w:ascii="宋体" w:hAnsi="宋体" w:eastAsia="宋体" w:cs="宋体"/>
          <w:color w:val="auto"/>
          <w:spacing w:val="4"/>
          <w:sz w:val="24"/>
          <w:szCs w:val="24"/>
          <w:highlight w:val="none"/>
        </w:rPr>
        <w:t>方指定账户，或者开具相应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银行保函或担保保函，作为后期正常运营保障措施。若乙方无故提前终止合作，</w:t>
      </w:r>
      <w:r>
        <w:rPr>
          <w:rFonts w:ascii="宋体" w:hAnsi="宋体" w:eastAsia="宋体" w:cs="宋体"/>
          <w:color w:val="auto"/>
          <w:spacing w:val="3"/>
          <w:sz w:val="24"/>
          <w:szCs w:val="24"/>
          <w:highlight w:val="none"/>
        </w:rPr>
        <w:t>则应视为违约</w:t>
      </w:r>
      <w:r>
        <w:rPr>
          <w:rFonts w:ascii="Times New Roman" w:hAnsi="Times New Roman" w:eastAsia="Times New Roman" w:cs="Times New Roman"/>
          <w:color w:val="auto"/>
          <w:spacing w:val="3"/>
          <w:sz w:val="24"/>
          <w:szCs w:val="24"/>
          <w:highlight w:val="none"/>
        </w:rPr>
        <w:t>,</w:t>
      </w:r>
      <w:r>
        <w:rPr>
          <w:rFonts w:ascii="Times New Roman" w:hAnsi="Times New Roman" w:eastAsia="Times New Roman" w:cs="Times New Roman"/>
          <w:color w:val="auto"/>
          <w:spacing w:val="-35"/>
          <w:sz w:val="24"/>
          <w:szCs w:val="24"/>
          <w:highlight w:val="none"/>
        </w:rPr>
        <w:t xml:space="preserve"> </w:t>
      </w:r>
      <w:r>
        <w:rPr>
          <w:rFonts w:ascii="宋体" w:hAnsi="宋体" w:eastAsia="宋体" w:cs="宋体"/>
          <w:color w:val="auto"/>
          <w:spacing w:val="3"/>
          <w:sz w:val="24"/>
          <w:szCs w:val="24"/>
          <w:highlight w:val="none"/>
        </w:rPr>
        <w:t>除承担违约责任外，运营保障</w:t>
      </w:r>
      <w:r>
        <w:rPr>
          <w:rFonts w:ascii="宋体" w:hAnsi="宋体" w:eastAsia="宋体" w:cs="宋体"/>
          <w:color w:val="auto"/>
          <w:spacing w:val="2"/>
          <w:sz w:val="24"/>
          <w:szCs w:val="24"/>
          <w:highlight w:val="none"/>
        </w:rPr>
        <w:t>不予退还。</w:t>
      </w:r>
    </w:p>
    <w:p w14:paraId="79A48F67">
      <w:pPr>
        <w:spacing w:before="78" w:line="220" w:lineRule="auto"/>
        <w:ind w:left="1"/>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3.</w:t>
      </w:r>
      <w:r>
        <w:rPr>
          <w:rFonts w:ascii="宋体" w:hAnsi="宋体" w:eastAsia="宋体" w:cs="宋体"/>
          <w:color w:val="auto"/>
          <w:sz w:val="24"/>
          <w:szCs w:val="24"/>
          <w:highlight w:val="none"/>
        </w:rPr>
        <w:t>由于一方的过失，造成本协议不能履行或不能完全履行时，</w:t>
      </w:r>
      <w:r>
        <w:rPr>
          <w:rFonts w:ascii="宋体" w:hAnsi="宋体" w:eastAsia="宋体" w:cs="宋体"/>
          <w:color w:val="auto"/>
          <w:spacing w:val="-23"/>
          <w:sz w:val="24"/>
          <w:szCs w:val="24"/>
          <w:highlight w:val="none"/>
        </w:rPr>
        <w:t xml:space="preserve"> </w:t>
      </w:r>
      <w:r>
        <w:rPr>
          <w:rFonts w:ascii="宋体" w:hAnsi="宋体" w:eastAsia="宋体" w:cs="宋体"/>
          <w:color w:val="auto"/>
          <w:sz w:val="24"/>
          <w:szCs w:val="24"/>
          <w:highlight w:val="none"/>
        </w:rPr>
        <w:t>由过失的一方</w:t>
      </w:r>
      <w:r>
        <w:rPr>
          <w:rFonts w:ascii="宋体" w:hAnsi="宋体" w:eastAsia="宋体" w:cs="宋体"/>
          <w:color w:val="auto"/>
          <w:spacing w:val="-1"/>
          <w:sz w:val="24"/>
          <w:szCs w:val="24"/>
          <w:highlight w:val="none"/>
        </w:rPr>
        <w:t>承担违约责任。</w:t>
      </w:r>
    </w:p>
    <w:p w14:paraId="7B9941E6">
      <w:pPr>
        <w:spacing w:before="225" w:line="333" w:lineRule="auto"/>
        <w:ind w:left="1" w:right="82" w:firstLine="48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4.</w:t>
      </w:r>
      <w:r>
        <w:rPr>
          <w:rFonts w:ascii="Times New Roman" w:hAnsi="Times New Roman" w:eastAsia="Times New Roman" w:cs="Times New Roman"/>
          <w:color w:val="auto"/>
          <w:spacing w:val="-25"/>
          <w:sz w:val="24"/>
          <w:szCs w:val="24"/>
          <w:highlight w:val="none"/>
        </w:rPr>
        <w:t xml:space="preserve"> </w:t>
      </w:r>
      <w:r>
        <w:rPr>
          <w:rFonts w:ascii="宋体" w:hAnsi="宋体" w:eastAsia="宋体" w:cs="宋体"/>
          <w:color w:val="auto"/>
          <w:spacing w:val="2"/>
          <w:sz w:val="24"/>
          <w:szCs w:val="24"/>
          <w:highlight w:val="none"/>
        </w:rPr>
        <w:t>乙方发生严重违约行为，甲方有权解除协议并提出索赔要求</w:t>
      </w:r>
      <w:r>
        <w:rPr>
          <w:rFonts w:ascii="宋体" w:hAnsi="宋体" w:eastAsia="宋体" w:cs="宋体"/>
          <w:color w:val="auto"/>
          <w:spacing w:val="1"/>
          <w:sz w:val="24"/>
          <w:szCs w:val="24"/>
          <w:highlight w:val="none"/>
        </w:rPr>
        <w:t>，乙方在甲方</w:t>
      </w:r>
      <w:r>
        <w:rPr>
          <w:rFonts w:ascii="宋体" w:hAnsi="宋体" w:eastAsia="宋体" w:cs="宋体"/>
          <w:color w:val="auto"/>
          <w:spacing w:val="4"/>
          <w:sz w:val="24"/>
          <w:szCs w:val="24"/>
          <w:highlight w:val="none"/>
        </w:rPr>
        <w:t>通知的限期内迁出场所，乙方自行承担损失及不利后果，严重违约行</w:t>
      </w:r>
      <w:r>
        <w:rPr>
          <w:rFonts w:ascii="宋体" w:hAnsi="宋体" w:eastAsia="宋体" w:cs="宋体"/>
          <w:color w:val="auto"/>
          <w:spacing w:val="3"/>
          <w:sz w:val="24"/>
          <w:szCs w:val="24"/>
          <w:highlight w:val="none"/>
        </w:rPr>
        <w:t>为包括：</w:t>
      </w:r>
    </w:p>
    <w:p w14:paraId="0620714F">
      <w:pPr>
        <w:spacing w:before="93" w:line="219" w:lineRule="auto"/>
        <w:ind w:left="48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4.1  </w:t>
      </w:r>
      <w:r>
        <w:rPr>
          <w:rFonts w:ascii="宋体" w:hAnsi="宋体" w:eastAsia="宋体" w:cs="宋体"/>
          <w:color w:val="auto"/>
          <w:spacing w:val="4"/>
          <w:sz w:val="24"/>
          <w:szCs w:val="24"/>
          <w:highlight w:val="none"/>
        </w:rPr>
        <w:t>未经甲方书面同意将协议标的整体转让、拆分分包或抵押。</w:t>
      </w:r>
    </w:p>
    <w:p w14:paraId="48E86237">
      <w:pPr>
        <w:spacing w:before="225" w:line="333" w:lineRule="auto"/>
        <w:ind w:left="32" w:right="76" w:firstLine="455"/>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4.2  </w:t>
      </w:r>
      <w:r>
        <w:rPr>
          <w:rFonts w:ascii="宋体" w:hAnsi="宋体" w:eastAsia="宋体" w:cs="宋体"/>
          <w:color w:val="auto"/>
          <w:spacing w:val="3"/>
          <w:sz w:val="24"/>
          <w:szCs w:val="24"/>
          <w:highlight w:val="none"/>
        </w:rPr>
        <w:t>在协议期间，因存在乙方重大过错导致火灾、人员伤亡等安</w:t>
      </w:r>
      <w:r>
        <w:rPr>
          <w:rFonts w:ascii="宋体" w:hAnsi="宋体" w:eastAsia="宋体" w:cs="宋体"/>
          <w:color w:val="auto"/>
          <w:spacing w:val="2"/>
          <w:sz w:val="24"/>
          <w:szCs w:val="24"/>
          <w:highlight w:val="none"/>
        </w:rPr>
        <w:t>全事故导致</w:t>
      </w:r>
      <w:r>
        <w:rPr>
          <w:rFonts w:ascii="宋体" w:hAnsi="宋体" w:eastAsia="宋体" w:cs="宋体"/>
          <w:color w:val="auto"/>
          <w:sz w:val="24"/>
          <w:szCs w:val="24"/>
          <w:highlight w:val="none"/>
        </w:rPr>
        <w:t>甲方承担赔偿责任的。</w:t>
      </w:r>
    </w:p>
    <w:p w14:paraId="7B3C419B">
      <w:pPr>
        <w:spacing w:before="94" w:line="219" w:lineRule="auto"/>
        <w:ind w:left="48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4.3  </w:t>
      </w:r>
      <w:r>
        <w:rPr>
          <w:rFonts w:ascii="宋体" w:hAnsi="宋体" w:eastAsia="宋体" w:cs="宋体"/>
          <w:color w:val="auto"/>
          <w:spacing w:val="4"/>
          <w:sz w:val="24"/>
          <w:szCs w:val="24"/>
          <w:highlight w:val="none"/>
        </w:rPr>
        <w:t>存在管理不当导致的重大违法违规行为受到政府部门严厉处罚。</w:t>
      </w:r>
    </w:p>
    <w:p w14:paraId="73A49328">
      <w:pPr>
        <w:spacing w:before="226" w:line="337" w:lineRule="auto"/>
        <w:ind w:left="1" w:right="86" w:firstLine="49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、甲方有以下行为者，乙方有权单方面解除协议，并提出索赔要求。索赔</w:t>
      </w:r>
      <w:r>
        <w:rPr>
          <w:rFonts w:ascii="宋体" w:hAnsi="宋体" w:eastAsia="宋体" w:cs="宋体"/>
          <w:color w:val="auto"/>
          <w:spacing w:val="8"/>
          <w:sz w:val="24"/>
          <w:szCs w:val="24"/>
          <w:highlight w:val="none"/>
        </w:rPr>
        <w:t xml:space="preserve">的范围包括但不限于人员薪酬福利成本、管理成本、人员赔付安置成本、商誉 </w:t>
      </w:r>
      <w:r>
        <w:rPr>
          <w:rFonts w:ascii="宋体" w:hAnsi="宋体" w:eastAsia="宋体" w:cs="宋体"/>
          <w:color w:val="auto"/>
          <w:spacing w:val="3"/>
          <w:sz w:val="24"/>
          <w:szCs w:val="24"/>
          <w:highlight w:val="none"/>
        </w:rPr>
        <w:t>损失、已经投入的运营物资及知识产权费用等。</w:t>
      </w:r>
    </w:p>
    <w:p w14:paraId="6CF71F9E">
      <w:pPr>
        <w:spacing w:before="94" w:line="219" w:lineRule="auto"/>
        <w:ind w:left="496"/>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5.1</w:t>
      </w:r>
      <w:r>
        <w:rPr>
          <w:rFonts w:ascii="Times New Roman" w:hAnsi="Times New Roman" w:eastAsia="Times New Roman" w:cs="Times New Roman"/>
          <w:color w:val="auto"/>
          <w:spacing w:val="25"/>
          <w:sz w:val="24"/>
          <w:szCs w:val="24"/>
          <w:highlight w:val="none"/>
        </w:rPr>
        <w:t xml:space="preserve">  </w:t>
      </w:r>
      <w:r>
        <w:rPr>
          <w:rFonts w:ascii="宋体" w:hAnsi="宋体" w:eastAsia="宋体" w:cs="宋体"/>
          <w:color w:val="auto"/>
          <w:spacing w:val="3"/>
          <w:sz w:val="24"/>
          <w:szCs w:val="24"/>
          <w:highlight w:val="none"/>
        </w:rPr>
        <w:t>甲方未征得乙方同意，将本协议标的转让他人经营</w:t>
      </w:r>
      <w:r>
        <w:rPr>
          <w:rFonts w:ascii="宋体" w:hAnsi="宋体" w:eastAsia="宋体" w:cs="宋体"/>
          <w:color w:val="auto"/>
          <w:spacing w:val="2"/>
          <w:sz w:val="24"/>
          <w:szCs w:val="24"/>
          <w:highlight w:val="none"/>
        </w:rPr>
        <w:t>或转作其他用途。</w:t>
      </w:r>
    </w:p>
    <w:p w14:paraId="2B628F3A">
      <w:pPr>
        <w:spacing w:before="226" w:line="304" w:lineRule="auto"/>
        <w:ind w:left="5" w:right="76" w:firstLine="49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5.2</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2"/>
          <w:sz w:val="24"/>
          <w:szCs w:val="24"/>
          <w:highlight w:val="none"/>
        </w:rPr>
        <w:t>因甲方单方面提前解除合同的，除本协议其他约定</w:t>
      </w:r>
      <w:r>
        <w:rPr>
          <w:rFonts w:ascii="宋体" w:hAnsi="宋体" w:eastAsia="宋体" w:cs="宋体"/>
          <w:color w:val="auto"/>
          <w:spacing w:val="1"/>
          <w:sz w:val="24"/>
          <w:szCs w:val="24"/>
          <w:highlight w:val="none"/>
        </w:rPr>
        <w:t>外，甲方还应当赔偿</w:t>
      </w:r>
      <w:r>
        <w:rPr>
          <w:rFonts w:ascii="宋体" w:hAnsi="宋体" w:eastAsia="宋体" w:cs="宋体"/>
          <w:color w:val="auto"/>
          <w:spacing w:val="6"/>
          <w:sz w:val="24"/>
          <w:szCs w:val="24"/>
          <w:highlight w:val="none"/>
        </w:rPr>
        <w:t>乙方项目投入的全部损失。因乙方单方面要求而提前解除合同，</w:t>
      </w:r>
      <w:r>
        <w:rPr>
          <w:rFonts w:ascii="宋体" w:hAnsi="宋体" w:eastAsia="宋体" w:cs="宋体"/>
          <w:color w:val="auto"/>
          <w:spacing w:val="-48"/>
          <w:sz w:val="24"/>
          <w:szCs w:val="24"/>
          <w:highlight w:val="none"/>
        </w:rPr>
        <w:t xml:space="preserve"> </w:t>
      </w:r>
      <w:r>
        <w:rPr>
          <w:rFonts w:ascii="宋体" w:hAnsi="宋体" w:eastAsia="宋体" w:cs="宋体"/>
          <w:color w:val="auto"/>
          <w:spacing w:val="6"/>
          <w:sz w:val="24"/>
          <w:szCs w:val="24"/>
          <w:highlight w:val="none"/>
        </w:rPr>
        <w:t>甲方对乙方的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项目投入不作任何形式的补偿。</w:t>
      </w:r>
    </w:p>
    <w:p w14:paraId="613CBC0F">
      <w:pPr>
        <w:spacing w:before="224" w:line="283" w:lineRule="auto"/>
        <w:ind w:left="3" w:right="70"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5.3</w:t>
      </w:r>
      <w:r>
        <w:rPr>
          <w:rFonts w:ascii="Times New Roman" w:hAnsi="Times New Roman" w:eastAsia="Times New Roman" w:cs="Times New Roman"/>
          <w:color w:val="auto"/>
          <w:spacing w:val="14"/>
          <w:sz w:val="24"/>
          <w:szCs w:val="24"/>
          <w:highlight w:val="none"/>
        </w:rPr>
        <w:t xml:space="preserve">  </w:t>
      </w:r>
      <w:r>
        <w:rPr>
          <w:rFonts w:ascii="宋体" w:hAnsi="宋体" w:eastAsia="宋体" w:cs="宋体"/>
          <w:color w:val="auto"/>
          <w:spacing w:val="-4"/>
          <w:sz w:val="24"/>
          <w:szCs w:val="24"/>
          <w:highlight w:val="none"/>
        </w:rPr>
        <w:t>因政策或自然灾害等不可抗力因素造成</w:t>
      </w:r>
      <w:r>
        <w:rPr>
          <w:rFonts w:ascii="宋体" w:hAnsi="宋体" w:eastAsia="宋体" w:cs="宋体"/>
          <w:color w:val="auto"/>
          <w:spacing w:val="-5"/>
          <w:sz w:val="24"/>
          <w:szCs w:val="24"/>
          <w:highlight w:val="none"/>
        </w:rPr>
        <w:t>合同无法履行的，经双方协商一致</w:t>
      </w:r>
      <w:r>
        <w:rPr>
          <w:rFonts w:ascii="宋体" w:hAnsi="宋体" w:eastAsia="宋体" w:cs="宋体"/>
          <w:color w:val="auto"/>
          <w:spacing w:val="-6"/>
          <w:sz w:val="24"/>
          <w:szCs w:val="24"/>
          <w:highlight w:val="none"/>
        </w:rPr>
        <w:t>后可解除合同。</w:t>
      </w:r>
    </w:p>
    <w:p w14:paraId="330CAD30">
      <w:pPr>
        <w:spacing w:before="225" w:line="282" w:lineRule="auto"/>
        <w:ind w:left="29" w:right="4" w:firstLine="455"/>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5.4  </w:t>
      </w:r>
      <w:r>
        <w:rPr>
          <w:rFonts w:ascii="宋体" w:hAnsi="宋体" w:eastAsia="宋体" w:cs="宋体"/>
          <w:color w:val="auto"/>
          <w:spacing w:val="-2"/>
          <w:sz w:val="24"/>
          <w:szCs w:val="24"/>
          <w:highlight w:val="none"/>
        </w:rPr>
        <w:t>如遇拆迁或政府有意收回，甲方应支付乙方前期投资费用及其资金成本，</w:t>
      </w:r>
      <w:r>
        <w:rPr>
          <w:rFonts w:ascii="宋体" w:hAnsi="宋体" w:eastAsia="宋体" w:cs="宋体"/>
          <w:color w:val="auto"/>
          <w:spacing w:val="-6"/>
          <w:sz w:val="24"/>
          <w:szCs w:val="24"/>
          <w:highlight w:val="none"/>
        </w:rPr>
        <w:t>以第三方审计或评估为准。</w:t>
      </w:r>
    </w:p>
    <w:p w14:paraId="1B4BDC19">
      <w:pPr>
        <w:spacing w:before="226" w:line="220"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第七条 协议终止或解除后的相关事项</w:t>
      </w:r>
    </w:p>
    <w:p w14:paraId="3C22B5D0">
      <w:pPr>
        <w:spacing w:before="223" w:line="338" w:lineRule="auto"/>
        <w:ind w:left="3" w:firstLine="493"/>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1.</w:t>
      </w:r>
      <w:r>
        <w:rPr>
          <w:rFonts w:ascii="宋体" w:hAnsi="宋体" w:eastAsia="宋体" w:cs="宋体"/>
          <w:color w:val="auto"/>
          <w:spacing w:val="-5"/>
          <w:sz w:val="24"/>
          <w:szCs w:val="24"/>
          <w:highlight w:val="none"/>
        </w:rPr>
        <w:t xml:space="preserve">委托运营期满，乙方如续签协议，应在期满前 </w:t>
      </w:r>
      <w:r>
        <w:rPr>
          <w:rFonts w:ascii="Times New Roman" w:hAnsi="Times New Roman" w:eastAsia="Times New Roman" w:cs="Times New Roman"/>
          <w:color w:val="auto"/>
          <w:spacing w:val="-5"/>
          <w:sz w:val="24"/>
          <w:szCs w:val="24"/>
          <w:highlight w:val="none"/>
        </w:rPr>
        <w:t>3</w:t>
      </w:r>
      <w:r>
        <w:rPr>
          <w:rFonts w:ascii="Times New Roman" w:hAnsi="Times New Roman" w:eastAsia="Times New Roman" w:cs="Times New Roman"/>
          <w:color w:val="auto"/>
          <w:spacing w:val="50"/>
          <w:w w:val="101"/>
          <w:sz w:val="24"/>
          <w:szCs w:val="24"/>
          <w:highlight w:val="none"/>
        </w:rPr>
        <w:t xml:space="preserve"> </w:t>
      </w:r>
      <w:r>
        <w:rPr>
          <w:rFonts w:ascii="宋体" w:hAnsi="宋体" w:eastAsia="宋体" w:cs="宋体"/>
          <w:color w:val="auto"/>
          <w:spacing w:val="-5"/>
          <w:sz w:val="24"/>
          <w:szCs w:val="24"/>
          <w:highlight w:val="none"/>
        </w:rPr>
        <w:t>个月向甲方提出书面申请，甲方如继续签订协议时，同等条件下，乙方享有优先权，甲乙双方另行签订项目协</w:t>
      </w:r>
      <w:r>
        <w:rPr>
          <w:rFonts w:ascii="宋体" w:hAnsi="宋体" w:eastAsia="宋体" w:cs="宋体"/>
          <w:color w:val="auto"/>
          <w:spacing w:val="-14"/>
          <w:sz w:val="24"/>
          <w:szCs w:val="24"/>
          <w:highlight w:val="none"/>
        </w:rPr>
        <w:t>议。</w:t>
      </w:r>
    </w:p>
    <w:p w14:paraId="47E45AAF">
      <w:pPr>
        <w:spacing w:before="95" w:line="332" w:lineRule="auto"/>
        <w:ind w:left="4" w:right="63" w:firstLine="461"/>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本协议未尽事宜或合同履行过程中的争议事项，双方可协商签订补充协议作</w:t>
      </w:r>
      <w:r>
        <w:rPr>
          <w:rFonts w:ascii="宋体" w:hAnsi="宋体" w:eastAsia="宋体" w:cs="宋体"/>
          <w:color w:val="auto"/>
          <w:spacing w:val="-9"/>
          <w:sz w:val="24"/>
          <w:szCs w:val="24"/>
          <w:highlight w:val="none"/>
        </w:rPr>
        <w:t>为附件，与本协议具有同等效力。</w:t>
      </w:r>
    </w:p>
    <w:p w14:paraId="3058C4AE">
      <w:pPr>
        <w:spacing w:before="97" w:line="337" w:lineRule="auto"/>
        <w:ind w:right="67"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3.</w:t>
      </w:r>
      <w:r>
        <w:rPr>
          <w:rFonts w:ascii="宋体" w:hAnsi="宋体" w:eastAsia="宋体" w:cs="宋体"/>
          <w:color w:val="auto"/>
          <w:spacing w:val="-5"/>
          <w:sz w:val="24"/>
          <w:szCs w:val="24"/>
          <w:highlight w:val="none"/>
        </w:rPr>
        <w:t>委托运营期满或协议提前解除，甲乙双方应在解除之日前</w:t>
      </w:r>
      <w:r>
        <w:rPr>
          <w:rFonts w:ascii="宋体" w:hAnsi="宋体" w:eastAsia="宋体" w:cs="宋体"/>
          <w:color w:val="auto"/>
          <w:spacing w:val="-21"/>
          <w:sz w:val="24"/>
          <w:szCs w:val="24"/>
          <w:highlight w:val="none"/>
        </w:rPr>
        <w:t xml:space="preserve"> </w:t>
      </w:r>
      <w:r>
        <w:rPr>
          <w:rFonts w:ascii="Times New Roman" w:hAnsi="Times New Roman" w:eastAsia="Times New Roman" w:cs="Times New Roman"/>
          <w:color w:val="auto"/>
          <w:spacing w:val="-5"/>
          <w:sz w:val="24"/>
          <w:szCs w:val="24"/>
          <w:highlight w:val="none"/>
        </w:rPr>
        <w:t>5</w:t>
      </w:r>
      <w:r>
        <w:rPr>
          <w:rFonts w:ascii="Times New Roman" w:hAnsi="Times New Roman" w:eastAsia="Times New Roman" w:cs="Times New Roman"/>
          <w:color w:val="auto"/>
          <w:spacing w:val="22"/>
          <w:sz w:val="24"/>
          <w:szCs w:val="24"/>
          <w:highlight w:val="none"/>
        </w:rPr>
        <w:t xml:space="preserve"> </w:t>
      </w:r>
      <w:r>
        <w:rPr>
          <w:rFonts w:ascii="宋体" w:hAnsi="宋体" w:eastAsia="宋体" w:cs="宋体"/>
          <w:color w:val="auto"/>
          <w:spacing w:val="-5"/>
          <w:sz w:val="24"/>
          <w:szCs w:val="24"/>
          <w:highlight w:val="none"/>
        </w:rPr>
        <w:t>个工作日内结清</w:t>
      </w:r>
      <w:r>
        <w:rPr>
          <w:rFonts w:ascii="宋体" w:hAnsi="宋体" w:eastAsia="宋体" w:cs="宋体"/>
          <w:color w:val="auto"/>
          <w:spacing w:val="-16"/>
          <w:sz w:val="24"/>
          <w:szCs w:val="24"/>
          <w:highlight w:val="none"/>
        </w:rPr>
        <w:t>债权债务并办理相关交接手续。乙方应在甲方通知合理期限（不少于</w:t>
      </w:r>
      <w:r>
        <w:rPr>
          <w:rFonts w:ascii="宋体" w:hAnsi="宋体" w:eastAsia="宋体" w:cs="宋体"/>
          <w:color w:val="auto"/>
          <w:spacing w:val="-39"/>
          <w:sz w:val="24"/>
          <w:szCs w:val="24"/>
          <w:highlight w:val="none"/>
        </w:rPr>
        <w:t xml:space="preserve"> </w:t>
      </w:r>
      <w:r>
        <w:rPr>
          <w:rFonts w:ascii="Times New Roman" w:hAnsi="Times New Roman" w:eastAsia="Times New Roman" w:cs="Times New Roman"/>
          <w:color w:val="auto"/>
          <w:spacing w:val="-16"/>
          <w:sz w:val="24"/>
          <w:szCs w:val="24"/>
          <w:highlight w:val="none"/>
        </w:rPr>
        <w:t>15</w:t>
      </w:r>
      <w:r>
        <w:rPr>
          <w:rFonts w:ascii="Times New Roman" w:hAnsi="Times New Roman" w:eastAsia="Times New Roman" w:cs="Times New Roman"/>
          <w:color w:val="auto"/>
          <w:spacing w:val="47"/>
          <w:w w:val="101"/>
          <w:sz w:val="24"/>
          <w:szCs w:val="24"/>
          <w:highlight w:val="none"/>
        </w:rPr>
        <w:t xml:space="preserve"> </w:t>
      </w:r>
      <w:r>
        <w:rPr>
          <w:rFonts w:ascii="宋体" w:hAnsi="宋体" w:eastAsia="宋体" w:cs="宋体"/>
          <w:color w:val="auto"/>
          <w:spacing w:val="-16"/>
          <w:sz w:val="24"/>
          <w:szCs w:val="24"/>
          <w:highlight w:val="none"/>
        </w:rPr>
        <w:t>日</w:t>
      </w:r>
      <w:r>
        <w:rPr>
          <w:rFonts w:ascii="宋体" w:hAnsi="宋体" w:eastAsia="宋体" w:cs="宋体"/>
          <w:color w:val="auto"/>
          <w:spacing w:val="-17"/>
          <w:sz w:val="24"/>
          <w:szCs w:val="24"/>
          <w:highlight w:val="none"/>
        </w:rPr>
        <w:t>）内迁出，</w:t>
      </w:r>
      <w:r>
        <w:rPr>
          <w:rFonts w:ascii="宋体" w:hAnsi="宋体" w:eastAsia="宋体" w:cs="宋体"/>
          <w:color w:val="auto"/>
          <w:spacing w:val="-3"/>
          <w:sz w:val="24"/>
          <w:szCs w:val="24"/>
          <w:highlight w:val="none"/>
        </w:rPr>
        <w:t>逾期未迁出的物品及设施视为乙方抛弃物，甲方</w:t>
      </w:r>
      <w:r>
        <w:rPr>
          <w:rFonts w:ascii="宋体" w:hAnsi="宋体" w:eastAsia="宋体" w:cs="宋体"/>
          <w:color w:val="auto"/>
          <w:spacing w:val="-4"/>
          <w:sz w:val="24"/>
          <w:szCs w:val="24"/>
          <w:highlight w:val="none"/>
        </w:rPr>
        <w:t>有权自行处置。</w:t>
      </w:r>
    </w:p>
    <w:p w14:paraId="00386818">
      <w:pPr>
        <w:spacing w:before="78" w:line="334" w:lineRule="auto"/>
        <w:ind w:right="71" w:firstLine="493"/>
        <w:rPr>
          <w:rFonts w:ascii="宋体" w:hAnsi="宋体" w:eastAsia="宋体" w:cs="宋体"/>
          <w:color w:val="auto"/>
          <w:spacing w:val="-7"/>
          <w:sz w:val="24"/>
          <w:szCs w:val="24"/>
          <w:highlight w:val="none"/>
        </w:rPr>
      </w:pPr>
      <w:r>
        <w:rPr>
          <w:rFonts w:ascii="Times New Roman" w:hAnsi="Times New Roman" w:eastAsia="Times New Roman" w:cs="Times New Roman"/>
          <w:color w:val="auto"/>
          <w:spacing w:val="-9"/>
          <w:sz w:val="24"/>
          <w:szCs w:val="24"/>
          <w:highlight w:val="none"/>
        </w:rPr>
        <w:t>4.</w:t>
      </w:r>
      <w:r>
        <w:rPr>
          <w:rFonts w:ascii="宋体" w:hAnsi="宋体" w:eastAsia="宋体" w:cs="宋体"/>
          <w:color w:val="auto"/>
          <w:spacing w:val="-9"/>
          <w:sz w:val="24"/>
          <w:szCs w:val="24"/>
          <w:highlight w:val="none"/>
        </w:rPr>
        <w:t>除非本协议另有约定，未经双方同意，双方均无权单方</w:t>
      </w:r>
      <w:r>
        <w:rPr>
          <w:rFonts w:ascii="宋体" w:hAnsi="宋体" w:eastAsia="宋体" w:cs="宋体"/>
          <w:color w:val="auto"/>
          <w:spacing w:val="-10"/>
          <w:sz w:val="24"/>
          <w:szCs w:val="24"/>
          <w:highlight w:val="none"/>
        </w:rPr>
        <w:t>无故解除本协议，如违</w:t>
      </w:r>
      <w:r>
        <w:rPr>
          <w:rFonts w:ascii="宋体" w:hAnsi="宋体" w:eastAsia="宋体" w:cs="宋体"/>
          <w:color w:val="auto"/>
          <w:spacing w:val="-7"/>
          <w:sz w:val="24"/>
          <w:szCs w:val="24"/>
          <w:highlight w:val="none"/>
        </w:rPr>
        <w:t>约解除协议，违约方应该赔偿对方的损失。</w:t>
      </w:r>
    </w:p>
    <w:p w14:paraId="7BDA69D3">
      <w:pPr>
        <w:spacing w:before="78" w:line="334" w:lineRule="auto"/>
        <w:ind w:right="71" w:firstLine="493"/>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甲乙双方中的任何一方要求变更或解除运营合同时，应当在</w:t>
      </w:r>
      <w:r>
        <w:rPr>
          <w:rFonts w:ascii="宋体" w:hAnsi="宋体" w:eastAsia="宋体" w:cs="宋体"/>
          <w:color w:val="auto"/>
          <w:spacing w:val="-19"/>
          <w:sz w:val="24"/>
          <w:szCs w:val="24"/>
          <w:highlight w:val="none"/>
        </w:rPr>
        <w:t xml:space="preserve"> </w:t>
      </w:r>
      <w:r>
        <w:rPr>
          <w:rFonts w:ascii="Times New Roman" w:hAnsi="Times New Roman" w:eastAsia="Times New Roman" w:cs="Times New Roman"/>
          <w:color w:val="auto"/>
          <w:spacing w:val="4"/>
          <w:sz w:val="24"/>
          <w:szCs w:val="24"/>
          <w:highlight w:val="none"/>
        </w:rPr>
        <w:t>30</w:t>
      </w:r>
      <w:r>
        <w:rPr>
          <w:rFonts w:ascii="Times New Roman" w:hAnsi="Times New Roman" w:eastAsia="Times New Roman" w:cs="Times New Roman"/>
          <w:color w:val="auto"/>
          <w:spacing w:val="38"/>
          <w:w w:val="101"/>
          <w:sz w:val="24"/>
          <w:szCs w:val="24"/>
          <w:highlight w:val="none"/>
        </w:rPr>
        <w:t xml:space="preserve"> </w:t>
      </w:r>
      <w:r>
        <w:rPr>
          <w:rFonts w:ascii="宋体" w:hAnsi="宋体" w:eastAsia="宋体" w:cs="宋体"/>
          <w:color w:val="auto"/>
          <w:spacing w:val="4"/>
          <w:sz w:val="24"/>
          <w:szCs w:val="24"/>
          <w:highlight w:val="none"/>
        </w:rPr>
        <w:t>天前以书</w:t>
      </w:r>
      <w:r>
        <w:rPr>
          <w:rFonts w:ascii="宋体" w:hAnsi="宋体" w:eastAsia="宋体" w:cs="宋体"/>
          <w:color w:val="auto"/>
          <w:spacing w:val="1"/>
          <w:sz w:val="24"/>
          <w:szCs w:val="24"/>
          <w:highlight w:val="none"/>
        </w:rPr>
        <w:t>面形式通知另一方。</w:t>
      </w:r>
    </w:p>
    <w:p w14:paraId="01F1DAE5">
      <w:pPr>
        <w:spacing w:before="92" w:line="333" w:lineRule="auto"/>
        <w:ind w:left="2" w:right="71" w:firstLine="49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6.</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2"/>
          <w:sz w:val="24"/>
          <w:szCs w:val="24"/>
          <w:highlight w:val="none"/>
        </w:rPr>
        <w:t>甲乙双方不得再订立背离合同实质性内容</w:t>
      </w:r>
      <w:r>
        <w:rPr>
          <w:rFonts w:ascii="宋体" w:hAnsi="宋体" w:eastAsia="宋体" w:cs="宋体"/>
          <w:color w:val="auto"/>
          <w:spacing w:val="1"/>
          <w:sz w:val="24"/>
          <w:szCs w:val="24"/>
          <w:highlight w:val="none"/>
        </w:rPr>
        <w:t>的其他协议。对任何一方擅自变</w:t>
      </w:r>
      <w:r>
        <w:rPr>
          <w:rFonts w:ascii="宋体" w:hAnsi="宋体" w:eastAsia="宋体" w:cs="宋体"/>
          <w:color w:val="auto"/>
          <w:spacing w:val="3"/>
          <w:sz w:val="24"/>
          <w:szCs w:val="24"/>
          <w:highlight w:val="none"/>
        </w:rPr>
        <w:t>更合同引起的问题和合同风险由变更方自行承担。</w:t>
      </w:r>
    </w:p>
    <w:p w14:paraId="03B4FFCA">
      <w:pPr>
        <w:spacing w:before="95" w:line="337" w:lineRule="auto"/>
        <w:ind w:left="1" w:right="59" w:firstLine="478"/>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7.</w:t>
      </w:r>
      <w:r>
        <w:rPr>
          <w:rFonts w:ascii="宋体" w:hAnsi="宋体" w:eastAsia="宋体" w:cs="宋体"/>
          <w:color w:val="auto"/>
          <w:spacing w:val="-3"/>
          <w:sz w:val="24"/>
          <w:szCs w:val="24"/>
          <w:highlight w:val="none"/>
        </w:rPr>
        <w:t>协议终止或者解除后，一方无权再使用另一</w:t>
      </w:r>
      <w:r>
        <w:rPr>
          <w:rFonts w:ascii="宋体" w:hAnsi="宋体" w:eastAsia="宋体" w:cs="宋体"/>
          <w:color w:val="auto"/>
          <w:spacing w:val="-4"/>
          <w:sz w:val="24"/>
          <w:szCs w:val="24"/>
          <w:highlight w:val="none"/>
        </w:rPr>
        <w:t>方的品牌、商号等无形资产，否</w:t>
      </w:r>
      <w:r>
        <w:rPr>
          <w:rFonts w:ascii="宋体" w:hAnsi="宋体" w:eastAsia="宋体" w:cs="宋体"/>
          <w:color w:val="auto"/>
          <w:spacing w:val="-5"/>
          <w:sz w:val="24"/>
          <w:szCs w:val="24"/>
          <w:highlight w:val="none"/>
        </w:rPr>
        <w:t>则视为侵权，被侵权方有权按照在侵权期间侵权项目的获利以及按照法律规定主张</w:t>
      </w:r>
      <w:r>
        <w:rPr>
          <w:rFonts w:ascii="宋体" w:hAnsi="宋体" w:eastAsia="宋体" w:cs="宋体"/>
          <w:color w:val="auto"/>
          <w:spacing w:val="-12"/>
          <w:sz w:val="24"/>
          <w:szCs w:val="24"/>
          <w:highlight w:val="none"/>
        </w:rPr>
        <w:t>侵权赔偿。</w:t>
      </w:r>
    </w:p>
    <w:p w14:paraId="3C5E02E4">
      <w:pPr>
        <w:spacing w:before="94" w:line="220" w:lineRule="auto"/>
        <w:ind w:left="47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第八条其他条款</w:t>
      </w:r>
    </w:p>
    <w:p w14:paraId="41F1C81E">
      <w:pPr>
        <w:spacing w:before="224" w:line="219" w:lineRule="auto"/>
        <w:ind w:left="490"/>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1.</w:t>
      </w:r>
      <w:r>
        <w:rPr>
          <w:rFonts w:ascii="宋体" w:hAnsi="宋体" w:eastAsia="宋体" w:cs="宋体"/>
          <w:color w:val="auto"/>
          <w:spacing w:val="-5"/>
          <w:sz w:val="24"/>
          <w:szCs w:val="24"/>
          <w:highlight w:val="none"/>
        </w:rPr>
        <w:t>本协议自甲乙丙三方签字盖章之日起生效。</w:t>
      </w:r>
    </w:p>
    <w:p w14:paraId="414C4FF2">
      <w:pPr>
        <w:spacing w:before="226" w:line="333" w:lineRule="auto"/>
        <w:ind w:left="3" w:firstLine="46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协议履行中发生纠纷，双方协商解决。协商不成时</w:t>
      </w:r>
      <w:r>
        <w:rPr>
          <w:rFonts w:ascii="宋体" w:hAnsi="宋体" w:eastAsia="宋体" w:cs="宋体"/>
          <w:color w:val="auto"/>
          <w:spacing w:val="-2"/>
          <w:sz w:val="24"/>
          <w:szCs w:val="24"/>
          <w:highlight w:val="none"/>
        </w:rPr>
        <w:t>，任何一方均可到合同履</w:t>
      </w:r>
      <w:r>
        <w:rPr>
          <w:rFonts w:ascii="宋体" w:hAnsi="宋体" w:eastAsia="宋体" w:cs="宋体"/>
          <w:color w:val="auto"/>
          <w:spacing w:val="-5"/>
          <w:sz w:val="24"/>
          <w:szCs w:val="24"/>
          <w:highlight w:val="none"/>
        </w:rPr>
        <w:t>行地人民法院提起诉讼。</w:t>
      </w:r>
    </w:p>
    <w:p w14:paraId="0D30AA84">
      <w:pPr>
        <w:spacing w:before="226" w:line="333" w:lineRule="auto"/>
        <w:ind w:left="3" w:firstLine="463"/>
        <w:rPr>
          <w:rFonts w:ascii="宋体" w:hAnsi="宋体" w:eastAsia="宋体" w:cs="宋体"/>
          <w:color w:val="auto"/>
          <w:sz w:val="24"/>
          <w:szCs w:val="24"/>
          <w:highlight w:val="none"/>
        </w:rPr>
      </w:pPr>
      <w:r>
        <w:rPr>
          <w:rFonts w:ascii="Times New Roman" w:hAnsi="Times New Roman" w:eastAsia="Times New Roman" w:cs="Times New Roman"/>
          <w:color w:val="auto"/>
          <w:spacing w:val="-9"/>
          <w:sz w:val="24"/>
          <w:szCs w:val="24"/>
          <w:highlight w:val="none"/>
        </w:rPr>
        <w:t>3.</w:t>
      </w:r>
      <w:r>
        <w:rPr>
          <w:rFonts w:ascii="宋体" w:hAnsi="宋体" w:eastAsia="宋体" w:cs="宋体"/>
          <w:color w:val="auto"/>
          <w:spacing w:val="-9"/>
          <w:sz w:val="24"/>
          <w:szCs w:val="24"/>
          <w:highlight w:val="none"/>
        </w:rPr>
        <w:t>本</w:t>
      </w:r>
      <w:r>
        <w:rPr>
          <w:rFonts w:ascii="宋体" w:hAnsi="宋体" w:eastAsia="宋体" w:cs="宋体"/>
          <w:color w:val="auto"/>
          <w:spacing w:val="-1"/>
          <w:sz w:val="24"/>
          <w:szCs w:val="24"/>
          <w:highlight w:val="none"/>
        </w:rPr>
        <w:t>协议</w:t>
      </w:r>
      <w:r>
        <w:rPr>
          <w:rFonts w:ascii="宋体" w:hAnsi="宋体" w:eastAsia="宋体" w:cs="宋体"/>
          <w:color w:val="auto"/>
          <w:spacing w:val="-9"/>
          <w:sz w:val="24"/>
          <w:szCs w:val="24"/>
          <w:highlight w:val="none"/>
        </w:rPr>
        <w:t>一式六份，甲乙双方各执叁份；本协议附件作为本协议</w:t>
      </w:r>
      <w:r>
        <w:rPr>
          <w:rFonts w:ascii="宋体" w:hAnsi="宋体" w:eastAsia="宋体" w:cs="宋体"/>
          <w:color w:val="auto"/>
          <w:spacing w:val="-10"/>
          <w:sz w:val="24"/>
          <w:szCs w:val="24"/>
          <w:highlight w:val="none"/>
        </w:rPr>
        <w:t>有效组成部分。</w:t>
      </w:r>
    </w:p>
    <w:p w14:paraId="130997C7">
      <w:pPr>
        <w:spacing w:before="226" w:line="333" w:lineRule="auto"/>
        <w:ind w:right="55" w:firstLine="471"/>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一方发生名称（姓名）变更、法定代表人变更、吊销或清算等变动事由时，</w:t>
      </w:r>
      <w:r>
        <w:rPr>
          <w:rFonts w:ascii="宋体" w:hAnsi="宋体" w:eastAsia="宋体" w:cs="宋体"/>
          <w:color w:val="auto"/>
          <w:spacing w:val="-6"/>
          <w:sz w:val="24"/>
          <w:szCs w:val="24"/>
          <w:highlight w:val="none"/>
        </w:rPr>
        <w:t>应当在上述事由发生之日起</w:t>
      </w:r>
      <w:r>
        <w:rPr>
          <w:rFonts w:ascii="宋体" w:hAnsi="宋体" w:eastAsia="宋体" w:cs="宋体"/>
          <w:color w:val="auto"/>
          <w:spacing w:val="-36"/>
          <w:sz w:val="24"/>
          <w:szCs w:val="24"/>
          <w:highlight w:val="none"/>
        </w:rPr>
        <w:t xml:space="preserve"> </w:t>
      </w:r>
      <w:r>
        <w:rPr>
          <w:rFonts w:ascii="Times New Roman" w:hAnsi="Times New Roman" w:eastAsia="Times New Roman" w:cs="Times New Roman"/>
          <w:color w:val="auto"/>
          <w:spacing w:val="-6"/>
          <w:sz w:val="24"/>
          <w:szCs w:val="24"/>
          <w:highlight w:val="none"/>
        </w:rPr>
        <w:t>7</w:t>
      </w:r>
      <w:r>
        <w:rPr>
          <w:rFonts w:ascii="Times New Roman" w:hAnsi="Times New Roman" w:eastAsia="Times New Roman" w:cs="Times New Roman"/>
          <w:color w:val="auto"/>
          <w:spacing w:val="50"/>
          <w:sz w:val="24"/>
          <w:szCs w:val="24"/>
          <w:highlight w:val="none"/>
        </w:rPr>
        <w:t xml:space="preserve"> </w:t>
      </w:r>
      <w:r>
        <w:rPr>
          <w:rFonts w:ascii="宋体" w:hAnsi="宋体" w:eastAsia="宋体" w:cs="宋体"/>
          <w:color w:val="auto"/>
          <w:spacing w:val="-6"/>
          <w:sz w:val="24"/>
          <w:szCs w:val="24"/>
          <w:highlight w:val="none"/>
        </w:rPr>
        <w:t>日内通知对方。</w:t>
      </w:r>
    </w:p>
    <w:p w14:paraId="63167FE6">
      <w:pPr>
        <w:spacing w:before="93" w:line="380" w:lineRule="auto"/>
        <w:ind w:left="482" w:right="2694" w:hanging="4"/>
        <w:rPr>
          <w:rFonts w:ascii="宋体" w:hAnsi="宋体" w:eastAsia="宋体" w:cs="宋体"/>
          <w:color w:val="auto"/>
          <w:spacing w:val="9"/>
          <w:sz w:val="24"/>
          <w:szCs w:val="24"/>
          <w:highlight w:val="none"/>
        </w:rPr>
      </w:pPr>
      <w:r>
        <w:rPr>
          <w:rFonts w:ascii="Times New Roman" w:hAnsi="Times New Roman" w:eastAsia="Times New Roman" w:cs="Times New Roman"/>
          <w:color w:val="auto"/>
          <w:spacing w:val="-5"/>
          <w:sz w:val="24"/>
          <w:szCs w:val="24"/>
          <w:highlight w:val="none"/>
        </w:rPr>
        <w:t>5.</w:t>
      </w:r>
      <w:r>
        <w:rPr>
          <w:rFonts w:ascii="宋体" w:hAnsi="宋体" w:eastAsia="宋体" w:cs="宋体"/>
          <w:color w:val="auto"/>
          <w:spacing w:val="-5"/>
          <w:sz w:val="24"/>
          <w:szCs w:val="24"/>
          <w:highlight w:val="none"/>
        </w:rPr>
        <w:t>甲乙双方确认以下为各方联系人及有效联系方式：</w:t>
      </w:r>
      <w:r>
        <w:rPr>
          <w:rFonts w:ascii="宋体" w:hAnsi="宋体" w:eastAsia="宋体" w:cs="宋体"/>
          <w:color w:val="auto"/>
          <w:spacing w:val="9"/>
          <w:sz w:val="24"/>
          <w:szCs w:val="24"/>
          <w:highlight w:val="none"/>
        </w:rPr>
        <w:t xml:space="preserve"> </w:t>
      </w:r>
    </w:p>
    <w:p w14:paraId="598A3FB7">
      <w:pPr>
        <w:spacing w:before="93" w:line="380" w:lineRule="auto"/>
        <w:ind w:left="482" w:right="2694" w:hanging="4"/>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甲方联系人：</w:t>
      </w:r>
    </w:p>
    <w:p w14:paraId="4AC669CB">
      <w:pPr>
        <w:spacing w:before="32" w:line="222" w:lineRule="auto"/>
        <w:ind w:left="46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联系电话：</w:t>
      </w:r>
    </w:p>
    <w:p w14:paraId="514B45B2">
      <w:pPr>
        <w:spacing w:before="222" w:line="222" w:lineRule="auto"/>
        <w:ind w:left="46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联系地址：</w:t>
      </w:r>
    </w:p>
    <w:p w14:paraId="089C68E1">
      <w:pPr>
        <w:spacing w:before="222" w:line="222" w:lineRule="auto"/>
        <w:ind w:left="469"/>
        <w:rPr>
          <w:rFonts w:ascii="宋体" w:hAnsi="宋体" w:eastAsia="宋体" w:cs="宋体"/>
          <w:color w:val="auto"/>
          <w:spacing w:val="-15"/>
          <w:sz w:val="24"/>
          <w:szCs w:val="24"/>
          <w:highlight w:val="none"/>
        </w:rPr>
      </w:pPr>
      <w:r>
        <w:rPr>
          <w:rFonts w:ascii="宋体" w:hAnsi="宋体" w:eastAsia="宋体" w:cs="宋体"/>
          <w:color w:val="auto"/>
          <w:spacing w:val="-15"/>
          <w:sz w:val="24"/>
          <w:szCs w:val="24"/>
          <w:highlight w:val="none"/>
        </w:rPr>
        <w:t xml:space="preserve">乙方联系人： </w:t>
      </w:r>
    </w:p>
    <w:p w14:paraId="5910517F">
      <w:pPr>
        <w:spacing w:before="222" w:line="222" w:lineRule="auto"/>
        <w:ind w:left="469"/>
        <w:rPr>
          <w:rFonts w:ascii="宋体" w:hAnsi="宋体" w:eastAsia="宋体" w:cs="宋体"/>
          <w:color w:val="auto"/>
          <w:spacing w:val="-15"/>
          <w:sz w:val="24"/>
          <w:szCs w:val="24"/>
          <w:highlight w:val="none"/>
        </w:rPr>
      </w:pPr>
      <w:r>
        <w:rPr>
          <w:rFonts w:ascii="宋体" w:hAnsi="宋体" w:eastAsia="宋体" w:cs="宋体"/>
          <w:color w:val="auto"/>
          <w:spacing w:val="-15"/>
          <w:sz w:val="24"/>
          <w:szCs w:val="24"/>
          <w:highlight w:val="none"/>
        </w:rPr>
        <w:t>联系电话：</w:t>
      </w:r>
    </w:p>
    <w:p w14:paraId="75A33654">
      <w:pPr>
        <w:spacing w:before="31" w:line="222" w:lineRule="auto"/>
        <w:ind w:left="46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联系地址：</w:t>
      </w:r>
    </w:p>
    <w:p w14:paraId="2ECF9174">
      <w:pPr>
        <w:spacing w:before="222" w:line="333" w:lineRule="auto"/>
        <w:ind w:left="4" w:right="60" w:firstLine="475"/>
        <w:rPr>
          <w:highlight w:val="none"/>
        </w:rPr>
      </w:pPr>
      <w:r>
        <w:rPr>
          <w:rFonts w:ascii="宋体" w:hAnsi="宋体" w:eastAsia="宋体" w:cs="宋体"/>
          <w:color w:val="auto"/>
          <w:spacing w:val="-5"/>
          <w:sz w:val="24"/>
          <w:szCs w:val="24"/>
          <w:highlight w:val="none"/>
        </w:rPr>
        <w:t>一方联系人及联系方式发生变更时应当自变更之日起三</w:t>
      </w:r>
      <w:r>
        <w:rPr>
          <w:rFonts w:ascii="宋体" w:hAnsi="宋体" w:eastAsia="宋体" w:cs="宋体"/>
          <w:color w:val="auto"/>
          <w:spacing w:val="-6"/>
          <w:sz w:val="24"/>
          <w:szCs w:val="24"/>
          <w:highlight w:val="none"/>
        </w:rPr>
        <w:t>日内书面通知对方，否</w:t>
      </w:r>
      <w:r>
        <w:rPr>
          <w:rFonts w:ascii="宋体" w:hAnsi="宋体" w:eastAsia="宋体" w:cs="宋体"/>
          <w:color w:val="auto"/>
          <w:spacing w:val="-12"/>
          <w:sz w:val="24"/>
          <w:szCs w:val="24"/>
          <w:highlight w:val="none"/>
        </w:rPr>
        <w:t>则视为没有变更，上述地址为一方有效送达地址，任何一方不得</w:t>
      </w:r>
      <w:r>
        <w:rPr>
          <w:rFonts w:ascii="宋体" w:hAnsi="宋体" w:eastAsia="宋体" w:cs="宋体"/>
          <w:color w:val="auto"/>
          <w:spacing w:val="-13"/>
          <w:sz w:val="24"/>
          <w:szCs w:val="24"/>
          <w:highlight w:val="none"/>
        </w:rPr>
        <w:t>以此为由提出异议。</w:t>
      </w:r>
    </w:p>
    <w:p w14:paraId="49A4261E">
      <w:pPr>
        <w:spacing w:before="33"/>
        <w:rPr>
          <w:highlight w:val="none"/>
        </w:rPr>
      </w:pPr>
    </w:p>
    <w:p w14:paraId="759D89EE">
      <w:pPr>
        <w:spacing w:before="33"/>
        <w:rPr>
          <w:highlight w:val="none"/>
        </w:rPr>
      </w:pPr>
    </w:p>
    <w:p w14:paraId="4C870491">
      <w:pPr>
        <w:spacing w:before="33"/>
        <w:rPr>
          <w:highlight w:val="none"/>
        </w:rPr>
      </w:pPr>
    </w:p>
    <w:p w14:paraId="21F4051F">
      <w:pPr>
        <w:rPr>
          <w:highlight w:val="none"/>
        </w:rPr>
        <w:sectPr>
          <w:footerReference r:id="rId73" w:type="default"/>
          <w:pgSz w:w="11907" w:h="16839"/>
          <w:pgMar w:top="1431" w:right="1077" w:bottom="1199" w:left="1567" w:header="0" w:footer="966" w:gutter="0"/>
          <w:cols w:equalWidth="0" w:num="1">
            <w:col w:w="9262"/>
          </w:cols>
        </w:sectPr>
      </w:pPr>
    </w:p>
    <w:p w14:paraId="72C512F6">
      <w:pPr>
        <w:spacing w:before="48" w:line="219" w:lineRule="auto"/>
        <w:ind w:left="193"/>
        <w:rPr>
          <w:rFonts w:ascii="宋体" w:hAnsi="宋体" w:eastAsia="宋体" w:cs="宋体"/>
          <w:sz w:val="24"/>
          <w:szCs w:val="24"/>
          <w:highlight w:val="none"/>
        </w:rPr>
      </w:pPr>
      <w:r>
        <w:rPr>
          <w:rFonts w:ascii="宋体" w:hAnsi="宋体" w:eastAsia="宋体" w:cs="宋体"/>
          <w:spacing w:val="-14"/>
          <w:sz w:val="24"/>
          <w:szCs w:val="24"/>
          <w:highlight w:val="none"/>
        </w:rPr>
        <w:t>甲方：</w:t>
      </w:r>
      <w:r>
        <w:rPr>
          <w:rFonts w:ascii="宋体" w:hAnsi="宋体" w:eastAsia="宋体" w:cs="宋体"/>
          <w:spacing w:val="-64"/>
          <w:sz w:val="24"/>
          <w:szCs w:val="24"/>
          <w:highlight w:val="none"/>
        </w:rPr>
        <w:t xml:space="preserve"> </w:t>
      </w:r>
      <w:r>
        <w:rPr>
          <w:rFonts w:ascii="宋体" w:hAnsi="宋体" w:eastAsia="宋体" w:cs="宋体"/>
          <w:spacing w:val="-14"/>
          <w:sz w:val="24"/>
          <w:szCs w:val="24"/>
          <w:highlight w:val="none"/>
        </w:rPr>
        <w:t>(公章)</w:t>
      </w:r>
    </w:p>
    <w:p w14:paraId="5331C82E">
      <w:pPr>
        <w:spacing w:before="183" w:line="359" w:lineRule="auto"/>
        <w:ind w:left="7" w:right="2106" w:hanging="5"/>
        <w:rPr>
          <w:rFonts w:ascii="宋体" w:hAnsi="宋体" w:eastAsia="宋体" w:cs="宋体"/>
          <w:sz w:val="24"/>
          <w:szCs w:val="24"/>
          <w:highlight w:val="none"/>
        </w:rPr>
      </w:pPr>
      <w:r>
        <w:rPr>
          <w:rFonts w:ascii="宋体" w:hAnsi="宋体" w:eastAsia="宋体" w:cs="宋体"/>
          <w:spacing w:val="-6"/>
          <w:sz w:val="24"/>
          <w:szCs w:val="24"/>
          <w:highlight w:val="none"/>
        </w:rPr>
        <w:t>法定代表人或其委托代理人：</w:t>
      </w:r>
      <w:r>
        <w:rPr>
          <w:rFonts w:ascii="宋体" w:hAnsi="宋体" w:eastAsia="宋体" w:cs="宋体"/>
          <w:spacing w:val="11"/>
          <w:sz w:val="24"/>
          <w:szCs w:val="24"/>
          <w:highlight w:val="none"/>
        </w:rPr>
        <w:t xml:space="preserve"> </w:t>
      </w:r>
      <w:r>
        <w:rPr>
          <w:rFonts w:ascii="宋体" w:hAnsi="宋体" w:eastAsia="宋体" w:cs="宋体"/>
          <w:spacing w:val="-6"/>
          <w:sz w:val="24"/>
          <w:szCs w:val="24"/>
          <w:highlight w:val="none"/>
        </w:rPr>
        <w:t>（签字）</w:t>
      </w:r>
    </w:p>
    <w:p w14:paraId="001F2467">
      <w:pPr>
        <w:spacing w:before="2" w:line="218" w:lineRule="auto"/>
        <w:ind w:left="4"/>
        <w:rPr>
          <w:rFonts w:ascii="宋体" w:hAnsi="宋体" w:eastAsia="宋体" w:cs="宋体"/>
          <w:sz w:val="24"/>
          <w:szCs w:val="24"/>
          <w:highlight w:val="none"/>
        </w:rPr>
      </w:pPr>
      <w:r>
        <w:rPr>
          <w:rFonts w:ascii="宋体" w:hAnsi="宋体" w:eastAsia="宋体" w:cs="宋体"/>
          <w:spacing w:val="-9"/>
          <w:sz w:val="24"/>
          <w:szCs w:val="24"/>
          <w:highlight w:val="none"/>
        </w:rPr>
        <w:t>组织机构代码：</w:t>
      </w:r>
    </w:p>
    <w:p w14:paraId="307671E7">
      <w:pPr>
        <w:spacing w:before="181" w:line="229" w:lineRule="auto"/>
        <w:ind w:left="1"/>
        <w:rPr>
          <w:rFonts w:ascii="宋体" w:hAnsi="宋体" w:eastAsia="宋体" w:cs="宋体"/>
          <w:sz w:val="24"/>
          <w:szCs w:val="24"/>
          <w:highlight w:val="none"/>
        </w:rPr>
      </w:pPr>
      <w:r>
        <w:rPr>
          <w:rFonts w:ascii="宋体" w:hAnsi="宋体" w:eastAsia="宋体" w:cs="宋体"/>
          <w:spacing w:val="-15"/>
          <w:sz w:val="24"/>
          <w:szCs w:val="24"/>
          <w:highlight w:val="none"/>
        </w:rPr>
        <w:t>地址：</w:t>
      </w:r>
    </w:p>
    <w:p w14:paraId="5CC51777">
      <w:pPr>
        <w:spacing w:before="170" w:line="220" w:lineRule="auto"/>
        <w:ind w:left="19"/>
        <w:rPr>
          <w:rFonts w:ascii="宋体" w:hAnsi="宋体" w:eastAsia="宋体" w:cs="宋体"/>
          <w:sz w:val="24"/>
          <w:szCs w:val="24"/>
          <w:highlight w:val="none"/>
        </w:rPr>
      </w:pPr>
      <w:r>
        <w:rPr>
          <w:rFonts w:ascii="宋体" w:hAnsi="宋体" w:eastAsia="宋体" w:cs="宋体"/>
          <w:spacing w:val="-14"/>
          <w:sz w:val="24"/>
          <w:szCs w:val="24"/>
          <w:highlight w:val="none"/>
        </w:rPr>
        <w:t>邮政编码：</w:t>
      </w:r>
    </w:p>
    <w:p w14:paraId="71B3891A">
      <w:pPr>
        <w:spacing w:before="179" w:line="220" w:lineRule="auto"/>
        <w:ind w:left="2"/>
        <w:rPr>
          <w:rFonts w:ascii="宋体" w:hAnsi="宋体" w:eastAsia="宋体" w:cs="宋体"/>
          <w:sz w:val="24"/>
          <w:szCs w:val="24"/>
          <w:highlight w:val="none"/>
        </w:rPr>
      </w:pPr>
      <w:r>
        <w:rPr>
          <w:rFonts w:ascii="宋体" w:hAnsi="宋体" w:eastAsia="宋体" w:cs="宋体"/>
          <w:spacing w:val="-10"/>
          <w:sz w:val="24"/>
          <w:szCs w:val="24"/>
          <w:highlight w:val="none"/>
        </w:rPr>
        <w:t>法定代表人：</w:t>
      </w:r>
    </w:p>
    <w:p w14:paraId="4D4D1A24">
      <w:pPr>
        <w:spacing w:before="182" w:line="220" w:lineRule="auto"/>
        <w:rPr>
          <w:rFonts w:ascii="宋体" w:hAnsi="宋体" w:eastAsia="宋体" w:cs="宋体"/>
          <w:sz w:val="24"/>
          <w:szCs w:val="24"/>
          <w:highlight w:val="none"/>
        </w:rPr>
      </w:pPr>
      <w:r>
        <w:rPr>
          <w:rFonts w:ascii="宋体" w:hAnsi="宋体" w:eastAsia="宋体" w:cs="宋体"/>
          <w:spacing w:val="-9"/>
          <w:sz w:val="24"/>
          <w:szCs w:val="24"/>
          <w:highlight w:val="none"/>
        </w:rPr>
        <w:t>委托代理人：</w:t>
      </w:r>
    </w:p>
    <w:p w14:paraId="54C1A0A9">
      <w:pPr>
        <w:spacing w:before="180" w:line="222" w:lineRule="auto"/>
        <w:ind w:left="30"/>
        <w:rPr>
          <w:rFonts w:ascii="宋体" w:hAnsi="宋体" w:eastAsia="宋体" w:cs="宋体"/>
          <w:sz w:val="24"/>
          <w:szCs w:val="24"/>
          <w:highlight w:val="none"/>
        </w:rPr>
      </w:pPr>
      <w:r>
        <w:rPr>
          <w:rFonts w:ascii="宋体" w:hAnsi="宋体" w:eastAsia="宋体" w:cs="宋体"/>
          <w:spacing w:val="-21"/>
          <w:sz w:val="24"/>
          <w:szCs w:val="24"/>
          <w:highlight w:val="none"/>
        </w:rPr>
        <w:t>电话：</w:t>
      </w:r>
    </w:p>
    <w:p w14:paraId="3B6750F4">
      <w:pPr>
        <w:spacing w:before="180" w:line="219" w:lineRule="auto"/>
        <w:rPr>
          <w:rFonts w:ascii="宋体" w:hAnsi="宋体" w:eastAsia="宋体" w:cs="宋体"/>
          <w:sz w:val="24"/>
          <w:szCs w:val="24"/>
          <w:highlight w:val="none"/>
        </w:rPr>
      </w:pPr>
      <w:r>
        <w:rPr>
          <w:rFonts w:ascii="宋体" w:hAnsi="宋体" w:eastAsia="宋体" w:cs="宋体"/>
          <w:spacing w:val="-14"/>
          <w:sz w:val="24"/>
          <w:szCs w:val="24"/>
          <w:highlight w:val="none"/>
        </w:rPr>
        <w:t>传真：</w:t>
      </w:r>
    </w:p>
    <w:p w14:paraId="2C369156">
      <w:pPr>
        <w:spacing w:before="180" w:line="220" w:lineRule="auto"/>
        <w:ind w:left="30"/>
        <w:rPr>
          <w:rFonts w:ascii="宋体" w:hAnsi="宋体" w:eastAsia="宋体" w:cs="宋体"/>
          <w:sz w:val="24"/>
          <w:szCs w:val="24"/>
          <w:highlight w:val="none"/>
        </w:rPr>
      </w:pPr>
      <w:r>
        <w:rPr>
          <w:rFonts w:ascii="宋体" w:hAnsi="宋体" w:eastAsia="宋体" w:cs="宋体"/>
          <w:spacing w:val="-15"/>
          <w:sz w:val="24"/>
          <w:szCs w:val="24"/>
          <w:highlight w:val="none"/>
        </w:rPr>
        <w:t>电子信箱：</w:t>
      </w:r>
    </w:p>
    <w:p w14:paraId="40AA5D25">
      <w:pPr>
        <w:spacing w:before="183" w:line="220" w:lineRule="auto"/>
        <w:ind w:left="2"/>
        <w:rPr>
          <w:rFonts w:ascii="宋体" w:hAnsi="宋体" w:eastAsia="宋体" w:cs="宋体"/>
          <w:sz w:val="24"/>
          <w:szCs w:val="24"/>
          <w:highlight w:val="none"/>
        </w:rPr>
      </w:pPr>
      <w:r>
        <w:rPr>
          <w:rFonts w:ascii="宋体" w:hAnsi="宋体" w:eastAsia="宋体" w:cs="宋体"/>
          <w:spacing w:val="-11"/>
          <w:sz w:val="24"/>
          <w:szCs w:val="24"/>
          <w:highlight w:val="none"/>
        </w:rPr>
        <w:t>开户银行：</w:t>
      </w:r>
    </w:p>
    <w:p w14:paraId="3FCB3245">
      <w:pPr>
        <w:spacing w:before="182" w:line="185" w:lineRule="auto"/>
        <w:ind w:left="5"/>
        <w:rPr>
          <w:rFonts w:ascii="宋体" w:hAnsi="宋体" w:eastAsia="宋体" w:cs="宋体"/>
          <w:sz w:val="24"/>
          <w:szCs w:val="24"/>
          <w:highlight w:val="none"/>
        </w:rPr>
      </w:pPr>
      <w:r>
        <w:rPr>
          <w:rFonts w:ascii="宋体" w:hAnsi="宋体" w:eastAsia="宋体" w:cs="宋体"/>
          <w:spacing w:val="-16"/>
          <w:sz w:val="24"/>
          <w:szCs w:val="24"/>
          <w:highlight w:val="none"/>
        </w:rPr>
        <w:t>账号：</w:t>
      </w:r>
    </w:p>
    <w:p w14:paraId="44A3F4E1">
      <w:pPr>
        <w:pStyle w:val="3"/>
        <w:spacing w:line="14" w:lineRule="auto"/>
        <w:rPr>
          <w:sz w:val="2"/>
          <w:highlight w:val="none"/>
        </w:rPr>
      </w:pPr>
      <w:r>
        <w:rPr>
          <w:sz w:val="2"/>
          <w:szCs w:val="2"/>
          <w:highlight w:val="none"/>
        </w:rPr>
        <w:br w:type="column"/>
      </w:r>
    </w:p>
    <w:p w14:paraId="620B2390">
      <w:pPr>
        <w:spacing w:before="46" w:line="219" w:lineRule="auto"/>
        <w:ind w:left="203"/>
        <w:rPr>
          <w:rFonts w:ascii="宋体" w:hAnsi="宋体" w:eastAsia="宋体" w:cs="宋体"/>
          <w:sz w:val="24"/>
          <w:szCs w:val="24"/>
          <w:highlight w:val="none"/>
        </w:rPr>
      </w:pPr>
      <w:r>
        <w:rPr>
          <w:rFonts w:ascii="宋体" w:hAnsi="宋体" w:eastAsia="宋体" w:cs="宋体"/>
          <w:spacing w:val="-13"/>
          <w:sz w:val="24"/>
          <w:szCs w:val="24"/>
          <w:highlight w:val="none"/>
        </w:rPr>
        <w:t>乙方：</w:t>
      </w:r>
      <w:r>
        <w:rPr>
          <w:rFonts w:ascii="宋体" w:hAnsi="宋体" w:eastAsia="宋体" w:cs="宋体"/>
          <w:spacing w:val="-63"/>
          <w:sz w:val="24"/>
          <w:szCs w:val="24"/>
          <w:highlight w:val="none"/>
        </w:rPr>
        <w:t xml:space="preserve"> </w:t>
      </w:r>
      <w:r>
        <w:rPr>
          <w:rFonts w:ascii="宋体" w:hAnsi="宋体" w:eastAsia="宋体" w:cs="宋体"/>
          <w:spacing w:val="-13"/>
          <w:sz w:val="24"/>
          <w:szCs w:val="24"/>
          <w:highlight w:val="none"/>
        </w:rPr>
        <w:t>(公章)</w:t>
      </w:r>
    </w:p>
    <w:p w14:paraId="4D62F173">
      <w:pPr>
        <w:spacing w:before="184" w:line="359" w:lineRule="auto"/>
        <w:ind w:left="8" w:right="819" w:firstLine="114"/>
        <w:rPr>
          <w:rFonts w:ascii="宋体" w:hAnsi="宋体" w:eastAsia="宋体" w:cs="宋体"/>
          <w:sz w:val="24"/>
          <w:szCs w:val="24"/>
          <w:highlight w:val="none"/>
        </w:rPr>
      </w:pPr>
      <w:r>
        <w:rPr>
          <w:rFonts w:ascii="宋体" w:hAnsi="宋体" w:eastAsia="宋体" w:cs="宋体"/>
          <w:spacing w:val="-6"/>
          <w:sz w:val="24"/>
          <w:szCs w:val="24"/>
          <w:highlight w:val="none"/>
        </w:rPr>
        <w:t>法定代表人或其委托代理人：</w:t>
      </w:r>
      <w:r>
        <w:rPr>
          <w:rFonts w:ascii="宋体" w:hAnsi="宋体" w:eastAsia="宋体" w:cs="宋体"/>
          <w:spacing w:val="11"/>
          <w:sz w:val="24"/>
          <w:szCs w:val="24"/>
          <w:highlight w:val="none"/>
        </w:rPr>
        <w:t xml:space="preserve"> </w:t>
      </w:r>
      <w:r>
        <w:rPr>
          <w:rFonts w:ascii="宋体" w:hAnsi="宋体" w:eastAsia="宋体" w:cs="宋体"/>
          <w:spacing w:val="-6"/>
          <w:sz w:val="24"/>
          <w:szCs w:val="24"/>
          <w:highlight w:val="none"/>
        </w:rPr>
        <w:t>（签字）</w:t>
      </w:r>
    </w:p>
    <w:p w14:paraId="629E30BF">
      <w:pPr>
        <w:spacing w:before="1" w:line="218" w:lineRule="auto"/>
        <w:ind w:left="4"/>
        <w:rPr>
          <w:rFonts w:ascii="宋体" w:hAnsi="宋体" w:eastAsia="宋体" w:cs="宋体"/>
          <w:sz w:val="24"/>
          <w:szCs w:val="24"/>
          <w:highlight w:val="none"/>
        </w:rPr>
      </w:pPr>
      <w:r>
        <w:rPr>
          <w:rFonts w:ascii="宋体" w:hAnsi="宋体" w:eastAsia="宋体" w:cs="宋体"/>
          <w:spacing w:val="-9"/>
          <w:sz w:val="24"/>
          <w:szCs w:val="24"/>
          <w:highlight w:val="none"/>
        </w:rPr>
        <w:t>组织机构代码：</w:t>
      </w:r>
    </w:p>
    <w:p w14:paraId="3BA56380">
      <w:pPr>
        <w:spacing w:before="182" w:line="229" w:lineRule="auto"/>
        <w:ind w:left="1"/>
        <w:rPr>
          <w:rFonts w:ascii="宋体" w:hAnsi="宋体" w:eastAsia="宋体" w:cs="宋体"/>
          <w:sz w:val="24"/>
          <w:szCs w:val="24"/>
          <w:highlight w:val="none"/>
        </w:rPr>
      </w:pPr>
      <w:r>
        <w:rPr>
          <w:rFonts w:ascii="宋体" w:hAnsi="宋体" w:eastAsia="宋体" w:cs="宋体"/>
          <w:spacing w:val="-15"/>
          <w:sz w:val="24"/>
          <w:szCs w:val="24"/>
          <w:highlight w:val="none"/>
        </w:rPr>
        <w:t>地址：</w:t>
      </w:r>
    </w:p>
    <w:p w14:paraId="55ECED0A">
      <w:pPr>
        <w:spacing w:before="169" w:line="220" w:lineRule="auto"/>
        <w:ind w:left="19"/>
        <w:rPr>
          <w:rFonts w:ascii="宋体" w:hAnsi="宋体" w:eastAsia="宋体" w:cs="宋体"/>
          <w:sz w:val="24"/>
          <w:szCs w:val="24"/>
          <w:highlight w:val="none"/>
        </w:rPr>
      </w:pPr>
      <w:r>
        <w:rPr>
          <w:rFonts w:ascii="宋体" w:hAnsi="宋体" w:eastAsia="宋体" w:cs="宋体"/>
          <w:spacing w:val="-14"/>
          <w:sz w:val="24"/>
          <w:szCs w:val="24"/>
          <w:highlight w:val="none"/>
        </w:rPr>
        <w:t>邮政编码：</w:t>
      </w:r>
    </w:p>
    <w:p w14:paraId="12B40F43">
      <w:pPr>
        <w:spacing w:before="180" w:line="220" w:lineRule="auto"/>
        <w:ind w:left="2"/>
        <w:rPr>
          <w:rFonts w:ascii="宋体" w:hAnsi="宋体" w:eastAsia="宋体" w:cs="宋体"/>
          <w:sz w:val="24"/>
          <w:szCs w:val="24"/>
          <w:highlight w:val="none"/>
        </w:rPr>
      </w:pPr>
      <w:r>
        <w:rPr>
          <w:rFonts w:ascii="宋体" w:hAnsi="宋体" w:eastAsia="宋体" w:cs="宋体"/>
          <w:spacing w:val="-10"/>
          <w:sz w:val="24"/>
          <w:szCs w:val="24"/>
          <w:highlight w:val="none"/>
        </w:rPr>
        <w:t>法定代表人：</w:t>
      </w:r>
    </w:p>
    <w:p w14:paraId="62C3FFBD">
      <w:pPr>
        <w:spacing w:before="182" w:line="220" w:lineRule="auto"/>
        <w:rPr>
          <w:rFonts w:ascii="宋体" w:hAnsi="宋体" w:eastAsia="宋体" w:cs="宋体"/>
          <w:sz w:val="24"/>
          <w:szCs w:val="24"/>
          <w:highlight w:val="none"/>
        </w:rPr>
      </w:pPr>
      <w:r>
        <w:rPr>
          <w:rFonts w:ascii="宋体" w:hAnsi="宋体" w:eastAsia="宋体" w:cs="宋体"/>
          <w:spacing w:val="-2"/>
          <w:sz w:val="24"/>
          <w:szCs w:val="24"/>
          <w:highlight w:val="none"/>
        </w:rPr>
        <w:t>委托代理人：</w:t>
      </w:r>
    </w:p>
    <w:p w14:paraId="6C7C7C51">
      <w:pPr>
        <w:spacing w:before="180" w:line="222" w:lineRule="auto"/>
        <w:ind w:left="30"/>
        <w:rPr>
          <w:rFonts w:ascii="宋体" w:hAnsi="宋体" w:eastAsia="宋体" w:cs="宋体"/>
          <w:sz w:val="24"/>
          <w:szCs w:val="24"/>
          <w:highlight w:val="none"/>
        </w:rPr>
      </w:pPr>
      <w:r>
        <w:rPr>
          <w:rFonts w:ascii="宋体" w:hAnsi="宋体" w:eastAsia="宋体" w:cs="宋体"/>
          <w:spacing w:val="-21"/>
          <w:sz w:val="24"/>
          <w:szCs w:val="24"/>
          <w:highlight w:val="none"/>
        </w:rPr>
        <w:t>电话：</w:t>
      </w:r>
    </w:p>
    <w:p w14:paraId="2EE9B149">
      <w:pPr>
        <w:spacing w:before="179" w:line="219" w:lineRule="auto"/>
        <w:rPr>
          <w:rFonts w:ascii="宋体" w:hAnsi="宋体" w:eastAsia="宋体" w:cs="宋体"/>
          <w:sz w:val="24"/>
          <w:szCs w:val="24"/>
          <w:highlight w:val="none"/>
        </w:rPr>
      </w:pPr>
      <w:r>
        <w:rPr>
          <w:rFonts w:ascii="宋体" w:hAnsi="宋体" w:eastAsia="宋体" w:cs="宋体"/>
          <w:spacing w:val="-14"/>
          <w:sz w:val="24"/>
          <w:szCs w:val="24"/>
          <w:highlight w:val="none"/>
        </w:rPr>
        <w:t>传真：</w:t>
      </w:r>
    </w:p>
    <w:p w14:paraId="4C78A27F">
      <w:pPr>
        <w:spacing w:before="181" w:line="220" w:lineRule="auto"/>
        <w:ind w:left="30"/>
        <w:rPr>
          <w:rFonts w:ascii="宋体" w:hAnsi="宋体" w:eastAsia="宋体" w:cs="宋体"/>
          <w:sz w:val="24"/>
          <w:szCs w:val="24"/>
          <w:highlight w:val="none"/>
        </w:rPr>
      </w:pPr>
      <w:r>
        <w:rPr>
          <w:rFonts w:ascii="宋体" w:hAnsi="宋体" w:eastAsia="宋体" w:cs="宋体"/>
          <w:spacing w:val="-15"/>
          <w:sz w:val="24"/>
          <w:szCs w:val="24"/>
          <w:highlight w:val="none"/>
        </w:rPr>
        <w:t>电子信箱：</w:t>
      </w:r>
    </w:p>
    <w:p w14:paraId="22969290">
      <w:pPr>
        <w:spacing w:before="183" w:line="220" w:lineRule="auto"/>
        <w:ind w:left="2"/>
        <w:rPr>
          <w:rFonts w:ascii="宋体" w:hAnsi="宋体" w:eastAsia="宋体" w:cs="宋体"/>
          <w:sz w:val="24"/>
          <w:szCs w:val="24"/>
          <w:highlight w:val="none"/>
        </w:rPr>
      </w:pPr>
      <w:r>
        <w:rPr>
          <w:rFonts w:ascii="宋体" w:hAnsi="宋体" w:eastAsia="宋体" w:cs="宋体"/>
          <w:spacing w:val="-11"/>
          <w:sz w:val="24"/>
          <w:szCs w:val="24"/>
          <w:highlight w:val="none"/>
        </w:rPr>
        <w:t>开户银行：</w:t>
      </w:r>
    </w:p>
    <w:p w14:paraId="6949D193">
      <w:pPr>
        <w:spacing w:before="182" w:line="185" w:lineRule="auto"/>
        <w:ind w:left="5"/>
        <w:rPr>
          <w:rFonts w:ascii="宋体" w:hAnsi="宋体" w:eastAsia="宋体" w:cs="宋体"/>
          <w:sz w:val="24"/>
          <w:szCs w:val="24"/>
          <w:highlight w:val="none"/>
        </w:rPr>
      </w:pPr>
      <w:r>
        <w:rPr>
          <w:rFonts w:ascii="宋体" w:hAnsi="宋体" w:eastAsia="宋体" w:cs="宋体"/>
          <w:spacing w:val="-16"/>
          <w:sz w:val="24"/>
          <w:szCs w:val="24"/>
          <w:highlight w:val="none"/>
        </w:rPr>
        <w:t>账号：</w:t>
      </w:r>
    </w:p>
    <w:p w14:paraId="60F58C7D">
      <w:pPr>
        <w:spacing w:line="185" w:lineRule="auto"/>
        <w:rPr>
          <w:rFonts w:ascii="宋体" w:hAnsi="宋体" w:eastAsia="宋体" w:cs="宋体"/>
          <w:sz w:val="24"/>
          <w:szCs w:val="24"/>
          <w:highlight w:val="none"/>
        </w:rPr>
        <w:sectPr>
          <w:type w:val="continuous"/>
          <w:pgSz w:w="11907" w:h="16839"/>
          <w:pgMar w:top="1431" w:right="1077" w:bottom="1199" w:left="1567" w:header="0" w:footer="966" w:gutter="0"/>
          <w:cols w:equalWidth="0" w:num="2">
            <w:col w:w="5165" w:space="100"/>
            <w:col w:w="3998"/>
          </w:cols>
        </w:sectPr>
      </w:pPr>
    </w:p>
    <w:p w14:paraId="6EEC4E32">
      <w:pPr>
        <w:spacing w:before="99" w:line="223" w:lineRule="auto"/>
        <w:ind w:left="2781"/>
        <w:outlineLvl w:val="0"/>
        <w:rPr>
          <w:rFonts w:ascii="宋体" w:hAnsi="宋体" w:eastAsia="宋体" w:cs="宋体"/>
          <w:sz w:val="43"/>
          <w:szCs w:val="43"/>
          <w:highlight w:val="none"/>
        </w:rPr>
      </w:pPr>
      <w:bookmarkStart w:id="14" w:name="_Toc29602"/>
      <w:r>
        <w:rPr>
          <w:rFonts w:ascii="宋体" w:hAnsi="宋体" w:eastAsia="宋体" w:cs="宋体"/>
          <w:b/>
          <w:bCs/>
          <w:spacing w:val="4"/>
          <w:sz w:val="43"/>
          <w:szCs w:val="43"/>
          <w:highlight w:val="none"/>
        </w:rPr>
        <w:t>第四章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投标文件格式</w:t>
      </w:r>
      <w:bookmarkEnd w:id="14"/>
    </w:p>
    <w:p w14:paraId="579EFC09">
      <w:pPr>
        <w:pStyle w:val="3"/>
        <w:spacing w:line="323" w:lineRule="auto"/>
        <w:rPr>
          <w:highlight w:val="none"/>
        </w:rPr>
      </w:pPr>
    </w:p>
    <w:p w14:paraId="4DE70436">
      <w:pPr>
        <w:spacing w:before="101" w:line="225" w:lineRule="auto"/>
        <w:ind w:left="17"/>
        <w:outlineLvl w:val="1"/>
        <w:rPr>
          <w:rFonts w:ascii="宋体" w:hAnsi="宋体" w:eastAsia="宋体" w:cs="宋体"/>
          <w:sz w:val="31"/>
          <w:szCs w:val="31"/>
          <w:highlight w:val="none"/>
        </w:rPr>
      </w:pPr>
      <w:bookmarkStart w:id="15" w:name="bookmark22"/>
      <w:bookmarkEnd w:id="15"/>
      <w:bookmarkStart w:id="16" w:name="_Toc3060"/>
      <w:r>
        <w:rPr>
          <w:rFonts w:ascii="宋体" w:hAnsi="宋体" w:eastAsia="宋体" w:cs="宋体"/>
          <w:b/>
          <w:bCs/>
          <w:spacing w:val="1"/>
          <w:sz w:val="31"/>
          <w:szCs w:val="31"/>
          <w:highlight w:val="none"/>
        </w:rPr>
        <w:t>（一）商务标</w:t>
      </w:r>
      <w:bookmarkEnd w:id="16"/>
    </w:p>
    <w:p w14:paraId="2A6C4648">
      <w:pPr>
        <w:pStyle w:val="3"/>
        <w:spacing w:line="248" w:lineRule="auto"/>
        <w:rPr>
          <w:highlight w:val="none"/>
        </w:rPr>
      </w:pPr>
    </w:p>
    <w:p w14:paraId="45CDEC56">
      <w:pPr>
        <w:pStyle w:val="3"/>
        <w:spacing w:line="248" w:lineRule="auto"/>
        <w:rPr>
          <w:highlight w:val="none"/>
        </w:rPr>
      </w:pPr>
    </w:p>
    <w:p w14:paraId="23C4A00E">
      <w:pPr>
        <w:spacing w:before="78" w:line="220" w:lineRule="auto"/>
        <w:rPr>
          <w:rFonts w:ascii="宋体" w:hAnsi="宋体" w:eastAsia="宋体" w:cs="宋体"/>
          <w:sz w:val="24"/>
          <w:szCs w:val="24"/>
          <w:highlight w:val="none"/>
        </w:rPr>
      </w:pPr>
      <w:r>
        <w:rPr>
          <w:rFonts w:ascii="宋体" w:hAnsi="宋体" w:eastAsia="宋体" w:cs="宋体"/>
          <w:spacing w:val="-2"/>
          <w:sz w:val="24"/>
          <w:szCs w:val="24"/>
          <w:highlight w:val="none"/>
        </w:rPr>
        <w:t>封面格式</w:t>
      </w:r>
    </w:p>
    <w:p w14:paraId="5AB8413A">
      <w:pPr>
        <w:tabs>
          <w:tab w:val="left" w:pos="4275"/>
        </w:tabs>
        <w:spacing w:before="314" w:line="220" w:lineRule="auto"/>
        <w:ind w:left="4139"/>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b/>
          <w:bCs/>
          <w:spacing w:val="-25"/>
          <w:sz w:val="24"/>
          <w:szCs w:val="24"/>
          <w:highlight w:val="none"/>
          <w:u w:val="single" w:color="auto"/>
        </w:rPr>
        <w:t>（项目名称）</w:t>
      </w:r>
    </w:p>
    <w:p w14:paraId="7A775835">
      <w:pPr>
        <w:pStyle w:val="3"/>
        <w:spacing w:line="296" w:lineRule="auto"/>
        <w:rPr>
          <w:highlight w:val="none"/>
        </w:rPr>
      </w:pPr>
    </w:p>
    <w:p w14:paraId="3ECE1BE2">
      <w:pPr>
        <w:pStyle w:val="3"/>
        <w:spacing w:line="297" w:lineRule="auto"/>
        <w:rPr>
          <w:highlight w:val="none"/>
        </w:rPr>
      </w:pPr>
    </w:p>
    <w:p w14:paraId="151670B0">
      <w:pPr>
        <w:pStyle w:val="3"/>
        <w:spacing w:line="297" w:lineRule="auto"/>
        <w:rPr>
          <w:highlight w:val="none"/>
        </w:rPr>
      </w:pPr>
    </w:p>
    <w:p w14:paraId="6994DCB5">
      <w:pPr>
        <w:pStyle w:val="3"/>
        <w:spacing w:line="297" w:lineRule="auto"/>
        <w:rPr>
          <w:highlight w:val="none"/>
        </w:rPr>
      </w:pPr>
    </w:p>
    <w:p w14:paraId="078D194E">
      <w:pPr>
        <w:spacing w:before="169" w:line="220" w:lineRule="auto"/>
        <w:ind w:left="3847"/>
        <w:rPr>
          <w:rFonts w:ascii="宋体" w:hAnsi="宋体" w:eastAsia="宋体" w:cs="宋体"/>
          <w:sz w:val="52"/>
          <w:szCs w:val="52"/>
          <w:highlight w:val="none"/>
        </w:rPr>
      </w:pPr>
      <w:r>
        <w:rPr>
          <w:rFonts w:ascii="宋体" w:hAnsi="宋体" w:eastAsia="宋体" w:cs="宋体"/>
          <w:spacing w:val="-5"/>
          <w:sz w:val="52"/>
          <w:szCs w:val="52"/>
          <w:highlight w:val="none"/>
        </w:rPr>
        <w:t>投标文件</w:t>
      </w:r>
    </w:p>
    <w:p w14:paraId="43BAFCD7">
      <w:pPr>
        <w:pStyle w:val="3"/>
        <w:spacing w:line="246" w:lineRule="auto"/>
        <w:rPr>
          <w:highlight w:val="none"/>
        </w:rPr>
      </w:pPr>
    </w:p>
    <w:p w14:paraId="2B2C15BD">
      <w:pPr>
        <w:pStyle w:val="3"/>
        <w:spacing w:line="246" w:lineRule="auto"/>
        <w:rPr>
          <w:highlight w:val="none"/>
        </w:rPr>
      </w:pPr>
    </w:p>
    <w:p w14:paraId="15DEA0EB">
      <w:pPr>
        <w:pStyle w:val="3"/>
        <w:spacing w:line="246" w:lineRule="auto"/>
        <w:rPr>
          <w:highlight w:val="none"/>
        </w:rPr>
      </w:pPr>
    </w:p>
    <w:p w14:paraId="02142BCA">
      <w:pPr>
        <w:pStyle w:val="3"/>
        <w:spacing w:line="246" w:lineRule="auto"/>
        <w:rPr>
          <w:highlight w:val="none"/>
        </w:rPr>
      </w:pPr>
    </w:p>
    <w:p w14:paraId="13303928">
      <w:pPr>
        <w:pStyle w:val="3"/>
        <w:spacing w:line="246" w:lineRule="auto"/>
        <w:rPr>
          <w:highlight w:val="none"/>
        </w:rPr>
      </w:pPr>
    </w:p>
    <w:p w14:paraId="402303C0">
      <w:pPr>
        <w:pStyle w:val="3"/>
        <w:spacing w:line="246" w:lineRule="auto"/>
        <w:rPr>
          <w:highlight w:val="none"/>
        </w:rPr>
      </w:pPr>
    </w:p>
    <w:p w14:paraId="049B0FE0">
      <w:pPr>
        <w:pStyle w:val="3"/>
        <w:spacing w:line="246" w:lineRule="auto"/>
        <w:rPr>
          <w:highlight w:val="none"/>
        </w:rPr>
      </w:pPr>
    </w:p>
    <w:p w14:paraId="2C7FCBAD">
      <w:pPr>
        <w:pStyle w:val="3"/>
        <w:spacing w:line="246" w:lineRule="auto"/>
        <w:rPr>
          <w:highlight w:val="none"/>
        </w:rPr>
      </w:pPr>
    </w:p>
    <w:p w14:paraId="2B722DE0">
      <w:pPr>
        <w:pStyle w:val="3"/>
        <w:spacing w:line="247" w:lineRule="auto"/>
        <w:rPr>
          <w:highlight w:val="none"/>
        </w:rPr>
      </w:pPr>
    </w:p>
    <w:p w14:paraId="6E4827FA">
      <w:pPr>
        <w:pStyle w:val="3"/>
        <w:spacing w:line="247" w:lineRule="auto"/>
        <w:rPr>
          <w:highlight w:val="none"/>
        </w:rPr>
      </w:pPr>
    </w:p>
    <w:p w14:paraId="7744A306">
      <w:pPr>
        <w:pStyle w:val="3"/>
        <w:spacing w:line="247" w:lineRule="auto"/>
        <w:rPr>
          <w:highlight w:val="none"/>
        </w:rPr>
      </w:pPr>
    </w:p>
    <w:p w14:paraId="1F22126A">
      <w:pPr>
        <w:pStyle w:val="3"/>
        <w:spacing w:line="247" w:lineRule="auto"/>
        <w:rPr>
          <w:highlight w:val="none"/>
        </w:rPr>
      </w:pPr>
    </w:p>
    <w:p w14:paraId="58E88F87">
      <w:pPr>
        <w:pStyle w:val="3"/>
        <w:spacing w:line="247" w:lineRule="auto"/>
        <w:rPr>
          <w:highlight w:val="none"/>
        </w:rPr>
      </w:pPr>
    </w:p>
    <w:p w14:paraId="16D92086">
      <w:pPr>
        <w:pStyle w:val="3"/>
        <w:spacing w:line="247" w:lineRule="auto"/>
        <w:rPr>
          <w:highlight w:val="none"/>
        </w:rPr>
      </w:pPr>
    </w:p>
    <w:p w14:paraId="06AA14CB">
      <w:pPr>
        <w:pStyle w:val="3"/>
        <w:spacing w:line="247" w:lineRule="auto"/>
        <w:rPr>
          <w:highlight w:val="none"/>
        </w:rPr>
      </w:pPr>
    </w:p>
    <w:p w14:paraId="3766AB63">
      <w:pPr>
        <w:pStyle w:val="3"/>
        <w:spacing w:line="247" w:lineRule="auto"/>
        <w:rPr>
          <w:highlight w:val="none"/>
        </w:rPr>
      </w:pPr>
    </w:p>
    <w:p w14:paraId="3248FA7D">
      <w:pPr>
        <w:pStyle w:val="3"/>
        <w:spacing w:line="247" w:lineRule="auto"/>
        <w:rPr>
          <w:highlight w:val="none"/>
        </w:rPr>
      </w:pPr>
    </w:p>
    <w:p w14:paraId="3C3D595C">
      <w:pPr>
        <w:pStyle w:val="3"/>
        <w:spacing w:line="247" w:lineRule="auto"/>
        <w:rPr>
          <w:highlight w:val="none"/>
        </w:rPr>
      </w:pPr>
    </w:p>
    <w:p w14:paraId="41ED6E65">
      <w:pPr>
        <w:pStyle w:val="3"/>
        <w:spacing w:line="247" w:lineRule="auto"/>
        <w:rPr>
          <w:highlight w:val="none"/>
        </w:rPr>
      </w:pPr>
    </w:p>
    <w:p w14:paraId="7EE658D2">
      <w:pPr>
        <w:pStyle w:val="3"/>
        <w:spacing w:line="247" w:lineRule="auto"/>
        <w:rPr>
          <w:highlight w:val="none"/>
        </w:rPr>
      </w:pPr>
    </w:p>
    <w:p w14:paraId="7DEBE552">
      <w:pPr>
        <w:spacing w:before="79" w:line="220" w:lineRule="auto"/>
        <w:ind w:left="1408"/>
        <w:rPr>
          <w:rFonts w:ascii="宋体" w:hAnsi="宋体" w:eastAsia="宋体" w:cs="宋体"/>
          <w:sz w:val="24"/>
          <w:szCs w:val="24"/>
          <w:highlight w:val="none"/>
        </w:rPr>
      </w:pPr>
      <w:r>
        <w:rPr>
          <w:rFonts w:ascii="宋体" w:hAnsi="宋体" w:eastAsia="宋体" w:cs="宋体"/>
          <w:b/>
          <w:bCs/>
          <w:spacing w:val="-3"/>
          <w:sz w:val="24"/>
          <w:szCs w:val="24"/>
          <w:highlight w:val="none"/>
        </w:rPr>
        <w:t>投标文件内容：</w:t>
      </w:r>
      <w:r>
        <w:rPr>
          <w:rFonts w:ascii="宋体" w:hAnsi="宋体" w:eastAsia="宋体" w:cs="宋体"/>
          <w:spacing w:val="25"/>
          <w:sz w:val="24"/>
          <w:szCs w:val="24"/>
          <w:highlight w:val="none"/>
          <w:u w:val="single" w:color="auto"/>
        </w:rPr>
        <w:t xml:space="preserve">  </w:t>
      </w:r>
      <w:r>
        <w:rPr>
          <w:rFonts w:ascii="宋体" w:hAnsi="宋体" w:eastAsia="宋体" w:cs="宋体"/>
          <w:b/>
          <w:bCs/>
          <w:spacing w:val="-3"/>
          <w:sz w:val="24"/>
          <w:szCs w:val="24"/>
          <w:highlight w:val="none"/>
          <w:u w:val="single" w:color="auto"/>
        </w:rPr>
        <w:t>投标文件商务标</w:t>
      </w:r>
      <w:r>
        <w:rPr>
          <w:rFonts w:ascii="宋体" w:hAnsi="宋体" w:eastAsia="宋体" w:cs="宋体"/>
          <w:spacing w:val="-3"/>
          <w:sz w:val="24"/>
          <w:szCs w:val="24"/>
          <w:highlight w:val="none"/>
          <w:u w:val="single" w:color="auto"/>
        </w:rPr>
        <w:t xml:space="preserve">       </w:t>
      </w:r>
    </w:p>
    <w:p w14:paraId="664EA459">
      <w:pPr>
        <w:spacing w:before="314" w:line="219" w:lineRule="auto"/>
        <w:ind w:left="1429"/>
        <w:rPr>
          <w:rFonts w:ascii="宋体" w:hAnsi="宋体" w:eastAsia="宋体" w:cs="宋体"/>
          <w:sz w:val="24"/>
          <w:szCs w:val="24"/>
          <w:highlight w:val="none"/>
        </w:rPr>
      </w:pPr>
      <w:r>
        <w:rPr>
          <w:rFonts w:ascii="宋体" w:hAnsi="宋体" w:eastAsia="宋体" w:cs="宋体"/>
          <w:b/>
          <w:bCs/>
          <w:spacing w:val="-3"/>
          <w:sz w:val="24"/>
          <w:szCs w:val="24"/>
          <w:highlight w:val="none"/>
        </w:rPr>
        <w:t>投标人：</w:t>
      </w:r>
      <w:r>
        <w:rPr>
          <w:rFonts w:ascii="宋体" w:hAnsi="宋体" w:eastAsia="宋体" w:cs="宋体"/>
          <w:b/>
          <w:bCs/>
          <w:spacing w:val="-3"/>
          <w:sz w:val="24"/>
          <w:szCs w:val="24"/>
          <w:highlight w:val="none"/>
          <w:u w:val="single" w:color="auto"/>
        </w:rPr>
        <w:t>（盖公章）</w:t>
      </w:r>
    </w:p>
    <w:p w14:paraId="285ED925">
      <w:pPr>
        <w:spacing w:before="319" w:line="219" w:lineRule="auto"/>
        <w:ind w:left="1430"/>
        <w:rPr>
          <w:rFonts w:ascii="宋体" w:hAnsi="宋体" w:eastAsia="宋体" w:cs="宋体"/>
          <w:sz w:val="24"/>
          <w:szCs w:val="24"/>
          <w:highlight w:val="none"/>
        </w:rPr>
      </w:pPr>
      <w:r>
        <w:rPr>
          <w:rFonts w:ascii="宋体" w:hAnsi="宋体" w:eastAsia="宋体" w:cs="宋体"/>
          <w:b/>
          <w:bCs/>
          <w:spacing w:val="-4"/>
          <w:sz w:val="24"/>
          <w:szCs w:val="24"/>
          <w:highlight w:val="none"/>
        </w:rPr>
        <w:t>法定代表人或其委托代理人</w:t>
      </w:r>
      <w:r>
        <w:rPr>
          <w:rFonts w:ascii="宋体" w:hAnsi="宋体" w:eastAsia="宋体" w:cs="宋体"/>
          <w:b/>
          <w:bCs/>
          <w:spacing w:val="1"/>
          <w:sz w:val="24"/>
          <w:szCs w:val="24"/>
          <w:highlight w:val="none"/>
        </w:rPr>
        <w:t>：</w:t>
      </w:r>
      <w:r>
        <w:rPr>
          <w:rFonts w:ascii="宋体" w:hAnsi="宋体" w:eastAsia="宋体" w:cs="宋体"/>
          <w:b/>
          <w:bCs/>
          <w:spacing w:val="1"/>
          <w:sz w:val="24"/>
          <w:szCs w:val="24"/>
          <w:highlight w:val="none"/>
          <w:u w:val="single" w:color="auto"/>
        </w:rPr>
        <w:t>（</w:t>
      </w:r>
      <w:r>
        <w:rPr>
          <w:rFonts w:ascii="宋体" w:hAnsi="宋体" w:eastAsia="宋体" w:cs="宋体"/>
          <w:b/>
          <w:bCs/>
          <w:spacing w:val="-4"/>
          <w:sz w:val="24"/>
          <w:szCs w:val="24"/>
          <w:highlight w:val="none"/>
          <w:u w:val="single" w:color="auto"/>
        </w:rPr>
        <w:t>盖章）</w:t>
      </w:r>
      <w:r>
        <w:rPr>
          <w:rFonts w:ascii="宋体" w:hAnsi="宋体" w:eastAsia="宋体" w:cs="宋体"/>
          <w:spacing w:val="1"/>
          <w:sz w:val="24"/>
          <w:szCs w:val="24"/>
          <w:highlight w:val="none"/>
          <w:u w:val="single" w:color="auto"/>
        </w:rPr>
        <w:t xml:space="preserve"> </w:t>
      </w:r>
    </w:p>
    <w:p w14:paraId="3F97FF4D">
      <w:pPr>
        <w:pStyle w:val="3"/>
        <w:spacing w:line="278" w:lineRule="auto"/>
        <w:rPr>
          <w:highlight w:val="none"/>
        </w:rPr>
      </w:pPr>
    </w:p>
    <w:p w14:paraId="7DF3477D">
      <w:pPr>
        <w:pStyle w:val="3"/>
        <w:spacing w:line="279" w:lineRule="auto"/>
        <w:rPr>
          <w:highlight w:val="none"/>
        </w:rPr>
      </w:pPr>
    </w:p>
    <w:p w14:paraId="6B2D60D7">
      <w:pPr>
        <w:pStyle w:val="3"/>
        <w:spacing w:line="279" w:lineRule="auto"/>
        <w:rPr>
          <w:highlight w:val="none"/>
        </w:rPr>
      </w:pPr>
    </w:p>
    <w:p w14:paraId="5FED1DE6">
      <w:pPr>
        <w:spacing w:before="78" w:line="220" w:lineRule="auto"/>
        <w:ind w:left="4450"/>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9"/>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27"/>
          <w:sz w:val="24"/>
          <w:szCs w:val="24"/>
          <w:highlight w:val="none"/>
        </w:rPr>
        <w:t xml:space="preserve">  </w:t>
      </w:r>
      <w:r>
        <w:rPr>
          <w:rFonts w:ascii="宋体" w:hAnsi="宋体" w:eastAsia="宋体" w:cs="宋体"/>
          <w:b/>
          <w:bCs/>
          <w:spacing w:val="-12"/>
          <w:sz w:val="24"/>
          <w:szCs w:val="24"/>
          <w:highlight w:val="none"/>
        </w:rPr>
        <w:t>日</w:t>
      </w:r>
    </w:p>
    <w:p w14:paraId="524AC31B">
      <w:pPr>
        <w:spacing w:line="220" w:lineRule="auto"/>
        <w:rPr>
          <w:rFonts w:ascii="宋体" w:hAnsi="宋体" w:eastAsia="宋体" w:cs="宋体"/>
          <w:sz w:val="24"/>
          <w:szCs w:val="24"/>
          <w:highlight w:val="none"/>
        </w:rPr>
        <w:sectPr>
          <w:footerReference r:id="rId74" w:type="default"/>
          <w:pgSz w:w="11907" w:h="16839"/>
          <w:pgMar w:top="1431" w:right="1785" w:bottom="1127" w:left="1090" w:header="0" w:footer="894" w:gutter="0"/>
          <w:cols w:space="720" w:num="1"/>
        </w:sectPr>
      </w:pPr>
    </w:p>
    <w:p w14:paraId="05454D59">
      <w:pPr>
        <w:spacing w:before="180" w:line="221" w:lineRule="auto"/>
        <w:ind w:left="4173"/>
        <w:rPr>
          <w:rFonts w:ascii="宋体" w:hAnsi="宋体" w:eastAsia="宋体" w:cs="宋体"/>
          <w:sz w:val="28"/>
          <w:szCs w:val="28"/>
          <w:highlight w:val="red"/>
        </w:rPr>
      </w:pPr>
      <w:r>
        <w:rPr>
          <w:rFonts w:ascii="宋体" w:hAnsi="宋体" w:eastAsia="宋体" w:cs="宋体"/>
          <w:b/>
          <w:bCs/>
          <w:spacing w:val="-10"/>
          <w:sz w:val="28"/>
          <w:szCs w:val="28"/>
          <w:highlight w:val="red"/>
        </w:rPr>
        <w:t>一、投标函</w:t>
      </w:r>
    </w:p>
    <w:p w14:paraId="1246447C">
      <w:pPr>
        <w:pStyle w:val="3"/>
        <w:spacing w:line="323" w:lineRule="auto"/>
        <w:rPr>
          <w:highlight w:val="none"/>
        </w:rPr>
      </w:pPr>
    </w:p>
    <w:p w14:paraId="7BA1AB28">
      <w:pPr>
        <w:spacing w:before="78" w:line="220" w:lineRule="auto"/>
        <w:rPr>
          <w:rFonts w:ascii="宋体" w:hAnsi="宋体" w:eastAsia="宋体" w:cs="宋体"/>
          <w:sz w:val="24"/>
          <w:szCs w:val="24"/>
          <w:highlight w:val="none"/>
        </w:rPr>
      </w:pPr>
      <w:r>
        <w:rPr>
          <w:rFonts w:ascii="宋体" w:hAnsi="宋体" w:eastAsia="宋体" w:cs="宋体"/>
          <w:spacing w:val="-7"/>
          <w:sz w:val="24"/>
          <w:szCs w:val="24"/>
          <w:highlight w:val="none"/>
        </w:rPr>
        <w:t>致：</w:t>
      </w:r>
      <w:r>
        <w:rPr>
          <w:rFonts w:ascii="宋体" w:hAnsi="宋体" w:eastAsia="宋体" w:cs="宋体"/>
          <w:spacing w:val="-67"/>
          <w:sz w:val="24"/>
          <w:szCs w:val="24"/>
          <w:highlight w:val="none"/>
          <w:u w:val="single" w:color="auto"/>
        </w:rPr>
        <w:t xml:space="preserve"> </w:t>
      </w:r>
      <w:r>
        <w:rPr>
          <w:rFonts w:ascii="宋体" w:hAnsi="宋体" w:eastAsia="宋体" w:cs="宋体"/>
          <w:spacing w:val="-7"/>
          <w:sz w:val="24"/>
          <w:szCs w:val="24"/>
          <w:highlight w:val="none"/>
          <w:u w:val="single" w:color="auto"/>
        </w:rPr>
        <w:t>{招标人名称}</w:t>
      </w:r>
    </w:p>
    <w:p w14:paraId="7D22F3DB">
      <w:pPr>
        <w:spacing w:before="314" w:line="383" w:lineRule="auto"/>
        <w:ind w:firstLine="497"/>
        <w:rPr>
          <w:rFonts w:ascii="宋体" w:hAnsi="宋体" w:eastAsia="宋体" w:cs="宋体"/>
          <w:sz w:val="24"/>
          <w:szCs w:val="24"/>
          <w:highlight w:val="none"/>
        </w:rPr>
      </w:pPr>
      <w:r>
        <w:rPr>
          <w:rFonts w:ascii="宋体" w:hAnsi="宋体" w:eastAsia="宋体" w:cs="宋体"/>
          <w:spacing w:val="-1"/>
          <w:sz w:val="24"/>
          <w:szCs w:val="24"/>
          <w:highlight w:val="none"/>
        </w:rPr>
        <w:t>1、根据你方招标工程项目编号为</w:t>
      </w:r>
      <w:r>
        <w:rPr>
          <w:rFonts w:ascii="宋体" w:hAnsi="宋体" w:eastAsia="宋体" w:cs="宋体"/>
          <w:spacing w:val="-1"/>
          <w:sz w:val="24"/>
          <w:szCs w:val="24"/>
          <w:highlight w:val="none"/>
          <w:u w:val="single" w:color="auto"/>
        </w:rPr>
        <w:t>{项目编号</w:t>
      </w:r>
      <w:r>
        <w:rPr>
          <w:rFonts w:ascii="宋体" w:hAnsi="宋体" w:eastAsia="宋体" w:cs="宋体"/>
          <w:spacing w:val="-2"/>
          <w:sz w:val="24"/>
          <w:szCs w:val="24"/>
          <w:highlight w:val="none"/>
          <w:u w:val="single" w:color="auto"/>
        </w:rPr>
        <w:t>}</w:t>
      </w:r>
      <w:r>
        <w:rPr>
          <w:rFonts w:ascii="宋体" w:hAnsi="宋体" w:eastAsia="宋体" w:cs="宋体"/>
          <w:spacing w:val="-2"/>
          <w:sz w:val="24"/>
          <w:szCs w:val="24"/>
          <w:highlight w:val="none"/>
        </w:rPr>
        <w:t>的</w:t>
      </w:r>
      <w:r>
        <w:rPr>
          <w:rFonts w:ascii="宋体" w:hAnsi="宋体" w:eastAsia="宋体" w:cs="宋体"/>
          <w:spacing w:val="-69"/>
          <w:sz w:val="24"/>
          <w:szCs w:val="24"/>
          <w:highlight w:val="none"/>
          <w:u w:val="single" w:color="auto"/>
        </w:rPr>
        <w:t xml:space="preserve"> </w:t>
      </w:r>
      <w:r>
        <w:rPr>
          <w:rFonts w:ascii="宋体" w:hAnsi="宋体" w:eastAsia="宋体" w:cs="宋体"/>
          <w:spacing w:val="-2"/>
          <w:sz w:val="24"/>
          <w:szCs w:val="24"/>
          <w:highlight w:val="none"/>
          <w:u w:val="single" w:color="auto"/>
        </w:rPr>
        <w:t>{招标工程项目名称}</w:t>
      </w:r>
      <w:r>
        <w:rPr>
          <w:rFonts w:ascii="宋体" w:hAnsi="宋体" w:eastAsia="宋体" w:cs="宋体"/>
          <w:spacing w:val="-2"/>
          <w:sz w:val="24"/>
          <w:szCs w:val="24"/>
          <w:highlight w:val="none"/>
        </w:rPr>
        <w:t>招标文件，遵照《中</w:t>
      </w:r>
      <w:r>
        <w:rPr>
          <w:rFonts w:ascii="宋体" w:hAnsi="宋体" w:eastAsia="宋体" w:cs="宋体"/>
          <w:spacing w:val="-4"/>
          <w:sz w:val="24"/>
          <w:szCs w:val="24"/>
          <w:highlight w:val="none"/>
        </w:rPr>
        <w:t>华人民共和国招标投标法》等有关规定，</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经</w:t>
      </w:r>
      <w:r>
        <w:rPr>
          <w:rFonts w:ascii="宋体" w:hAnsi="宋体" w:eastAsia="宋体" w:cs="宋体"/>
          <w:spacing w:val="-5"/>
          <w:sz w:val="24"/>
          <w:szCs w:val="24"/>
          <w:highlight w:val="none"/>
        </w:rPr>
        <w:t>踏勘项目现场和研究上述招标文件的投标须知、合同条款、图纸和工程建设技术标准及其他有关文</w:t>
      </w:r>
      <w:r>
        <w:rPr>
          <w:rFonts w:ascii="宋体" w:hAnsi="宋体" w:eastAsia="宋体" w:cs="宋体"/>
          <w:spacing w:val="-6"/>
          <w:sz w:val="24"/>
          <w:szCs w:val="24"/>
          <w:highlight w:val="none"/>
        </w:rPr>
        <w:t>件后， 我方接受上述文件要求。我方愿以</w:t>
      </w:r>
      <w:r>
        <w:rPr>
          <w:rFonts w:ascii="宋体" w:hAnsi="宋体" w:eastAsia="宋体" w:cs="宋体"/>
          <w:spacing w:val="-6"/>
          <w:sz w:val="24"/>
          <w:szCs w:val="24"/>
          <w:highlight w:val="none"/>
          <w:u w:val="single" w:color="auto"/>
        </w:rPr>
        <w:t>百分</w:t>
      </w:r>
      <w:r>
        <w:rPr>
          <w:rFonts w:ascii="宋体" w:hAnsi="宋体" w:eastAsia="宋体" w:cs="宋体"/>
          <w:spacing w:val="-1"/>
          <w:sz w:val="24"/>
          <w:szCs w:val="24"/>
          <w:highlight w:val="none"/>
          <w:u w:val="single" w:color="auto"/>
        </w:rPr>
        <w:t xml:space="preserve">之    </w:t>
      </w:r>
      <w:r>
        <w:rPr>
          <w:rFonts w:ascii="宋体" w:hAnsi="宋体" w:eastAsia="宋体" w:cs="宋体"/>
          <w:spacing w:val="-1"/>
          <w:sz w:val="24"/>
          <w:szCs w:val="24"/>
          <w:highlight w:val="none"/>
        </w:rPr>
        <w:t>（小写</w:t>
      </w:r>
      <w:r>
        <w:rPr>
          <w:rFonts w:ascii="宋体" w:hAnsi="宋体" w:eastAsia="宋体" w:cs="宋体"/>
          <w:spacing w:val="-100"/>
          <w:sz w:val="24"/>
          <w:szCs w:val="24"/>
          <w:highlight w:val="none"/>
        </w:rPr>
        <w:t xml:space="preserve"> </w:t>
      </w:r>
      <w:r>
        <w:rPr>
          <w:rFonts w:ascii="宋体" w:hAnsi="宋体" w:eastAsia="宋体" w:cs="宋体"/>
          <w:spacing w:val="-90"/>
          <w:sz w:val="24"/>
          <w:szCs w:val="24"/>
          <w:highlight w:val="none"/>
          <w:u w:val="single" w:color="auto"/>
        </w:rPr>
        <w:t xml:space="preserve"> </w:t>
      </w:r>
      <w:r>
        <w:rPr>
          <w:rFonts w:ascii="宋体" w:hAnsi="宋体" w:eastAsia="宋体" w:cs="宋体"/>
          <w:spacing w:val="-1"/>
          <w:sz w:val="24"/>
          <w:szCs w:val="24"/>
          <w:highlight w:val="none"/>
          <w:u w:val="single" w:color="auto"/>
        </w:rPr>
        <w:t>：            %</w:t>
      </w:r>
      <w:r>
        <w:rPr>
          <w:rFonts w:ascii="宋体" w:hAnsi="宋体" w:eastAsia="宋体" w:cs="宋体"/>
          <w:spacing w:val="-1"/>
          <w:sz w:val="24"/>
          <w:szCs w:val="24"/>
          <w:highlight w:val="none"/>
        </w:rPr>
        <w:t>）的投标总报价（费率</w:t>
      </w:r>
      <w:r>
        <w:rPr>
          <w:rFonts w:ascii="宋体" w:hAnsi="宋体" w:eastAsia="宋体" w:cs="宋体"/>
          <w:spacing w:val="9"/>
          <w:sz w:val="24"/>
          <w:szCs w:val="24"/>
          <w:highlight w:val="none"/>
        </w:rPr>
        <w:t>），</w:t>
      </w:r>
      <w:r>
        <w:rPr>
          <w:rFonts w:ascii="宋体" w:hAnsi="宋体" w:eastAsia="宋体" w:cs="宋体"/>
          <w:spacing w:val="-1"/>
          <w:sz w:val="24"/>
          <w:szCs w:val="24"/>
          <w:highlight w:val="none"/>
        </w:rPr>
        <w:t>并承</w:t>
      </w:r>
      <w:r>
        <w:rPr>
          <w:rFonts w:ascii="宋体" w:hAnsi="宋体" w:eastAsia="宋体" w:cs="宋体"/>
          <w:spacing w:val="-2"/>
          <w:sz w:val="24"/>
          <w:szCs w:val="24"/>
          <w:highlight w:val="none"/>
        </w:rPr>
        <w:t>诺按本招标文件、合同条款和</w:t>
      </w:r>
      <w:r>
        <w:rPr>
          <w:rFonts w:ascii="宋体" w:hAnsi="宋体" w:eastAsia="宋体" w:cs="宋体"/>
          <w:spacing w:val="-8"/>
          <w:sz w:val="24"/>
          <w:szCs w:val="24"/>
          <w:highlight w:val="none"/>
        </w:rPr>
        <w:t>工程建设技术标准的条件、承担上述工程的设计、施工、竣工，</w:t>
      </w:r>
      <w:r>
        <w:rPr>
          <w:rFonts w:ascii="宋体" w:hAnsi="宋体" w:eastAsia="宋体" w:cs="宋体"/>
          <w:spacing w:val="-61"/>
          <w:sz w:val="24"/>
          <w:szCs w:val="24"/>
          <w:highlight w:val="none"/>
        </w:rPr>
        <w:t xml:space="preserve"> </w:t>
      </w:r>
      <w:r>
        <w:rPr>
          <w:rFonts w:ascii="宋体" w:hAnsi="宋体" w:eastAsia="宋体" w:cs="宋体"/>
          <w:spacing w:val="-8"/>
          <w:sz w:val="24"/>
          <w:szCs w:val="24"/>
          <w:highlight w:val="none"/>
        </w:rPr>
        <w:t>并承担任</w:t>
      </w:r>
      <w:r>
        <w:rPr>
          <w:rFonts w:ascii="宋体" w:hAnsi="宋体" w:eastAsia="宋体" w:cs="宋体"/>
          <w:spacing w:val="-9"/>
          <w:sz w:val="24"/>
          <w:szCs w:val="24"/>
          <w:highlight w:val="none"/>
        </w:rPr>
        <w:t>何质量缺陷保修责任；</w:t>
      </w:r>
      <w:r>
        <w:rPr>
          <w:rFonts w:ascii="宋体" w:hAnsi="宋体" w:eastAsia="宋体" w:cs="宋体"/>
          <w:spacing w:val="-2"/>
          <w:sz w:val="24"/>
          <w:szCs w:val="24"/>
          <w:highlight w:val="none"/>
        </w:rPr>
        <w:t>负责运营内容。</w:t>
      </w:r>
    </w:p>
    <w:p w14:paraId="29B2F331">
      <w:pPr>
        <w:spacing w:before="318" w:line="316" w:lineRule="auto"/>
        <w:ind w:left="2" w:right="70" w:firstLine="420"/>
        <w:rPr>
          <w:rFonts w:ascii="宋体" w:hAnsi="宋体" w:eastAsia="宋体" w:cs="宋体"/>
          <w:sz w:val="24"/>
          <w:szCs w:val="24"/>
          <w:highlight w:val="none"/>
        </w:rPr>
      </w:pPr>
      <w:r>
        <w:rPr>
          <w:rFonts w:ascii="宋体" w:hAnsi="宋体" w:eastAsia="宋体" w:cs="宋体"/>
          <w:spacing w:val="2"/>
          <w:sz w:val="24"/>
          <w:szCs w:val="24"/>
          <w:highlight w:val="none"/>
        </w:rPr>
        <w:t>2、我方已详细审核并确认全部招标文件及有关</w:t>
      </w:r>
      <w:r>
        <w:rPr>
          <w:rFonts w:ascii="宋体" w:hAnsi="宋体" w:eastAsia="宋体" w:cs="宋体"/>
          <w:spacing w:val="1"/>
          <w:sz w:val="24"/>
          <w:szCs w:val="24"/>
          <w:highlight w:val="none"/>
        </w:rPr>
        <w:t>附件，充分理解投标价格不得低于企业个</w:t>
      </w:r>
      <w:r>
        <w:rPr>
          <w:rFonts w:ascii="宋体" w:hAnsi="宋体" w:eastAsia="宋体" w:cs="宋体"/>
          <w:spacing w:val="-1"/>
          <w:sz w:val="24"/>
          <w:szCs w:val="24"/>
          <w:highlight w:val="none"/>
        </w:rPr>
        <w:t>别成本有关规定。我方经成本核算，所填报的投</w:t>
      </w:r>
      <w:r>
        <w:rPr>
          <w:rFonts w:ascii="宋体" w:hAnsi="宋体" w:eastAsia="宋体" w:cs="宋体"/>
          <w:spacing w:val="-2"/>
          <w:sz w:val="24"/>
          <w:szCs w:val="24"/>
          <w:highlight w:val="none"/>
        </w:rPr>
        <w:t>标报价不低于企业个别成本。</w:t>
      </w:r>
    </w:p>
    <w:p w14:paraId="23FC43EA">
      <w:pPr>
        <w:spacing w:before="316" w:line="219" w:lineRule="auto"/>
        <w:ind w:left="646"/>
        <w:rPr>
          <w:rFonts w:ascii="宋体" w:hAnsi="宋体" w:eastAsia="宋体" w:cs="宋体"/>
          <w:sz w:val="24"/>
          <w:szCs w:val="24"/>
          <w:highlight w:val="none"/>
        </w:rPr>
      </w:pPr>
      <w:r>
        <w:rPr>
          <w:rFonts w:ascii="宋体" w:hAnsi="宋体" w:eastAsia="宋体" w:cs="宋体"/>
          <w:spacing w:val="-2"/>
          <w:sz w:val="24"/>
          <w:szCs w:val="24"/>
          <w:highlight w:val="none"/>
        </w:rPr>
        <w:t>3、我方承认投标函附录是我方投标函的组成</w:t>
      </w:r>
      <w:r>
        <w:rPr>
          <w:rFonts w:ascii="宋体" w:hAnsi="宋体" w:eastAsia="宋体" w:cs="宋体"/>
          <w:spacing w:val="-3"/>
          <w:sz w:val="24"/>
          <w:szCs w:val="24"/>
          <w:highlight w:val="none"/>
        </w:rPr>
        <w:t>部分。</w:t>
      </w:r>
    </w:p>
    <w:p w14:paraId="01099B12">
      <w:pPr>
        <w:pStyle w:val="3"/>
        <w:rPr>
          <w:highlight w:val="none"/>
        </w:rPr>
      </w:pPr>
    </w:p>
    <w:p w14:paraId="1469276E">
      <w:pPr>
        <w:spacing w:before="79" w:line="350" w:lineRule="auto"/>
        <w:ind w:left="2" w:right="59" w:firstLine="416"/>
        <w:rPr>
          <w:rFonts w:ascii="宋体" w:hAnsi="宋体" w:eastAsia="宋体" w:cs="宋体"/>
          <w:sz w:val="24"/>
          <w:szCs w:val="24"/>
          <w:highlight w:val="none"/>
        </w:rPr>
      </w:pPr>
      <w:r>
        <w:rPr>
          <w:rFonts w:ascii="宋体" w:hAnsi="宋体" w:eastAsia="宋体" w:cs="宋体"/>
          <w:sz w:val="24"/>
          <w:szCs w:val="24"/>
          <w:highlight w:val="none"/>
        </w:rPr>
        <w:t>4、一旦我方中标，我方保证按</w:t>
      </w:r>
      <w:r>
        <w:rPr>
          <w:rFonts w:ascii="宋体" w:hAnsi="宋体" w:eastAsia="宋体" w:cs="宋体"/>
          <w:spacing w:val="-113"/>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68"/>
          <w:sz w:val="24"/>
          <w:szCs w:val="24"/>
          <w:highlight w:val="none"/>
        </w:rPr>
        <w:t xml:space="preserve"> </w:t>
      </w:r>
      <w:r>
        <w:rPr>
          <w:rFonts w:ascii="宋体" w:hAnsi="宋体" w:eastAsia="宋体" w:cs="宋体"/>
          <w:sz w:val="24"/>
          <w:szCs w:val="24"/>
          <w:highlight w:val="none"/>
        </w:rPr>
        <w:t>日历天的工期和招标文件或业主开工令</w:t>
      </w:r>
      <w:r>
        <w:rPr>
          <w:rFonts w:ascii="宋体" w:hAnsi="宋体" w:eastAsia="宋体" w:cs="宋体"/>
          <w:spacing w:val="-3"/>
          <w:sz w:val="24"/>
          <w:szCs w:val="24"/>
          <w:highlight w:val="none"/>
        </w:rPr>
        <w:t>的要求如期开工、竣工并移交整个工程；按招标文件规定运营期限负责项目运营服务的全部内</w:t>
      </w:r>
      <w:r>
        <w:rPr>
          <w:rFonts w:ascii="宋体" w:hAnsi="宋体" w:eastAsia="宋体" w:cs="宋体"/>
          <w:spacing w:val="-7"/>
          <w:sz w:val="24"/>
          <w:szCs w:val="24"/>
          <w:highlight w:val="none"/>
        </w:rPr>
        <w:t>容。</w:t>
      </w:r>
    </w:p>
    <w:p w14:paraId="2B251324">
      <w:pPr>
        <w:spacing w:before="316" w:line="220" w:lineRule="auto"/>
        <w:ind w:left="425"/>
        <w:rPr>
          <w:rFonts w:ascii="宋体" w:hAnsi="宋体" w:eastAsia="宋体" w:cs="宋体"/>
          <w:sz w:val="24"/>
          <w:szCs w:val="24"/>
          <w:highlight w:val="none"/>
        </w:rPr>
      </w:pPr>
      <w:r>
        <w:rPr>
          <w:rFonts w:ascii="宋体" w:hAnsi="宋体" w:eastAsia="宋体" w:cs="宋体"/>
          <w:spacing w:val="-3"/>
          <w:sz w:val="24"/>
          <w:szCs w:val="24"/>
          <w:highlight w:val="none"/>
        </w:rPr>
        <w:t>5、一旦我方中标，我方保证质量达到以下标准：</w:t>
      </w:r>
    </w:p>
    <w:p w14:paraId="50AAE52D">
      <w:pPr>
        <w:spacing w:before="317" w:line="317" w:lineRule="auto"/>
        <w:ind w:left="2" w:right="65" w:firstLine="422"/>
        <w:rPr>
          <w:rFonts w:ascii="宋体" w:hAnsi="宋体" w:eastAsia="宋体" w:cs="宋体"/>
          <w:sz w:val="24"/>
          <w:szCs w:val="24"/>
          <w:highlight w:val="none"/>
        </w:rPr>
      </w:pPr>
      <w:r>
        <w:rPr>
          <w:rFonts w:ascii="宋体" w:hAnsi="宋体" w:eastAsia="宋体" w:cs="宋体"/>
          <w:spacing w:val="-1"/>
          <w:sz w:val="24"/>
          <w:szCs w:val="24"/>
          <w:highlight w:val="none"/>
        </w:rPr>
        <w:t>5.1</w:t>
      </w:r>
      <w:r>
        <w:rPr>
          <w:rFonts w:ascii="宋体" w:hAnsi="宋体" w:eastAsia="宋体" w:cs="宋体"/>
          <w:spacing w:val="-16"/>
          <w:sz w:val="24"/>
          <w:szCs w:val="24"/>
          <w:highlight w:val="none"/>
        </w:rPr>
        <w:t xml:space="preserve"> </w:t>
      </w:r>
      <w:r>
        <w:rPr>
          <w:rFonts w:ascii="宋体" w:hAnsi="宋体" w:eastAsia="宋体" w:cs="宋体"/>
          <w:spacing w:val="-1"/>
          <w:sz w:val="24"/>
          <w:szCs w:val="24"/>
          <w:highlight w:val="none"/>
        </w:rPr>
        <w:t>设计要求的质量标准：符合现行国家、地方及行业相关设计规范要求，确保通过有关</w:t>
      </w:r>
      <w:r>
        <w:rPr>
          <w:rFonts w:ascii="宋体" w:hAnsi="宋体" w:eastAsia="宋体" w:cs="宋体"/>
          <w:spacing w:val="-10"/>
          <w:sz w:val="24"/>
          <w:szCs w:val="24"/>
          <w:highlight w:val="none"/>
        </w:rPr>
        <w:t>部门的审查；</w:t>
      </w:r>
    </w:p>
    <w:p w14:paraId="7644D192">
      <w:pPr>
        <w:spacing w:before="317" w:line="219" w:lineRule="auto"/>
        <w:ind w:left="425"/>
        <w:rPr>
          <w:rFonts w:ascii="宋体" w:hAnsi="宋体" w:eastAsia="宋体" w:cs="宋体"/>
          <w:sz w:val="24"/>
          <w:szCs w:val="24"/>
          <w:highlight w:val="none"/>
        </w:rPr>
      </w:pPr>
      <w:r>
        <w:rPr>
          <w:rFonts w:ascii="宋体" w:hAnsi="宋体" w:eastAsia="宋体" w:cs="宋体"/>
          <w:spacing w:val="-5"/>
          <w:sz w:val="24"/>
          <w:szCs w:val="24"/>
          <w:highlight w:val="none"/>
        </w:rPr>
        <w:t>5.2</w:t>
      </w:r>
      <w:r>
        <w:rPr>
          <w:rFonts w:ascii="宋体" w:hAnsi="宋体" w:eastAsia="宋体" w:cs="宋体"/>
          <w:spacing w:val="-47"/>
          <w:sz w:val="24"/>
          <w:szCs w:val="24"/>
          <w:highlight w:val="none"/>
        </w:rPr>
        <w:t xml:space="preserve"> </w:t>
      </w:r>
      <w:r>
        <w:rPr>
          <w:rFonts w:ascii="宋体" w:hAnsi="宋体" w:eastAsia="宋体" w:cs="宋体"/>
          <w:spacing w:val="-5"/>
          <w:sz w:val="24"/>
          <w:szCs w:val="24"/>
          <w:highlight w:val="none"/>
        </w:rPr>
        <w:t>采购要求的质量标准：合格；</w:t>
      </w:r>
    </w:p>
    <w:p w14:paraId="27310C51">
      <w:pPr>
        <w:spacing w:before="317" w:line="220" w:lineRule="auto"/>
        <w:ind w:left="425"/>
        <w:rPr>
          <w:rFonts w:ascii="宋体" w:hAnsi="宋体" w:eastAsia="宋体" w:cs="宋体"/>
          <w:sz w:val="24"/>
          <w:szCs w:val="24"/>
          <w:highlight w:val="none"/>
        </w:rPr>
      </w:pPr>
      <w:r>
        <w:rPr>
          <w:rFonts w:ascii="宋体" w:hAnsi="宋体" w:eastAsia="宋体" w:cs="宋体"/>
          <w:spacing w:val="-2"/>
          <w:sz w:val="24"/>
          <w:szCs w:val="24"/>
          <w:highlight w:val="none"/>
        </w:rPr>
        <w:t>5.3</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施工要求的质量标准：满足国家、省市行业等相关要求</w:t>
      </w:r>
      <w:r>
        <w:rPr>
          <w:rFonts w:ascii="宋体" w:hAnsi="宋体" w:eastAsia="宋体" w:cs="宋体"/>
          <w:spacing w:val="-3"/>
          <w:sz w:val="24"/>
          <w:szCs w:val="24"/>
          <w:highlight w:val="none"/>
        </w:rPr>
        <w:t>，达到合格标准；</w:t>
      </w:r>
    </w:p>
    <w:p w14:paraId="1F01EDE9">
      <w:pPr>
        <w:spacing w:before="315" w:line="220" w:lineRule="auto"/>
        <w:ind w:left="425"/>
        <w:rPr>
          <w:rFonts w:ascii="宋体" w:hAnsi="宋体" w:eastAsia="宋体" w:cs="宋体"/>
          <w:sz w:val="24"/>
          <w:szCs w:val="24"/>
          <w:highlight w:val="none"/>
        </w:rPr>
      </w:pPr>
      <w:r>
        <w:rPr>
          <w:rFonts w:ascii="宋体" w:hAnsi="宋体" w:eastAsia="宋体" w:cs="宋体"/>
          <w:spacing w:val="-4"/>
          <w:sz w:val="24"/>
          <w:szCs w:val="24"/>
          <w:highlight w:val="none"/>
        </w:rPr>
        <w:t>5.4</w:t>
      </w:r>
      <w:r>
        <w:rPr>
          <w:rFonts w:ascii="宋体" w:hAnsi="宋体" w:eastAsia="宋体" w:cs="宋体"/>
          <w:spacing w:val="-43"/>
          <w:sz w:val="24"/>
          <w:szCs w:val="24"/>
          <w:highlight w:val="none"/>
        </w:rPr>
        <w:t xml:space="preserve"> </w:t>
      </w:r>
      <w:r>
        <w:rPr>
          <w:rFonts w:ascii="宋体" w:hAnsi="宋体" w:eastAsia="宋体" w:cs="宋体"/>
          <w:spacing w:val="-4"/>
          <w:sz w:val="24"/>
          <w:szCs w:val="24"/>
          <w:highlight w:val="none"/>
        </w:rPr>
        <w:t>运营要求的质量标准：合格。</w:t>
      </w:r>
    </w:p>
    <w:p w14:paraId="5D6682CB">
      <w:pPr>
        <w:spacing w:before="318" w:line="317" w:lineRule="auto"/>
        <w:ind w:left="2" w:right="60" w:firstLine="419"/>
        <w:rPr>
          <w:rFonts w:ascii="宋体" w:hAnsi="宋体" w:eastAsia="宋体" w:cs="宋体"/>
          <w:sz w:val="24"/>
          <w:szCs w:val="24"/>
          <w:highlight w:val="none"/>
        </w:rPr>
      </w:pPr>
      <w:r>
        <w:rPr>
          <w:rFonts w:ascii="宋体" w:hAnsi="宋体" w:eastAsia="宋体" w:cs="宋体"/>
          <w:spacing w:val="2"/>
          <w:sz w:val="24"/>
          <w:szCs w:val="24"/>
          <w:highlight w:val="none"/>
        </w:rPr>
        <w:t>6、一旦我方中标，我方保证投标文件中承诺的项目管理班子及施工机械</w:t>
      </w:r>
      <w:r>
        <w:rPr>
          <w:rFonts w:ascii="宋体" w:hAnsi="宋体" w:eastAsia="宋体" w:cs="宋体"/>
          <w:spacing w:val="1"/>
          <w:sz w:val="24"/>
          <w:szCs w:val="24"/>
          <w:highlight w:val="none"/>
        </w:rPr>
        <w:t>设备到位，并按</w:t>
      </w:r>
      <w:r>
        <w:rPr>
          <w:rFonts w:ascii="宋体" w:hAnsi="宋体" w:eastAsia="宋体" w:cs="宋体"/>
          <w:spacing w:val="-3"/>
          <w:sz w:val="24"/>
          <w:szCs w:val="24"/>
          <w:highlight w:val="none"/>
        </w:rPr>
        <w:t>投标文件中的施工组织设计组织施工。</w:t>
      </w:r>
    </w:p>
    <w:p w14:paraId="6406D0F5">
      <w:pPr>
        <w:pStyle w:val="3"/>
        <w:spacing w:line="241" w:lineRule="auto"/>
        <w:rPr>
          <w:highlight w:val="none"/>
        </w:rPr>
      </w:pPr>
    </w:p>
    <w:p w14:paraId="1A3F0615">
      <w:pPr>
        <w:spacing w:before="78" w:line="316" w:lineRule="auto"/>
        <w:ind w:left="1" w:right="62" w:firstLine="424"/>
        <w:rPr>
          <w:rFonts w:ascii="宋体" w:hAnsi="宋体" w:eastAsia="宋体" w:cs="宋体"/>
          <w:sz w:val="24"/>
          <w:szCs w:val="24"/>
          <w:highlight w:val="none"/>
        </w:rPr>
      </w:pPr>
      <w:r>
        <w:rPr>
          <w:rFonts w:ascii="宋体" w:hAnsi="宋体" w:eastAsia="宋体" w:cs="宋体"/>
          <w:spacing w:val="2"/>
          <w:sz w:val="24"/>
          <w:szCs w:val="24"/>
          <w:highlight w:val="none"/>
        </w:rPr>
        <w:t>7、一旦我方中标，我方保证用于本工程的主要材料、设备，</w:t>
      </w:r>
      <w:r>
        <w:rPr>
          <w:rFonts w:ascii="宋体" w:hAnsi="宋体" w:eastAsia="宋体" w:cs="宋体"/>
          <w:spacing w:val="1"/>
          <w:sz w:val="24"/>
          <w:szCs w:val="24"/>
          <w:highlight w:val="none"/>
        </w:rPr>
        <w:t>不低于招标文件规定和投标</w:t>
      </w:r>
      <w:r>
        <w:rPr>
          <w:rFonts w:ascii="宋体" w:hAnsi="宋体" w:eastAsia="宋体" w:cs="宋体"/>
          <w:spacing w:val="-1"/>
          <w:sz w:val="24"/>
          <w:szCs w:val="24"/>
          <w:highlight w:val="none"/>
        </w:rPr>
        <w:t>文件承诺的合格产品，并在使用之前经建设、</w:t>
      </w:r>
      <w:r>
        <w:rPr>
          <w:rFonts w:ascii="宋体" w:hAnsi="宋体" w:eastAsia="宋体" w:cs="宋体"/>
          <w:spacing w:val="-2"/>
          <w:sz w:val="24"/>
          <w:szCs w:val="24"/>
          <w:highlight w:val="none"/>
        </w:rPr>
        <w:t>监理、设计单位确认后使用。</w:t>
      </w:r>
    </w:p>
    <w:p w14:paraId="76BA6B1D">
      <w:pPr>
        <w:spacing w:line="316" w:lineRule="auto"/>
        <w:rPr>
          <w:rFonts w:ascii="宋体" w:hAnsi="宋体" w:eastAsia="宋体" w:cs="宋体"/>
          <w:sz w:val="24"/>
          <w:szCs w:val="24"/>
          <w:highlight w:val="none"/>
        </w:rPr>
        <w:sectPr>
          <w:footerReference r:id="rId75" w:type="default"/>
          <w:pgSz w:w="11907" w:h="16839"/>
          <w:pgMar w:top="1431" w:right="1018" w:bottom="1127" w:left="1091" w:header="0" w:footer="896" w:gutter="0"/>
          <w:cols w:space="720" w:num="1"/>
        </w:sectPr>
      </w:pPr>
    </w:p>
    <w:p w14:paraId="7F9C633A">
      <w:pPr>
        <w:spacing w:before="233" w:line="317" w:lineRule="auto"/>
        <w:ind w:right="84" w:firstLine="421"/>
        <w:rPr>
          <w:rFonts w:ascii="宋体" w:hAnsi="宋体" w:eastAsia="宋体" w:cs="宋体"/>
          <w:sz w:val="24"/>
          <w:szCs w:val="24"/>
          <w:highlight w:val="none"/>
        </w:rPr>
      </w:pPr>
      <w:r>
        <w:rPr>
          <w:rFonts w:ascii="宋体" w:hAnsi="宋体" w:eastAsia="宋体" w:cs="宋体"/>
          <w:spacing w:val="2"/>
          <w:sz w:val="24"/>
          <w:szCs w:val="24"/>
          <w:highlight w:val="none"/>
        </w:rPr>
        <w:t>8、一旦我方中标，我方保证在规定的时间内由我方法定代表人亲自签订合</w:t>
      </w:r>
      <w:r>
        <w:rPr>
          <w:rFonts w:ascii="宋体" w:hAnsi="宋体" w:eastAsia="宋体" w:cs="宋体"/>
          <w:spacing w:val="1"/>
          <w:sz w:val="24"/>
          <w:szCs w:val="24"/>
          <w:highlight w:val="none"/>
        </w:rPr>
        <w:t>同或其授权委</w:t>
      </w:r>
      <w:r>
        <w:rPr>
          <w:rFonts w:ascii="宋体" w:hAnsi="宋体" w:eastAsia="宋体" w:cs="宋体"/>
          <w:spacing w:val="-1"/>
          <w:sz w:val="24"/>
          <w:szCs w:val="24"/>
          <w:highlight w:val="none"/>
        </w:rPr>
        <w:t>托代理人签订合同以及及时进场施工，并认真</w:t>
      </w:r>
      <w:r>
        <w:rPr>
          <w:rFonts w:ascii="宋体" w:hAnsi="宋体" w:eastAsia="宋体" w:cs="宋体"/>
          <w:spacing w:val="-2"/>
          <w:sz w:val="24"/>
          <w:szCs w:val="24"/>
          <w:highlight w:val="none"/>
        </w:rPr>
        <w:t>履行合同和其它各项承诺。</w:t>
      </w:r>
    </w:p>
    <w:p w14:paraId="4C6EDFEA">
      <w:pPr>
        <w:spacing w:before="319" w:line="317" w:lineRule="auto"/>
        <w:ind w:left="3" w:right="94" w:firstLine="417"/>
        <w:rPr>
          <w:rFonts w:ascii="宋体" w:hAnsi="宋体" w:eastAsia="宋体" w:cs="宋体"/>
          <w:sz w:val="24"/>
          <w:szCs w:val="24"/>
          <w:highlight w:val="none"/>
        </w:rPr>
      </w:pPr>
      <w:r>
        <w:rPr>
          <w:rFonts w:ascii="宋体" w:hAnsi="宋体" w:eastAsia="宋体" w:cs="宋体"/>
          <w:spacing w:val="2"/>
          <w:sz w:val="24"/>
          <w:szCs w:val="24"/>
          <w:highlight w:val="none"/>
        </w:rPr>
        <w:t>9、一旦我方中标，我方保证在规定的时间内按招标</w:t>
      </w:r>
      <w:r>
        <w:rPr>
          <w:rFonts w:ascii="宋体" w:hAnsi="宋体" w:eastAsia="宋体" w:cs="宋体"/>
          <w:spacing w:val="1"/>
          <w:sz w:val="24"/>
          <w:szCs w:val="24"/>
          <w:highlight w:val="none"/>
        </w:rPr>
        <w:t>文件规定的方式、金额向招标人提交</w:t>
      </w:r>
      <w:r>
        <w:rPr>
          <w:rFonts w:ascii="宋体" w:hAnsi="宋体" w:eastAsia="宋体" w:cs="宋体"/>
          <w:spacing w:val="-8"/>
          <w:sz w:val="24"/>
          <w:szCs w:val="24"/>
          <w:highlight w:val="none"/>
        </w:rPr>
        <w:t>履约担保。</w:t>
      </w:r>
    </w:p>
    <w:p w14:paraId="3019105E">
      <w:pPr>
        <w:spacing w:before="317" w:line="317" w:lineRule="auto"/>
        <w:ind w:left="2" w:right="96" w:firstLine="435"/>
        <w:rPr>
          <w:rFonts w:ascii="宋体" w:hAnsi="宋体" w:eastAsia="宋体" w:cs="宋体"/>
          <w:sz w:val="24"/>
          <w:szCs w:val="24"/>
          <w:highlight w:val="none"/>
        </w:rPr>
      </w:pPr>
      <w:r>
        <w:rPr>
          <w:rFonts w:ascii="宋体" w:hAnsi="宋体" w:eastAsia="宋体" w:cs="宋体"/>
          <w:spacing w:val="-5"/>
          <w:sz w:val="24"/>
          <w:szCs w:val="24"/>
          <w:highlight w:val="none"/>
        </w:rPr>
        <w:t>10、我方同意所提交的投标文件在招标文件的投标须知中规定的投标有效期内有效， 在此</w:t>
      </w:r>
      <w:r>
        <w:rPr>
          <w:rFonts w:ascii="宋体" w:hAnsi="宋体" w:eastAsia="宋体" w:cs="宋体"/>
          <w:spacing w:val="-3"/>
          <w:sz w:val="24"/>
          <w:szCs w:val="24"/>
          <w:highlight w:val="none"/>
        </w:rPr>
        <w:t>期间内如果中标，我方将受此约束。</w:t>
      </w:r>
    </w:p>
    <w:p w14:paraId="1898AD91">
      <w:pPr>
        <w:pStyle w:val="3"/>
        <w:rPr>
          <w:highlight w:val="none"/>
        </w:rPr>
      </w:pPr>
    </w:p>
    <w:p w14:paraId="379B762C">
      <w:pPr>
        <w:spacing w:before="78" w:line="316" w:lineRule="auto"/>
        <w:ind w:left="4" w:firstLine="433"/>
        <w:rPr>
          <w:rFonts w:ascii="宋体" w:hAnsi="宋体" w:eastAsia="宋体" w:cs="宋体"/>
          <w:sz w:val="24"/>
          <w:szCs w:val="24"/>
          <w:highlight w:val="none"/>
        </w:rPr>
      </w:pPr>
      <w:r>
        <w:rPr>
          <w:rFonts w:ascii="宋体" w:hAnsi="宋体" w:eastAsia="宋体" w:cs="宋体"/>
          <w:spacing w:val="-5"/>
          <w:sz w:val="24"/>
          <w:szCs w:val="24"/>
          <w:highlight w:val="none"/>
        </w:rPr>
        <w:t>11、一旦我方中标，我方保证自工程开工之日起对投标文</w:t>
      </w:r>
      <w:r>
        <w:rPr>
          <w:rFonts w:ascii="宋体" w:hAnsi="宋体" w:eastAsia="宋体" w:cs="宋体"/>
          <w:spacing w:val="-6"/>
          <w:sz w:val="24"/>
          <w:szCs w:val="24"/>
          <w:highlight w:val="none"/>
        </w:rPr>
        <w:t>件中所报项目经理、技术负责人、</w:t>
      </w:r>
      <w:r>
        <w:rPr>
          <w:rFonts w:ascii="宋体" w:hAnsi="宋体" w:eastAsia="宋体" w:cs="宋体"/>
          <w:spacing w:val="-2"/>
          <w:sz w:val="24"/>
          <w:szCs w:val="24"/>
          <w:highlight w:val="none"/>
        </w:rPr>
        <w:t>安全员、质量员、施工员采用“IFA</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”(人脸识别)</w:t>
      </w:r>
      <w:r>
        <w:rPr>
          <w:rFonts w:ascii="宋体" w:hAnsi="宋体" w:eastAsia="宋体" w:cs="宋体"/>
          <w:spacing w:val="-3"/>
          <w:sz w:val="24"/>
          <w:szCs w:val="24"/>
          <w:highlight w:val="none"/>
        </w:rPr>
        <w:t>系统进行考勤、考核。</w:t>
      </w:r>
    </w:p>
    <w:p w14:paraId="56FC8CC3">
      <w:pPr>
        <w:spacing w:before="316" w:line="317" w:lineRule="auto"/>
        <w:ind w:right="99" w:firstLine="438"/>
        <w:rPr>
          <w:rFonts w:ascii="宋体" w:hAnsi="宋体" w:eastAsia="宋体" w:cs="宋体"/>
          <w:sz w:val="24"/>
          <w:szCs w:val="24"/>
          <w:highlight w:val="none"/>
        </w:rPr>
      </w:pPr>
      <w:r>
        <w:rPr>
          <w:rFonts w:ascii="宋体" w:hAnsi="宋体" w:eastAsia="宋体" w:cs="宋体"/>
          <w:spacing w:val="-2"/>
          <w:sz w:val="24"/>
          <w:szCs w:val="24"/>
          <w:highlight w:val="none"/>
        </w:rPr>
        <w:t>12、除非另外达成协议并生效，你方的中标通知书和本投标文件以及招标文件、招标文件澄清、修改通知、补充文件将成为约束双方的合同文件的组成部分。</w:t>
      </w:r>
    </w:p>
    <w:p w14:paraId="318AE919">
      <w:pPr>
        <w:spacing w:before="317" w:line="219" w:lineRule="auto"/>
        <w:ind w:left="438"/>
        <w:rPr>
          <w:rFonts w:ascii="宋体" w:hAnsi="宋体" w:eastAsia="宋体" w:cs="宋体"/>
          <w:sz w:val="24"/>
          <w:szCs w:val="24"/>
          <w:highlight w:val="none"/>
        </w:rPr>
      </w:pPr>
      <w:r>
        <w:rPr>
          <w:rFonts w:ascii="宋体" w:hAnsi="宋体" w:eastAsia="宋体" w:cs="宋体"/>
          <w:spacing w:val="-3"/>
          <w:sz w:val="24"/>
          <w:szCs w:val="24"/>
          <w:highlight w:val="none"/>
        </w:rPr>
        <w:t>13、我方将与本投标函一起，提交人民币</w:t>
      </w:r>
      <w:r>
        <w:rPr>
          <w:rFonts w:ascii="宋体" w:hAnsi="宋体" w:eastAsia="宋体" w:cs="宋体"/>
          <w:spacing w:val="-106"/>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3"/>
          <w:sz w:val="24"/>
          <w:szCs w:val="24"/>
          <w:highlight w:val="none"/>
        </w:rPr>
        <w:t>元作为投标保证金。</w:t>
      </w:r>
    </w:p>
    <w:p w14:paraId="672170F7">
      <w:pPr>
        <w:spacing w:before="317" w:line="220" w:lineRule="auto"/>
        <w:ind w:left="438"/>
        <w:rPr>
          <w:rFonts w:ascii="宋体" w:hAnsi="宋体" w:eastAsia="宋体" w:cs="宋体"/>
          <w:sz w:val="24"/>
          <w:szCs w:val="24"/>
          <w:highlight w:val="none"/>
        </w:rPr>
      </w:pPr>
      <w:r>
        <w:rPr>
          <w:rFonts w:ascii="宋体" w:hAnsi="宋体" w:eastAsia="宋体" w:cs="宋体"/>
          <w:spacing w:val="-10"/>
          <w:sz w:val="24"/>
          <w:szCs w:val="24"/>
          <w:highlight w:val="none"/>
        </w:rPr>
        <w:t>14、我方承诺：</w:t>
      </w:r>
    </w:p>
    <w:p w14:paraId="3A94F19D">
      <w:pPr>
        <w:spacing w:before="317" w:line="220" w:lineRule="auto"/>
        <w:ind w:left="438"/>
        <w:rPr>
          <w:rFonts w:ascii="宋体" w:hAnsi="宋体" w:eastAsia="宋体" w:cs="宋体"/>
          <w:sz w:val="24"/>
          <w:szCs w:val="24"/>
          <w:highlight w:val="none"/>
        </w:rPr>
      </w:pPr>
      <w:r>
        <w:rPr>
          <w:rFonts w:ascii="宋体" w:hAnsi="宋体" w:eastAsia="宋体" w:cs="宋体"/>
          <w:spacing w:val="-5"/>
          <w:sz w:val="24"/>
          <w:szCs w:val="24"/>
          <w:highlight w:val="none"/>
        </w:rPr>
        <w:t>15、其他补充说明：</w:t>
      </w:r>
      <w:r>
        <w:rPr>
          <w:rFonts w:ascii="宋体" w:hAnsi="宋体" w:eastAsia="宋体" w:cs="宋体"/>
          <w:spacing w:val="-58"/>
          <w:sz w:val="24"/>
          <w:szCs w:val="24"/>
          <w:highlight w:val="none"/>
          <w:u w:val="single" w:color="auto"/>
        </w:rPr>
        <w:t xml:space="preserve"> </w:t>
      </w:r>
      <w:r>
        <w:rPr>
          <w:rFonts w:ascii="宋体" w:hAnsi="宋体" w:eastAsia="宋体" w:cs="宋体"/>
          <w:spacing w:val="-5"/>
          <w:sz w:val="24"/>
          <w:szCs w:val="24"/>
          <w:highlight w:val="none"/>
          <w:u w:val="single" w:color="auto"/>
        </w:rPr>
        <w:t>{补充说明事项}</w:t>
      </w:r>
    </w:p>
    <w:p w14:paraId="1AE7C6E4">
      <w:pPr>
        <w:pStyle w:val="3"/>
        <w:spacing w:line="278" w:lineRule="auto"/>
        <w:rPr>
          <w:highlight w:val="none"/>
        </w:rPr>
      </w:pPr>
    </w:p>
    <w:p w14:paraId="24BF9E4C">
      <w:pPr>
        <w:pStyle w:val="3"/>
        <w:spacing w:line="279" w:lineRule="auto"/>
        <w:rPr>
          <w:highlight w:val="none"/>
        </w:rPr>
      </w:pPr>
    </w:p>
    <w:p w14:paraId="47509635">
      <w:pPr>
        <w:pStyle w:val="3"/>
        <w:spacing w:line="279" w:lineRule="auto"/>
        <w:rPr>
          <w:highlight w:val="none"/>
        </w:rPr>
      </w:pPr>
    </w:p>
    <w:p w14:paraId="0B58566F">
      <w:pPr>
        <w:spacing w:before="78" w:line="219" w:lineRule="auto"/>
        <w:ind w:left="2"/>
        <w:rPr>
          <w:rFonts w:ascii="宋体" w:hAnsi="宋体" w:eastAsia="宋体" w:cs="宋体"/>
          <w:sz w:val="24"/>
          <w:szCs w:val="24"/>
          <w:highlight w:val="none"/>
        </w:rPr>
      </w:pPr>
      <w:r>
        <w:rPr>
          <w:rFonts w:ascii="宋体" w:hAnsi="宋体" w:eastAsia="宋体" w:cs="宋体"/>
          <w:spacing w:val="-2"/>
          <w:sz w:val="24"/>
          <w:szCs w:val="24"/>
          <w:highlight w:val="none"/>
        </w:rPr>
        <w:t>投标人</w:t>
      </w:r>
      <w:r>
        <w:rPr>
          <w:rFonts w:ascii="宋体" w:hAnsi="宋体" w:eastAsia="宋体" w:cs="宋体"/>
          <w:sz w:val="24"/>
          <w:szCs w:val="24"/>
          <w:highlight w:val="none"/>
        </w:rPr>
        <w:t>：</w:t>
      </w:r>
      <w:r>
        <w:rPr>
          <w:rFonts w:ascii="宋体" w:hAnsi="宋体" w:eastAsia="宋体" w:cs="宋体"/>
          <w:sz w:val="24"/>
          <w:szCs w:val="24"/>
          <w:highlight w:val="none"/>
          <w:u w:val="single" w:color="auto"/>
        </w:rPr>
        <w:t>（</w:t>
      </w:r>
      <w:r>
        <w:rPr>
          <w:rFonts w:ascii="宋体" w:hAnsi="宋体" w:eastAsia="宋体" w:cs="宋体"/>
          <w:spacing w:val="-2"/>
          <w:sz w:val="24"/>
          <w:szCs w:val="24"/>
          <w:highlight w:val="none"/>
          <w:u w:val="single" w:color="auto"/>
        </w:rPr>
        <w:t>盖公章）</w:t>
      </w:r>
      <w:r>
        <w:rPr>
          <w:rFonts w:ascii="宋体" w:hAnsi="宋体" w:eastAsia="宋体" w:cs="宋体"/>
          <w:sz w:val="24"/>
          <w:szCs w:val="24"/>
          <w:highlight w:val="none"/>
          <w:u w:val="single" w:color="auto"/>
        </w:rPr>
        <w:t xml:space="preserve">                  </w:t>
      </w:r>
    </w:p>
    <w:p w14:paraId="50940008">
      <w:pPr>
        <w:spacing w:before="316" w:line="220" w:lineRule="auto"/>
        <w:ind w:left="37"/>
        <w:rPr>
          <w:rFonts w:ascii="宋体" w:hAnsi="宋体" w:eastAsia="宋体" w:cs="宋体"/>
          <w:sz w:val="24"/>
          <w:szCs w:val="24"/>
          <w:highlight w:val="none"/>
        </w:rPr>
      </w:pPr>
      <w:r>
        <w:rPr>
          <w:rFonts w:ascii="宋体" w:hAnsi="宋体" w:eastAsia="宋体" w:cs="宋体"/>
          <w:spacing w:val="-11"/>
          <w:sz w:val="24"/>
          <w:szCs w:val="24"/>
          <w:highlight w:val="none"/>
        </w:rPr>
        <w:t>单位地址：</w:t>
      </w:r>
    </w:p>
    <w:p w14:paraId="05575313">
      <w:pPr>
        <w:spacing w:before="317" w:line="463" w:lineRule="auto"/>
        <w:ind w:left="16" w:right="5747" w:hanging="16"/>
        <w:rPr>
          <w:rFonts w:ascii="宋体" w:hAnsi="宋体" w:eastAsia="宋体" w:cs="宋体"/>
          <w:sz w:val="24"/>
          <w:szCs w:val="24"/>
          <w:highlight w:val="none"/>
        </w:rPr>
      </w:pPr>
      <w:r>
        <w:rPr>
          <w:rFonts w:ascii="宋体" w:hAnsi="宋体" w:eastAsia="宋体" w:cs="宋体"/>
          <w:spacing w:val="-1"/>
          <w:sz w:val="24"/>
          <w:szCs w:val="24"/>
          <w:highlight w:val="none"/>
        </w:rPr>
        <w:t>法定代表人或其委托代理人</w:t>
      </w:r>
      <w:r>
        <w:rPr>
          <w:rFonts w:ascii="宋体" w:hAnsi="宋体" w:eastAsia="宋体" w:cs="宋体"/>
          <w:spacing w:val="2"/>
          <w:sz w:val="24"/>
          <w:szCs w:val="24"/>
          <w:highlight w:val="none"/>
        </w:rPr>
        <w:t>：</w:t>
      </w:r>
      <w:r>
        <w:rPr>
          <w:rFonts w:ascii="宋体" w:hAnsi="宋体" w:eastAsia="宋体" w:cs="宋体"/>
          <w:spacing w:val="2"/>
          <w:sz w:val="24"/>
          <w:szCs w:val="24"/>
          <w:highlight w:val="none"/>
          <w:u w:val="single" w:color="auto"/>
        </w:rPr>
        <w:t>（</w:t>
      </w:r>
      <w:r>
        <w:rPr>
          <w:rFonts w:ascii="宋体" w:hAnsi="宋体" w:eastAsia="宋体" w:cs="宋体"/>
          <w:spacing w:val="-1"/>
          <w:sz w:val="24"/>
          <w:szCs w:val="24"/>
          <w:highlight w:val="none"/>
          <w:u w:val="single" w:color="auto"/>
        </w:rPr>
        <w:t>盖章）</w:t>
      </w:r>
      <w:r>
        <w:rPr>
          <w:rFonts w:ascii="宋体" w:hAnsi="宋体" w:eastAsia="宋体" w:cs="宋体"/>
          <w:spacing w:val="-8"/>
          <w:sz w:val="24"/>
          <w:szCs w:val="24"/>
          <w:highlight w:val="none"/>
        </w:rPr>
        <w:t>邮政编码：</w:t>
      </w:r>
      <w:r>
        <w:rPr>
          <w:rFonts w:ascii="宋体" w:hAnsi="宋体" w:eastAsia="宋体" w:cs="宋体"/>
          <w:spacing w:val="-8"/>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8"/>
          <w:sz w:val="24"/>
          <w:szCs w:val="24"/>
          <w:highlight w:val="none"/>
        </w:rPr>
        <w:t>电话：</w:t>
      </w:r>
      <w:r>
        <w:rPr>
          <w:rFonts w:ascii="宋体" w:hAnsi="宋体" w:eastAsia="宋体" w:cs="宋体"/>
          <w:spacing w:val="15"/>
          <w:sz w:val="24"/>
          <w:szCs w:val="24"/>
          <w:highlight w:val="none"/>
          <w:u w:val="single" w:color="auto"/>
        </w:rPr>
        <w:t xml:space="preserve">    </w:t>
      </w:r>
      <w:r>
        <w:rPr>
          <w:rFonts w:ascii="宋体" w:hAnsi="宋体" w:eastAsia="宋体" w:cs="宋体"/>
          <w:spacing w:val="-112"/>
          <w:sz w:val="24"/>
          <w:szCs w:val="24"/>
          <w:highlight w:val="none"/>
        </w:rPr>
        <w:t xml:space="preserve"> </w:t>
      </w:r>
      <w:r>
        <w:rPr>
          <w:rFonts w:ascii="宋体" w:hAnsi="宋体" w:eastAsia="宋体" w:cs="宋体"/>
          <w:spacing w:val="-8"/>
          <w:sz w:val="24"/>
          <w:szCs w:val="24"/>
          <w:highlight w:val="none"/>
        </w:rPr>
        <w:t>传真：</w:t>
      </w:r>
    </w:p>
    <w:p w14:paraId="19F42663">
      <w:pPr>
        <w:spacing w:before="1" w:line="220" w:lineRule="auto"/>
        <w:rPr>
          <w:rFonts w:ascii="宋体" w:hAnsi="宋体" w:eastAsia="宋体" w:cs="宋体"/>
          <w:sz w:val="24"/>
          <w:szCs w:val="24"/>
          <w:highlight w:val="none"/>
        </w:rPr>
      </w:pPr>
      <w:r>
        <w:rPr>
          <w:rFonts w:ascii="宋体" w:hAnsi="宋体" w:eastAsia="宋体" w:cs="宋体"/>
          <w:spacing w:val="-1"/>
          <w:sz w:val="24"/>
          <w:szCs w:val="24"/>
          <w:highlight w:val="none"/>
        </w:rPr>
        <w:t>开户银行名称：</w:t>
      </w:r>
      <w:r>
        <w:rPr>
          <w:rFonts w:ascii="宋体" w:hAnsi="宋体" w:eastAsia="宋体" w:cs="宋体"/>
          <w:spacing w:val="-1"/>
          <w:sz w:val="24"/>
          <w:szCs w:val="24"/>
          <w:highlight w:val="none"/>
          <w:u w:val="single" w:color="auto"/>
        </w:rPr>
        <w:t xml:space="preserve">                  </w:t>
      </w:r>
      <w:r>
        <w:rPr>
          <w:rFonts w:ascii="宋体" w:hAnsi="宋体" w:eastAsia="宋体" w:cs="宋体"/>
          <w:spacing w:val="-2"/>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2"/>
          <w:sz w:val="24"/>
          <w:szCs w:val="24"/>
          <w:highlight w:val="none"/>
        </w:rPr>
        <w:t>开户银行账号：</w:t>
      </w:r>
      <w:r>
        <w:rPr>
          <w:rFonts w:ascii="宋体" w:hAnsi="宋体" w:eastAsia="宋体" w:cs="宋体"/>
          <w:spacing w:val="-2"/>
          <w:sz w:val="24"/>
          <w:szCs w:val="24"/>
          <w:highlight w:val="none"/>
          <w:u w:val="single" w:color="auto"/>
        </w:rPr>
        <w:t xml:space="preserve">                  </w:t>
      </w:r>
    </w:p>
    <w:p w14:paraId="7AF10B37">
      <w:pPr>
        <w:spacing w:before="316" w:line="213" w:lineRule="auto"/>
        <w:ind w:left="3282"/>
        <w:rPr>
          <w:rFonts w:ascii="宋体" w:hAnsi="宋体" w:eastAsia="宋体" w:cs="宋体"/>
          <w:sz w:val="24"/>
          <w:szCs w:val="24"/>
          <w:highlight w:val="none"/>
        </w:rPr>
      </w:pPr>
      <w:r>
        <w:rPr>
          <w:rFonts w:ascii="宋体" w:hAnsi="宋体" w:eastAsia="宋体" w:cs="宋体"/>
          <w:spacing w:val="-3"/>
          <w:sz w:val="24"/>
          <w:szCs w:val="24"/>
          <w:highlight w:val="none"/>
        </w:rPr>
        <w:t>日期：_____年____月____</w:t>
      </w:r>
      <w:r>
        <w:rPr>
          <w:rFonts w:ascii="宋体" w:hAnsi="宋体" w:eastAsia="宋体" w:cs="宋体"/>
          <w:spacing w:val="-64"/>
          <w:sz w:val="24"/>
          <w:szCs w:val="24"/>
          <w:highlight w:val="none"/>
        </w:rPr>
        <w:t xml:space="preserve"> </w:t>
      </w:r>
      <w:r>
        <w:rPr>
          <w:rFonts w:ascii="宋体" w:hAnsi="宋体" w:eastAsia="宋体" w:cs="宋体"/>
          <w:spacing w:val="-3"/>
          <w:sz w:val="24"/>
          <w:szCs w:val="24"/>
          <w:highlight w:val="none"/>
        </w:rPr>
        <w:t>日</w:t>
      </w:r>
    </w:p>
    <w:p w14:paraId="5CF54438">
      <w:pPr>
        <w:spacing w:line="213" w:lineRule="auto"/>
        <w:rPr>
          <w:rFonts w:ascii="宋体" w:hAnsi="宋体" w:eastAsia="宋体" w:cs="宋体"/>
          <w:sz w:val="24"/>
          <w:szCs w:val="24"/>
          <w:highlight w:val="none"/>
        </w:rPr>
        <w:sectPr>
          <w:footerReference r:id="rId76" w:type="default"/>
          <w:pgSz w:w="11907" w:h="16839"/>
          <w:pgMar w:top="1431" w:right="995" w:bottom="1127" w:left="1091" w:header="0" w:footer="894" w:gutter="0"/>
          <w:cols w:space="720" w:num="1"/>
        </w:sectPr>
      </w:pPr>
    </w:p>
    <w:p w14:paraId="4BFEB5F1">
      <w:pPr>
        <w:spacing w:before="231" w:line="220" w:lineRule="auto"/>
        <w:ind w:left="4274"/>
        <w:rPr>
          <w:rFonts w:ascii="宋体" w:hAnsi="宋体" w:eastAsia="宋体" w:cs="宋体"/>
          <w:sz w:val="24"/>
          <w:szCs w:val="24"/>
          <w:highlight w:val="none"/>
        </w:rPr>
      </w:pPr>
      <w:r>
        <w:rPr>
          <w:rFonts w:ascii="宋体" w:hAnsi="宋体" w:eastAsia="宋体" w:cs="宋体"/>
          <w:spacing w:val="-3"/>
          <w:sz w:val="24"/>
          <w:szCs w:val="24"/>
          <w:highlight w:val="none"/>
        </w:rPr>
        <w:t>二、承诺函</w:t>
      </w:r>
    </w:p>
    <w:p w14:paraId="62D34B4F">
      <w:pPr>
        <w:spacing w:before="317" w:line="220" w:lineRule="auto"/>
        <w:rPr>
          <w:rFonts w:ascii="宋体" w:hAnsi="宋体" w:eastAsia="宋体" w:cs="宋体"/>
          <w:sz w:val="24"/>
          <w:szCs w:val="24"/>
          <w:highlight w:val="none"/>
        </w:rPr>
      </w:pPr>
      <w:r>
        <w:rPr>
          <w:rFonts w:ascii="宋体" w:hAnsi="宋体" w:eastAsia="宋体" w:cs="宋体"/>
          <w:spacing w:val="-7"/>
          <w:sz w:val="24"/>
          <w:szCs w:val="24"/>
          <w:highlight w:val="none"/>
        </w:rPr>
        <w:t>致</w:t>
      </w:r>
      <w:r>
        <w:rPr>
          <w:rFonts w:ascii="宋体" w:hAnsi="宋体" w:eastAsia="宋体" w:cs="宋体"/>
          <w:spacing w:val="-5"/>
          <w:sz w:val="24"/>
          <w:szCs w:val="24"/>
          <w:highlight w:val="none"/>
        </w:rPr>
        <w:t>：（</w:t>
      </w:r>
      <w:r>
        <w:rPr>
          <w:rFonts w:ascii="宋体" w:hAnsi="宋体" w:eastAsia="宋体" w:cs="宋体"/>
          <w:spacing w:val="-7"/>
          <w:sz w:val="24"/>
          <w:szCs w:val="24"/>
          <w:highlight w:val="none"/>
        </w:rPr>
        <w:t>招标人名称</w:t>
      </w:r>
      <w:r>
        <w:rPr>
          <w:rFonts w:ascii="宋体" w:hAnsi="宋体" w:eastAsia="宋体" w:cs="宋体"/>
          <w:spacing w:val="-5"/>
          <w:sz w:val="24"/>
          <w:szCs w:val="24"/>
          <w:highlight w:val="none"/>
        </w:rPr>
        <w:t>）：</w:t>
      </w:r>
    </w:p>
    <w:p w14:paraId="40B76335">
      <w:pPr>
        <w:spacing w:before="317" w:line="416" w:lineRule="auto"/>
        <w:ind w:left="3" w:right="3" w:firstLine="478"/>
        <w:rPr>
          <w:rFonts w:ascii="宋体" w:hAnsi="宋体" w:eastAsia="宋体" w:cs="宋体"/>
          <w:sz w:val="24"/>
          <w:szCs w:val="24"/>
          <w:highlight w:val="none"/>
        </w:rPr>
      </w:pPr>
      <w:r>
        <w:rPr>
          <w:rFonts w:ascii="宋体" w:hAnsi="宋体" w:eastAsia="宋体" w:cs="宋体"/>
          <w:spacing w:val="-3"/>
          <w:sz w:val="24"/>
          <w:szCs w:val="24"/>
          <w:highlight w:val="none"/>
        </w:rPr>
        <w:t>我单位参加你方招标项目编号为（项目编号）的（招标项目名称）项目的招投标活动，现</w:t>
      </w:r>
      <w:r>
        <w:rPr>
          <w:rFonts w:ascii="宋体" w:hAnsi="宋体" w:eastAsia="宋体" w:cs="宋体"/>
          <w:spacing w:val="-9"/>
          <w:sz w:val="24"/>
          <w:szCs w:val="24"/>
          <w:highlight w:val="none"/>
        </w:rPr>
        <w:t>郑重承诺如下：</w:t>
      </w:r>
    </w:p>
    <w:p w14:paraId="7E6B8D84">
      <w:pPr>
        <w:spacing w:before="60" w:line="416" w:lineRule="auto"/>
        <w:ind w:firstLine="482"/>
        <w:jc w:val="both"/>
        <w:rPr>
          <w:rFonts w:ascii="宋体" w:hAnsi="宋体" w:eastAsia="宋体" w:cs="宋体"/>
          <w:sz w:val="24"/>
          <w:szCs w:val="24"/>
          <w:highlight w:val="none"/>
        </w:rPr>
      </w:pPr>
      <w:r>
        <w:rPr>
          <w:rFonts w:ascii="宋体" w:hAnsi="宋体" w:eastAsia="宋体" w:cs="宋体"/>
          <w:spacing w:val="-9"/>
          <w:sz w:val="24"/>
          <w:szCs w:val="24"/>
          <w:highlight w:val="none"/>
        </w:rPr>
        <w:t>我单位投标项目经理（建造师）参与本项目投标之前无在建工程包括已中标的待建工程</w:t>
      </w:r>
      <w:r>
        <w:rPr>
          <w:rFonts w:ascii="宋体" w:hAnsi="宋体" w:eastAsia="宋体" w:cs="宋体"/>
          <w:spacing w:val="-10"/>
          <w:sz w:val="24"/>
          <w:szCs w:val="24"/>
          <w:highlight w:val="none"/>
        </w:rPr>
        <w:t>（或</w:t>
      </w:r>
      <w:r>
        <w:rPr>
          <w:rFonts w:ascii="宋体" w:hAnsi="宋体" w:eastAsia="宋体" w:cs="宋体"/>
          <w:spacing w:val="-3"/>
          <w:sz w:val="24"/>
          <w:szCs w:val="24"/>
          <w:highlight w:val="none"/>
        </w:rPr>
        <w:t>原有在建工程已按照相关法律法规办理了有效的项目经理变更手续）。如发现有在建工程（含已中标的待建工程）或办理的变更手续不符合法定原因、条件、程序，经查证属实即构成以虚假信息（事实）投标，我单位自愿接受招标人及公共资源交易监督管理部门按照《中华人民共</w:t>
      </w:r>
      <w:r>
        <w:rPr>
          <w:rFonts w:ascii="宋体" w:hAnsi="宋体" w:eastAsia="宋体" w:cs="宋体"/>
          <w:spacing w:val="-4"/>
          <w:sz w:val="24"/>
          <w:szCs w:val="24"/>
          <w:highlight w:val="none"/>
        </w:rPr>
        <w:t>和国招标投标法》及其实施条例规定给予的处理，</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包括中标无效，给招标人造成损失的赔偿招</w:t>
      </w:r>
      <w:r>
        <w:rPr>
          <w:rFonts w:ascii="宋体" w:hAnsi="宋体" w:eastAsia="宋体" w:cs="宋体"/>
          <w:spacing w:val="-3"/>
          <w:sz w:val="24"/>
          <w:szCs w:val="24"/>
          <w:highlight w:val="none"/>
        </w:rPr>
        <w:t>标人损失，接受罚款以及投标资格限制等。</w:t>
      </w:r>
    </w:p>
    <w:p w14:paraId="21BC09CA">
      <w:pPr>
        <w:pStyle w:val="3"/>
        <w:spacing w:line="287" w:lineRule="auto"/>
        <w:rPr>
          <w:highlight w:val="none"/>
        </w:rPr>
      </w:pPr>
    </w:p>
    <w:p w14:paraId="599F36C0">
      <w:pPr>
        <w:pStyle w:val="3"/>
        <w:spacing w:line="288" w:lineRule="auto"/>
        <w:rPr>
          <w:highlight w:val="none"/>
        </w:rPr>
      </w:pPr>
    </w:p>
    <w:p w14:paraId="24DFB25B">
      <w:pPr>
        <w:spacing w:before="78" w:line="219" w:lineRule="auto"/>
        <w:ind w:left="7583"/>
        <w:rPr>
          <w:rFonts w:ascii="宋体" w:hAnsi="宋体" w:eastAsia="宋体" w:cs="宋体"/>
          <w:sz w:val="24"/>
          <w:szCs w:val="24"/>
          <w:highlight w:val="none"/>
        </w:rPr>
      </w:pPr>
      <w:r>
        <w:rPr>
          <w:rFonts w:ascii="宋体" w:hAnsi="宋体" w:eastAsia="宋体" w:cs="宋体"/>
          <w:spacing w:val="-8"/>
          <w:sz w:val="24"/>
          <w:szCs w:val="24"/>
          <w:highlight w:val="none"/>
        </w:rPr>
        <w:t>投标人（盖公章</w:t>
      </w:r>
      <w:r>
        <w:rPr>
          <w:rFonts w:ascii="宋体" w:hAnsi="宋体" w:eastAsia="宋体" w:cs="宋体"/>
          <w:spacing w:val="-3"/>
          <w:sz w:val="24"/>
          <w:szCs w:val="24"/>
          <w:highlight w:val="none"/>
        </w:rPr>
        <w:t>）：</w:t>
      </w:r>
    </w:p>
    <w:p w14:paraId="52607560">
      <w:pPr>
        <w:spacing w:before="317" w:line="220" w:lineRule="auto"/>
        <w:ind w:left="7341"/>
        <w:rPr>
          <w:rFonts w:ascii="宋体" w:hAnsi="宋体" w:eastAsia="宋体" w:cs="宋体"/>
          <w:sz w:val="24"/>
          <w:szCs w:val="24"/>
          <w:highlight w:val="none"/>
        </w:rPr>
      </w:pPr>
      <w:r>
        <w:rPr>
          <w:rFonts w:ascii="宋体" w:hAnsi="宋体" w:eastAsia="宋体" w:cs="宋体"/>
          <w:spacing w:val="-7"/>
          <w:sz w:val="24"/>
          <w:szCs w:val="24"/>
          <w:highlight w:val="none"/>
        </w:rPr>
        <w:t>法定代表人（签字</w:t>
      </w:r>
      <w:r>
        <w:rPr>
          <w:rFonts w:ascii="宋体" w:hAnsi="宋体" w:eastAsia="宋体" w:cs="宋体"/>
          <w:spacing w:val="-2"/>
          <w:sz w:val="24"/>
          <w:szCs w:val="24"/>
          <w:highlight w:val="none"/>
        </w:rPr>
        <w:t>）：</w:t>
      </w:r>
    </w:p>
    <w:p w14:paraId="7C117A70">
      <w:pPr>
        <w:spacing w:before="317" w:line="220" w:lineRule="auto"/>
        <w:jc w:val="right"/>
        <w:rPr>
          <w:rFonts w:ascii="宋体" w:hAnsi="宋体" w:eastAsia="宋体" w:cs="宋体"/>
          <w:sz w:val="24"/>
          <w:szCs w:val="24"/>
          <w:highlight w:val="none"/>
        </w:rPr>
      </w:pPr>
      <w:r>
        <w:rPr>
          <w:rFonts w:ascii="宋体" w:hAnsi="宋体" w:eastAsia="宋体" w:cs="宋体"/>
          <w:spacing w:val="-26"/>
          <w:sz w:val="24"/>
          <w:szCs w:val="24"/>
          <w:highlight w:val="none"/>
        </w:rPr>
        <w:t>年</w:t>
      </w:r>
      <w:r>
        <w:rPr>
          <w:rFonts w:ascii="宋体" w:hAnsi="宋体" w:eastAsia="宋体" w:cs="宋体"/>
          <w:spacing w:val="8"/>
          <w:sz w:val="24"/>
          <w:szCs w:val="24"/>
          <w:highlight w:val="none"/>
        </w:rPr>
        <w:t xml:space="preserve">  </w:t>
      </w:r>
      <w:r>
        <w:rPr>
          <w:rFonts w:ascii="宋体" w:hAnsi="宋体" w:eastAsia="宋体" w:cs="宋体"/>
          <w:spacing w:val="-26"/>
          <w:sz w:val="24"/>
          <w:szCs w:val="24"/>
          <w:highlight w:val="none"/>
        </w:rPr>
        <w:t>月</w:t>
      </w:r>
      <w:r>
        <w:rPr>
          <w:rFonts w:ascii="宋体" w:hAnsi="宋体" w:eastAsia="宋体" w:cs="宋体"/>
          <w:spacing w:val="25"/>
          <w:sz w:val="24"/>
          <w:szCs w:val="24"/>
          <w:highlight w:val="none"/>
        </w:rPr>
        <w:t xml:space="preserve">  </w:t>
      </w:r>
      <w:r>
        <w:rPr>
          <w:rFonts w:ascii="宋体" w:hAnsi="宋体" w:eastAsia="宋体" w:cs="宋体"/>
          <w:spacing w:val="-26"/>
          <w:sz w:val="24"/>
          <w:szCs w:val="24"/>
          <w:highlight w:val="none"/>
        </w:rPr>
        <w:t>日</w:t>
      </w:r>
    </w:p>
    <w:p w14:paraId="5DE0A11F">
      <w:pPr>
        <w:spacing w:line="220" w:lineRule="auto"/>
        <w:rPr>
          <w:rFonts w:ascii="宋体" w:hAnsi="宋体" w:eastAsia="宋体" w:cs="宋体"/>
          <w:sz w:val="24"/>
          <w:szCs w:val="24"/>
          <w:highlight w:val="none"/>
        </w:rPr>
        <w:sectPr>
          <w:footerReference r:id="rId77" w:type="default"/>
          <w:pgSz w:w="11907" w:h="16839"/>
          <w:pgMar w:top="1431" w:right="1080" w:bottom="1127" w:left="1091" w:header="0" w:footer="896" w:gutter="0"/>
          <w:cols w:space="720" w:num="1"/>
        </w:sectPr>
      </w:pPr>
    </w:p>
    <w:p w14:paraId="4C724422">
      <w:pPr>
        <w:spacing w:before="180" w:line="219" w:lineRule="auto"/>
        <w:ind w:left="2068"/>
        <w:rPr>
          <w:rFonts w:ascii="宋体" w:hAnsi="宋体" w:eastAsia="宋体" w:cs="宋体"/>
          <w:sz w:val="28"/>
          <w:szCs w:val="28"/>
          <w:highlight w:val="none"/>
        </w:rPr>
      </w:pPr>
      <w:r>
        <w:rPr>
          <w:rFonts w:ascii="宋体" w:hAnsi="宋体" w:eastAsia="宋体" w:cs="宋体"/>
          <w:b/>
          <w:bCs/>
          <w:spacing w:val="-3"/>
          <w:sz w:val="28"/>
          <w:szCs w:val="28"/>
          <w:highlight w:val="none"/>
        </w:rPr>
        <w:t>三、投标报价需要说明的其他材料</w:t>
      </w:r>
    </w:p>
    <w:p w14:paraId="2CE92590">
      <w:pPr>
        <w:spacing w:before="154" w:line="218" w:lineRule="auto"/>
        <w:ind w:left="1058"/>
        <w:rPr>
          <w:rFonts w:ascii="宋体" w:hAnsi="宋体" w:eastAsia="宋体" w:cs="宋体"/>
          <w:sz w:val="24"/>
          <w:szCs w:val="24"/>
          <w:highlight w:val="none"/>
        </w:rPr>
      </w:pPr>
      <w:r>
        <w:rPr>
          <w:rFonts w:ascii="宋体" w:hAnsi="宋体" w:eastAsia="宋体" w:cs="宋体"/>
          <w:spacing w:val="-2"/>
          <w:sz w:val="24"/>
          <w:szCs w:val="24"/>
          <w:highlight w:val="none"/>
        </w:rPr>
        <w:t>投标人认为需对其投标报价进行其他补充说明及证明材料。</w:t>
      </w:r>
    </w:p>
    <w:p w14:paraId="1E78566D">
      <w:pPr>
        <w:spacing w:line="218" w:lineRule="auto"/>
        <w:rPr>
          <w:rFonts w:ascii="宋体" w:hAnsi="宋体" w:eastAsia="宋体" w:cs="宋体"/>
          <w:sz w:val="24"/>
          <w:szCs w:val="24"/>
          <w:highlight w:val="none"/>
        </w:rPr>
        <w:sectPr>
          <w:footerReference r:id="rId78" w:type="default"/>
          <w:pgSz w:w="11907" w:h="16839"/>
          <w:pgMar w:top="1431" w:right="1785" w:bottom="1127" w:left="1785" w:header="0" w:footer="896" w:gutter="0"/>
          <w:cols w:space="720" w:num="1"/>
        </w:sectPr>
      </w:pPr>
    </w:p>
    <w:p w14:paraId="4D46CC67">
      <w:pPr>
        <w:pStyle w:val="3"/>
        <w:spacing w:line="318" w:lineRule="auto"/>
        <w:rPr>
          <w:highlight w:val="none"/>
        </w:rPr>
      </w:pPr>
    </w:p>
    <w:p w14:paraId="4D7D5FE3">
      <w:pPr>
        <w:spacing w:before="101" w:line="225" w:lineRule="auto"/>
        <w:outlineLvl w:val="1"/>
        <w:rPr>
          <w:rFonts w:ascii="宋体" w:hAnsi="宋体" w:eastAsia="宋体" w:cs="宋体"/>
          <w:sz w:val="31"/>
          <w:szCs w:val="31"/>
          <w:highlight w:val="none"/>
        </w:rPr>
      </w:pPr>
      <w:bookmarkStart w:id="17" w:name="bookmark23"/>
      <w:bookmarkEnd w:id="17"/>
      <w:bookmarkStart w:id="18" w:name="_Toc5794"/>
      <w:r>
        <w:rPr>
          <w:rFonts w:ascii="宋体" w:hAnsi="宋体" w:eastAsia="宋体" w:cs="宋体"/>
          <w:b/>
          <w:bCs/>
          <w:spacing w:val="1"/>
          <w:sz w:val="31"/>
          <w:szCs w:val="31"/>
          <w:highlight w:val="none"/>
        </w:rPr>
        <w:t>（二）技术标</w:t>
      </w:r>
      <w:bookmarkEnd w:id="18"/>
    </w:p>
    <w:p w14:paraId="679AAE69">
      <w:pPr>
        <w:pStyle w:val="3"/>
        <w:spacing w:line="248" w:lineRule="auto"/>
        <w:rPr>
          <w:highlight w:val="none"/>
        </w:rPr>
      </w:pPr>
    </w:p>
    <w:p w14:paraId="5408A638">
      <w:pPr>
        <w:pStyle w:val="3"/>
        <w:spacing w:line="248" w:lineRule="auto"/>
        <w:rPr>
          <w:highlight w:val="none"/>
        </w:rPr>
      </w:pPr>
    </w:p>
    <w:p w14:paraId="078C0AB7">
      <w:pPr>
        <w:spacing w:before="78" w:line="220" w:lineRule="auto"/>
        <w:ind w:left="403"/>
        <w:rPr>
          <w:rFonts w:ascii="宋体" w:hAnsi="宋体" w:eastAsia="宋体" w:cs="宋体"/>
          <w:sz w:val="24"/>
          <w:szCs w:val="24"/>
          <w:highlight w:val="none"/>
        </w:rPr>
      </w:pPr>
      <w:r>
        <w:rPr>
          <w:rFonts w:ascii="宋体" w:hAnsi="宋体" w:eastAsia="宋体" w:cs="宋体"/>
          <w:spacing w:val="-2"/>
          <w:sz w:val="24"/>
          <w:szCs w:val="24"/>
          <w:highlight w:val="none"/>
        </w:rPr>
        <w:t>封面格式</w:t>
      </w:r>
    </w:p>
    <w:p w14:paraId="4E11514D">
      <w:pPr>
        <w:pStyle w:val="3"/>
        <w:spacing w:line="248" w:lineRule="auto"/>
        <w:rPr>
          <w:highlight w:val="none"/>
        </w:rPr>
      </w:pPr>
    </w:p>
    <w:p w14:paraId="517F84A8">
      <w:pPr>
        <w:pStyle w:val="3"/>
        <w:spacing w:line="249" w:lineRule="auto"/>
        <w:rPr>
          <w:highlight w:val="none"/>
        </w:rPr>
      </w:pPr>
    </w:p>
    <w:p w14:paraId="155CC70E">
      <w:pPr>
        <w:pStyle w:val="3"/>
        <w:spacing w:line="249" w:lineRule="auto"/>
        <w:rPr>
          <w:highlight w:val="none"/>
        </w:rPr>
      </w:pPr>
    </w:p>
    <w:p w14:paraId="07F4546C">
      <w:pPr>
        <w:pStyle w:val="3"/>
        <w:spacing w:line="249" w:lineRule="auto"/>
        <w:rPr>
          <w:highlight w:val="none"/>
        </w:rPr>
      </w:pPr>
    </w:p>
    <w:p w14:paraId="624A600F">
      <w:pPr>
        <w:spacing w:before="91" w:line="221" w:lineRule="auto"/>
        <w:ind w:left="4019"/>
        <w:rPr>
          <w:rFonts w:ascii="宋体" w:hAnsi="宋体" w:eastAsia="宋体" w:cs="宋体"/>
          <w:sz w:val="28"/>
          <w:szCs w:val="28"/>
          <w:highlight w:val="none"/>
        </w:rPr>
      </w:pPr>
      <w:r>
        <w:rPr>
          <w:rFonts w:ascii="宋体" w:hAnsi="宋体" w:eastAsia="宋体" w:cs="宋体"/>
          <w:b/>
          <w:bCs/>
          <w:spacing w:val="-8"/>
          <w:sz w:val="28"/>
          <w:szCs w:val="28"/>
          <w:highlight w:val="none"/>
        </w:rPr>
        <w:t>（项目名称）</w:t>
      </w:r>
    </w:p>
    <w:p w14:paraId="7CF8DAEC">
      <w:pPr>
        <w:pStyle w:val="3"/>
        <w:spacing w:line="277" w:lineRule="auto"/>
        <w:rPr>
          <w:highlight w:val="none"/>
        </w:rPr>
      </w:pPr>
    </w:p>
    <w:p w14:paraId="553FE040">
      <w:pPr>
        <w:pStyle w:val="3"/>
        <w:spacing w:line="277" w:lineRule="auto"/>
        <w:rPr>
          <w:highlight w:val="none"/>
        </w:rPr>
      </w:pPr>
    </w:p>
    <w:p w14:paraId="55F16F63">
      <w:pPr>
        <w:pStyle w:val="3"/>
        <w:spacing w:line="278" w:lineRule="auto"/>
        <w:rPr>
          <w:highlight w:val="none"/>
        </w:rPr>
      </w:pPr>
    </w:p>
    <w:p w14:paraId="711247E0">
      <w:pPr>
        <w:spacing w:before="169" w:line="220" w:lineRule="auto"/>
        <w:ind w:left="3829"/>
        <w:rPr>
          <w:rFonts w:ascii="宋体" w:hAnsi="宋体" w:eastAsia="宋体" w:cs="宋体"/>
          <w:sz w:val="52"/>
          <w:szCs w:val="52"/>
          <w:highlight w:val="none"/>
        </w:rPr>
      </w:pPr>
      <w:r>
        <w:rPr>
          <w:rFonts w:ascii="宋体" w:hAnsi="宋体" w:eastAsia="宋体" w:cs="宋体"/>
          <w:spacing w:val="-5"/>
          <w:sz w:val="52"/>
          <w:szCs w:val="52"/>
          <w:highlight w:val="none"/>
        </w:rPr>
        <w:t>投标文件</w:t>
      </w:r>
    </w:p>
    <w:p w14:paraId="791C08E8">
      <w:pPr>
        <w:pStyle w:val="3"/>
        <w:rPr>
          <w:highlight w:val="none"/>
        </w:rPr>
      </w:pPr>
    </w:p>
    <w:p w14:paraId="4439D276">
      <w:pPr>
        <w:pStyle w:val="3"/>
        <w:rPr>
          <w:highlight w:val="none"/>
        </w:rPr>
      </w:pPr>
    </w:p>
    <w:p w14:paraId="30CA9DAE">
      <w:pPr>
        <w:pStyle w:val="3"/>
        <w:rPr>
          <w:highlight w:val="none"/>
        </w:rPr>
      </w:pPr>
    </w:p>
    <w:p w14:paraId="4117145D">
      <w:pPr>
        <w:pStyle w:val="3"/>
        <w:rPr>
          <w:highlight w:val="none"/>
        </w:rPr>
      </w:pPr>
    </w:p>
    <w:p w14:paraId="2E7BCBF2">
      <w:pPr>
        <w:pStyle w:val="3"/>
        <w:rPr>
          <w:highlight w:val="none"/>
        </w:rPr>
      </w:pPr>
    </w:p>
    <w:p w14:paraId="1C7D771E">
      <w:pPr>
        <w:pStyle w:val="3"/>
        <w:rPr>
          <w:highlight w:val="none"/>
        </w:rPr>
      </w:pPr>
    </w:p>
    <w:p w14:paraId="02FA45C1">
      <w:pPr>
        <w:pStyle w:val="3"/>
        <w:rPr>
          <w:highlight w:val="none"/>
        </w:rPr>
      </w:pPr>
    </w:p>
    <w:p w14:paraId="64486892">
      <w:pPr>
        <w:pStyle w:val="3"/>
        <w:rPr>
          <w:highlight w:val="none"/>
        </w:rPr>
      </w:pPr>
    </w:p>
    <w:p w14:paraId="39E5F790">
      <w:pPr>
        <w:pStyle w:val="3"/>
        <w:rPr>
          <w:highlight w:val="none"/>
        </w:rPr>
      </w:pPr>
    </w:p>
    <w:p w14:paraId="21D3C19A">
      <w:pPr>
        <w:pStyle w:val="3"/>
        <w:rPr>
          <w:highlight w:val="none"/>
        </w:rPr>
      </w:pPr>
    </w:p>
    <w:p w14:paraId="7A3B725E">
      <w:pPr>
        <w:pStyle w:val="3"/>
        <w:rPr>
          <w:highlight w:val="none"/>
        </w:rPr>
      </w:pPr>
    </w:p>
    <w:p w14:paraId="63D07543">
      <w:pPr>
        <w:pStyle w:val="3"/>
        <w:spacing w:line="241" w:lineRule="auto"/>
        <w:rPr>
          <w:highlight w:val="none"/>
        </w:rPr>
      </w:pPr>
    </w:p>
    <w:p w14:paraId="36C9C37D">
      <w:pPr>
        <w:pStyle w:val="3"/>
        <w:spacing w:line="241" w:lineRule="auto"/>
        <w:rPr>
          <w:highlight w:val="none"/>
        </w:rPr>
      </w:pPr>
    </w:p>
    <w:p w14:paraId="3B99A6F8">
      <w:pPr>
        <w:pStyle w:val="3"/>
        <w:spacing w:line="241" w:lineRule="auto"/>
        <w:rPr>
          <w:highlight w:val="none"/>
        </w:rPr>
      </w:pPr>
    </w:p>
    <w:p w14:paraId="3B50EE29">
      <w:pPr>
        <w:pStyle w:val="3"/>
        <w:spacing w:line="241" w:lineRule="auto"/>
        <w:rPr>
          <w:highlight w:val="none"/>
        </w:rPr>
      </w:pPr>
    </w:p>
    <w:p w14:paraId="103CE5A8">
      <w:pPr>
        <w:pStyle w:val="3"/>
        <w:spacing w:line="241" w:lineRule="auto"/>
        <w:rPr>
          <w:highlight w:val="none"/>
        </w:rPr>
      </w:pPr>
    </w:p>
    <w:p w14:paraId="441125EB">
      <w:pPr>
        <w:pStyle w:val="3"/>
        <w:spacing w:line="241" w:lineRule="auto"/>
        <w:rPr>
          <w:highlight w:val="none"/>
        </w:rPr>
      </w:pPr>
    </w:p>
    <w:p w14:paraId="175BE16F">
      <w:pPr>
        <w:pStyle w:val="3"/>
        <w:spacing w:line="241" w:lineRule="auto"/>
        <w:rPr>
          <w:highlight w:val="none"/>
        </w:rPr>
      </w:pPr>
    </w:p>
    <w:p w14:paraId="13CA03EF">
      <w:pPr>
        <w:pStyle w:val="3"/>
        <w:spacing w:line="241" w:lineRule="auto"/>
        <w:rPr>
          <w:highlight w:val="none"/>
        </w:rPr>
      </w:pPr>
    </w:p>
    <w:p w14:paraId="6ECABF25">
      <w:pPr>
        <w:pStyle w:val="3"/>
        <w:spacing w:line="241" w:lineRule="auto"/>
        <w:rPr>
          <w:highlight w:val="none"/>
        </w:rPr>
      </w:pPr>
    </w:p>
    <w:p w14:paraId="6BAE84D3">
      <w:pPr>
        <w:pStyle w:val="3"/>
        <w:spacing w:line="241" w:lineRule="auto"/>
        <w:rPr>
          <w:highlight w:val="none"/>
        </w:rPr>
      </w:pPr>
    </w:p>
    <w:p w14:paraId="71CD7178">
      <w:pPr>
        <w:pStyle w:val="3"/>
        <w:spacing w:line="241" w:lineRule="auto"/>
        <w:rPr>
          <w:highlight w:val="none"/>
        </w:rPr>
      </w:pPr>
    </w:p>
    <w:p w14:paraId="4DDD0457">
      <w:pPr>
        <w:pStyle w:val="3"/>
        <w:spacing w:line="241" w:lineRule="auto"/>
        <w:rPr>
          <w:highlight w:val="none"/>
        </w:rPr>
      </w:pPr>
    </w:p>
    <w:p w14:paraId="0886FD6E">
      <w:pPr>
        <w:spacing w:before="91" w:line="220" w:lineRule="auto"/>
        <w:ind w:left="831"/>
        <w:rPr>
          <w:rFonts w:ascii="宋体" w:hAnsi="宋体" w:eastAsia="宋体" w:cs="宋体"/>
          <w:sz w:val="28"/>
          <w:szCs w:val="28"/>
          <w:highlight w:val="none"/>
        </w:rPr>
      </w:pPr>
      <w:r>
        <w:rPr>
          <w:rFonts w:ascii="宋体" w:hAnsi="宋体" w:eastAsia="宋体" w:cs="宋体"/>
          <w:b/>
          <w:bCs/>
          <w:spacing w:val="-4"/>
          <w:sz w:val="28"/>
          <w:szCs w:val="28"/>
          <w:highlight w:val="none"/>
        </w:rPr>
        <w:t>投标文件内容：</w:t>
      </w:r>
      <w:r>
        <w:rPr>
          <w:rFonts w:ascii="宋体" w:hAnsi="宋体" w:eastAsia="宋体" w:cs="宋体"/>
          <w:spacing w:val="-4"/>
          <w:sz w:val="28"/>
          <w:szCs w:val="28"/>
          <w:highlight w:val="none"/>
          <w:u w:val="single" w:color="auto"/>
        </w:rPr>
        <w:t xml:space="preserve"> </w:t>
      </w:r>
      <w:r>
        <w:rPr>
          <w:rFonts w:ascii="宋体" w:hAnsi="宋体" w:eastAsia="宋体" w:cs="宋体"/>
          <w:b/>
          <w:bCs/>
          <w:spacing w:val="-4"/>
          <w:sz w:val="28"/>
          <w:szCs w:val="28"/>
          <w:highlight w:val="none"/>
          <w:u w:val="single" w:color="auto"/>
        </w:rPr>
        <w:t>投标文件技术标一</w:t>
      </w:r>
      <w:r>
        <w:rPr>
          <w:rFonts w:ascii="宋体" w:hAnsi="宋体" w:eastAsia="宋体" w:cs="宋体"/>
          <w:spacing w:val="-4"/>
          <w:sz w:val="28"/>
          <w:szCs w:val="28"/>
          <w:highlight w:val="none"/>
          <w:u w:val="single" w:color="auto"/>
        </w:rPr>
        <w:t xml:space="preserve">  </w:t>
      </w:r>
    </w:p>
    <w:p w14:paraId="3869BDF0">
      <w:pPr>
        <w:spacing w:before="270" w:line="219" w:lineRule="auto"/>
        <w:ind w:left="831"/>
        <w:rPr>
          <w:rFonts w:ascii="宋体" w:hAnsi="宋体" w:eastAsia="宋体" w:cs="宋体"/>
          <w:sz w:val="28"/>
          <w:szCs w:val="28"/>
          <w:highlight w:val="none"/>
        </w:rPr>
      </w:pPr>
      <w:r>
        <w:rPr>
          <w:rFonts w:ascii="宋体" w:hAnsi="宋体" w:eastAsia="宋体" w:cs="宋体"/>
          <w:b/>
          <w:bCs/>
          <w:spacing w:val="-5"/>
          <w:sz w:val="28"/>
          <w:szCs w:val="28"/>
          <w:highlight w:val="none"/>
        </w:rPr>
        <w:t>投标人</w:t>
      </w:r>
      <w:r>
        <w:rPr>
          <w:rFonts w:ascii="宋体" w:hAnsi="宋体" w:eastAsia="宋体" w:cs="宋体"/>
          <w:b/>
          <w:bCs/>
          <w:spacing w:val="1"/>
          <w:sz w:val="28"/>
          <w:szCs w:val="28"/>
          <w:highlight w:val="none"/>
        </w:rPr>
        <w:t>：</w:t>
      </w:r>
      <w:r>
        <w:rPr>
          <w:rFonts w:ascii="宋体" w:hAnsi="宋体" w:eastAsia="宋体" w:cs="宋体"/>
          <w:b/>
          <w:bCs/>
          <w:spacing w:val="1"/>
          <w:sz w:val="28"/>
          <w:szCs w:val="28"/>
          <w:highlight w:val="none"/>
          <w:u w:val="single" w:color="auto"/>
        </w:rPr>
        <w:t>（</w:t>
      </w:r>
      <w:r>
        <w:rPr>
          <w:rFonts w:ascii="宋体" w:hAnsi="宋体" w:eastAsia="宋体" w:cs="宋体"/>
          <w:b/>
          <w:bCs/>
          <w:spacing w:val="-5"/>
          <w:sz w:val="28"/>
          <w:szCs w:val="28"/>
          <w:highlight w:val="none"/>
          <w:u w:val="single" w:color="auto"/>
        </w:rPr>
        <w:t>盖公章）</w:t>
      </w:r>
    </w:p>
    <w:p w14:paraId="55F7E480">
      <w:pPr>
        <w:spacing w:before="270" w:line="219" w:lineRule="auto"/>
        <w:ind w:left="927"/>
        <w:rPr>
          <w:rFonts w:ascii="宋体" w:hAnsi="宋体" w:eastAsia="宋体" w:cs="宋体"/>
          <w:sz w:val="28"/>
          <w:szCs w:val="28"/>
          <w:highlight w:val="none"/>
        </w:rPr>
      </w:pPr>
      <w:r>
        <w:rPr>
          <w:rFonts w:ascii="宋体" w:hAnsi="宋体" w:eastAsia="宋体" w:cs="宋体"/>
          <w:b/>
          <w:bCs/>
          <w:spacing w:val="-3"/>
          <w:sz w:val="28"/>
          <w:szCs w:val="28"/>
          <w:highlight w:val="none"/>
        </w:rPr>
        <w:t>法定代表人或其委托代理人</w:t>
      </w:r>
      <w:r>
        <w:rPr>
          <w:rFonts w:ascii="宋体" w:hAnsi="宋体" w:eastAsia="宋体" w:cs="宋体"/>
          <w:b/>
          <w:bCs/>
          <w:sz w:val="28"/>
          <w:szCs w:val="28"/>
          <w:highlight w:val="none"/>
        </w:rPr>
        <w:t>：</w:t>
      </w:r>
      <w:r>
        <w:rPr>
          <w:rFonts w:ascii="宋体" w:hAnsi="宋体" w:eastAsia="宋体" w:cs="宋体"/>
          <w:b/>
          <w:bCs/>
          <w:sz w:val="28"/>
          <w:szCs w:val="28"/>
          <w:highlight w:val="none"/>
          <w:u w:val="single" w:color="auto"/>
        </w:rPr>
        <w:t>（</w:t>
      </w:r>
      <w:r>
        <w:rPr>
          <w:rFonts w:ascii="宋体" w:hAnsi="宋体" w:eastAsia="宋体" w:cs="宋体"/>
          <w:b/>
          <w:bCs/>
          <w:spacing w:val="-3"/>
          <w:sz w:val="28"/>
          <w:szCs w:val="28"/>
          <w:highlight w:val="none"/>
          <w:u w:val="single" w:color="auto"/>
        </w:rPr>
        <w:t>盖章）</w:t>
      </w:r>
    </w:p>
    <w:p w14:paraId="1D416026">
      <w:pPr>
        <w:pStyle w:val="3"/>
        <w:spacing w:line="273" w:lineRule="auto"/>
        <w:rPr>
          <w:highlight w:val="none"/>
        </w:rPr>
      </w:pPr>
    </w:p>
    <w:p w14:paraId="2C9CC4F4">
      <w:pPr>
        <w:pStyle w:val="3"/>
        <w:spacing w:line="274" w:lineRule="auto"/>
        <w:rPr>
          <w:highlight w:val="none"/>
        </w:rPr>
      </w:pPr>
    </w:p>
    <w:p w14:paraId="5E9AC8B4">
      <w:pPr>
        <w:pStyle w:val="3"/>
        <w:spacing w:line="274" w:lineRule="auto"/>
        <w:rPr>
          <w:highlight w:val="none"/>
        </w:rPr>
      </w:pPr>
    </w:p>
    <w:p w14:paraId="7702AF53">
      <w:pPr>
        <w:spacing w:before="78" w:line="220" w:lineRule="auto"/>
        <w:ind w:left="4432"/>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9"/>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27"/>
          <w:sz w:val="24"/>
          <w:szCs w:val="24"/>
          <w:highlight w:val="none"/>
        </w:rPr>
        <w:t xml:space="preserve">  </w:t>
      </w:r>
      <w:r>
        <w:rPr>
          <w:rFonts w:ascii="宋体" w:hAnsi="宋体" w:eastAsia="宋体" w:cs="宋体"/>
          <w:b/>
          <w:bCs/>
          <w:spacing w:val="-12"/>
          <w:sz w:val="24"/>
          <w:szCs w:val="24"/>
          <w:highlight w:val="none"/>
        </w:rPr>
        <w:t>日</w:t>
      </w:r>
    </w:p>
    <w:p w14:paraId="6BE7C52D">
      <w:pPr>
        <w:spacing w:line="220" w:lineRule="auto"/>
        <w:rPr>
          <w:rFonts w:ascii="宋体" w:hAnsi="宋体" w:eastAsia="宋体" w:cs="宋体"/>
          <w:sz w:val="24"/>
          <w:szCs w:val="24"/>
          <w:highlight w:val="none"/>
        </w:rPr>
        <w:sectPr>
          <w:footerReference r:id="rId79" w:type="default"/>
          <w:pgSz w:w="11907" w:h="16839"/>
          <w:pgMar w:top="1431" w:right="1785" w:bottom="1127" w:left="1108" w:header="0" w:footer="896" w:gutter="0"/>
          <w:cols w:space="720" w:num="1"/>
        </w:sectPr>
      </w:pPr>
    </w:p>
    <w:p w14:paraId="2C25F3EE">
      <w:pPr>
        <w:pStyle w:val="3"/>
        <w:spacing w:line="363" w:lineRule="auto"/>
        <w:rPr>
          <w:highlight w:val="none"/>
        </w:rPr>
      </w:pPr>
    </w:p>
    <w:p w14:paraId="31D35C0F">
      <w:pPr>
        <w:tabs>
          <w:tab w:val="left" w:pos="3582"/>
        </w:tabs>
        <w:spacing w:before="78" w:line="220" w:lineRule="auto"/>
        <w:ind w:left="3447"/>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29"/>
          <w:sz w:val="24"/>
          <w:szCs w:val="24"/>
          <w:highlight w:val="none"/>
          <w:u w:val="single" w:color="auto"/>
        </w:rPr>
        <w:t>（项目名称）</w:t>
      </w:r>
      <w:r>
        <w:rPr>
          <w:rFonts w:ascii="宋体" w:hAnsi="宋体" w:eastAsia="宋体" w:cs="宋体"/>
          <w:spacing w:val="3"/>
          <w:sz w:val="24"/>
          <w:szCs w:val="24"/>
          <w:highlight w:val="none"/>
          <w:u w:val="single" w:color="auto"/>
        </w:rPr>
        <w:t xml:space="preserve"> </w:t>
      </w:r>
    </w:p>
    <w:p w14:paraId="5E813362">
      <w:pPr>
        <w:pStyle w:val="3"/>
        <w:spacing w:line="281" w:lineRule="auto"/>
        <w:rPr>
          <w:highlight w:val="none"/>
        </w:rPr>
      </w:pPr>
    </w:p>
    <w:p w14:paraId="495E3BBB">
      <w:pPr>
        <w:pStyle w:val="3"/>
        <w:spacing w:line="282" w:lineRule="auto"/>
        <w:rPr>
          <w:highlight w:val="none"/>
        </w:rPr>
      </w:pPr>
    </w:p>
    <w:p w14:paraId="7FAFC30D">
      <w:pPr>
        <w:pStyle w:val="3"/>
        <w:spacing w:line="282" w:lineRule="auto"/>
        <w:rPr>
          <w:highlight w:val="none"/>
        </w:rPr>
      </w:pPr>
    </w:p>
    <w:p w14:paraId="30B188FB">
      <w:pPr>
        <w:spacing w:before="169" w:line="220" w:lineRule="auto"/>
        <w:ind w:left="3152"/>
        <w:rPr>
          <w:rFonts w:ascii="宋体" w:hAnsi="宋体" w:eastAsia="宋体" w:cs="宋体"/>
          <w:sz w:val="52"/>
          <w:szCs w:val="52"/>
          <w:highlight w:val="none"/>
        </w:rPr>
      </w:pPr>
      <w:r>
        <w:rPr>
          <w:rFonts w:ascii="宋体" w:hAnsi="宋体" w:eastAsia="宋体" w:cs="宋体"/>
          <w:spacing w:val="-6"/>
          <w:sz w:val="52"/>
          <w:szCs w:val="52"/>
          <w:highlight w:val="none"/>
        </w:rPr>
        <w:t>投标文件</w:t>
      </w:r>
    </w:p>
    <w:p w14:paraId="03D1B6F1">
      <w:pPr>
        <w:pStyle w:val="3"/>
        <w:rPr>
          <w:highlight w:val="none"/>
        </w:rPr>
      </w:pPr>
    </w:p>
    <w:p w14:paraId="3BD0AD46">
      <w:pPr>
        <w:pStyle w:val="3"/>
        <w:rPr>
          <w:highlight w:val="none"/>
        </w:rPr>
      </w:pPr>
    </w:p>
    <w:p w14:paraId="5DC07FE4">
      <w:pPr>
        <w:pStyle w:val="3"/>
        <w:rPr>
          <w:highlight w:val="none"/>
        </w:rPr>
      </w:pPr>
    </w:p>
    <w:p w14:paraId="6E14CD6A">
      <w:pPr>
        <w:pStyle w:val="3"/>
        <w:rPr>
          <w:highlight w:val="none"/>
        </w:rPr>
      </w:pPr>
    </w:p>
    <w:p w14:paraId="6CF003C9">
      <w:pPr>
        <w:pStyle w:val="3"/>
        <w:rPr>
          <w:highlight w:val="none"/>
        </w:rPr>
      </w:pPr>
    </w:p>
    <w:p w14:paraId="071972A4">
      <w:pPr>
        <w:pStyle w:val="3"/>
        <w:rPr>
          <w:highlight w:val="none"/>
        </w:rPr>
      </w:pPr>
    </w:p>
    <w:p w14:paraId="759701E3">
      <w:pPr>
        <w:pStyle w:val="3"/>
        <w:rPr>
          <w:highlight w:val="none"/>
        </w:rPr>
      </w:pPr>
    </w:p>
    <w:p w14:paraId="243D7BDA">
      <w:pPr>
        <w:pStyle w:val="3"/>
        <w:rPr>
          <w:highlight w:val="none"/>
        </w:rPr>
      </w:pPr>
    </w:p>
    <w:p w14:paraId="644F19DD">
      <w:pPr>
        <w:pStyle w:val="3"/>
        <w:rPr>
          <w:highlight w:val="none"/>
        </w:rPr>
      </w:pPr>
    </w:p>
    <w:p w14:paraId="264DC4B3">
      <w:pPr>
        <w:pStyle w:val="3"/>
        <w:rPr>
          <w:highlight w:val="none"/>
        </w:rPr>
      </w:pPr>
    </w:p>
    <w:p w14:paraId="628E2426">
      <w:pPr>
        <w:pStyle w:val="3"/>
        <w:rPr>
          <w:highlight w:val="none"/>
        </w:rPr>
      </w:pPr>
    </w:p>
    <w:p w14:paraId="42C1AD71">
      <w:pPr>
        <w:pStyle w:val="3"/>
        <w:spacing w:line="241" w:lineRule="auto"/>
        <w:rPr>
          <w:highlight w:val="none"/>
        </w:rPr>
      </w:pPr>
    </w:p>
    <w:p w14:paraId="27B50BFB">
      <w:pPr>
        <w:pStyle w:val="3"/>
        <w:spacing w:line="241" w:lineRule="auto"/>
        <w:rPr>
          <w:highlight w:val="none"/>
        </w:rPr>
      </w:pPr>
    </w:p>
    <w:p w14:paraId="35A651C4">
      <w:pPr>
        <w:pStyle w:val="3"/>
        <w:spacing w:line="241" w:lineRule="auto"/>
        <w:rPr>
          <w:highlight w:val="none"/>
        </w:rPr>
      </w:pPr>
    </w:p>
    <w:p w14:paraId="2925170A">
      <w:pPr>
        <w:pStyle w:val="3"/>
        <w:spacing w:line="241" w:lineRule="auto"/>
        <w:rPr>
          <w:highlight w:val="none"/>
        </w:rPr>
      </w:pPr>
    </w:p>
    <w:p w14:paraId="7C01F0EE">
      <w:pPr>
        <w:pStyle w:val="3"/>
        <w:spacing w:line="241" w:lineRule="auto"/>
        <w:rPr>
          <w:highlight w:val="none"/>
        </w:rPr>
      </w:pPr>
    </w:p>
    <w:p w14:paraId="527C1131">
      <w:pPr>
        <w:pStyle w:val="3"/>
        <w:spacing w:line="241" w:lineRule="auto"/>
        <w:rPr>
          <w:highlight w:val="none"/>
        </w:rPr>
      </w:pPr>
    </w:p>
    <w:p w14:paraId="663347EB">
      <w:pPr>
        <w:pStyle w:val="3"/>
        <w:spacing w:line="241" w:lineRule="auto"/>
        <w:rPr>
          <w:highlight w:val="none"/>
        </w:rPr>
      </w:pPr>
    </w:p>
    <w:p w14:paraId="09A9C885">
      <w:pPr>
        <w:pStyle w:val="3"/>
        <w:spacing w:line="241" w:lineRule="auto"/>
        <w:rPr>
          <w:highlight w:val="none"/>
        </w:rPr>
      </w:pPr>
    </w:p>
    <w:p w14:paraId="48B6034A">
      <w:pPr>
        <w:pStyle w:val="3"/>
        <w:spacing w:line="241" w:lineRule="auto"/>
        <w:rPr>
          <w:highlight w:val="none"/>
        </w:rPr>
      </w:pPr>
    </w:p>
    <w:p w14:paraId="0E307B31">
      <w:pPr>
        <w:pStyle w:val="3"/>
        <w:spacing w:line="241" w:lineRule="auto"/>
        <w:rPr>
          <w:highlight w:val="none"/>
        </w:rPr>
      </w:pPr>
    </w:p>
    <w:p w14:paraId="62A68CE5">
      <w:pPr>
        <w:pStyle w:val="3"/>
        <w:spacing w:line="241" w:lineRule="auto"/>
        <w:rPr>
          <w:highlight w:val="none"/>
        </w:rPr>
      </w:pPr>
    </w:p>
    <w:p w14:paraId="1B5D394C">
      <w:pPr>
        <w:pStyle w:val="3"/>
        <w:spacing w:line="241" w:lineRule="auto"/>
        <w:rPr>
          <w:highlight w:val="none"/>
        </w:rPr>
      </w:pPr>
    </w:p>
    <w:p w14:paraId="5DAFDE66">
      <w:pPr>
        <w:spacing w:before="91" w:line="220" w:lineRule="auto"/>
        <w:ind w:left="153"/>
        <w:rPr>
          <w:rFonts w:ascii="宋体" w:hAnsi="宋体" w:eastAsia="宋体" w:cs="宋体"/>
          <w:sz w:val="28"/>
          <w:szCs w:val="28"/>
          <w:highlight w:val="none"/>
        </w:rPr>
      </w:pPr>
      <w:r>
        <w:rPr>
          <w:rFonts w:ascii="宋体" w:hAnsi="宋体" w:eastAsia="宋体" w:cs="宋体"/>
          <w:b/>
          <w:bCs/>
          <w:spacing w:val="-4"/>
          <w:sz w:val="28"/>
          <w:szCs w:val="28"/>
          <w:highlight w:val="none"/>
        </w:rPr>
        <w:t>投标文件内容：</w:t>
      </w:r>
      <w:r>
        <w:rPr>
          <w:rFonts w:ascii="宋体" w:hAnsi="宋体" w:eastAsia="宋体" w:cs="宋体"/>
          <w:spacing w:val="-4"/>
          <w:sz w:val="28"/>
          <w:szCs w:val="28"/>
          <w:highlight w:val="none"/>
          <w:u w:val="single" w:color="auto"/>
        </w:rPr>
        <w:t xml:space="preserve"> </w:t>
      </w:r>
      <w:r>
        <w:rPr>
          <w:rFonts w:ascii="宋体" w:hAnsi="宋体" w:eastAsia="宋体" w:cs="宋体"/>
          <w:b/>
          <w:bCs/>
          <w:spacing w:val="-4"/>
          <w:sz w:val="28"/>
          <w:szCs w:val="28"/>
          <w:highlight w:val="none"/>
          <w:u w:val="single" w:color="auto"/>
        </w:rPr>
        <w:t>投标文件技术标二</w:t>
      </w:r>
      <w:r>
        <w:rPr>
          <w:rFonts w:ascii="宋体" w:hAnsi="宋体" w:eastAsia="宋体" w:cs="宋体"/>
          <w:spacing w:val="-4"/>
          <w:sz w:val="28"/>
          <w:szCs w:val="28"/>
          <w:highlight w:val="none"/>
          <w:u w:val="single" w:color="auto"/>
        </w:rPr>
        <w:t xml:space="preserve">  </w:t>
      </w:r>
    </w:p>
    <w:p w14:paraId="3A596CA9">
      <w:pPr>
        <w:spacing w:before="269" w:line="219" w:lineRule="auto"/>
        <w:ind w:left="153"/>
        <w:rPr>
          <w:rFonts w:ascii="宋体" w:hAnsi="宋体" w:eastAsia="宋体" w:cs="宋体"/>
          <w:sz w:val="28"/>
          <w:szCs w:val="28"/>
          <w:highlight w:val="none"/>
        </w:rPr>
      </w:pPr>
      <w:r>
        <w:rPr>
          <w:rFonts w:ascii="宋体" w:hAnsi="宋体" w:eastAsia="宋体" w:cs="宋体"/>
          <w:b/>
          <w:bCs/>
          <w:spacing w:val="-5"/>
          <w:sz w:val="28"/>
          <w:szCs w:val="28"/>
          <w:highlight w:val="none"/>
        </w:rPr>
        <w:t>投标人</w:t>
      </w:r>
      <w:r>
        <w:rPr>
          <w:rFonts w:ascii="宋体" w:hAnsi="宋体" w:eastAsia="宋体" w:cs="宋体"/>
          <w:b/>
          <w:bCs/>
          <w:spacing w:val="1"/>
          <w:sz w:val="28"/>
          <w:szCs w:val="28"/>
          <w:highlight w:val="none"/>
        </w:rPr>
        <w:t>：</w:t>
      </w:r>
      <w:r>
        <w:rPr>
          <w:rFonts w:ascii="宋体" w:hAnsi="宋体" w:eastAsia="宋体" w:cs="宋体"/>
          <w:b/>
          <w:bCs/>
          <w:spacing w:val="1"/>
          <w:sz w:val="28"/>
          <w:szCs w:val="28"/>
          <w:highlight w:val="none"/>
          <w:u w:val="single" w:color="auto"/>
        </w:rPr>
        <w:t>（</w:t>
      </w:r>
      <w:r>
        <w:rPr>
          <w:rFonts w:ascii="宋体" w:hAnsi="宋体" w:eastAsia="宋体" w:cs="宋体"/>
          <w:b/>
          <w:bCs/>
          <w:spacing w:val="-5"/>
          <w:sz w:val="28"/>
          <w:szCs w:val="28"/>
          <w:highlight w:val="none"/>
          <w:u w:val="single" w:color="auto"/>
        </w:rPr>
        <w:t>盖公章）</w:t>
      </w:r>
    </w:p>
    <w:p w14:paraId="3E084D0C">
      <w:pPr>
        <w:spacing w:before="268" w:line="219" w:lineRule="auto"/>
        <w:ind w:left="249"/>
        <w:rPr>
          <w:rFonts w:ascii="宋体" w:hAnsi="宋体" w:eastAsia="宋体" w:cs="宋体"/>
          <w:sz w:val="28"/>
          <w:szCs w:val="28"/>
          <w:highlight w:val="none"/>
        </w:rPr>
      </w:pPr>
      <w:r>
        <w:rPr>
          <w:rFonts w:ascii="宋体" w:hAnsi="宋体" w:eastAsia="宋体" w:cs="宋体"/>
          <w:b/>
          <w:bCs/>
          <w:spacing w:val="-3"/>
          <w:sz w:val="28"/>
          <w:szCs w:val="28"/>
          <w:highlight w:val="none"/>
        </w:rPr>
        <w:t>法定代表人或其委托代理人</w:t>
      </w:r>
      <w:r>
        <w:rPr>
          <w:rFonts w:ascii="宋体" w:hAnsi="宋体" w:eastAsia="宋体" w:cs="宋体"/>
          <w:b/>
          <w:bCs/>
          <w:sz w:val="28"/>
          <w:szCs w:val="28"/>
          <w:highlight w:val="none"/>
        </w:rPr>
        <w:t>：</w:t>
      </w:r>
      <w:r>
        <w:rPr>
          <w:rFonts w:ascii="宋体" w:hAnsi="宋体" w:eastAsia="宋体" w:cs="宋体"/>
          <w:b/>
          <w:bCs/>
          <w:sz w:val="28"/>
          <w:szCs w:val="28"/>
          <w:highlight w:val="none"/>
          <w:u w:val="single" w:color="auto"/>
        </w:rPr>
        <w:t>（</w:t>
      </w:r>
      <w:r>
        <w:rPr>
          <w:rFonts w:ascii="宋体" w:hAnsi="宋体" w:eastAsia="宋体" w:cs="宋体"/>
          <w:b/>
          <w:bCs/>
          <w:spacing w:val="-3"/>
          <w:sz w:val="28"/>
          <w:szCs w:val="28"/>
          <w:highlight w:val="none"/>
          <w:u w:val="single" w:color="auto"/>
        </w:rPr>
        <w:t>盖章）</w:t>
      </w:r>
    </w:p>
    <w:p w14:paraId="6F092827">
      <w:pPr>
        <w:pStyle w:val="3"/>
        <w:spacing w:line="274" w:lineRule="auto"/>
        <w:rPr>
          <w:highlight w:val="none"/>
        </w:rPr>
      </w:pPr>
    </w:p>
    <w:p w14:paraId="3BF0F1EF">
      <w:pPr>
        <w:pStyle w:val="3"/>
        <w:spacing w:line="274" w:lineRule="auto"/>
        <w:rPr>
          <w:highlight w:val="none"/>
        </w:rPr>
      </w:pPr>
    </w:p>
    <w:p w14:paraId="07DA7D43">
      <w:pPr>
        <w:pStyle w:val="3"/>
        <w:spacing w:line="275" w:lineRule="auto"/>
        <w:rPr>
          <w:highlight w:val="none"/>
        </w:rPr>
      </w:pPr>
    </w:p>
    <w:p w14:paraId="39CDCB33">
      <w:pPr>
        <w:spacing w:before="78" w:line="220" w:lineRule="auto"/>
        <w:ind w:left="3754"/>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9"/>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27"/>
          <w:sz w:val="24"/>
          <w:szCs w:val="24"/>
          <w:highlight w:val="none"/>
        </w:rPr>
        <w:t xml:space="preserve">  </w:t>
      </w:r>
      <w:r>
        <w:rPr>
          <w:rFonts w:ascii="宋体" w:hAnsi="宋体" w:eastAsia="宋体" w:cs="宋体"/>
          <w:b/>
          <w:bCs/>
          <w:spacing w:val="-12"/>
          <w:sz w:val="24"/>
          <w:szCs w:val="24"/>
          <w:highlight w:val="none"/>
        </w:rPr>
        <w:t>日</w:t>
      </w:r>
    </w:p>
    <w:p w14:paraId="3E69F217">
      <w:pPr>
        <w:spacing w:line="220" w:lineRule="auto"/>
        <w:rPr>
          <w:rFonts w:ascii="宋体" w:hAnsi="宋体" w:eastAsia="宋体" w:cs="宋体"/>
          <w:sz w:val="24"/>
          <w:szCs w:val="24"/>
          <w:highlight w:val="none"/>
        </w:rPr>
        <w:sectPr>
          <w:footerReference r:id="rId80" w:type="default"/>
          <w:pgSz w:w="11907" w:h="16839"/>
          <w:pgMar w:top="1431" w:right="1785" w:bottom="1127" w:left="1785" w:header="0" w:footer="896" w:gutter="0"/>
          <w:cols w:space="720" w:num="1"/>
        </w:sectPr>
      </w:pPr>
    </w:p>
    <w:p w14:paraId="67EF8957">
      <w:pPr>
        <w:spacing w:before="181" w:line="219" w:lineRule="auto"/>
        <w:ind w:left="3606"/>
        <w:rPr>
          <w:rFonts w:ascii="宋体" w:hAnsi="宋体" w:eastAsia="宋体" w:cs="宋体"/>
          <w:sz w:val="28"/>
          <w:szCs w:val="28"/>
          <w:highlight w:val="none"/>
        </w:rPr>
      </w:pPr>
      <w:r>
        <w:rPr>
          <w:rFonts w:ascii="宋体" w:hAnsi="宋体" w:eastAsia="宋体" w:cs="宋体"/>
          <w:b/>
          <w:bCs/>
          <w:spacing w:val="-4"/>
          <w:sz w:val="28"/>
          <w:szCs w:val="28"/>
          <w:highlight w:val="none"/>
        </w:rPr>
        <w:t>（一）资格证明材料</w:t>
      </w:r>
    </w:p>
    <w:p w14:paraId="1276AF6C">
      <w:pPr>
        <w:spacing w:before="233" w:line="360" w:lineRule="auto"/>
        <w:ind w:firstLine="487"/>
        <w:jc w:val="both"/>
        <w:rPr>
          <w:rFonts w:ascii="仿宋" w:hAnsi="仿宋" w:eastAsia="仿宋" w:cs="仿宋"/>
          <w:sz w:val="24"/>
          <w:szCs w:val="24"/>
          <w:highlight w:val="none"/>
        </w:rPr>
      </w:pPr>
      <w:r>
        <w:rPr>
          <w:rFonts w:ascii="仿宋" w:hAnsi="仿宋" w:eastAsia="仿宋" w:cs="仿宋"/>
          <w:spacing w:val="-3"/>
          <w:sz w:val="24"/>
          <w:szCs w:val="24"/>
          <w:highlight w:val="none"/>
        </w:rPr>
        <w:t>包括法人授权委托书、企业法人营业执照副本、企业资质证书、安全生产</w:t>
      </w:r>
      <w:r>
        <w:rPr>
          <w:rFonts w:ascii="仿宋" w:hAnsi="仿宋" w:eastAsia="仿宋" w:cs="仿宋"/>
          <w:spacing w:val="-4"/>
          <w:sz w:val="24"/>
          <w:szCs w:val="24"/>
          <w:highlight w:val="none"/>
        </w:rPr>
        <w:t>许可证、设计负</w:t>
      </w:r>
      <w:r>
        <w:rPr>
          <w:rFonts w:ascii="仿宋" w:hAnsi="仿宋" w:eastAsia="仿宋" w:cs="仿宋"/>
          <w:spacing w:val="-2"/>
          <w:sz w:val="24"/>
          <w:szCs w:val="24"/>
          <w:highlight w:val="none"/>
        </w:rPr>
        <w:t>责人注册证书、项目经理（注册建造师）注册证书及安全生产考核合格证（B</w:t>
      </w:r>
      <w:r>
        <w:rPr>
          <w:rFonts w:ascii="仿宋" w:hAnsi="仿宋" w:eastAsia="仿宋" w:cs="仿宋"/>
          <w:spacing w:val="-34"/>
          <w:sz w:val="24"/>
          <w:szCs w:val="24"/>
          <w:highlight w:val="none"/>
        </w:rPr>
        <w:t xml:space="preserve"> </w:t>
      </w:r>
      <w:r>
        <w:rPr>
          <w:rFonts w:ascii="仿宋" w:hAnsi="仿宋" w:eastAsia="仿宋" w:cs="仿宋"/>
          <w:spacing w:val="-2"/>
          <w:sz w:val="24"/>
          <w:szCs w:val="24"/>
          <w:highlight w:val="none"/>
        </w:rPr>
        <w:t>证）、施工技术负责人职称证书、业绩证明、社保缴费证明材料等内容。</w:t>
      </w:r>
    </w:p>
    <w:p w14:paraId="6F09FC58">
      <w:pPr>
        <w:spacing w:line="360" w:lineRule="auto"/>
        <w:rPr>
          <w:rFonts w:ascii="仿宋" w:hAnsi="仿宋" w:eastAsia="仿宋" w:cs="仿宋"/>
          <w:sz w:val="24"/>
          <w:szCs w:val="24"/>
          <w:highlight w:val="none"/>
        </w:rPr>
        <w:sectPr>
          <w:footerReference r:id="rId81" w:type="default"/>
          <w:pgSz w:w="11907" w:h="16839"/>
          <w:pgMar w:top="1431" w:right="1080" w:bottom="1127" w:left="1100" w:header="0" w:footer="896" w:gutter="0"/>
          <w:cols w:space="720" w:num="1"/>
        </w:sectPr>
      </w:pPr>
    </w:p>
    <w:p w14:paraId="651BEAAF">
      <w:pPr>
        <w:spacing w:before="141" w:line="219" w:lineRule="auto"/>
        <w:ind w:left="3806"/>
        <w:rPr>
          <w:rFonts w:ascii="宋体" w:hAnsi="宋体" w:eastAsia="宋体" w:cs="宋体"/>
          <w:sz w:val="36"/>
          <w:szCs w:val="36"/>
          <w:highlight w:val="none"/>
        </w:rPr>
      </w:pPr>
      <w:r>
        <w:rPr>
          <w:rFonts w:ascii="宋体" w:hAnsi="宋体" w:eastAsia="宋体" w:cs="宋体"/>
          <w:spacing w:val="-3"/>
          <w:sz w:val="36"/>
          <w:szCs w:val="36"/>
          <w:highlight w:val="none"/>
        </w:rPr>
        <w:t>联合体协议书</w:t>
      </w:r>
    </w:p>
    <w:p w14:paraId="2631FD70">
      <w:pPr>
        <w:spacing w:before="237" w:line="219" w:lineRule="auto"/>
        <w:ind w:left="3490"/>
        <w:rPr>
          <w:rFonts w:ascii="宋体" w:hAnsi="宋体" w:eastAsia="宋体" w:cs="宋体"/>
          <w:sz w:val="28"/>
          <w:szCs w:val="28"/>
          <w:highlight w:val="none"/>
        </w:rPr>
      </w:pPr>
      <w:r>
        <w:rPr>
          <w:rFonts w:ascii="宋体" w:hAnsi="宋体" w:eastAsia="宋体" w:cs="宋体"/>
          <w:spacing w:val="-3"/>
          <w:sz w:val="28"/>
          <w:szCs w:val="28"/>
          <w:highlight w:val="none"/>
        </w:rPr>
        <w:t>（如采用联合体投标）</w:t>
      </w:r>
    </w:p>
    <w:p w14:paraId="50D6C6C0">
      <w:pPr>
        <w:tabs>
          <w:tab w:val="left" w:pos="135"/>
        </w:tabs>
        <w:spacing w:before="232" w:line="360" w:lineRule="auto"/>
        <w:ind w:left="15" w:right="64" w:hanging="15"/>
        <w:rPr>
          <w:rFonts w:ascii="仿宋" w:hAnsi="仿宋" w:eastAsia="仿宋" w:cs="仿宋"/>
          <w:sz w:val="24"/>
          <w:szCs w:val="24"/>
          <w:highlight w:val="none"/>
        </w:rPr>
      </w:pPr>
      <w:r>
        <w:rPr>
          <w:rFonts w:ascii="仿宋" w:hAnsi="仿宋" w:eastAsia="仿宋" w:cs="仿宋"/>
          <w:sz w:val="24"/>
          <w:szCs w:val="24"/>
          <w:highlight w:val="none"/>
          <w:u w:val="single" w:color="auto"/>
        </w:rPr>
        <w:tab/>
      </w:r>
      <w:r>
        <w:rPr>
          <w:rFonts w:ascii="仿宋" w:hAnsi="仿宋" w:eastAsia="仿宋" w:cs="仿宋"/>
          <w:sz w:val="24"/>
          <w:szCs w:val="24"/>
          <w:highlight w:val="none"/>
          <w:u w:val="single" w:color="auto"/>
        </w:rPr>
        <w:tab/>
      </w:r>
      <w:r>
        <w:rPr>
          <w:rFonts w:ascii="仿宋" w:hAnsi="仿宋" w:eastAsia="仿宋" w:cs="仿宋"/>
          <w:spacing w:val="-8"/>
          <w:sz w:val="24"/>
          <w:szCs w:val="24"/>
          <w:highlight w:val="none"/>
          <w:u w:val="single" w:color="auto"/>
        </w:rPr>
        <w:t>（所有成员单位名称）</w:t>
      </w:r>
      <w:r>
        <w:rPr>
          <w:rFonts w:ascii="仿宋" w:hAnsi="仿宋" w:eastAsia="仿宋" w:cs="仿宋"/>
          <w:spacing w:val="-59"/>
          <w:sz w:val="24"/>
          <w:szCs w:val="24"/>
          <w:highlight w:val="none"/>
        </w:rPr>
        <w:t xml:space="preserve"> </w:t>
      </w:r>
      <w:r>
        <w:rPr>
          <w:rFonts w:ascii="仿宋" w:hAnsi="仿宋" w:eastAsia="仿宋" w:cs="仿宋"/>
          <w:spacing w:val="-8"/>
          <w:sz w:val="24"/>
          <w:szCs w:val="24"/>
          <w:highlight w:val="none"/>
        </w:rPr>
        <w:t>自愿组成联合体，共同参加项目</w:t>
      </w:r>
      <w:r>
        <w:rPr>
          <w:rFonts w:ascii="仿宋" w:hAnsi="仿宋" w:eastAsia="仿宋" w:cs="仿宋"/>
          <w:spacing w:val="-8"/>
          <w:sz w:val="24"/>
          <w:szCs w:val="24"/>
          <w:highlight w:val="none"/>
          <w:u w:val="single" w:color="auto"/>
        </w:rPr>
        <w:t>（标段）</w:t>
      </w:r>
      <w:r>
        <w:rPr>
          <w:rFonts w:ascii="仿宋" w:hAnsi="仿宋" w:eastAsia="仿宋" w:cs="仿宋"/>
          <w:spacing w:val="-8"/>
          <w:sz w:val="24"/>
          <w:szCs w:val="24"/>
          <w:highlight w:val="none"/>
        </w:rPr>
        <w:t>名称（</w:t>
      </w:r>
      <w:r>
        <w:rPr>
          <w:rFonts w:ascii="仿宋" w:hAnsi="仿宋" w:eastAsia="仿宋" w:cs="仿宋"/>
          <w:spacing w:val="-9"/>
          <w:sz w:val="24"/>
          <w:szCs w:val="24"/>
          <w:highlight w:val="none"/>
        </w:rPr>
        <w:t>项目编号</w:t>
      </w:r>
      <w:r>
        <w:rPr>
          <w:rFonts w:ascii="仿宋" w:hAnsi="仿宋" w:eastAsia="仿宋" w:cs="仿宋"/>
          <w:spacing w:val="-16"/>
          <w:sz w:val="24"/>
          <w:szCs w:val="24"/>
          <w:highlight w:val="none"/>
        </w:rPr>
        <w:t>：</w:t>
      </w:r>
      <w:r>
        <w:rPr>
          <w:rFonts w:ascii="仿宋" w:hAnsi="仿宋" w:eastAsia="仿宋" w:cs="仿宋"/>
          <w:spacing w:val="-62"/>
          <w:sz w:val="24"/>
          <w:szCs w:val="24"/>
          <w:highlight w:val="none"/>
        </w:rPr>
        <w:t xml:space="preserve"> </w:t>
      </w:r>
      <w:r>
        <w:rPr>
          <w:rFonts w:ascii="仿宋" w:hAnsi="仿宋" w:eastAsia="仿宋" w:cs="仿宋"/>
          <w:spacing w:val="-16"/>
          <w:sz w:val="24"/>
          <w:szCs w:val="24"/>
          <w:highlight w:val="none"/>
        </w:rPr>
        <w:t>）</w:t>
      </w:r>
      <w:r>
        <w:rPr>
          <w:rFonts w:ascii="仿宋" w:hAnsi="仿宋" w:eastAsia="仿宋" w:cs="仿宋"/>
          <w:spacing w:val="-9"/>
          <w:sz w:val="24"/>
          <w:szCs w:val="24"/>
          <w:highlight w:val="none"/>
        </w:rPr>
        <w:t>投标。现</w:t>
      </w:r>
      <w:r>
        <w:rPr>
          <w:rFonts w:ascii="仿宋" w:hAnsi="仿宋" w:eastAsia="仿宋" w:cs="仿宋"/>
          <w:spacing w:val="-3"/>
          <w:sz w:val="24"/>
          <w:szCs w:val="24"/>
          <w:highlight w:val="none"/>
        </w:rPr>
        <w:t>就联合体投标事宜订立如下协议。</w:t>
      </w:r>
    </w:p>
    <w:p w14:paraId="5CA4B8A7">
      <w:pPr>
        <w:spacing w:line="216" w:lineRule="auto"/>
        <w:ind w:left="560"/>
        <w:rPr>
          <w:rFonts w:ascii="仿宋" w:hAnsi="仿宋" w:eastAsia="仿宋" w:cs="仿宋"/>
          <w:sz w:val="24"/>
          <w:szCs w:val="24"/>
          <w:highlight w:val="none"/>
        </w:rPr>
      </w:pPr>
      <w:r>
        <w:rPr>
          <w:rFonts w:ascii="仿宋" w:hAnsi="仿宋" w:eastAsia="仿宋" w:cs="仿宋"/>
          <w:spacing w:val="-4"/>
          <w:sz w:val="24"/>
          <w:szCs w:val="24"/>
          <w:highlight w:val="none"/>
        </w:rPr>
        <w:t>1 .</w:t>
      </w:r>
      <w:r>
        <w:rPr>
          <w:rFonts w:ascii="仿宋" w:hAnsi="仿宋" w:eastAsia="仿宋" w:cs="仿宋"/>
          <w:spacing w:val="-4"/>
          <w:sz w:val="24"/>
          <w:szCs w:val="24"/>
          <w:highlight w:val="none"/>
          <w:u w:val="single" w:color="auto"/>
        </w:rPr>
        <w:t>（某成员单位名称）</w:t>
      </w:r>
      <w:r>
        <w:rPr>
          <w:rFonts w:ascii="仿宋" w:hAnsi="仿宋" w:eastAsia="仿宋" w:cs="仿宋"/>
          <w:spacing w:val="-4"/>
          <w:sz w:val="24"/>
          <w:szCs w:val="24"/>
          <w:highlight w:val="none"/>
        </w:rPr>
        <w:t>为</w:t>
      </w:r>
      <w:r>
        <w:rPr>
          <w:rFonts w:ascii="仿宋" w:hAnsi="仿宋" w:eastAsia="仿宋" w:cs="仿宋"/>
          <w:spacing w:val="-4"/>
          <w:sz w:val="24"/>
          <w:szCs w:val="24"/>
          <w:highlight w:val="none"/>
          <w:u w:val="single" w:color="auto"/>
        </w:rPr>
        <w:t>（联合体名称）</w:t>
      </w:r>
      <w:r>
        <w:rPr>
          <w:rFonts w:ascii="仿宋" w:hAnsi="仿宋" w:eastAsia="仿宋" w:cs="仿宋"/>
          <w:spacing w:val="-4"/>
          <w:sz w:val="24"/>
          <w:szCs w:val="24"/>
          <w:highlight w:val="none"/>
        </w:rPr>
        <w:t>牵头</w:t>
      </w:r>
      <w:r>
        <w:rPr>
          <w:rFonts w:ascii="仿宋" w:hAnsi="仿宋" w:eastAsia="仿宋" w:cs="仿宋"/>
          <w:spacing w:val="-5"/>
          <w:sz w:val="24"/>
          <w:szCs w:val="24"/>
          <w:highlight w:val="none"/>
        </w:rPr>
        <w:t>人。</w:t>
      </w:r>
    </w:p>
    <w:p w14:paraId="3AC3351D">
      <w:pPr>
        <w:spacing w:before="186" w:line="312" w:lineRule="auto"/>
        <w:ind w:left="18" w:right="66" w:firstLine="533"/>
        <w:rPr>
          <w:rFonts w:ascii="仿宋" w:hAnsi="仿宋" w:eastAsia="仿宋" w:cs="仿宋"/>
          <w:sz w:val="24"/>
          <w:szCs w:val="24"/>
          <w:highlight w:val="none"/>
        </w:rPr>
      </w:pPr>
      <w:r>
        <w:rPr>
          <w:rFonts w:ascii="仿宋" w:hAnsi="仿宋" w:eastAsia="仿宋" w:cs="仿宋"/>
          <w:spacing w:val="-1"/>
          <w:sz w:val="24"/>
          <w:szCs w:val="24"/>
          <w:highlight w:val="none"/>
        </w:rPr>
        <w:t>2</w:t>
      </w:r>
      <w:r>
        <w:rPr>
          <w:rFonts w:ascii="仿宋" w:hAnsi="仿宋" w:eastAsia="仿宋" w:cs="仿宋"/>
          <w:spacing w:val="-20"/>
          <w:sz w:val="24"/>
          <w:szCs w:val="24"/>
          <w:highlight w:val="none"/>
        </w:rPr>
        <w:t xml:space="preserve"> </w:t>
      </w:r>
      <w:r>
        <w:rPr>
          <w:rFonts w:ascii="仿宋" w:hAnsi="仿宋" w:eastAsia="仿宋" w:cs="仿宋"/>
          <w:spacing w:val="-1"/>
          <w:sz w:val="24"/>
          <w:szCs w:val="24"/>
          <w:highlight w:val="none"/>
        </w:rPr>
        <w:t>.联合体牵头人合法代表联合体各成员负责本标段施工招标投标文件递交和合同谈判活</w:t>
      </w:r>
      <w:r>
        <w:rPr>
          <w:rFonts w:ascii="仿宋" w:hAnsi="仿宋" w:eastAsia="仿宋" w:cs="仿宋"/>
          <w:spacing w:val="-7"/>
          <w:sz w:val="24"/>
          <w:szCs w:val="24"/>
          <w:highlight w:val="none"/>
        </w:rPr>
        <w:t>动，并代表联合体提交和接受相关的资料、信息及指示，</w:t>
      </w:r>
      <w:r>
        <w:rPr>
          <w:rFonts w:ascii="仿宋" w:hAnsi="仿宋" w:eastAsia="仿宋" w:cs="仿宋"/>
          <w:spacing w:val="48"/>
          <w:sz w:val="24"/>
          <w:szCs w:val="24"/>
          <w:highlight w:val="none"/>
        </w:rPr>
        <w:t xml:space="preserve"> </w:t>
      </w:r>
      <w:r>
        <w:rPr>
          <w:rFonts w:ascii="仿宋" w:hAnsi="仿宋" w:eastAsia="仿宋" w:cs="仿宋"/>
          <w:spacing w:val="-7"/>
          <w:sz w:val="24"/>
          <w:szCs w:val="24"/>
          <w:highlight w:val="none"/>
        </w:rPr>
        <w:t>处理与之有关的一切事务，并负责合</w:t>
      </w:r>
      <w:r>
        <w:rPr>
          <w:rFonts w:ascii="仿宋" w:hAnsi="仿宋" w:eastAsia="仿宋" w:cs="仿宋"/>
          <w:spacing w:val="-3"/>
          <w:sz w:val="24"/>
          <w:szCs w:val="24"/>
          <w:highlight w:val="none"/>
        </w:rPr>
        <w:t>同实施阶段的主办、组织和协调工作。</w:t>
      </w:r>
    </w:p>
    <w:p w14:paraId="180B40DD">
      <w:pPr>
        <w:spacing w:before="189" w:line="289" w:lineRule="auto"/>
        <w:ind w:left="17" w:right="66" w:firstLine="532"/>
        <w:rPr>
          <w:rFonts w:ascii="仿宋" w:hAnsi="仿宋" w:eastAsia="仿宋" w:cs="仿宋"/>
          <w:sz w:val="24"/>
          <w:szCs w:val="24"/>
          <w:highlight w:val="none"/>
        </w:rPr>
      </w:pPr>
      <w:r>
        <w:rPr>
          <w:rFonts w:ascii="仿宋" w:hAnsi="仿宋" w:eastAsia="仿宋" w:cs="仿宋"/>
          <w:spacing w:val="-5"/>
          <w:sz w:val="24"/>
          <w:szCs w:val="24"/>
          <w:highlight w:val="none"/>
        </w:rPr>
        <w:t>3 .</w:t>
      </w:r>
      <w:r>
        <w:rPr>
          <w:rFonts w:ascii="仿宋" w:hAnsi="仿宋" w:eastAsia="仿宋" w:cs="仿宋"/>
          <w:spacing w:val="45"/>
          <w:sz w:val="24"/>
          <w:szCs w:val="24"/>
          <w:highlight w:val="none"/>
        </w:rPr>
        <w:t xml:space="preserve"> </w:t>
      </w:r>
      <w:r>
        <w:rPr>
          <w:rFonts w:ascii="仿宋" w:hAnsi="仿宋" w:eastAsia="仿宋" w:cs="仿宋"/>
          <w:spacing w:val="-5"/>
          <w:sz w:val="24"/>
          <w:szCs w:val="24"/>
          <w:highlight w:val="none"/>
        </w:rPr>
        <w:t>联合体将严格按照招标文件的各项要求，编制投标文</w:t>
      </w:r>
      <w:r>
        <w:rPr>
          <w:rFonts w:ascii="仿宋" w:hAnsi="仿宋" w:eastAsia="仿宋" w:cs="仿宋"/>
          <w:spacing w:val="-6"/>
          <w:sz w:val="24"/>
          <w:szCs w:val="24"/>
          <w:highlight w:val="none"/>
        </w:rPr>
        <w:t>件，履行合同，并对外承担连带</w:t>
      </w:r>
      <w:r>
        <w:rPr>
          <w:rFonts w:ascii="仿宋" w:hAnsi="仿宋" w:eastAsia="仿宋" w:cs="仿宋"/>
          <w:spacing w:val="-12"/>
          <w:sz w:val="24"/>
          <w:szCs w:val="24"/>
          <w:highlight w:val="none"/>
        </w:rPr>
        <w:t>责任。</w:t>
      </w:r>
    </w:p>
    <w:p w14:paraId="2C579482">
      <w:pPr>
        <w:spacing w:before="183" w:line="217" w:lineRule="auto"/>
        <w:ind w:left="541"/>
        <w:rPr>
          <w:rFonts w:ascii="仿宋" w:hAnsi="仿宋" w:eastAsia="仿宋" w:cs="仿宋"/>
          <w:sz w:val="24"/>
          <w:szCs w:val="24"/>
          <w:highlight w:val="none"/>
        </w:rPr>
      </w:pPr>
      <w:r>
        <w:rPr>
          <w:rFonts w:ascii="仿宋" w:hAnsi="仿宋" w:eastAsia="仿宋" w:cs="仿宋"/>
          <w:spacing w:val="-5"/>
          <w:sz w:val="24"/>
          <w:szCs w:val="24"/>
          <w:highlight w:val="none"/>
        </w:rPr>
        <w:t>4 .</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联合体内部各成员单位的职责分工如下：</w:t>
      </w:r>
      <w:r>
        <w:rPr>
          <w:rFonts w:ascii="仿宋" w:hAnsi="仿宋" w:eastAsia="仿宋" w:cs="仿宋"/>
          <w:spacing w:val="-5"/>
          <w:sz w:val="24"/>
          <w:szCs w:val="24"/>
          <w:highlight w:val="none"/>
          <w:u w:val="single" w:color="auto"/>
        </w:rPr>
        <w:t xml:space="preserve">                             </w:t>
      </w:r>
    </w:p>
    <w:p w14:paraId="06698661">
      <w:pPr>
        <w:spacing w:before="186" w:line="217" w:lineRule="auto"/>
        <w:ind w:left="493"/>
        <w:rPr>
          <w:rFonts w:ascii="仿宋" w:hAnsi="仿宋" w:eastAsia="仿宋" w:cs="仿宋"/>
          <w:sz w:val="24"/>
          <w:szCs w:val="24"/>
          <w:highlight w:val="none"/>
        </w:rPr>
      </w:pPr>
      <w:r>
        <w:rPr>
          <w:rFonts w:ascii="仿宋" w:hAnsi="仿宋" w:eastAsia="仿宋" w:cs="仿宋"/>
          <w:spacing w:val="-2"/>
          <w:sz w:val="24"/>
          <w:szCs w:val="24"/>
          <w:highlight w:val="none"/>
        </w:rPr>
        <w:t>5.本协议书自签署之日起生效，合同履行完毕后自动失效。</w:t>
      </w:r>
    </w:p>
    <w:p w14:paraId="5D996CC4">
      <w:pPr>
        <w:spacing w:before="186" w:line="215" w:lineRule="auto"/>
        <w:jc w:val="right"/>
        <w:rPr>
          <w:rFonts w:ascii="仿宋" w:hAnsi="仿宋" w:eastAsia="仿宋" w:cs="仿宋"/>
          <w:sz w:val="24"/>
          <w:szCs w:val="24"/>
          <w:highlight w:val="none"/>
        </w:rPr>
      </w:pPr>
      <w:r>
        <w:rPr>
          <w:rFonts w:ascii="仿宋" w:hAnsi="仿宋" w:eastAsia="仿宋" w:cs="仿宋"/>
          <w:spacing w:val="-1"/>
          <w:sz w:val="24"/>
          <w:szCs w:val="24"/>
          <w:highlight w:val="none"/>
        </w:rPr>
        <w:t>6.各方不得再以自己名义单独在本项目中投标，也不得组成新的联合体参加本项</w:t>
      </w:r>
      <w:r>
        <w:rPr>
          <w:rFonts w:ascii="仿宋" w:hAnsi="仿宋" w:eastAsia="仿宋" w:cs="仿宋"/>
          <w:spacing w:val="-2"/>
          <w:sz w:val="24"/>
          <w:szCs w:val="24"/>
          <w:highlight w:val="none"/>
        </w:rPr>
        <w:t>目投标。</w:t>
      </w:r>
    </w:p>
    <w:p w14:paraId="6EAB3DD2">
      <w:pPr>
        <w:spacing w:before="188" w:line="218" w:lineRule="auto"/>
        <w:ind w:left="494"/>
        <w:rPr>
          <w:rFonts w:ascii="宋体" w:hAnsi="宋体" w:eastAsia="宋体" w:cs="宋体"/>
          <w:sz w:val="24"/>
          <w:szCs w:val="24"/>
          <w:highlight w:val="none"/>
        </w:rPr>
      </w:pPr>
      <w:r>
        <w:rPr>
          <w:rFonts w:ascii="仿宋" w:hAnsi="仿宋" w:eastAsia="仿宋" w:cs="仿宋"/>
          <w:spacing w:val="-3"/>
          <w:sz w:val="24"/>
          <w:szCs w:val="24"/>
          <w:highlight w:val="none"/>
        </w:rPr>
        <w:t>7、未中标，本协议自动废止</w:t>
      </w:r>
      <w:r>
        <w:rPr>
          <w:rFonts w:ascii="宋体" w:hAnsi="宋体" w:eastAsia="宋体" w:cs="宋体"/>
          <w:spacing w:val="-3"/>
          <w:sz w:val="24"/>
          <w:szCs w:val="24"/>
          <w:highlight w:val="none"/>
        </w:rPr>
        <w:t>。</w:t>
      </w:r>
    </w:p>
    <w:p w14:paraId="3522B5C1">
      <w:pPr>
        <w:spacing w:before="185" w:line="217" w:lineRule="auto"/>
        <w:ind w:left="4347"/>
        <w:rPr>
          <w:rFonts w:ascii="仿宋" w:hAnsi="仿宋" w:eastAsia="仿宋" w:cs="仿宋"/>
          <w:sz w:val="24"/>
          <w:szCs w:val="24"/>
          <w:highlight w:val="none"/>
        </w:rPr>
      </w:pPr>
      <w:r>
        <w:rPr>
          <w:rFonts w:ascii="仿宋" w:hAnsi="仿宋" w:eastAsia="仿宋" w:cs="仿宋"/>
          <w:spacing w:val="-4"/>
          <w:sz w:val="24"/>
          <w:szCs w:val="24"/>
          <w:highlight w:val="none"/>
        </w:rPr>
        <w:t>牵头人名称</w:t>
      </w:r>
      <w:r>
        <w:rPr>
          <w:rFonts w:ascii="仿宋" w:hAnsi="仿宋" w:eastAsia="仿宋" w:cs="仿宋"/>
          <w:sz w:val="24"/>
          <w:szCs w:val="24"/>
          <w:highlight w:val="none"/>
        </w:rPr>
        <w:t>：（</w:t>
      </w:r>
      <w:r>
        <w:rPr>
          <w:rFonts w:ascii="仿宋" w:hAnsi="仿宋" w:eastAsia="仿宋" w:cs="仿宋"/>
          <w:spacing w:val="-4"/>
          <w:sz w:val="24"/>
          <w:szCs w:val="24"/>
          <w:highlight w:val="none"/>
        </w:rPr>
        <w:t>盖单位章）</w:t>
      </w:r>
    </w:p>
    <w:p w14:paraId="2DEDEBD8">
      <w:pPr>
        <w:spacing w:before="186" w:line="219" w:lineRule="auto"/>
        <w:ind w:left="4344"/>
        <w:rPr>
          <w:rFonts w:ascii="仿宋" w:hAnsi="仿宋" w:eastAsia="仿宋" w:cs="仿宋"/>
          <w:sz w:val="24"/>
          <w:szCs w:val="24"/>
          <w:highlight w:val="none"/>
        </w:rPr>
      </w:pPr>
      <w:r>
        <w:rPr>
          <w:rFonts w:ascii="仿宋" w:hAnsi="仿宋" w:eastAsia="仿宋" w:cs="仿宋"/>
          <w:spacing w:val="-3"/>
          <w:sz w:val="24"/>
          <w:szCs w:val="24"/>
          <w:highlight w:val="none"/>
        </w:rPr>
        <w:t>法定代表人或其委托代理人</w:t>
      </w:r>
      <w:r>
        <w:rPr>
          <w:rFonts w:ascii="仿宋" w:hAnsi="仿宋" w:eastAsia="仿宋" w:cs="仿宋"/>
          <w:spacing w:val="3"/>
          <w:sz w:val="24"/>
          <w:szCs w:val="24"/>
          <w:highlight w:val="none"/>
        </w:rPr>
        <w:t>：（</w:t>
      </w:r>
      <w:r>
        <w:rPr>
          <w:rFonts w:ascii="仿宋" w:hAnsi="仿宋" w:eastAsia="仿宋" w:cs="仿宋"/>
          <w:spacing w:val="-3"/>
          <w:sz w:val="24"/>
          <w:szCs w:val="24"/>
          <w:highlight w:val="none"/>
        </w:rPr>
        <w:t>签字）</w:t>
      </w:r>
    </w:p>
    <w:p w14:paraId="2A3B7304">
      <w:pPr>
        <w:spacing w:before="183" w:line="217" w:lineRule="auto"/>
        <w:ind w:left="4340"/>
        <w:rPr>
          <w:rFonts w:ascii="仿宋" w:hAnsi="仿宋" w:eastAsia="仿宋" w:cs="仿宋"/>
          <w:sz w:val="24"/>
          <w:szCs w:val="24"/>
          <w:highlight w:val="none"/>
        </w:rPr>
      </w:pPr>
      <w:r>
        <w:rPr>
          <w:rFonts w:ascii="仿宋" w:hAnsi="仿宋" w:eastAsia="仿宋" w:cs="仿宋"/>
          <w:spacing w:val="-3"/>
          <w:sz w:val="24"/>
          <w:szCs w:val="24"/>
          <w:highlight w:val="none"/>
        </w:rPr>
        <w:t>成员单位名称</w:t>
      </w:r>
      <w:r>
        <w:rPr>
          <w:rFonts w:ascii="仿宋" w:hAnsi="仿宋" w:eastAsia="仿宋" w:cs="仿宋"/>
          <w:spacing w:val="-1"/>
          <w:sz w:val="24"/>
          <w:szCs w:val="24"/>
          <w:highlight w:val="none"/>
        </w:rPr>
        <w:t>：（</w:t>
      </w:r>
      <w:r>
        <w:rPr>
          <w:rFonts w:ascii="仿宋" w:hAnsi="仿宋" w:eastAsia="仿宋" w:cs="仿宋"/>
          <w:spacing w:val="-3"/>
          <w:sz w:val="24"/>
          <w:szCs w:val="24"/>
          <w:highlight w:val="none"/>
        </w:rPr>
        <w:t>盖单位章）</w:t>
      </w:r>
    </w:p>
    <w:p w14:paraId="07DD3483">
      <w:pPr>
        <w:spacing w:before="186" w:line="219" w:lineRule="auto"/>
        <w:ind w:left="4344"/>
        <w:rPr>
          <w:rFonts w:ascii="仿宋" w:hAnsi="仿宋" w:eastAsia="仿宋" w:cs="仿宋"/>
          <w:sz w:val="24"/>
          <w:szCs w:val="24"/>
          <w:highlight w:val="none"/>
        </w:rPr>
      </w:pPr>
      <w:r>
        <w:rPr>
          <w:rFonts w:ascii="仿宋" w:hAnsi="仿宋" w:eastAsia="仿宋" w:cs="仿宋"/>
          <w:spacing w:val="-3"/>
          <w:sz w:val="24"/>
          <w:szCs w:val="24"/>
          <w:highlight w:val="none"/>
        </w:rPr>
        <w:t>法定代表人或其委托代理人</w:t>
      </w:r>
      <w:r>
        <w:rPr>
          <w:rFonts w:ascii="仿宋" w:hAnsi="仿宋" w:eastAsia="仿宋" w:cs="仿宋"/>
          <w:spacing w:val="3"/>
          <w:sz w:val="24"/>
          <w:szCs w:val="24"/>
          <w:highlight w:val="none"/>
        </w:rPr>
        <w:t>：（</w:t>
      </w:r>
      <w:r>
        <w:rPr>
          <w:rFonts w:ascii="仿宋" w:hAnsi="仿宋" w:eastAsia="仿宋" w:cs="仿宋"/>
          <w:spacing w:val="-3"/>
          <w:sz w:val="24"/>
          <w:szCs w:val="24"/>
          <w:highlight w:val="none"/>
        </w:rPr>
        <w:t>签字）</w:t>
      </w:r>
    </w:p>
    <w:p w14:paraId="5960122F">
      <w:pPr>
        <w:spacing w:before="183" w:line="217" w:lineRule="auto"/>
        <w:ind w:left="4340"/>
        <w:rPr>
          <w:rFonts w:ascii="仿宋" w:hAnsi="仿宋" w:eastAsia="仿宋" w:cs="仿宋"/>
          <w:sz w:val="24"/>
          <w:szCs w:val="24"/>
          <w:highlight w:val="none"/>
        </w:rPr>
      </w:pPr>
      <w:r>
        <w:rPr>
          <w:rFonts w:ascii="仿宋" w:hAnsi="仿宋" w:eastAsia="仿宋" w:cs="仿宋"/>
          <w:spacing w:val="-3"/>
          <w:sz w:val="24"/>
          <w:szCs w:val="24"/>
          <w:highlight w:val="none"/>
        </w:rPr>
        <w:t>成员单位名称</w:t>
      </w:r>
      <w:r>
        <w:rPr>
          <w:rFonts w:ascii="仿宋" w:hAnsi="仿宋" w:eastAsia="仿宋" w:cs="仿宋"/>
          <w:spacing w:val="-1"/>
          <w:sz w:val="24"/>
          <w:szCs w:val="24"/>
          <w:highlight w:val="none"/>
        </w:rPr>
        <w:t>：（</w:t>
      </w:r>
      <w:r>
        <w:rPr>
          <w:rFonts w:ascii="仿宋" w:hAnsi="仿宋" w:eastAsia="仿宋" w:cs="仿宋"/>
          <w:spacing w:val="-3"/>
          <w:sz w:val="24"/>
          <w:szCs w:val="24"/>
          <w:highlight w:val="none"/>
        </w:rPr>
        <w:t>盖单位章）</w:t>
      </w:r>
    </w:p>
    <w:p w14:paraId="25A3D9FD">
      <w:pPr>
        <w:spacing w:before="186" w:line="219" w:lineRule="auto"/>
        <w:ind w:left="4344"/>
        <w:rPr>
          <w:rFonts w:ascii="仿宋" w:hAnsi="仿宋" w:eastAsia="仿宋" w:cs="仿宋"/>
          <w:sz w:val="24"/>
          <w:szCs w:val="24"/>
          <w:highlight w:val="none"/>
        </w:rPr>
      </w:pPr>
      <w:r>
        <w:rPr>
          <w:rFonts w:ascii="仿宋" w:hAnsi="仿宋" w:eastAsia="仿宋" w:cs="仿宋"/>
          <w:spacing w:val="-3"/>
          <w:sz w:val="24"/>
          <w:szCs w:val="24"/>
          <w:highlight w:val="none"/>
        </w:rPr>
        <w:t>法定代表人或其委托代理人</w:t>
      </w:r>
      <w:r>
        <w:rPr>
          <w:rFonts w:ascii="仿宋" w:hAnsi="仿宋" w:eastAsia="仿宋" w:cs="仿宋"/>
          <w:spacing w:val="3"/>
          <w:sz w:val="24"/>
          <w:szCs w:val="24"/>
          <w:highlight w:val="none"/>
        </w:rPr>
        <w:t>：（</w:t>
      </w:r>
      <w:r>
        <w:rPr>
          <w:rFonts w:ascii="仿宋" w:hAnsi="仿宋" w:eastAsia="仿宋" w:cs="仿宋"/>
          <w:spacing w:val="-3"/>
          <w:sz w:val="24"/>
          <w:szCs w:val="24"/>
          <w:highlight w:val="none"/>
        </w:rPr>
        <w:t>签字）</w:t>
      </w:r>
    </w:p>
    <w:p w14:paraId="1F70C93D">
      <w:pPr>
        <w:pStyle w:val="3"/>
        <w:spacing w:line="285" w:lineRule="auto"/>
        <w:rPr>
          <w:highlight w:val="none"/>
        </w:rPr>
      </w:pPr>
    </w:p>
    <w:p w14:paraId="0C1AA4CA">
      <w:pPr>
        <w:pStyle w:val="3"/>
        <w:spacing w:line="285" w:lineRule="auto"/>
        <w:rPr>
          <w:highlight w:val="none"/>
        </w:rPr>
      </w:pPr>
    </w:p>
    <w:p w14:paraId="7661458A">
      <w:pPr>
        <w:spacing w:before="79" w:line="218" w:lineRule="auto"/>
        <w:ind w:left="22"/>
        <w:rPr>
          <w:rFonts w:ascii="仿宋" w:hAnsi="仿宋" w:eastAsia="仿宋" w:cs="仿宋"/>
          <w:sz w:val="24"/>
          <w:szCs w:val="24"/>
          <w:highlight w:val="none"/>
        </w:rPr>
      </w:pPr>
      <w:r>
        <w:rPr>
          <w:rFonts w:ascii="仿宋" w:hAnsi="仿宋" w:eastAsia="仿宋" w:cs="仿宋"/>
          <w:spacing w:val="-2"/>
          <w:sz w:val="24"/>
          <w:szCs w:val="24"/>
          <w:highlight w:val="none"/>
        </w:rPr>
        <w:t>注：本协议书由委托代理人签字时，应附法定代表人签字的授权委托书。</w:t>
      </w:r>
    </w:p>
    <w:p w14:paraId="6A18D8C2">
      <w:pPr>
        <w:spacing w:line="218" w:lineRule="auto"/>
        <w:rPr>
          <w:rFonts w:ascii="仿宋" w:hAnsi="仿宋" w:eastAsia="仿宋" w:cs="仿宋"/>
          <w:sz w:val="24"/>
          <w:szCs w:val="24"/>
          <w:highlight w:val="none"/>
        </w:rPr>
        <w:sectPr>
          <w:footerReference r:id="rId82" w:type="default"/>
          <w:pgSz w:w="11907" w:h="16839"/>
          <w:pgMar w:top="1431" w:right="1015" w:bottom="1127" w:left="1082" w:header="0" w:footer="896" w:gutter="0"/>
          <w:cols w:space="720" w:num="1"/>
        </w:sectPr>
      </w:pPr>
    </w:p>
    <w:p w14:paraId="703A386E">
      <w:pPr>
        <w:spacing w:before="160" w:line="224" w:lineRule="auto"/>
        <w:ind w:left="2367"/>
        <w:rPr>
          <w:rFonts w:ascii="宋体" w:hAnsi="宋体" w:eastAsia="宋体" w:cs="宋体"/>
          <w:sz w:val="31"/>
          <w:szCs w:val="31"/>
          <w:highlight w:val="none"/>
        </w:rPr>
      </w:pPr>
      <w:r>
        <w:rPr>
          <w:rFonts w:ascii="宋体" w:hAnsi="宋体" w:eastAsia="宋体" w:cs="宋体"/>
          <w:b/>
          <w:bCs/>
          <w:spacing w:val="5"/>
          <w:sz w:val="31"/>
          <w:szCs w:val="31"/>
          <w:highlight w:val="none"/>
        </w:rPr>
        <w:t>联合体授权委托书（联合体采用）</w:t>
      </w:r>
    </w:p>
    <w:p w14:paraId="47E4A477">
      <w:pPr>
        <w:pStyle w:val="3"/>
        <w:spacing w:line="303" w:lineRule="auto"/>
        <w:rPr>
          <w:highlight w:val="none"/>
        </w:rPr>
      </w:pPr>
    </w:p>
    <w:p w14:paraId="7AD2EBCD">
      <w:pPr>
        <w:spacing w:before="78" w:line="416" w:lineRule="auto"/>
        <w:ind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本授权委托书声明：我</w:t>
      </w:r>
      <w:r>
        <w:rPr>
          <w:rFonts w:ascii="宋体" w:hAnsi="宋体" w:eastAsia="宋体" w:cs="宋体"/>
          <w:spacing w:val="-2"/>
          <w:sz w:val="24"/>
          <w:szCs w:val="24"/>
          <w:highlight w:val="none"/>
          <w:u w:val="single" w:color="auto"/>
        </w:rPr>
        <w:t>（姓名）</w:t>
      </w:r>
      <w:r>
        <w:rPr>
          <w:rFonts w:ascii="宋体" w:hAnsi="宋体" w:eastAsia="宋体" w:cs="宋体"/>
          <w:spacing w:val="-2"/>
          <w:sz w:val="24"/>
          <w:szCs w:val="24"/>
          <w:highlight w:val="none"/>
        </w:rPr>
        <w:t>是</w:t>
      </w:r>
      <w:r>
        <w:rPr>
          <w:rFonts w:ascii="宋体" w:hAnsi="宋体" w:eastAsia="宋体" w:cs="宋体"/>
          <w:spacing w:val="-2"/>
          <w:sz w:val="24"/>
          <w:szCs w:val="24"/>
          <w:highlight w:val="none"/>
          <w:u w:val="single" w:color="auto"/>
        </w:rPr>
        <w:t>（联合体牵头人）</w:t>
      </w:r>
      <w:r>
        <w:rPr>
          <w:rFonts w:ascii="宋体" w:hAnsi="宋体" w:eastAsia="宋体" w:cs="宋体"/>
          <w:spacing w:val="-2"/>
          <w:sz w:val="24"/>
          <w:szCs w:val="24"/>
          <w:highlight w:val="none"/>
        </w:rPr>
        <w:t>的法定代表人，我</w:t>
      </w:r>
      <w:r>
        <w:rPr>
          <w:rFonts w:ascii="宋体" w:hAnsi="宋体" w:eastAsia="宋体" w:cs="宋体"/>
          <w:spacing w:val="-2"/>
          <w:sz w:val="24"/>
          <w:szCs w:val="24"/>
          <w:highlight w:val="none"/>
          <w:u w:val="single" w:color="auto"/>
        </w:rPr>
        <w:t>（姓名）</w:t>
      </w:r>
      <w:r>
        <w:rPr>
          <w:rFonts w:ascii="宋体" w:hAnsi="宋体" w:eastAsia="宋体" w:cs="宋体"/>
          <w:spacing w:val="-2"/>
          <w:sz w:val="24"/>
          <w:szCs w:val="24"/>
          <w:highlight w:val="none"/>
        </w:rPr>
        <w:t>是（联合体成员名称）的法定代表人，现共同授权委托（联合体牵头人）的（法定代表人或委托代</w:t>
      </w:r>
      <w:r>
        <w:rPr>
          <w:rFonts w:ascii="宋体" w:hAnsi="宋体" w:eastAsia="宋体" w:cs="宋体"/>
          <w:spacing w:val="-1"/>
          <w:sz w:val="24"/>
          <w:szCs w:val="24"/>
          <w:highlight w:val="none"/>
        </w:rPr>
        <w:t>理人）为我们所组成投标联合体参加</w:t>
      </w:r>
      <w:r>
        <w:rPr>
          <w:rFonts w:ascii="宋体" w:hAnsi="宋体" w:eastAsia="宋体" w:cs="宋体"/>
          <w:spacing w:val="-1"/>
          <w:sz w:val="24"/>
          <w:szCs w:val="24"/>
          <w:highlight w:val="none"/>
          <w:u w:val="single" w:color="auto"/>
        </w:rPr>
        <w:t>（项目</w:t>
      </w:r>
      <w:r>
        <w:rPr>
          <w:rFonts w:ascii="宋体" w:hAnsi="宋体" w:eastAsia="宋体" w:cs="宋体"/>
          <w:spacing w:val="-2"/>
          <w:sz w:val="24"/>
          <w:szCs w:val="24"/>
          <w:highlight w:val="none"/>
          <w:u w:val="single" w:color="auto"/>
        </w:rPr>
        <w:t>名称）</w:t>
      </w:r>
      <w:r>
        <w:rPr>
          <w:rFonts w:ascii="宋体" w:hAnsi="宋体" w:eastAsia="宋体" w:cs="宋体"/>
          <w:spacing w:val="-2"/>
          <w:sz w:val="24"/>
          <w:szCs w:val="24"/>
          <w:highlight w:val="none"/>
        </w:rPr>
        <w:t>项目投标的委托代理人。委托代理人在本项目招标、投标、评标、合同签署等活动过程中所签署的一切文件和处理与之有关的一切事</w:t>
      </w:r>
      <w:r>
        <w:rPr>
          <w:rFonts w:ascii="宋体" w:hAnsi="宋体" w:eastAsia="宋体" w:cs="宋体"/>
          <w:spacing w:val="-1"/>
          <w:sz w:val="24"/>
          <w:szCs w:val="24"/>
          <w:highlight w:val="none"/>
        </w:rPr>
        <w:t>务，均为代表本联合体的行为，本联合体将承担委托代理人行为的一切法律责任</w:t>
      </w:r>
      <w:r>
        <w:rPr>
          <w:rFonts w:ascii="宋体" w:hAnsi="宋体" w:eastAsia="宋体" w:cs="宋体"/>
          <w:spacing w:val="-2"/>
          <w:sz w:val="24"/>
          <w:szCs w:val="24"/>
          <w:highlight w:val="none"/>
        </w:rPr>
        <w:t>和后果。</w:t>
      </w:r>
    </w:p>
    <w:p w14:paraId="1257C233">
      <w:pPr>
        <w:spacing w:before="57" w:line="219" w:lineRule="auto"/>
        <w:ind w:left="3452"/>
        <w:rPr>
          <w:rFonts w:ascii="宋体" w:hAnsi="宋体" w:eastAsia="宋体" w:cs="宋体"/>
          <w:sz w:val="24"/>
          <w:szCs w:val="24"/>
          <w:highlight w:val="none"/>
        </w:rPr>
      </w:pPr>
      <w:r>
        <w:rPr>
          <w:rFonts w:ascii="宋体" w:hAnsi="宋体" w:eastAsia="宋体" w:cs="宋体"/>
          <w:spacing w:val="-2"/>
          <w:sz w:val="24"/>
          <w:szCs w:val="24"/>
          <w:highlight w:val="none"/>
        </w:rPr>
        <w:t>委托代理人</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签字或盖章）</w:t>
      </w:r>
    </w:p>
    <w:p w14:paraId="69FB65AD">
      <w:pPr>
        <w:spacing w:before="318" w:line="219" w:lineRule="auto"/>
        <w:ind w:left="3574"/>
        <w:rPr>
          <w:rFonts w:ascii="宋体" w:hAnsi="宋体" w:eastAsia="宋体" w:cs="宋体"/>
          <w:sz w:val="24"/>
          <w:szCs w:val="24"/>
          <w:highlight w:val="none"/>
        </w:rPr>
      </w:pPr>
      <w:r>
        <w:rPr>
          <w:rFonts w:ascii="宋体" w:hAnsi="宋体" w:eastAsia="宋体" w:cs="宋体"/>
          <w:spacing w:val="-2"/>
          <w:sz w:val="24"/>
          <w:szCs w:val="24"/>
          <w:highlight w:val="none"/>
        </w:rPr>
        <w:t>联合体牵头人</w:t>
      </w:r>
      <w:r>
        <w:rPr>
          <w:rFonts w:ascii="宋体" w:hAnsi="宋体" w:eastAsia="宋体" w:cs="宋体"/>
          <w:spacing w:val="-3"/>
          <w:sz w:val="24"/>
          <w:szCs w:val="24"/>
          <w:highlight w:val="none"/>
        </w:rPr>
        <w:t>：（</w:t>
      </w:r>
      <w:r>
        <w:rPr>
          <w:rFonts w:ascii="宋体" w:hAnsi="宋体" w:eastAsia="宋体" w:cs="宋体"/>
          <w:spacing w:val="-2"/>
          <w:sz w:val="24"/>
          <w:szCs w:val="24"/>
          <w:highlight w:val="none"/>
        </w:rPr>
        <w:t>盖公章）</w:t>
      </w:r>
    </w:p>
    <w:p w14:paraId="54DAC95D">
      <w:pPr>
        <w:spacing w:before="315" w:line="219" w:lineRule="auto"/>
        <w:ind w:left="3454"/>
        <w:rPr>
          <w:rFonts w:ascii="宋体" w:hAnsi="宋体" w:eastAsia="宋体" w:cs="宋体"/>
          <w:sz w:val="24"/>
          <w:szCs w:val="24"/>
          <w:highlight w:val="none"/>
        </w:rPr>
      </w:pPr>
      <w:r>
        <w:rPr>
          <w:rFonts w:ascii="宋体" w:hAnsi="宋体" w:eastAsia="宋体" w:cs="宋体"/>
          <w:spacing w:val="-2"/>
          <w:sz w:val="24"/>
          <w:szCs w:val="24"/>
          <w:highlight w:val="none"/>
        </w:rPr>
        <w:t>法定代表人：（签字或盖章）</w:t>
      </w:r>
    </w:p>
    <w:p w14:paraId="1FB11315">
      <w:pPr>
        <w:spacing w:before="317" w:line="219" w:lineRule="auto"/>
        <w:ind w:left="3214"/>
        <w:rPr>
          <w:rFonts w:ascii="宋体" w:hAnsi="宋体" w:eastAsia="宋体" w:cs="宋体"/>
          <w:sz w:val="24"/>
          <w:szCs w:val="24"/>
          <w:highlight w:val="none"/>
        </w:rPr>
      </w:pPr>
      <w:r>
        <w:rPr>
          <w:rFonts w:ascii="宋体" w:hAnsi="宋体" w:eastAsia="宋体" w:cs="宋体"/>
          <w:spacing w:val="-2"/>
          <w:sz w:val="24"/>
          <w:szCs w:val="24"/>
          <w:highlight w:val="none"/>
        </w:rPr>
        <w:t>联合体成员单位名称</w:t>
      </w:r>
      <w:r>
        <w:rPr>
          <w:rFonts w:ascii="宋体" w:hAnsi="宋体" w:eastAsia="宋体" w:cs="宋体"/>
          <w:sz w:val="24"/>
          <w:szCs w:val="24"/>
          <w:highlight w:val="none"/>
        </w:rPr>
        <w:t>：（</w:t>
      </w:r>
      <w:r>
        <w:rPr>
          <w:rFonts w:ascii="宋体" w:hAnsi="宋体" w:eastAsia="宋体" w:cs="宋体"/>
          <w:spacing w:val="-2"/>
          <w:sz w:val="24"/>
          <w:szCs w:val="24"/>
          <w:highlight w:val="none"/>
        </w:rPr>
        <w:t>盖公章）</w:t>
      </w:r>
    </w:p>
    <w:p w14:paraId="0568552E">
      <w:pPr>
        <w:spacing w:before="318" w:line="219" w:lineRule="auto"/>
        <w:ind w:left="3454"/>
        <w:rPr>
          <w:rFonts w:ascii="宋体" w:hAnsi="宋体" w:eastAsia="宋体" w:cs="宋体"/>
          <w:sz w:val="24"/>
          <w:szCs w:val="24"/>
          <w:highlight w:val="none"/>
        </w:rPr>
      </w:pPr>
      <w:r>
        <w:rPr>
          <w:rFonts w:ascii="宋体" w:hAnsi="宋体" w:eastAsia="宋体" w:cs="宋体"/>
          <w:spacing w:val="-2"/>
          <w:sz w:val="24"/>
          <w:szCs w:val="24"/>
          <w:highlight w:val="none"/>
        </w:rPr>
        <w:t>法定代表人：（签字或盖章）</w:t>
      </w:r>
    </w:p>
    <w:p w14:paraId="10BB456B">
      <w:pPr>
        <w:spacing w:before="317" w:line="219" w:lineRule="auto"/>
        <w:ind w:left="3214"/>
        <w:rPr>
          <w:rFonts w:ascii="宋体" w:hAnsi="宋体" w:eastAsia="宋体" w:cs="宋体"/>
          <w:sz w:val="24"/>
          <w:szCs w:val="24"/>
          <w:highlight w:val="none"/>
        </w:rPr>
      </w:pPr>
      <w:r>
        <w:rPr>
          <w:rFonts w:ascii="宋体" w:hAnsi="宋体" w:eastAsia="宋体" w:cs="宋体"/>
          <w:spacing w:val="-2"/>
          <w:sz w:val="24"/>
          <w:szCs w:val="24"/>
          <w:highlight w:val="none"/>
        </w:rPr>
        <w:t>联合体成员单位名称</w:t>
      </w:r>
      <w:r>
        <w:rPr>
          <w:rFonts w:ascii="宋体" w:hAnsi="宋体" w:eastAsia="宋体" w:cs="宋体"/>
          <w:sz w:val="24"/>
          <w:szCs w:val="24"/>
          <w:highlight w:val="none"/>
        </w:rPr>
        <w:t>：（</w:t>
      </w:r>
      <w:r>
        <w:rPr>
          <w:rFonts w:ascii="宋体" w:hAnsi="宋体" w:eastAsia="宋体" w:cs="宋体"/>
          <w:spacing w:val="-2"/>
          <w:sz w:val="24"/>
          <w:szCs w:val="24"/>
          <w:highlight w:val="none"/>
        </w:rPr>
        <w:t>盖公章）</w:t>
      </w:r>
    </w:p>
    <w:p w14:paraId="42AE523D">
      <w:pPr>
        <w:spacing w:before="318" w:line="219" w:lineRule="auto"/>
        <w:ind w:left="3454"/>
        <w:rPr>
          <w:rFonts w:ascii="宋体" w:hAnsi="宋体" w:eastAsia="宋体" w:cs="宋体"/>
          <w:sz w:val="24"/>
          <w:szCs w:val="24"/>
          <w:highlight w:val="none"/>
        </w:rPr>
      </w:pPr>
      <w:r>
        <w:rPr>
          <w:rFonts w:ascii="宋体" w:hAnsi="宋体" w:eastAsia="宋体" w:cs="宋体"/>
          <w:spacing w:val="-2"/>
          <w:sz w:val="24"/>
          <w:szCs w:val="24"/>
          <w:highlight w:val="none"/>
        </w:rPr>
        <w:t>法定代表人：（签字或盖章）</w:t>
      </w:r>
    </w:p>
    <w:p w14:paraId="3231F094">
      <w:pPr>
        <w:pStyle w:val="3"/>
        <w:spacing w:line="246" w:lineRule="auto"/>
        <w:rPr>
          <w:highlight w:val="none"/>
        </w:rPr>
      </w:pPr>
    </w:p>
    <w:p w14:paraId="7FBA0F5C">
      <w:pPr>
        <w:pStyle w:val="3"/>
        <w:spacing w:line="246" w:lineRule="auto"/>
        <w:rPr>
          <w:highlight w:val="none"/>
        </w:rPr>
      </w:pPr>
    </w:p>
    <w:p w14:paraId="66E71733">
      <w:pPr>
        <w:pStyle w:val="3"/>
        <w:spacing w:line="246" w:lineRule="auto"/>
        <w:rPr>
          <w:highlight w:val="none"/>
        </w:rPr>
      </w:pPr>
    </w:p>
    <w:p w14:paraId="55B24982">
      <w:pPr>
        <w:pStyle w:val="3"/>
        <w:spacing w:line="246" w:lineRule="auto"/>
        <w:rPr>
          <w:highlight w:val="none"/>
        </w:rPr>
      </w:pPr>
    </w:p>
    <w:p w14:paraId="5CF824FB">
      <w:pPr>
        <w:pStyle w:val="3"/>
        <w:spacing w:line="246" w:lineRule="auto"/>
        <w:rPr>
          <w:highlight w:val="none"/>
        </w:rPr>
      </w:pPr>
    </w:p>
    <w:p w14:paraId="16C2DB50">
      <w:pPr>
        <w:spacing w:before="79" w:line="220" w:lineRule="auto"/>
        <w:jc w:val="right"/>
        <w:rPr>
          <w:rFonts w:ascii="宋体" w:hAnsi="宋体" w:eastAsia="宋体" w:cs="宋体"/>
          <w:sz w:val="24"/>
          <w:szCs w:val="24"/>
          <w:highlight w:val="none"/>
        </w:rPr>
      </w:pPr>
      <w:r>
        <w:rPr>
          <w:rFonts w:ascii="宋体" w:hAnsi="宋体" w:eastAsia="宋体" w:cs="宋体"/>
          <w:spacing w:val="-26"/>
          <w:sz w:val="24"/>
          <w:szCs w:val="24"/>
          <w:highlight w:val="none"/>
        </w:rPr>
        <w:t>年</w:t>
      </w:r>
      <w:r>
        <w:rPr>
          <w:rFonts w:ascii="宋体" w:hAnsi="宋体" w:eastAsia="宋体" w:cs="宋体"/>
          <w:spacing w:val="8"/>
          <w:sz w:val="24"/>
          <w:szCs w:val="24"/>
          <w:highlight w:val="none"/>
        </w:rPr>
        <w:t xml:space="preserve">  </w:t>
      </w:r>
      <w:r>
        <w:rPr>
          <w:rFonts w:ascii="宋体" w:hAnsi="宋体" w:eastAsia="宋体" w:cs="宋体"/>
          <w:spacing w:val="-26"/>
          <w:sz w:val="24"/>
          <w:szCs w:val="24"/>
          <w:highlight w:val="none"/>
        </w:rPr>
        <w:t>月</w:t>
      </w:r>
      <w:r>
        <w:rPr>
          <w:rFonts w:ascii="宋体" w:hAnsi="宋体" w:eastAsia="宋体" w:cs="宋体"/>
          <w:spacing w:val="25"/>
          <w:sz w:val="24"/>
          <w:szCs w:val="24"/>
          <w:highlight w:val="none"/>
        </w:rPr>
        <w:t xml:space="preserve">  </w:t>
      </w:r>
      <w:r>
        <w:rPr>
          <w:rFonts w:ascii="宋体" w:hAnsi="宋体" w:eastAsia="宋体" w:cs="宋体"/>
          <w:spacing w:val="-26"/>
          <w:sz w:val="24"/>
          <w:szCs w:val="24"/>
          <w:highlight w:val="none"/>
        </w:rPr>
        <w:t>日</w:t>
      </w:r>
    </w:p>
    <w:p w14:paraId="3361FEEC">
      <w:pPr>
        <w:spacing w:line="220" w:lineRule="auto"/>
        <w:rPr>
          <w:rFonts w:ascii="宋体" w:hAnsi="宋体" w:eastAsia="宋体" w:cs="宋体"/>
          <w:sz w:val="24"/>
          <w:szCs w:val="24"/>
          <w:highlight w:val="none"/>
        </w:rPr>
        <w:sectPr>
          <w:footerReference r:id="rId83" w:type="default"/>
          <w:pgSz w:w="11907" w:h="16839"/>
          <w:pgMar w:top="1431" w:right="1177" w:bottom="1127" w:left="1188" w:header="0" w:footer="894" w:gutter="0"/>
          <w:cols w:space="720" w:num="1"/>
        </w:sectPr>
      </w:pPr>
    </w:p>
    <w:p w14:paraId="31BC5645">
      <w:pPr>
        <w:pStyle w:val="3"/>
        <w:spacing w:line="354" w:lineRule="auto"/>
        <w:rPr>
          <w:highlight w:val="none"/>
        </w:rPr>
      </w:pPr>
    </w:p>
    <w:p w14:paraId="1D19EEC9">
      <w:pPr>
        <w:pStyle w:val="3"/>
        <w:spacing w:line="355" w:lineRule="auto"/>
        <w:rPr>
          <w:highlight w:val="none"/>
        </w:rPr>
      </w:pPr>
    </w:p>
    <w:p w14:paraId="55F7635D">
      <w:pPr>
        <w:spacing w:before="91" w:line="219" w:lineRule="auto"/>
        <w:ind w:left="3039"/>
        <w:rPr>
          <w:rFonts w:ascii="宋体" w:hAnsi="宋体" w:eastAsia="宋体" w:cs="宋体"/>
          <w:sz w:val="28"/>
          <w:szCs w:val="28"/>
          <w:highlight w:val="none"/>
        </w:rPr>
      </w:pPr>
      <w:r>
        <w:rPr>
          <w:rFonts w:ascii="宋体" w:hAnsi="宋体" w:eastAsia="宋体" w:cs="宋体"/>
          <w:b/>
          <w:bCs/>
          <w:spacing w:val="-4"/>
          <w:sz w:val="28"/>
          <w:szCs w:val="28"/>
          <w:highlight w:val="none"/>
        </w:rPr>
        <w:t>授权委托书（非联合体采用）</w:t>
      </w:r>
    </w:p>
    <w:p w14:paraId="3125EE95">
      <w:pPr>
        <w:pStyle w:val="3"/>
        <w:spacing w:line="323" w:lineRule="auto"/>
        <w:rPr>
          <w:highlight w:val="none"/>
        </w:rPr>
      </w:pPr>
    </w:p>
    <w:p w14:paraId="192CE0A1">
      <w:pPr>
        <w:spacing w:before="78" w:line="417" w:lineRule="auto"/>
        <w:ind w:firstLine="478"/>
        <w:jc w:val="both"/>
        <w:rPr>
          <w:rFonts w:ascii="宋体" w:hAnsi="宋体" w:eastAsia="宋体" w:cs="宋体"/>
          <w:sz w:val="24"/>
          <w:szCs w:val="24"/>
          <w:highlight w:val="none"/>
        </w:rPr>
      </w:pPr>
      <w:r>
        <w:rPr>
          <w:rFonts w:ascii="宋体" w:hAnsi="宋体" w:eastAsia="宋体" w:cs="宋体"/>
          <w:spacing w:val="-6"/>
          <w:sz w:val="24"/>
          <w:szCs w:val="24"/>
          <w:highlight w:val="none"/>
        </w:rPr>
        <w:t>本授权委托书声明：我（姓名）系</w:t>
      </w:r>
      <w:r>
        <w:rPr>
          <w:rFonts w:ascii="宋体" w:hAnsi="宋体" w:eastAsia="宋体" w:cs="宋体"/>
          <w:spacing w:val="-6"/>
          <w:sz w:val="24"/>
          <w:szCs w:val="24"/>
          <w:highlight w:val="none"/>
          <w:u w:val="single" w:color="auto"/>
        </w:rPr>
        <w:t>（投标人名称）</w:t>
      </w:r>
      <w:r>
        <w:rPr>
          <w:rFonts w:ascii="宋体" w:hAnsi="宋体" w:eastAsia="宋体" w:cs="宋体"/>
          <w:spacing w:val="-6"/>
          <w:sz w:val="24"/>
          <w:szCs w:val="24"/>
          <w:highlight w:val="none"/>
        </w:rPr>
        <w:t>的法定代表人，现授权委托</w:t>
      </w:r>
      <w:r>
        <w:rPr>
          <w:rFonts w:ascii="宋体" w:hAnsi="宋体" w:eastAsia="宋体" w:cs="宋体"/>
          <w:spacing w:val="-6"/>
          <w:sz w:val="24"/>
          <w:szCs w:val="24"/>
          <w:highlight w:val="none"/>
          <w:u w:val="single" w:color="auto"/>
        </w:rPr>
        <w:t>（</w:t>
      </w:r>
      <w:r>
        <w:rPr>
          <w:rFonts w:ascii="宋体" w:hAnsi="宋体" w:eastAsia="宋体" w:cs="宋体"/>
          <w:spacing w:val="-7"/>
          <w:sz w:val="24"/>
          <w:szCs w:val="24"/>
          <w:highlight w:val="none"/>
          <w:u w:val="single" w:color="auto"/>
        </w:rPr>
        <w:t>单位名称）</w:t>
      </w:r>
      <w:r>
        <w:rPr>
          <w:rFonts w:ascii="宋体" w:hAnsi="宋体" w:eastAsia="宋体" w:cs="宋体"/>
          <w:spacing w:val="-8"/>
          <w:sz w:val="24"/>
          <w:szCs w:val="24"/>
          <w:highlight w:val="none"/>
        </w:rPr>
        <w:t>的</w:t>
      </w:r>
      <w:r>
        <w:rPr>
          <w:rFonts w:ascii="宋体" w:hAnsi="宋体" w:eastAsia="宋体" w:cs="宋体"/>
          <w:spacing w:val="-8"/>
          <w:sz w:val="24"/>
          <w:szCs w:val="24"/>
          <w:highlight w:val="none"/>
          <w:u w:val="single" w:color="auto"/>
        </w:rPr>
        <w:t>（姓名）</w:t>
      </w:r>
      <w:r>
        <w:rPr>
          <w:rFonts w:ascii="宋体" w:hAnsi="宋体" w:eastAsia="宋体" w:cs="宋体"/>
          <w:spacing w:val="-8"/>
          <w:sz w:val="24"/>
          <w:szCs w:val="24"/>
          <w:highlight w:val="none"/>
        </w:rPr>
        <w:t>为我公司的合法代理人，就（合同名称）的投标、施工、竣工和保修，以本公司的</w:t>
      </w:r>
      <w:r>
        <w:rPr>
          <w:rFonts w:ascii="宋体" w:hAnsi="宋体" w:eastAsia="宋体" w:cs="宋体"/>
          <w:spacing w:val="-1"/>
          <w:sz w:val="24"/>
          <w:szCs w:val="24"/>
          <w:highlight w:val="none"/>
        </w:rPr>
        <w:t>名义签署投标书，解释投标文件，进行谈判、签署合同和处理与之有关的一切</w:t>
      </w:r>
      <w:r>
        <w:rPr>
          <w:rFonts w:ascii="宋体" w:hAnsi="宋体" w:eastAsia="宋体" w:cs="宋体"/>
          <w:spacing w:val="-2"/>
          <w:sz w:val="24"/>
          <w:szCs w:val="24"/>
          <w:highlight w:val="none"/>
        </w:rPr>
        <w:t>事宜。</w:t>
      </w:r>
    </w:p>
    <w:p w14:paraId="57A1DCDF">
      <w:pPr>
        <w:spacing w:before="58" w:line="182" w:lineRule="auto"/>
        <w:ind w:left="476"/>
        <w:rPr>
          <w:rFonts w:ascii="宋体" w:hAnsi="宋体" w:eastAsia="宋体" w:cs="宋体"/>
          <w:sz w:val="31"/>
          <w:szCs w:val="31"/>
          <w:highlight w:val="none"/>
        </w:rPr>
      </w:pPr>
      <w:r>
        <w:rPr>
          <w:rFonts w:ascii="宋体" w:hAnsi="宋体" w:eastAsia="宋体" w:cs="宋体"/>
          <w:spacing w:val="-1"/>
          <w:sz w:val="24"/>
          <w:szCs w:val="24"/>
          <w:highlight w:val="none"/>
        </w:rPr>
        <w:t>代理人无转委托权，特此委托</w:t>
      </w:r>
      <w:r>
        <w:rPr>
          <w:rFonts w:ascii="宋体" w:hAnsi="宋体" w:eastAsia="宋体" w:cs="宋体"/>
          <w:spacing w:val="-1"/>
          <w:sz w:val="31"/>
          <w:szCs w:val="31"/>
          <w:highlight w:val="none"/>
        </w:rPr>
        <w:t>。</w:t>
      </w:r>
    </w:p>
    <w:p w14:paraId="7FDD881D">
      <w:pPr>
        <w:spacing w:before="294" w:line="213" w:lineRule="auto"/>
        <w:ind w:left="476"/>
        <w:rPr>
          <w:rFonts w:ascii="宋体" w:hAnsi="宋体" w:eastAsia="宋体" w:cs="宋体"/>
          <w:sz w:val="24"/>
          <w:szCs w:val="24"/>
          <w:highlight w:val="none"/>
        </w:rPr>
      </w:pPr>
      <w:r>
        <w:rPr>
          <w:rFonts w:ascii="宋体" w:hAnsi="宋体" w:eastAsia="宋体" w:cs="宋体"/>
          <w:spacing w:val="-1"/>
          <w:sz w:val="24"/>
          <w:szCs w:val="24"/>
          <w:highlight w:val="none"/>
        </w:rPr>
        <w:t>代理人：性别：年龄：_______</w:t>
      </w:r>
    </w:p>
    <w:p w14:paraId="5765D1EE">
      <w:pPr>
        <w:pStyle w:val="3"/>
        <w:spacing w:line="245" w:lineRule="auto"/>
        <w:rPr>
          <w:highlight w:val="none"/>
        </w:rPr>
      </w:pPr>
    </w:p>
    <w:p w14:paraId="0E0A6746">
      <w:pPr>
        <w:spacing w:before="79" w:line="213"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身份证号码：职务：_______</w:t>
      </w:r>
    </w:p>
    <w:p w14:paraId="631EB38E">
      <w:pPr>
        <w:pStyle w:val="3"/>
        <w:spacing w:line="245" w:lineRule="auto"/>
        <w:rPr>
          <w:highlight w:val="none"/>
        </w:rPr>
      </w:pPr>
    </w:p>
    <w:p w14:paraId="76C44260">
      <w:pPr>
        <w:spacing w:before="79"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投标人</w:t>
      </w:r>
      <w:r>
        <w:rPr>
          <w:rFonts w:ascii="宋体" w:hAnsi="宋体" w:eastAsia="宋体" w:cs="宋体"/>
          <w:sz w:val="24"/>
          <w:szCs w:val="24"/>
          <w:highlight w:val="none"/>
        </w:rPr>
        <w:t>：</w:t>
      </w:r>
      <w:r>
        <w:rPr>
          <w:rFonts w:ascii="宋体" w:hAnsi="宋体" w:eastAsia="宋体" w:cs="宋体"/>
          <w:sz w:val="24"/>
          <w:szCs w:val="24"/>
          <w:highlight w:val="none"/>
          <w:u w:val="single" w:color="auto"/>
        </w:rPr>
        <w:t>（</w:t>
      </w:r>
      <w:r>
        <w:rPr>
          <w:rFonts w:ascii="宋体" w:hAnsi="宋体" w:eastAsia="宋体" w:cs="宋体"/>
          <w:spacing w:val="-2"/>
          <w:sz w:val="24"/>
          <w:szCs w:val="24"/>
          <w:highlight w:val="none"/>
          <w:u w:val="single" w:color="auto"/>
        </w:rPr>
        <w:t>盖公章）</w:t>
      </w:r>
    </w:p>
    <w:p w14:paraId="67AF514F">
      <w:pPr>
        <w:spacing w:before="317" w:line="219" w:lineRule="auto"/>
        <w:ind w:left="478"/>
        <w:rPr>
          <w:rFonts w:ascii="宋体" w:hAnsi="宋体" w:eastAsia="宋体" w:cs="宋体"/>
          <w:sz w:val="24"/>
          <w:szCs w:val="24"/>
          <w:highlight w:val="none"/>
        </w:rPr>
      </w:pPr>
      <w:r>
        <w:rPr>
          <w:rFonts w:ascii="宋体" w:hAnsi="宋体" w:eastAsia="宋体" w:cs="宋体"/>
          <w:spacing w:val="-2"/>
          <w:sz w:val="24"/>
          <w:szCs w:val="24"/>
          <w:highlight w:val="none"/>
        </w:rPr>
        <w:t>法定代表人</w:t>
      </w:r>
      <w:r>
        <w:rPr>
          <w:rFonts w:ascii="宋体" w:hAnsi="宋体" w:eastAsia="宋体" w:cs="宋体"/>
          <w:spacing w:val="2"/>
          <w:sz w:val="24"/>
          <w:szCs w:val="24"/>
          <w:highlight w:val="none"/>
        </w:rPr>
        <w:t>：</w:t>
      </w:r>
      <w:r>
        <w:rPr>
          <w:rFonts w:ascii="宋体" w:hAnsi="宋体" w:eastAsia="宋体" w:cs="宋体"/>
          <w:spacing w:val="2"/>
          <w:sz w:val="24"/>
          <w:szCs w:val="24"/>
          <w:highlight w:val="none"/>
          <w:u w:val="single" w:color="auto"/>
        </w:rPr>
        <w:t>（</w:t>
      </w:r>
      <w:r>
        <w:rPr>
          <w:rFonts w:ascii="宋体" w:hAnsi="宋体" w:eastAsia="宋体" w:cs="宋体"/>
          <w:spacing w:val="-2"/>
          <w:sz w:val="24"/>
          <w:szCs w:val="24"/>
          <w:highlight w:val="none"/>
          <w:u w:val="single" w:color="auto"/>
        </w:rPr>
        <w:t>盖章）</w:t>
      </w:r>
    </w:p>
    <w:p w14:paraId="7157D2D6">
      <w:pPr>
        <w:pStyle w:val="3"/>
        <w:rPr>
          <w:highlight w:val="none"/>
        </w:rPr>
      </w:pPr>
    </w:p>
    <w:p w14:paraId="65588E6B">
      <w:pPr>
        <w:spacing w:before="79" w:line="220" w:lineRule="auto"/>
        <w:ind w:left="6496"/>
        <w:rPr>
          <w:rFonts w:ascii="宋体" w:hAnsi="宋体" w:eastAsia="宋体" w:cs="宋体"/>
          <w:sz w:val="24"/>
          <w:szCs w:val="24"/>
          <w:highlight w:val="none"/>
        </w:rPr>
      </w:pPr>
      <w:r>
        <w:rPr>
          <w:rFonts w:ascii="宋体" w:hAnsi="宋体" w:eastAsia="宋体" w:cs="宋体"/>
          <w:spacing w:val="-2"/>
          <w:sz w:val="24"/>
          <w:szCs w:val="24"/>
          <w:highlight w:val="none"/>
        </w:rPr>
        <w:t>授权委托日期：   年</w:t>
      </w:r>
      <w:r>
        <w:rPr>
          <w:rFonts w:ascii="宋体" w:hAnsi="宋体" w:eastAsia="宋体" w:cs="宋体"/>
          <w:spacing w:val="8"/>
          <w:sz w:val="24"/>
          <w:szCs w:val="24"/>
          <w:highlight w:val="none"/>
        </w:rPr>
        <w:t xml:space="preserve">  </w:t>
      </w:r>
      <w:r>
        <w:rPr>
          <w:rFonts w:ascii="宋体" w:hAnsi="宋体" w:eastAsia="宋体" w:cs="宋体"/>
          <w:spacing w:val="-2"/>
          <w:sz w:val="24"/>
          <w:szCs w:val="24"/>
          <w:highlight w:val="none"/>
        </w:rPr>
        <w:t>月</w:t>
      </w:r>
      <w:r>
        <w:rPr>
          <w:rFonts w:ascii="宋体" w:hAnsi="宋体" w:eastAsia="宋体" w:cs="宋体"/>
          <w:spacing w:val="25"/>
          <w:sz w:val="24"/>
          <w:szCs w:val="24"/>
          <w:highlight w:val="none"/>
        </w:rPr>
        <w:t xml:space="preserve">  </w:t>
      </w:r>
      <w:r>
        <w:rPr>
          <w:rFonts w:ascii="宋体" w:hAnsi="宋体" w:eastAsia="宋体" w:cs="宋体"/>
          <w:spacing w:val="-2"/>
          <w:sz w:val="24"/>
          <w:szCs w:val="24"/>
          <w:highlight w:val="none"/>
        </w:rPr>
        <w:t>日</w:t>
      </w:r>
    </w:p>
    <w:p w14:paraId="096A2352">
      <w:pPr>
        <w:spacing w:line="220" w:lineRule="auto"/>
        <w:rPr>
          <w:rFonts w:ascii="宋体" w:hAnsi="宋体" w:eastAsia="宋体" w:cs="宋体"/>
          <w:sz w:val="24"/>
          <w:szCs w:val="24"/>
          <w:highlight w:val="none"/>
        </w:rPr>
        <w:sectPr>
          <w:footerReference r:id="rId84" w:type="default"/>
          <w:pgSz w:w="11907" w:h="16839"/>
          <w:pgMar w:top="1431" w:right="976" w:bottom="1127" w:left="1094" w:header="0" w:footer="894" w:gutter="0"/>
          <w:cols w:space="720" w:num="1"/>
        </w:sectPr>
      </w:pPr>
    </w:p>
    <w:p w14:paraId="7AB39F64">
      <w:pPr>
        <w:spacing w:before="181" w:line="219" w:lineRule="auto"/>
        <w:ind w:left="3447"/>
        <w:rPr>
          <w:rFonts w:ascii="宋体" w:hAnsi="宋体" w:eastAsia="宋体" w:cs="宋体"/>
          <w:sz w:val="28"/>
          <w:szCs w:val="28"/>
          <w:highlight w:val="none"/>
        </w:rPr>
      </w:pPr>
      <w:r>
        <w:rPr>
          <w:rFonts w:ascii="宋体" w:hAnsi="宋体" w:eastAsia="宋体" w:cs="宋体"/>
          <w:b/>
          <w:bCs/>
          <w:spacing w:val="-4"/>
          <w:sz w:val="28"/>
          <w:szCs w:val="28"/>
          <w:highlight w:val="none"/>
        </w:rPr>
        <w:t>法定代表人身份证明书</w:t>
      </w:r>
    </w:p>
    <w:p w14:paraId="465C3915">
      <w:pPr>
        <w:pStyle w:val="3"/>
        <w:spacing w:line="325" w:lineRule="auto"/>
        <w:rPr>
          <w:highlight w:val="none"/>
        </w:rPr>
      </w:pPr>
    </w:p>
    <w:p w14:paraId="73AC7E54">
      <w:pPr>
        <w:spacing w:before="78" w:line="220" w:lineRule="auto"/>
        <w:ind w:left="592"/>
        <w:rPr>
          <w:rFonts w:ascii="宋体" w:hAnsi="宋体" w:eastAsia="宋体" w:cs="宋体"/>
          <w:sz w:val="24"/>
          <w:szCs w:val="24"/>
          <w:highlight w:val="none"/>
        </w:rPr>
      </w:pPr>
      <w:r>
        <w:rPr>
          <w:rFonts w:ascii="宋体" w:hAnsi="宋体" w:eastAsia="宋体" w:cs="宋体"/>
          <w:spacing w:val="-11"/>
          <w:sz w:val="24"/>
          <w:szCs w:val="24"/>
          <w:highlight w:val="none"/>
        </w:rPr>
        <w:t>单位名称：</w:t>
      </w:r>
    </w:p>
    <w:p w14:paraId="3DA49E0E">
      <w:pPr>
        <w:spacing w:before="316" w:line="220" w:lineRule="auto"/>
        <w:ind w:left="592"/>
        <w:rPr>
          <w:rFonts w:ascii="宋体" w:hAnsi="宋体" w:eastAsia="宋体" w:cs="宋体"/>
          <w:sz w:val="24"/>
          <w:szCs w:val="24"/>
          <w:highlight w:val="none"/>
        </w:rPr>
      </w:pPr>
      <w:r>
        <w:rPr>
          <w:rFonts w:ascii="宋体" w:hAnsi="宋体" w:eastAsia="宋体" w:cs="宋体"/>
          <w:spacing w:val="-3"/>
          <w:sz w:val="24"/>
          <w:szCs w:val="24"/>
          <w:highlight w:val="none"/>
        </w:rPr>
        <w:t>单位性质：</w:t>
      </w:r>
    </w:p>
    <w:p w14:paraId="69A51347">
      <w:pPr>
        <w:spacing w:before="315" w:line="229" w:lineRule="auto"/>
        <w:ind w:left="590"/>
        <w:rPr>
          <w:rFonts w:ascii="宋体" w:hAnsi="宋体" w:eastAsia="宋体" w:cs="宋体"/>
          <w:sz w:val="24"/>
          <w:szCs w:val="24"/>
          <w:highlight w:val="none"/>
        </w:rPr>
      </w:pPr>
      <w:r>
        <w:rPr>
          <w:rFonts w:ascii="宋体" w:hAnsi="宋体" w:eastAsia="宋体" w:cs="宋体"/>
          <w:spacing w:val="-4"/>
          <w:sz w:val="24"/>
          <w:szCs w:val="24"/>
          <w:highlight w:val="none"/>
        </w:rPr>
        <w:t>地址：</w:t>
      </w:r>
      <w:r>
        <w:rPr>
          <w:rFonts w:ascii="宋体" w:hAnsi="宋体" w:eastAsia="宋体" w:cs="宋体"/>
          <w:sz w:val="24"/>
          <w:szCs w:val="24"/>
          <w:highlight w:val="none"/>
          <w:u w:val="single" w:color="auto"/>
        </w:rPr>
        <w:t xml:space="preserve">                               </w:t>
      </w:r>
    </w:p>
    <w:p w14:paraId="6DB175BA">
      <w:pPr>
        <w:spacing w:before="302" w:line="220" w:lineRule="auto"/>
        <w:ind w:left="592"/>
        <w:rPr>
          <w:rFonts w:ascii="宋体" w:hAnsi="宋体" w:eastAsia="宋体" w:cs="宋体"/>
          <w:sz w:val="24"/>
          <w:szCs w:val="24"/>
          <w:highlight w:val="none"/>
        </w:rPr>
      </w:pPr>
      <w:r>
        <w:rPr>
          <w:rFonts w:ascii="宋体" w:hAnsi="宋体" w:eastAsia="宋体" w:cs="宋体"/>
          <w:spacing w:val="-3"/>
          <w:sz w:val="24"/>
          <w:szCs w:val="24"/>
          <w:highlight w:val="none"/>
        </w:rPr>
        <w:t>成立时间：   年</w:t>
      </w:r>
      <w:r>
        <w:rPr>
          <w:rFonts w:ascii="宋体" w:hAnsi="宋体" w:eastAsia="宋体" w:cs="宋体"/>
          <w:spacing w:val="10"/>
          <w:sz w:val="24"/>
          <w:szCs w:val="24"/>
          <w:highlight w:val="none"/>
        </w:rPr>
        <w:t xml:space="preserve">  </w:t>
      </w:r>
      <w:r>
        <w:rPr>
          <w:rFonts w:ascii="宋体" w:hAnsi="宋体" w:eastAsia="宋体" w:cs="宋体"/>
          <w:spacing w:val="-3"/>
          <w:sz w:val="24"/>
          <w:szCs w:val="24"/>
          <w:highlight w:val="none"/>
        </w:rPr>
        <w:t>月</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日</w:t>
      </w:r>
    </w:p>
    <w:p w14:paraId="10509240">
      <w:pPr>
        <w:spacing w:before="317" w:line="220" w:lineRule="auto"/>
        <w:ind w:left="592"/>
        <w:rPr>
          <w:rFonts w:ascii="宋体" w:hAnsi="宋体" w:eastAsia="宋体" w:cs="宋体"/>
          <w:sz w:val="24"/>
          <w:szCs w:val="24"/>
          <w:highlight w:val="none"/>
        </w:rPr>
      </w:pPr>
      <w:r>
        <w:rPr>
          <w:rFonts w:ascii="宋体" w:hAnsi="宋体" w:eastAsia="宋体" w:cs="宋体"/>
          <w:spacing w:val="-11"/>
          <w:sz w:val="24"/>
          <w:szCs w:val="24"/>
          <w:highlight w:val="none"/>
        </w:rPr>
        <w:t>经营期限：</w:t>
      </w:r>
    </w:p>
    <w:p w14:paraId="1680F24A">
      <w:pPr>
        <w:spacing w:before="316" w:line="220" w:lineRule="auto"/>
        <w:ind w:left="590"/>
        <w:rPr>
          <w:rFonts w:ascii="宋体" w:hAnsi="宋体" w:eastAsia="宋体" w:cs="宋体"/>
          <w:sz w:val="24"/>
          <w:szCs w:val="24"/>
          <w:highlight w:val="none"/>
        </w:rPr>
      </w:pPr>
      <w:r>
        <w:rPr>
          <w:rFonts w:ascii="宋体" w:hAnsi="宋体" w:eastAsia="宋体" w:cs="宋体"/>
          <w:spacing w:val="-9"/>
          <w:sz w:val="24"/>
          <w:szCs w:val="24"/>
          <w:highlight w:val="none"/>
        </w:rPr>
        <w:t>姓名：性别：</w:t>
      </w:r>
    </w:p>
    <w:p w14:paraId="3AA14360">
      <w:pPr>
        <w:spacing w:before="317" w:line="220" w:lineRule="auto"/>
        <w:ind w:left="591"/>
        <w:rPr>
          <w:rFonts w:ascii="宋体" w:hAnsi="宋体" w:eastAsia="宋体" w:cs="宋体"/>
          <w:sz w:val="24"/>
          <w:szCs w:val="24"/>
          <w:highlight w:val="none"/>
        </w:rPr>
      </w:pPr>
      <w:r>
        <w:rPr>
          <w:rFonts w:ascii="宋体" w:hAnsi="宋体" w:eastAsia="宋体" w:cs="宋体"/>
          <w:spacing w:val="-10"/>
          <w:sz w:val="24"/>
          <w:szCs w:val="24"/>
          <w:highlight w:val="none"/>
        </w:rPr>
        <w:t>年龄：职务：</w:t>
      </w:r>
    </w:p>
    <w:p w14:paraId="7A4EEF89">
      <w:pPr>
        <w:spacing w:before="316" w:line="220" w:lineRule="auto"/>
        <w:ind w:left="595"/>
        <w:rPr>
          <w:rFonts w:ascii="宋体" w:hAnsi="宋体" w:eastAsia="宋体" w:cs="宋体"/>
          <w:sz w:val="24"/>
          <w:szCs w:val="24"/>
          <w:highlight w:val="none"/>
        </w:rPr>
      </w:pPr>
      <w:r>
        <w:rPr>
          <w:rFonts w:ascii="宋体" w:hAnsi="宋体" w:eastAsia="宋体" w:cs="宋体"/>
          <w:spacing w:val="-3"/>
          <w:sz w:val="24"/>
          <w:szCs w:val="24"/>
          <w:highlight w:val="none"/>
        </w:rPr>
        <w:t>系</w:t>
      </w:r>
      <w:r>
        <w:rPr>
          <w:rFonts w:ascii="宋体" w:hAnsi="宋体" w:eastAsia="宋体" w:cs="宋体"/>
          <w:spacing w:val="-3"/>
          <w:sz w:val="24"/>
          <w:szCs w:val="24"/>
          <w:highlight w:val="none"/>
          <w:u w:val="single" w:color="auto"/>
        </w:rPr>
        <w:t>（投标人单位名称）</w:t>
      </w:r>
      <w:r>
        <w:rPr>
          <w:rFonts w:ascii="宋体" w:hAnsi="宋体" w:eastAsia="宋体" w:cs="宋体"/>
          <w:spacing w:val="-3"/>
          <w:sz w:val="24"/>
          <w:szCs w:val="24"/>
          <w:highlight w:val="none"/>
        </w:rPr>
        <w:t>的法定代表人。</w:t>
      </w:r>
    </w:p>
    <w:p w14:paraId="6D59D4C6">
      <w:pPr>
        <w:pStyle w:val="3"/>
        <w:spacing w:line="277" w:lineRule="auto"/>
        <w:rPr>
          <w:highlight w:val="none"/>
        </w:rPr>
      </w:pPr>
    </w:p>
    <w:p w14:paraId="0827683E">
      <w:pPr>
        <w:pStyle w:val="3"/>
        <w:spacing w:line="278" w:lineRule="auto"/>
        <w:rPr>
          <w:highlight w:val="none"/>
        </w:rPr>
      </w:pPr>
    </w:p>
    <w:p w14:paraId="090A2BC9">
      <w:pPr>
        <w:pStyle w:val="3"/>
        <w:spacing w:line="278" w:lineRule="auto"/>
        <w:rPr>
          <w:highlight w:val="none"/>
        </w:rPr>
      </w:pPr>
    </w:p>
    <w:p w14:paraId="67A4FB21">
      <w:pPr>
        <w:spacing w:before="78" w:line="220" w:lineRule="auto"/>
        <w:ind w:left="861"/>
        <w:rPr>
          <w:rFonts w:ascii="宋体" w:hAnsi="宋体" w:eastAsia="宋体" w:cs="宋体"/>
          <w:sz w:val="24"/>
          <w:szCs w:val="24"/>
          <w:highlight w:val="none"/>
        </w:rPr>
      </w:pPr>
      <w:r>
        <w:rPr>
          <w:rFonts w:ascii="宋体" w:hAnsi="宋体" w:eastAsia="宋体" w:cs="宋体"/>
          <w:spacing w:val="-8"/>
          <w:sz w:val="24"/>
          <w:szCs w:val="24"/>
          <w:highlight w:val="none"/>
        </w:rPr>
        <w:t>特此证明。</w:t>
      </w:r>
    </w:p>
    <w:p w14:paraId="7ADA1413">
      <w:pPr>
        <w:pStyle w:val="3"/>
        <w:spacing w:line="278" w:lineRule="auto"/>
        <w:rPr>
          <w:highlight w:val="none"/>
        </w:rPr>
      </w:pPr>
    </w:p>
    <w:p w14:paraId="5672A48D">
      <w:pPr>
        <w:pStyle w:val="3"/>
        <w:spacing w:line="279" w:lineRule="auto"/>
        <w:rPr>
          <w:highlight w:val="none"/>
        </w:rPr>
      </w:pPr>
    </w:p>
    <w:p w14:paraId="7830FF9F">
      <w:pPr>
        <w:pStyle w:val="3"/>
        <w:spacing w:line="279" w:lineRule="auto"/>
        <w:rPr>
          <w:highlight w:val="none"/>
        </w:rPr>
      </w:pPr>
    </w:p>
    <w:p w14:paraId="43DAB5BF">
      <w:pPr>
        <w:spacing w:before="79" w:line="219" w:lineRule="auto"/>
        <w:ind w:left="3824"/>
        <w:rPr>
          <w:rFonts w:ascii="宋体" w:hAnsi="宋体" w:eastAsia="宋体" w:cs="宋体"/>
          <w:sz w:val="24"/>
          <w:szCs w:val="24"/>
          <w:highlight w:val="none"/>
        </w:rPr>
      </w:pPr>
      <w:r>
        <w:rPr>
          <w:rFonts w:ascii="宋体" w:hAnsi="宋体" w:eastAsia="宋体" w:cs="宋体"/>
          <w:spacing w:val="-2"/>
          <w:sz w:val="24"/>
          <w:szCs w:val="24"/>
          <w:highlight w:val="none"/>
        </w:rPr>
        <w:t>投标人</w:t>
      </w:r>
      <w:r>
        <w:rPr>
          <w:rFonts w:ascii="宋体" w:hAnsi="宋体" w:eastAsia="宋体" w:cs="宋体"/>
          <w:sz w:val="24"/>
          <w:szCs w:val="24"/>
          <w:highlight w:val="none"/>
        </w:rPr>
        <w:t>：</w:t>
      </w:r>
      <w:r>
        <w:rPr>
          <w:rFonts w:ascii="宋体" w:hAnsi="宋体" w:eastAsia="宋体" w:cs="宋体"/>
          <w:sz w:val="24"/>
          <w:szCs w:val="24"/>
          <w:highlight w:val="none"/>
          <w:u w:val="single" w:color="auto"/>
        </w:rPr>
        <w:t>（</w:t>
      </w:r>
      <w:r>
        <w:rPr>
          <w:rFonts w:ascii="宋体" w:hAnsi="宋体" w:eastAsia="宋体" w:cs="宋体"/>
          <w:spacing w:val="-2"/>
          <w:sz w:val="24"/>
          <w:szCs w:val="24"/>
          <w:highlight w:val="none"/>
          <w:u w:val="single" w:color="auto"/>
        </w:rPr>
        <w:t>盖公章）</w:t>
      </w:r>
    </w:p>
    <w:p w14:paraId="16D20714">
      <w:pPr>
        <w:spacing w:before="317" w:line="220" w:lineRule="auto"/>
        <w:ind w:left="3862"/>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pacing w:val="3"/>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8"/>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13"/>
          <w:sz w:val="24"/>
          <w:szCs w:val="24"/>
          <w:highlight w:val="none"/>
        </w:rPr>
        <w:t>日</w:t>
      </w:r>
    </w:p>
    <w:p w14:paraId="38A576DB">
      <w:pPr>
        <w:spacing w:before="317" w:line="219" w:lineRule="auto"/>
        <w:ind w:left="590"/>
        <w:rPr>
          <w:rFonts w:ascii="宋体" w:hAnsi="宋体" w:eastAsia="宋体" w:cs="宋体"/>
          <w:sz w:val="24"/>
          <w:szCs w:val="24"/>
          <w:highlight w:val="none"/>
        </w:rPr>
      </w:pPr>
      <w:r>
        <w:rPr>
          <w:rFonts w:ascii="宋体" w:hAnsi="宋体" w:eastAsia="宋体" w:cs="宋体"/>
          <w:spacing w:val="-1"/>
          <w:sz w:val="24"/>
          <w:szCs w:val="24"/>
          <w:highlight w:val="none"/>
        </w:rPr>
        <w:t>注</w:t>
      </w:r>
      <w:r>
        <w:rPr>
          <w:rFonts w:ascii="宋体" w:hAnsi="宋体" w:eastAsia="宋体" w:cs="宋体"/>
          <w:spacing w:val="-11"/>
          <w:sz w:val="24"/>
          <w:szCs w:val="24"/>
          <w:highlight w:val="none"/>
        </w:rPr>
        <w:t>：（</w:t>
      </w:r>
      <w:r>
        <w:rPr>
          <w:rFonts w:ascii="宋体" w:hAnsi="宋体" w:eastAsia="宋体" w:cs="宋体"/>
          <w:spacing w:val="-1"/>
          <w:sz w:val="24"/>
          <w:szCs w:val="24"/>
          <w:highlight w:val="none"/>
        </w:rPr>
        <w:t>1）联合体投标的，本证明由联合体牵头人填写。</w:t>
      </w:r>
    </w:p>
    <w:p w14:paraId="46B6227C">
      <w:pPr>
        <w:pStyle w:val="3"/>
        <w:rPr>
          <w:highlight w:val="none"/>
        </w:rPr>
      </w:pPr>
    </w:p>
    <w:p w14:paraId="3A63B1D5">
      <w:pPr>
        <w:spacing w:before="79" w:line="416" w:lineRule="auto"/>
        <w:ind w:firstLine="596"/>
        <w:rPr>
          <w:rFonts w:ascii="宋体" w:hAnsi="宋体" w:eastAsia="宋体" w:cs="宋体"/>
          <w:sz w:val="24"/>
          <w:szCs w:val="24"/>
          <w:highlight w:val="none"/>
        </w:rPr>
      </w:pPr>
      <w:r>
        <w:rPr>
          <w:rFonts w:ascii="宋体" w:hAnsi="宋体" w:eastAsia="宋体" w:cs="宋体"/>
          <w:spacing w:val="-4"/>
          <w:sz w:val="24"/>
          <w:szCs w:val="24"/>
          <w:highlight w:val="none"/>
        </w:rPr>
        <w:t>（2）法定代表人身份证明需按上述格式填写完整，不可缺少内容，在此基础上增加内容</w:t>
      </w:r>
      <w:r>
        <w:rPr>
          <w:rFonts w:ascii="宋体" w:hAnsi="宋体" w:eastAsia="宋体" w:cs="宋体"/>
          <w:spacing w:val="-7"/>
          <w:sz w:val="24"/>
          <w:szCs w:val="24"/>
          <w:highlight w:val="none"/>
        </w:rPr>
        <w:t>的不影响其有效性。</w:t>
      </w:r>
    </w:p>
    <w:p w14:paraId="1D38F87B">
      <w:pPr>
        <w:spacing w:line="416" w:lineRule="auto"/>
        <w:rPr>
          <w:rFonts w:ascii="宋体" w:hAnsi="宋体" w:eastAsia="宋体" w:cs="宋体"/>
          <w:sz w:val="24"/>
          <w:szCs w:val="24"/>
          <w:highlight w:val="none"/>
        </w:rPr>
        <w:sectPr>
          <w:footerReference r:id="rId85" w:type="default"/>
          <w:pgSz w:w="11907" w:h="16839"/>
          <w:pgMar w:top="1431" w:right="1094" w:bottom="1127" w:left="1111" w:header="0" w:footer="896" w:gutter="0"/>
          <w:cols w:space="720" w:num="1"/>
        </w:sectPr>
      </w:pPr>
    </w:p>
    <w:p w14:paraId="4B263CB7">
      <w:pPr>
        <w:spacing w:before="203" w:line="218" w:lineRule="auto"/>
        <w:ind w:left="1384"/>
        <w:rPr>
          <w:rFonts w:ascii="黑体" w:hAnsi="黑体" w:eastAsia="黑体" w:cs="黑体"/>
          <w:sz w:val="24"/>
          <w:szCs w:val="24"/>
          <w:highlight w:val="none"/>
        </w:rPr>
      </w:pPr>
      <w:r>
        <w:rPr>
          <w:rFonts w:ascii="黑体" w:hAnsi="黑体" w:eastAsia="黑体" w:cs="黑体"/>
          <w:spacing w:val="-1"/>
          <w:sz w:val="24"/>
          <w:szCs w:val="24"/>
          <w:highlight w:val="none"/>
        </w:rPr>
        <w:t>基本账户开户许可证（或基本账户开户银行的基本存</w:t>
      </w:r>
      <w:r>
        <w:rPr>
          <w:rFonts w:ascii="黑体" w:hAnsi="黑体" w:eastAsia="黑体" w:cs="黑体"/>
          <w:spacing w:val="-2"/>
          <w:sz w:val="24"/>
          <w:szCs w:val="24"/>
          <w:highlight w:val="none"/>
        </w:rPr>
        <w:t>款账户信息）</w:t>
      </w:r>
    </w:p>
    <w:p w14:paraId="61F7A379">
      <w:pPr>
        <w:pStyle w:val="3"/>
        <w:spacing w:line="327" w:lineRule="auto"/>
        <w:rPr>
          <w:highlight w:val="none"/>
        </w:rPr>
      </w:pPr>
    </w:p>
    <w:p w14:paraId="33707BCA">
      <w:pPr>
        <w:spacing w:before="78" w:line="220" w:lineRule="auto"/>
        <w:ind w:left="4503"/>
        <w:rPr>
          <w:rFonts w:ascii="黑体" w:hAnsi="黑体" w:eastAsia="黑体" w:cs="黑体"/>
          <w:sz w:val="24"/>
          <w:szCs w:val="24"/>
          <w:highlight w:val="none"/>
        </w:rPr>
      </w:pPr>
      <w:r>
        <w:rPr>
          <w:rFonts w:ascii="黑体" w:hAnsi="黑体" w:eastAsia="黑体" w:cs="黑体"/>
          <w:spacing w:val="-2"/>
          <w:sz w:val="24"/>
          <w:szCs w:val="24"/>
          <w:highlight w:val="none"/>
        </w:rPr>
        <w:t>承诺函</w:t>
      </w:r>
    </w:p>
    <w:p w14:paraId="53DD96D1">
      <w:pPr>
        <w:spacing w:before="182" w:line="217" w:lineRule="auto"/>
        <w:ind w:left="483"/>
        <w:rPr>
          <w:rFonts w:ascii="仿宋" w:hAnsi="仿宋" w:eastAsia="仿宋" w:cs="仿宋"/>
          <w:sz w:val="24"/>
          <w:szCs w:val="24"/>
          <w:highlight w:val="none"/>
        </w:rPr>
      </w:pPr>
      <w:r>
        <w:rPr>
          <w:rFonts w:ascii="仿宋" w:hAnsi="仿宋" w:eastAsia="仿宋" w:cs="仿宋"/>
          <w:spacing w:val="-2"/>
          <w:sz w:val="24"/>
          <w:szCs w:val="24"/>
          <w:highlight w:val="none"/>
        </w:rPr>
        <w:t>致</w:t>
      </w:r>
      <w:r>
        <w:rPr>
          <w:rFonts w:ascii="仿宋" w:hAnsi="仿宋" w:eastAsia="仿宋" w:cs="仿宋"/>
          <w:spacing w:val="-3"/>
          <w:sz w:val="24"/>
          <w:szCs w:val="24"/>
          <w:highlight w:val="none"/>
        </w:rPr>
        <w:t>：</w:t>
      </w:r>
      <w:r>
        <w:rPr>
          <w:rFonts w:ascii="仿宋" w:hAnsi="仿宋" w:eastAsia="仿宋" w:cs="仿宋"/>
          <w:spacing w:val="-3"/>
          <w:sz w:val="24"/>
          <w:szCs w:val="24"/>
          <w:highlight w:val="none"/>
          <w:u w:val="single" w:color="auto"/>
        </w:rPr>
        <w:t>（</w:t>
      </w:r>
      <w:r>
        <w:rPr>
          <w:rFonts w:ascii="仿宋" w:hAnsi="仿宋" w:eastAsia="仿宋" w:cs="仿宋"/>
          <w:spacing w:val="-2"/>
          <w:sz w:val="24"/>
          <w:szCs w:val="24"/>
          <w:highlight w:val="none"/>
          <w:u w:val="single" w:color="auto"/>
        </w:rPr>
        <w:t>招标人名称）</w:t>
      </w:r>
    </w:p>
    <w:p w14:paraId="2F152416">
      <w:pPr>
        <w:spacing w:before="212" w:line="369" w:lineRule="auto"/>
        <w:ind w:right="2" w:firstLine="609"/>
        <w:jc w:val="both"/>
        <w:rPr>
          <w:rFonts w:ascii="仿宋" w:hAnsi="仿宋" w:eastAsia="仿宋" w:cs="仿宋"/>
          <w:sz w:val="24"/>
          <w:szCs w:val="24"/>
          <w:highlight w:val="none"/>
        </w:rPr>
      </w:pPr>
      <w:r>
        <w:rPr>
          <w:rFonts w:ascii="仿宋" w:hAnsi="仿宋" w:eastAsia="仿宋" w:cs="仿宋"/>
          <w:sz w:val="24"/>
          <w:szCs w:val="24"/>
          <w:highlight w:val="none"/>
        </w:rPr>
        <w:t>我单位向贵单位承诺：以下所附我单位基本账户开户许可证（或基</w:t>
      </w:r>
      <w:r>
        <w:rPr>
          <w:rFonts w:ascii="仿宋" w:hAnsi="仿宋" w:eastAsia="仿宋" w:cs="仿宋"/>
          <w:spacing w:val="-1"/>
          <w:sz w:val="24"/>
          <w:szCs w:val="24"/>
          <w:highlight w:val="none"/>
        </w:rPr>
        <w:t>本账户开户银行的基</w:t>
      </w:r>
      <w:r>
        <w:rPr>
          <w:rFonts w:ascii="仿宋" w:hAnsi="仿宋" w:eastAsia="仿宋" w:cs="仿宋"/>
          <w:spacing w:val="-3"/>
          <w:sz w:val="24"/>
          <w:szCs w:val="24"/>
          <w:highlight w:val="none"/>
        </w:rPr>
        <w:t>本存款账户信息）原件扫描件真实有效。如与我单位在安徽省公共资源交易市场主体库中公布</w:t>
      </w:r>
      <w:r>
        <w:rPr>
          <w:rFonts w:ascii="仿宋" w:hAnsi="仿宋" w:eastAsia="仿宋" w:cs="仿宋"/>
          <w:spacing w:val="3"/>
          <w:sz w:val="24"/>
          <w:szCs w:val="24"/>
          <w:highlight w:val="none"/>
        </w:rPr>
        <w:t>的银行基本账户信息不一致的或者在安徽省公共资源交易市场主体库中公布的银行基本账户</w:t>
      </w:r>
      <w:r>
        <w:rPr>
          <w:rFonts w:ascii="仿宋" w:hAnsi="仿宋" w:eastAsia="仿宋" w:cs="仿宋"/>
          <w:spacing w:val="-3"/>
          <w:sz w:val="24"/>
          <w:szCs w:val="24"/>
          <w:highlight w:val="none"/>
        </w:rPr>
        <w:t>信息属于弄虚作假的，其投标无效。</w:t>
      </w:r>
    </w:p>
    <w:p w14:paraId="27DB02CA">
      <w:pPr>
        <w:spacing w:line="360" w:lineRule="auto"/>
        <w:ind w:left="95" w:right="95" w:firstLine="369"/>
        <w:jc w:val="both"/>
        <w:rPr>
          <w:rFonts w:ascii="仿宋" w:hAnsi="仿宋" w:eastAsia="仿宋" w:cs="仿宋"/>
          <w:sz w:val="24"/>
          <w:szCs w:val="24"/>
          <w:highlight w:val="none"/>
        </w:rPr>
      </w:pPr>
      <w:r>
        <w:rPr>
          <w:rFonts w:ascii="仿宋" w:hAnsi="仿宋" w:eastAsia="仿宋" w:cs="仿宋"/>
          <w:spacing w:val="-2"/>
          <w:sz w:val="24"/>
          <w:szCs w:val="24"/>
          <w:highlight w:val="none"/>
        </w:rPr>
        <w:t>我单位承诺</w:t>
      </w:r>
      <w:r>
        <w:rPr>
          <w:rFonts w:ascii="宋体" w:hAnsi="宋体" w:eastAsia="宋体" w:cs="宋体"/>
          <w:spacing w:val="-2"/>
          <w:sz w:val="24"/>
          <w:szCs w:val="24"/>
          <w:highlight w:val="none"/>
        </w:rPr>
        <w:t>:</w:t>
      </w:r>
      <w:r>
        <w:rPr>
          <w:rFonts w:ascii="仿宋" w:hAnsi="仿宋" w:eastAsia="仿宋" w:cs="仿宋"/>
          <w:spacing w:val="-2"/>
          <w:sz w:val="24"/>
          <w:szCs w:val="24"/>
          <w:highlight w:val="none"/>
        </w:rPr>
        <w:t>若提供虚假保函、虚假保证保险，除依法承担弄虚作假的法律责任外，我单位自愿承担根据招标文件规定投标保证金不予退还的民事责任，承担方式为限时足额缴纳招标文件所列全部投标保证金，在招标人发出追缴通知后的规定缴纳时间内不能足额支付投标保证金的，招标人可以依法提起诉讼追缴，招标人因此发生的诉讼费、律师代理费等费用均由我单位承担。不缴纳或不足额缴纳的，将承担不良行为记录、行政处罚、投标资格限制的</w:t>
      </w:r>
      <w:r>
        <w:rPr>
          <w:rFonts w:ascii="仿宋" w:hAnsi="仿宋" w:eastAsia="仿宋" w:cs="仿宋"/>
          <w:spacing w:val="-1"/>
          <w:sz w:val="24"/>
          <w:szCs w:val="24"/>
          <w:highlight w:val="none"/>
        </w:rPr>
        <w:t>处理直至承担弄虚作假的刑事责任。</w:t>
      </w:r>
    </w:p>
    <w:p w14:paraId="677CF3B9">
      <w:pPr>
        <w:spacing w:before="141" w:line="215" w:lineRule="auto"/>
        <w:ind w:left="490"/>
        <w:rPr>
          <w:rFonts w:ascii="仿宋" w:hAnsi="仿宋" w:eastAsia="仿宋" w:cs="仿宋"/>
          <w:sz w:val="24"/>
          <w:szCs w:val="24"/>
          <w:highlight w:val="none"/>
        </w:rPr>
      </w:pPr>
      <w:r>
        <w:rPr>
          <w:rFonts w:ascii="仿宋" w:hAnsi="仿宋" w:eastAsia="仿宋" w:cs="仿宋"/>
          <w:spacing w:val="-2"/>
          <w:sz w:val="24"/>
          <w:szCs w:val="24"/>
          <w:highlight w:val="none"/>
        </w:rPr>
        <w:t>附：账户开户许可证（或基本账户开户银行的基本存款账户信息）</w:t>
      </w:r>
    </w:p>
    <w:p w14:paraId="5C0D6535">
      <w:pPr>
        <w:pStyle w:val="3"/>
        <w:spacing w:line="306" w:lineRule="auto"/>
        <w:rPr>
          <w:highlight w:val="none"/>
        </w:rPr>
      </w:pPr>
    </w:p>
    <w:p w14:paraId="21A9C67D">
      <w:pPr>
        <w:pStyle w:val="3"/>
        <w:spacing w:line="306" w:lineRule="auto"/>
        <w:rPr>
          <w:highlight w:val="none"/>
        </w:rPr>
      </w:pPr>
    </w:p>
    <w:p w14:paraId="30271B27">
      <w:pPr>
        <w:pStyle w:val="3"/>
        <w:spacing w:line="306" w:lineRule="auto"/>
        <w:rPr>
          <w:highlight w:val="none"/>
        </w:rPr>
      </w:pPr>
    </w:p>
    <w:p w14:paraId="75A15C64">
      <w:pPr>
        <w:spacing w:before="78" w:line="217" w:lineRule="auto"/>
        <w:ind w:left="3120"/>
        <w:rPr>
          <w:rFonts w:ascii="仿宋" w:hAnsi="仿宋" w:eastAsia="仿宋" w:cs="仿宋"/>
          <w:sz w:val="24"/>
          <w:szCs w:val="24"/>
          <w:highlight w:val="none"/>
        </w:rPr>
      </w:pPr>
      <w:r>
        <w:rPr>
          <w:rFonts w:ascii="仿宋" w:hAnsi="仿宋" w:eastAsia="仿宋" w:cs="仿宋"/>
          <w:spacing w:val="-3"/>
          <w:sz w:val="24"/>
          <w:szCs w:val="24"/>
          <w:highlight w:val="none"/>
        </w:rPr>
        <w:t>投标人</w:t>
      </w:r>
      <w:r>
        <w:rPr>
          <w:rFonts w:ascii="仿宋" w:hAnsi="仿宋" w:eastAsia="仿宋" w:cs="仿宋"/>
          <w:spacing w:val="-2"/>
          <w:sz w:val="24"/>
          <w:szCs w:val="24"/>
          <w:highlight w:val="none"/>
        </w:rPr>
        <w:t>：（</w:t>
      </w:r>
      <w:r>
        <w:rPr>
          <w:rFonts w:ascii="仿宋" w:hAnsi="仿宋" w:eastAsia="仿宋" w:cs="仿宋"/>
          <w:spacing w:val="-3"/>
          <w:sz w:val="24"/>
          <w:szCs w:val="24"/>
          <w:highlight w:val="none"/>
        </w:rPr>
        <w:t>盖单位公章）</w:t>
      </w:r>
    </w:p>
    <w:p w14:paraId="059F576C">
      <w:pPr>
        <w:pStyle w:val="3"/>
        <w:spacing w:line="288" w:lineRule="auto"/>
        <w:rPr>
          <w:highlight w:val="none"/>
        </w:rPr>
      </w:pPr>
    </w:p>
    <w:p w14:paraId="7D438343">
      <w:pPr>
        <w:spacing w:before="78" w:line="219" w:lineRule="auto"/>
        <w:ind w:left="3662"/>
        <w:rPr>
          <w:rFonts w:ascii="黑体" w:hAnsi="黑体" w:eastAsia="黑体" w:cs="黑体"/>
          <w:sz w:val="24"/>
          <w:szCs w:val="24"/>
          <w:highlight w:val="none"/>
        </w:rPr>
      </w:pPr>
      <w:r>
        <w:rPr>
          <w:rFonts w:ascii="黑体" w:hAnsi="黑体" w:eastAsia="黑体" w:cs="黑体"/>
          <w:spacing w:val="-1"/>
          <w:sz w:val="24"/>
          <w:szCs w:val="24"/>
          <w:highlight w:val="none"/>
        </w:rPr>
        <w:t>银行（纸质）保函格式</w:t>
      </w:r>
    </w:p>
    <w:p w14:paraId="416475AA">
      <w:pPr>
        <w:spacing w:before="141" w:line="216" w:lineRule="auto"/>
        <w:ind w:left="479"/>
        <w:rPr>
          <w:rFonts w:ascii="仿宋" w:hAnsi="仿宋" w:eastAsia="仿宋" w:cs="仿宋"/>
          <w:sz w:val="24"/>
          <w:szCs w:val="24"/>
          <w:highlight w:val="none"/>
        </w:rPr>
      </w:pPr>
      <w:r>
        <w:rPr>
          <w:rFonts w:ascii="仿宋" w:hAnsi="仿宋" w:eastAsia="仿宋" w:cs="仿宋"/>
          <w:spacing w:val="-2"/>
          <w:sz w:val="24"/>
          <w:szCs w:val="24"/>
          <w:highlight w:val="none"/>
        </w:rPr>
        <w:t>投标人（即</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申请人</w:t>
      </w:r>
      <w:r>
        <w:rPr>
          <w:rFonts w:ascii="Times New Roman" w:hAnsi="Times New Roman" w:eastAsia="Times New Roman" w:cs="Times New Roman"/>
          <w:spacing w:val="-2"/>
          <w:sz w:val="24"/>
          <w:szCs w:val="24"/>
          <w:highlight w:val="none"/>
        </w:rPr>
        <w:t>”</w:t>
      </w:r>
      <w:r>
        <w:rPr>
          <w:rFonts w:ascii="仿宋" w:hAnsi="仿宋" w:eastAsia="仿宋" w:cs="仿宋"/>
          <w:spacing w:val="-12"/>
          <w:sz w:val="24"/>
          <w:szCs w:val="24"/>
          <w:highlight w:val="none"/>
        </w:rPr>
        <w:t>）：</w:t>
      </w:r>
    </w:p>
    <w:p w14:paraId="2F1A7EE1">
      <w:pPr>
        <w:spacing w:before="159" w:line="227" w:lineRule="auto"/>
        <w:ind w:left="476"/>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7772CE1D">
      <w:pPr>
        <w:spacing w:before="143" w:line="218" w:lineRule="auto"/>
        <w:ind w:left="479"/>
        <w:rPr>
          <w:rFonts w:ascii="仿宋" w:hAnsi="仿宋" w:eastAsia="仿宋" w:cs="仿宋"/>
          <w:sz w:val="24"/>
          <w:szCs w:val="24"/>
          <w:highlight w:val="none"/>
        </w:rPr>
      </w:pPr>
      <w:r>
        <w:rPr>
          <w:rFonts w:ascii="仿宋" w:hAnsi="仿宋" w:eastAsia="仿宋" w:cs="仿宋"/>
          <w:spacing w:val="-2"/>
          <w:sz w:val="24"/>
          <w:szCs w:val="24"/>
          <w:highlight w:val="none"/>
        </w:rPr>
        <w:t>招标人（即</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受益人</w:t>
      </w:r>
      <w:r>
        <w:rPr>
          <w:rFonts w:ascii="Times New Roman" w:hAnsi="Times New Roman" w:eastAsia="Times New Roman" w:cs="Times New Roman"/>
          <w:spacing w:val="-2"/>
          <w:sz w:val="24"/>
          <w:szCs w:val="24"/>
          <w:highlight w:val="none"/>
        </w:rPr>
        <w:t>”</w:t>
      </w:r>
      <w:r>
        <w:rPr>
          <w:rFonts w:ascii="仿宋" w:hAnsi="仿宋" w:eastAsia="仿宋" w:cs="仿宋"/>
          <w:spacing w:val="-12"/>
          <w:sz w:val="24"/>
          <w:szCs w:val="24"/>
          <w:highlight w:val="none"/>
        </w:rPr>
        <w:t>）：</w:t>
      </w:r>
    </w:p>
    <w:p w14:paraId="799F2EF2">
      <w:pPr>
        <w:spacing w:before="159" w:line="227" w:lineRule="auto"/>
        <w:ind w:left="476"/>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034CCB11">
      <w:pPr>
        <w:spacing w:before="144" w:line="217" w:lineRule="auto"/>
        <w:ind w:left="475"/>
        <w:rPr>
          <w:rFonts w:ascii="仿宋" w:hAnsi="仿宋" w:eastAsia="仿宋" w:cs="仿宋"/>
          <w:sz w:val="24"/>
          <w:szCs w:val="24"/>
          <w:highlight w:val="none"/>
        </w:rPr>
      </w:pPr>
      <w:r>
        <w:rPr>
          <w:rFonts w:ascii="仿宋" w:hAnsi="仿宋" w:eastAsia="仿宋" w:cs="仿宋"/>
          <w:spacing w:val="-3"/>
          <w:sz w:val="24"/>
          <w:szCs w:val="24"/>
          <w:highlight w:val="none"/>
        </w:rPr>
        <w:t>开立人（出函银行</w:t>
      </w:r>
      <w:r>
        <w:rPr>
          <w:rFonts w:ascii="仿宋" w:hAnsi="仿宋" w:eastAsia="仿宋" w:cs="仿宋"/>
          <w:spacing w:val="2"/>
          <w:sz w:val="24"/>
          <w:szCs w:val="24"/>
          <w:highlight w:val="none"/>
        </w:rPr>
        <w:t>）：</w:t>
      </w:r>
      <w:r>
        <w:rPr>
          <w:rFonts w:ascii="仿宋" w:hAnsi="仿宋" w:eastAsia="仿宋" w:cs="仿宋"/>
          <w:sz w:val="24"/>
          <w:szCs w:val="24"/>
          <w:highlight w:val="none"/>
          <w:u w:val="single" w:color="auto"/>
        </w:rPr>
        <w:t xml:space="preserve">                 </w:t>
      </w:r>
    </w:p>
    <w:p w14:paraId="0C501B57">
      <w:pPr>
        <w:spacing w:before="158" w:line="227" w:lineRule="auto"/>
        <w:ind w:left="476"/>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5D7E0334">
      <w:pPr>
        <w:spacing w:before="145" w:line="217" w:lineRule="auto"/>
        <w:ind w:left="483"/>
        <w:rPr>
          <w:rFonts w:ascii="仿宋" w:hAnsi="仿宋" w:eastAsia="仿宋" w:cs="仿宋"/>
          <w:sz w:val="24"/>
          <w:szCs w:val="24"/>
          <w:highlight w:val="none"/>
        </w:rPr>
      </w:pPr>
      <w:r>
        <w:rPr>
          <w:rFonts w:ascii="仿宋" w:hAnsi="仿宋" w:eastAsia="仿宋" w:cs="仿宋"/>
          <w:spacing w:val="-2"/>
          <w:sz w:val="24"/>
          <w:szCs w:val="24"/>
          <w:highlight w:val="none"/>
        </w:rPr>
        <w:t>致</w:t>
      </w:r>
      <w:r>
        <w:rPr>
          <w:rFonts w:ascii="仿宋" w:hAnsi="仿宋" w:eastAsia="仿宋" w:cs="仿宋"/>
          <w:spacing w:val="-3"/>
          <w:sz w:val="24"/>
          <w:szCs w:val="24"/>
          <w:highlight w:val="none"/>
        </w:rPr>
        <w:t>：</w:t>
      </w:r>
      <w:r>
        <w:rPr>
          <w:rFonts w:ascii="仿宋" w:hAnsi="仿宋" w:eastAsia="仿宋" w:cs="仿宋"/>
          <w:spacing w:val="-3"/>
          <w:sz w:val="24"/>
          <w:szCs w:val="24"/>
          <w:highlight w:val="none"/>
          <w:u w:val="single" w:color="auto"/>
        </w:rPr>
        <w:t>（</w:t>
      </w:r>
      <w:r>
        <w:rPr>
          <w:rFonts w:ascii="仿宋" w:hAnsi="仿宋" w:eastAsia="仿宋" w:cs="仿宋"/>
          <w:spacing w:val="-2"/>
          <w:sz w:val="24"/>
          <w:szCs w:val="24"/>
          <w:highlight w:val="none"/>
          <w:u w:val="single" w:color="auto"/>
        </w:rPr>
        <w:t>招标人名称）</w:t>
      </w:r>
    </w:p>
    <w:p w14:paraId="5B80D4F8">
      <w:pPr>
        <w:spacing w:before="160" w:line="338" w:lineRule="auto"/>
        <w:ind w:firstLine="489"/>
        <w:rPr>
          <w:rFonts w:ascii="仿宋" w:hAnsi="仿宋" w:eastAsia="仿宋" w:cs="仿宋"/>
          <w:sz w:val="24"/>
          <w:szCs w:val="24"/>
          <w:highlight w:val="none"/>
        </w:rPr>
      </w:pPr>
      <w:r>
        <w:rPr>
          <w:rFonts w:ascii="仿宋" w:hAnsi="仿宋" w:eastAsia="仿宋" w:cs="仿宋"/>
          <w:spacing w:val="-11"/>
          <w:sz w:val="24"/>
          <w:szCs w:val="24"/>
          <w:highlight w:val="none"/>
        </w:rPr>
        <w:t>我方（即“开立人”）已获得通知，本保函申请人（即“投标人”）已响应</w:t>
      </w:r>
      <w:r>
        <w:rPr>
          <w:rFonts w:ascii="仿宋" w:hAnsi="仿宋" w:eastAsia="仿宋" w:cs="仿宋"/>
          <w:spacing w:val="-12"/>
          <w:sz w:val="24"/>
          <w:szCs w:val="24"/>
          <w:highlight w:val="none"/>
        </w:rPr>
        <w:t>贵方于   年  月</w:t>
      </w:r>
      <w:r>
        <w:rPr>
          <w:rFonts w:ascii="仿宋" w:hAnsi="仿宋" w:eastAsia="仿宋" w:cs="仿宋"/>
          <w:spacing w:val="-3"/>
          <w:sz w:val="24"/>
          <w:szCs w:val="24"/>
          <w:highlight w:val="none"/>
        </w:rPr>
        <w:t>日就（以下简称“本项目”）发出的招标文件，并已向招标人（即“受益人”）提交了投标文</w:t>
      </w:r>
      <w:r>
        <w:rPr>
          <w:rFonts w:ascii="仿宋" w:hAnsi="仿宋" w:eastAsia="仿宋" w:cs="仿宋"/>
          <w:spacing w:val="-4"/>
          <w:sz w:val="24"/>
          <w:szCs w:val="24"/>
          <w:highlight w:val="none"/>
        </w:rPr>
        <w:t>件（即“基础交易”）。</w:t>
      </w:r>
    </w:p>
    <w:p w14:paraId="3D6EB3DA">
      <w:pPr>
        <w:spacing w:line="216" w:lineRule="auto"/>
        <w:jc w:val="right"/>
        <w:rPr>
          <w:rFonts w:ascii="仿宋" w:hAnsi="仿宋" w:eastAsia="仿宋" w:cs="仿宋"/>
          <w:sz w:val="24"/>
          <w:szCs w:val="24"/>
          <w:highlight w:val="none"/>
        </w:rPr>
      </w:pPr>
      <w:r>
        <w:rPr>
          <w:rFonts w:ascii="仿宋" w:hAnsi="仿宋" w:eastAsia="仿宋" w:cs="仿宋"/>
          <w:spacing w:val="-8"/>
          <w:sz w:val="24"/>
          <w:szCs w:val="24"/>
          <w:highlight w:val="none"/>
        </w:rPr>
        <w:t>一、我方理解根据招标条件，投标人必须提交一份投</w:t>
      </w:r>
      <w:r>
        <w:rPr>
          <w:rFonts w:ascii="仿宋" w:hAnsi="仿宋" w:eastAsia="仿宋" w:cs="仿宋"/>
          <w:spacing w:val="-9"/>
          <w:sz w:val="24"/>
          <w:szCs w:val="24"/>
          <w:highlight w:val="none"/>
        </w:rPr>
        <w:t>标保函</w:t>
      </w:r>
      <w:r>
        <w:rPr>
          <w:rFonts w:ascii="仿宋" w:hAnsi="仿宋" w:eastAsia="仿宋" w:cs="仿宋"/>
          <w:spacing w:val="-63"/>
          <w:w w:val="94"/>
          <w:sz w:val="24"/>
          <w:szCs w:val="24"/>
          <w:highlight w:val="none"/>
        </w:rPr>
        <w:t>，</w:t>
      </w:r>
      <w:r>
        <w:rPr>
          <w:rFonts w:ascii="仿宋" w:hAnsi="仿宋" w:eastAsia="仿宋" w:cs="仿宋"/>
          <w:b/>
          <w:bCs/>
          <w:spacing w:val="-63"/>
          <w:w w:val="94"/>
          <w:sz w:val="24"/>
          <w:szCs w:val="24"/>
          <w:highlight w:val="none"/>
        </w:rPr>
        <w:t>（</w:t>
      </w:r>
      <w:r>
        <w:rPr>
          <w:rFonts w:ascii="仿宋" w:hAnsi="仿宋" w:eastAsia="仿宋" w:cs="仿宋"/>
          <w:b/>
          <w:bCs/>
          <w:spacing w:val="-9"/>
          <w:sz w:val="24"/>
          <w:szCs w:val="24"/>
          <w:highlight w:val="none"/>
        </w:rPr>
        <w:t>以下简称</w:t>
      </w:r>
      <w:r>
        <w:rPr>
          <w:rFonts w:ascii="Times New Roman" w:hAnsi="Times New Roman" w:eastAsia="Times New Roman" w:cs="Times New Roman"/>
          <w:b/>
          <w:bCs/>
          <w:spacing w:val="-9"/>
          <w:sz w:val="24"/>
          <w:szCs w:val="24"/>
          <w:highlight w:val="none"/>
        </w:rPr>
        <w:t>“</w:t>
      </w:r>
      <w:r>
        <w:rPr>
          <w:rFonts w:ascii="仿宋" w:hAnsi="仿宋" w:eastAsia="仿宋" w:cs="仿宋"/>
          <w:b/>
          <w:bCs/>
          <w:spacing w:val="-9"/>
          <w:sz w:val="24"/>
          <w:szCs w:val="24"/>
          <w:highlight w:val="none"/>
        </w:rPr>
        <w:t>本保函</w:t>
      </w:r>
      <w:r>
        <w:rPr>
          <w:rFonts w:ascii="Times New Roman" w:hAnsi="Times New Roman" w:eastAsia="Times New Roman" w:cs="Times New Roman"/>
          <w:b/>
          <w:bCs/>
          <w:spacing w:val="-9"/>
          <w:sz w:val="24"/>
          <w:szCs w:val="24"/>
          <w:highlight w:val="none"/>
        </w:rPr>
        <w:t>”</w:t>
      </w:r>
      <w:r>
        <w:rPr>
          <w:rFonts w:ascii="仿宋" w:hAnsi="仿宋" w:eastAsia="仿宋" w:cs="仿宋"/>
          <w:b/>
          <w:bCs/>
          <w:spacing w:val="-63"/>
          <w:w w:val="94"/>
          <w:sz w:val="24"/>
          <w:szCs w:val="24"/>
          <w:highlight w:val="none"/>
        </w:rPr>
        <w:t>）</w:t>
      </w:r>
      <w:r>
        <w:rPr>
          <w:rFonts w:ascii="仿宋" w:hAnsi="仿宋" w:eastAsia="仿宋" w:cs="仿宋"/>
          <w:spacing w:val="-63"/>
          <w:w w:val="94"/>
          <w:sz w:val="24"/>
          <w:szCs w:val="24"/>
          <w:highlight w:val="none"/>
        </w:rPr>
        <w:t>，</w:t>
      </w:r>
      <w:r>
        <w:rPr>
          <w:rFonts w:ascii="仿宋" w:hAnsi="仿宋" w:eastAsia="仿宋" w:cs="仿宋"/>
          <w:spacing w:val="-9"/>
          <w:sz w:val="24"/>
          <w:szCs w:val="24"/>
          <w:highlight w:val="none"/>
        </w:rPr>
        <w:t>以担保</w:t>
      </w:r>
    </w:p>
    <w:p w14:paraId="1BAC8F78">
      <w:pPr>
        <w:spacing w:line="216" w:lineRule="auto"/>
        <w:rPr>
          <w:rFonts w:ascii="仿宋" w:hAnsi="仿宋" w:eastAsia="仿宋" w:cs="仿宋"/>
          <w:sz w:val="24"/>
          <w:szCs w:val="24"/>
          <w:highlight w:val="none"/>
        </w:rPr>
        <w:sectPr>
          <w:footerReference r:id="rId86" w:type="default"/>
          <w:pgSz w:w="11907" w:h="16839"/>
          <w:pgMar w:top="1431" w:right="1080" w:bottom="1127" w:left="1098" w:header="0" w:footer="894" w:gutter="0"/>
          <w:cols w:space="720" w:num="1"/>
        </w:sectPr>
      </w:pPr>
    </w:p>
    <w:p w14:paraId="7D882747">
      <w:pPr>
        <w:spacing w:before="157" w:line="338" w:lineRule="auto"/>
        <w:ind w:left="25" w:right="85" w:hanging="10"/>
        <w:rPr>
          <w:rFonts w:ascii="仿宋" w:hAnsi="仿宋" w:eastAsia="仿宋" w:cs="仿宋"/>
          <w:sz w:val="24"/>
          <w:szCs w:val="24"/>
          <w:highlight w:val="none"/>
        </w:rPr>
      </w:pPr>
      <w:r>
        <w:rPr>
          <w:rFonts w:ascii="仿宋" w:hAnsi="仿宋" w:eastAsia="仿宋" w:cs="仿宋"/>
          <w:sz w:val="24"/>
          <w:szCs w:val="24"/>
          <w:highlight w:val="none"/>
        </w:rPr>
        <w:t>投标人诚信履行其在</w:t>
      </w:r>
      <w:r>
        <w:rPr>
          <w:rFonts w:ascii="仿宋" w:hAnsi="仿宋" w:eastAsia="仿宋" w:cs="仿宋"/>
          <w:b/>
          <w:bCs/>
          <w:sz w:val="24"/>
          <w:szCs w:val="24"/>
          <w:highlight w:val="none"/>
        </w:rPr>
        <w:t>上述基础交易</w:t>
      </w:r>
      <w:r>
        <w:rPr>
          <w:rFonts w:ascii="仿宋" w:hAnsi="仿宋" w:eastAsia="仿宋" w:cs="仿宋"/>
          <w:sz w:val="24"/>
          <w:szCs w:val="24"/>
          <w:highlight w:val="none"/>
        </w:rPr>
        <w:t>中承担的投标人义务。鉴此，应投标人要求，我方在此</w:t>
      </w:r>
      <w:r>
        <w:rPr>
          <w:rFonts w:ascii="仿宋" w:hAnsi="仿宋" w:eastAsia="仿宋" w:cs="仿宋"/>
          <w:spacing w:val="-37"/>
          <w:sz w:val="24"/>
          <w:szCs w:val="24"/>
          <w:highlight w:val="none"/>
        </w:rPr>
        <w:t xml:space="preserve"> </w:t>
      </w:r>
      <w:r>
        <w:rPr>
          <w:rFonts w:ascii="仿宋" w:hAnsi="仿宋" w:eastAsia="仿宋" w:cs="仿宋"/>
          <w:sz w:val="24"/>
          <w:szCs w:val="24"/>
          <w:highlight w:val="none"/>
        </w:rPr>
        <w:t>同</w:t>
      </w:r>
      <w:r>
        <w:rPr>
          <w:rFonts w:ascii="仿宋" w:hAnsi="仿宋" w:eastAsia="仿宋" w:cs="仿宋"/>
          <w:spacing w:val="27"/>
          <w:sz w:val="24"/>
          <w:szCs w:val="24"/>
          <w:highlight w:val="none"/>
        </w:rPr>
        <w:t>意向贵方出具此投标保函，本保函担保金额最高不超过人民币</w:t>
      </w:r>
      <w:r>
        <w:rPr>
          <w:rFonts w:ascii="仿宋" w:hAnsi="仿宋" w:eastAsia="仿宋" w:cs="仿宋"/>
          <w:spacing w:val="26"/>
          <w:sz w:val="24"/>
          <w:szCs w:val="24"/>
          <w:highlight w:val="none"/>
        </w:rPr>
        <w:t>（大写）元(</w:t>
      </w:r>
      <w:r>
        <w:rPr>
          <w:rFonts w:ascii="Times New Roman" w:hAnsi="Times New Roman" w:eastAsia="Times New Roman" w:cs="Times New Roman"/>
          <w:spacing w:val="26"/>
          <w:sz w:val="24"/>
          <w:szCs w:val="24"/>
          <w:highlight w:val="none"/>
        </w:rPr>
        <w:t>¥</w:t>
      </w:r>
      <w:r>
        <w:rPr>
          <w:rFonts w:ascii="仿宋" w:hAnsi="仿宋" w:eastAsia="仿宋" w:cs="仿宋"/>
          <w:spacing w:val="26"/>
          <w:sz w:val="24"/>
          <w:szCs w:val="24"/>
          <w:highlight w:val="none"/>
        </w:rPr>
        <w:t>)。</w:t>
      </w:r>
    </w:p>
    <w:p w14:paraId="675063D0">
      <w:pPr>
        <w:spacing w:before="1" w:line="215" w:lineRule="auto"/>
        <w:ind w:left="504"/>
        <w:rPr>
          <w:rFonts w:ascii="仿宋" w:hAnsi="仿宋" w:eastAsia="仿宋" w:cs="仿宋"/>
          <w:sz w:val="24"/>
          <w:szCs w:val="24"/>
          <w:highlight w:val="none"/>
        </w:rPr>
      </w:pPr>
      <w:r>
        <w:rPr>
          <w:rFonts w:ascii="仿宋" w:hAnsi="仿宋" w:eastAsia="仿宋" w:cs="仿宋"/>
          <w:spacing w:val="-3"/>
          <w:sz w:val="24"/>
          <w:szCs w:val="24"/>
          <w:highlight w:val="none"/>
        </w:rPr>
        <w:t>二、我方在投标人发生以下情形时承担保证担保</w:t>
      </w:r>
      <w:r>
        <w:rPr>
          <w:rFonts w:ascii="仿宋" w:hAnsi="仿宋" w:eastAsia="仿宋" w:cs="仿宋"/>
          <w:spacing w:val="-4"/>
          <w:sz w:val="24"/>
          <w:szCs w:val="24"/>
          <w:highlight w:val="none"/>
        </w:rPr>
        <w:t>责任：</w:t>
      </w:r>
    </w:p>
    <w:p w14:paraId="3768E55E">
      <w:pPr>
        <w:spacing w:before="159" w:line="215" w:lineRule="auto"/>
        <w:ind w:left="496"/>
        <w:rPr>
          <w:rFonts w:ascii="仿宋" w:hAnsi="仿宋" w:eastAsia="仿宋" w:cs="仿宋"/>
          <w:sz w:val="24"/>
          <w:szCs w:val="24"/>
          <w:highlight w:val="none"/>
        </w:rPr>
      </w:pPr>
      <w:r>
        <w:rPr>
          <w:rFonts w:ascii="仿宋" w:hAnsi="仿宋" w:eastAsia="仿宋" w:cs="仿宋"/>
          <w:spacing w:val="-3"/>
          <w:sz w:val="24"/>
          <w:szCs w:val="24"/>
          <w:highlight w:val="none"/>
        </w:rPr>
        <w:t>（1）投标人在开标后和投标有效期满之前撤销投标的；</w:t>
      </w:r>
    </w:p>
    <w:p w14:paraId="5A0BF068">
      <w:pPr>
        <w:spacing w:before="159" w:line="279" w:lineRule="auto"/>
        <w:ind w:left="18" w:right="64" w:firstLine="477"/>
        <w:rPr>
          <w:rFonts w:ascii="仿宋" w:hAnsi="仿宋" w:eastAsia="仿宋" w:cs="仿宋"/>
          <w:sz w:val="24"/>
          <w:szCs w:val="24"/>
          <w:highlight w:val="none"/>
        </w:rPr>
      </w:pPr>
      <w:r>
        <w:rPr>
          <w:rFonts w:ascii="仿宋" w:hAnsi="仿宋" w:eastAsia="仿宋" w:cs="仿宋"/>
          <w:sz w:val="24"/>
          <w:szCs w:val="24"/>
          <w:highlight w:val="none"/>
        </w:rPr>
        <w:t>（2）投标人在中标后无正当理由不与招标人订立合同或者签订合同时向招标人提出</w:t>
      </w:r>
      <w:r>
        <w:rPr>
          <w:rFonts w:ascii="仿宋" w:hAnsi="仿宋" w:eastAsia="仿宋" w:cs="仿宋"/>
          <w:spacing w:val="-1"/>
          <w:sz w:val="24"/>
          <w:szCs w:val="24"/>
          <w:highlight w:val="none"/>
        </w:rPr>
        <w:t>附加</w:t>
      </w:r>
      <w:r>
        <w:rPr>
          <w:rFonts w:ascii="仿宋" w:hAnsi="仿宋" w:eastAsia="仿宋" w:cs="仿宋"/>
          <w:spacing w:val="-14"/>
          <w:sz w:val="24"/>
          <w:szCs w:val="24"/>
          <w:highlight w:val="none"/>
        </w:rPr>
        <w:t>条件的；</w:t>
      </w:r>
    </w:p>
    <w:p w14:paraId="78DC091A">
      <w:pPr>
        <w:spacing w:before="155" w:line="215" w:lineRule="auto"/>
        <w:ind w:left="496"/>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宋体" w:hAnsi="宋体" w:eastAsia="宋体" w:cs="宋体"/>
          <w:spacing w:val="-2"/>
          <w:sz w:val="24"/>
          <w:szCs w:val="24"/>
          <w:highlight w:val="none"/>
        </w:rPr>
        <w:t>3</w:t>
      </w:r>
      <w:r>
        <w:rPr>
          <w:rFonts w:ascii="仿宋" w:hAnsi="仿宋" w:eastAsia="仿宋" w:cs="仿宋"/>
          <w:spacing w:val="-2"/>
          <w:sz w:val="24"/>
          <w:szCs w:val="24"/>
          <w:highlight w:val="none"/>
        </w:rPr>
        <w:t>）投标人在中标后不按照招标文件要求提交履约保证金或履约担保</w:t>
      </w:r>
      <w:r>
        <w:rPr>
          <w:rFonts w:ascii="仿宋" w:hAnsi="仿宋" w:eastAsia="仿宋" w:cs="仿宋"/>
          <w:spacing w:val="-3"/>
          <w:sz w:val="24"/>
          <w:szCs w:val="24"/>
          <w:highlight w:val="none"/>
        </w:rPr>
        <w:t>的；</w:t>
      </w:r>
    </w:p>
    <w:p w14:paraId="07A95DE9">
      <w:pPr>
        <w:spacing w:before="159" w:line="239" w:lineRule="auto"/>
        <w:ind w:left="496"/>
        <w:rPr>
          <w:rFonts w:ascii="宋体" w:hAnsi="宋体" w:eastAsia="宋体" w:cs="宋体"/>
          <w:sz w:val="24"/>
          <w:szCs w:val="24"/>
          <w:highlight w:val="none"/>
        </w:rPr>
      </w:pPr>
      <w:r>
        <w:rPr>
          <w:rFonts w:ascii="宋体" w:hAnsi="宋体" w:eastAsia="宋体" w:cs="宋体"/>
          <w:sz w:val="24"/>
          <w:szCs w:val="24"/>
          <w:highlight w:val="none"/>
        </w:rPr>
        <w:t>（</w:t>
      </w:r>
      <w:r>
        <w:rPr>
          <w:rFonts w:ascii="Calibri" w:hAnsi="Calibri" w:eastAsia="Calibri" w:cs="Calibri"/>
          <w:sz w:val="24"/>
          <w:szCs w:val="24"/>
          <w:highlight w:val="none"/>
        </w:rPr>
        <w:t>4</w:t>
      </w:r>
      <w:r>
        <w:rPr>
          <w:rFonts w:ascii="宋体" w:hAnsi="宋体" w:eastAsia="宋体" w:cs="宋体"/>
          <w:sz w:val="24"/>
          <w:szCs w:val="24"/>
          <w:highlight w:val="none"/>
        </w:rPr>
        <w:t>）投标人违反招标文件规定，依照招标文件的</w:t>
      </w:r>
      <w:r>
        <w:rPr>
          <w:rFonts w:ascii="宋体" w:hAnsi="宋体" w:eastAsia="宋体" w:cs="宋体"/>
          <w:spacing w:val="-1"/>
          <w:sz w:val="24"/>
          <w:szCs w:val="24"/>
          <w:highlight w:val="none"/>
        </w:rPr>
        <w:t>约定属于投标保证金不予退还的；</w:t>
      </w:r>
    </w:p>
    <w:p w14:paraId="6C5FC99C">
      <w:pPr>
        <w:spacing w:before="131" w:line="280" w:lineRule="auto"/>
        <w:ind w:left="10" w:right="62" w:firstLine="485"/>
        <w:rPr>
          <w:rFonts w:ascii="宋体" w:hAnsi="宋体" w:eastAsia="宋体" w:cs="宋体"/>
          <w:sz w:val="24"/>
          <w:szCs w:val="24"/>
          <w:highlight w:val="none"/>
        </w:rPr>
      </w:pPr>
      <w:r>
        <w:rPr>
          <w:rFonts w:ascii="宋体" w:hAnsi="宋体" w:eastAsia="宋体" w:cs="宋体"/>
          <w:sz w:val="24"/>
          <w:szCs w:val="24"/>
          <w:highlight w:val="none"/>
        </w:rPr>
        <w:t>（</w:t>
      </w:r>
      <w:r>
        <w:rPr>
          <w:rFonts w:ascii="Calibri" w:hAnsi="Calibri" w:eastAsia="Calibri" w:cs="Calibri"/>
          <w:sz w:val="24"/>
          <w:szCs w:val="24"/>
          <w:highlight w:val="none"/>
        </w:rPr>
        <w:t>5</w:t>
      </w:r>
      <w:r>
        <w:rPr>
          <w:rFonts w:ascii="宋体" w:hAnsi="宋体" w:eastAsia="宋体" w:cs="宋体"/>
          <w:sz w:val="24"/>
          <w:szCs w:val="24"/>
          <w:highlight w:val="none"/>
        </w:rPr>
        <w:t>）投标人违反投标承诺，依照招标文件的约定和投标文件承诺，属于投标保证金</w:t>
      </w:r>
      <w:r>
        <w:rPr>
          <w:rFonts w:ascii="宋体" w:hAnsi="宋体" w:eastAsia="宋体" w:cs="宋体"/>
          <w:spacing w:val="-1"/>
          <w:sz w:val="24"/>
          <w:szCs w:val="24"/>
          <w:highlight w:val="none"/>
        </w:rPr>
        <w:t>不予</w:t>
      </w:r>
      <w:r>
        <w:rPr>
          <w:rFonts w:ascii="宋体" w:hAnsi="宋体" w:eastAsia="宋体" w:cs="宋体"/>
          <w:spacing w:val="-13"/>
          <w:sz w:val="24"/>
          <w:szCs w:val="24"/>
          <w:highlight w:val="none"/>
        </w:rPr>
        <w:t>退还的；</w:t>
      </w:r>
    </w:p>
    <w:p w14:paraId="5E3C2672">
      <w:pPr>
        <w:spacing w:before="150"/>
        <w:ind w:left="496"/>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Calibri" w:hAnsi="Calibri" w:eastAsia="Calibri" w:cs="Calibri"/>
          <w:spacing w:val="-3"/>
          <w:sz w:val="24"/>
          <w:szCs w:val="24"/>
          <w:highlight w:val="none"/>
        </w:rPr>
        <w:t>6</w:t>
      </w:r>
      <w:r>
        <w:rPr>
          <w:rFonts w:ascii="宋体" w:hAnsi="宋体" w:eastAsia="宋体" w:cs="宋体"/>
          <w:spacing w:val="-3"/>
          <w:sz w:val="24"/>
          <w:szCs w:val="24"/>
          <w:highlight w:val="none"/>
        </w:rPr>
        <w:t>）投标人违反招标文件约定的其他情形。</w:t>
      </w:r>
    </w:p>
    <w:p w14:paraId="0736C7BD">
      <w:pPr>
        <w:spacing w:before="130" w:line="338" w:lineRule="auto"/>
        <w:ind w:left="19" w:firstLine="452"/>
        <w:rPr>
          <w:rFonts w:ascii="仿宋" w:hAnsi="仿宋" w:eastAsia="仿宋" w:cs="仿宋"/>
          <w:sz w:val="24"/>
          <w:szCs w:val="24"/>
          <w:highlight w:val="none"/>
        </w:rPr>
      </w:pPr>
      <w:r>
        <w:rPr>
          <w:rFonts w:ascii="仿宋" w:hAnsi="仿宋" w:eastAsia="仿宋" w:cs="仿宋"/>
          <w:spacing w:val="-14"/>
          <w:sz w:val="24"/>
          <w:szCs w:val="24"/>
          <w:highlight w:val="none"/>
        </w:rPr>
        <w:t>三、本保函为不可撤销、不可转让的见索即付独立保函。本保函有效期自开立之日起至投标有</w:t>
      </w:r>
      <w:r>
        <w:rPr>
          <w:rFonts w:ascii="仿宋" w:hAnsi="仿宋" w:eastAsia="仿宋" w:cs="仿宋"/>
          <w:spacing w:val="-13"/>
          <w:sz w:val="24"/>
          <w:szCs w:val="24"/>
          <w:highlight w:val="none"/>
        </w:rPr>
        <w:t>效期届满之日后的</w:t>
      </w:r>
      <w:r>
        <w:rPr>
          <w:rFonts w:ascii="仿宋" w:hAnsi="仿宋" w:eastAsia="仿宋" w:cs="仿宋"/>
          <w:spacing w:val="-50"/>
          <w:sz w:val="24"/>
          <w:szCs w:val="24"/>
          <w:highlight w:val="none"/>
        </w:rPr>
        <w:t xml:space="preserve"> </w:t>
      </w:r>
      <w:r>
        <w:rPr>
          <w:rFonts w:ascii="仿宋" w:hAnsi="仿宋" w:eastAsia="仿宋" w:cs="仿宋"/>
          <w:spacing w:val="-13"/>
          <w:sz w:val="24"/>
          <w:szCs w:val="24"/>
          <w:highlight w:val="none"/>
        </w:rPr>
        <w:t>日。投标有效期延长的，本保函有效期相应顺延，最迟不超过   年  月   日。</w:t>
      </w:r>
    </w:p>
    <w:p w14:paraId="2026B911">
      <w:pPr>
        <w:spacing w:before="2" w:line="338" w:lineRule="auto"/>
        <w:ind w:left="781" w:right="59" w:hanging="96"/>
        <w:rPr>
          <w:rFonts w:ascii="仿宋" w:hAnsi="仿宋" w:eastAsia="仿宋" w:cs="仿宋"/>
          <w:sz w:val="24"/>
          <w:szCs w:val="24"/>
          <w:highlight w:val="none"/>
        </w:rPr>
      </w:pPr>
      <w:r>
        <w:rPr>
          <w:rFonts w:ascii="仿宋" w:hAnsi="仿宋" w:eastAsia="仿宋" w:cs="仿宋"/>
          <w:spacing w:val="-7"/>
          <w:sz w:val="24"/>
          <w:szCs w:val="24"/>
          <w:highlight w:val="none"/>
        </w:rPr>
        <w:t>四、我方承诺，在收到招标人发来的书面付款通知后的</w:t>
      </w:r>
      <w:r>
        <w:rPr>
          <w:rFonts w:ascii="仿宋" w:hAnsi="仿宋" w:eastAsia="仿宋" w:cs="仿宋"/>
          <w:spacing w:val="-118"/>
          <w:sz w:val="24"/>
          <w:szCs w:val="24"/>
          <w:highlight w:val="none"/>
        </w:rPr>
        <w:t xml:space="preserve"> </w:t>
      </w:r>
      <w:r>
        <w:rPr>
          <w:rFonts w:ascii="仿宋" w:hAnsi="仿宋" w:eastAsia="仿宋" w:cs="仿宋"/>
          <w:spacing w:val="18"/>
          <w:sz w:val="24"/>
          <w:szCs w:val="24"/>
          <w:highlight w:val="none"/>
          <w:u w:val="single" w:color="auto"/>
        </w:rPr>
        <w:t xml:space="preserve">      </w:t>
      </w:r>
      <w:r>
        <w:rPr>
          <w:rFonts w:ascii="仿宋" w:hAnsi="仿宋" w:eastAsia="仿宋" w:cs="仿宋"/>
          <w:spacing w:val="-51"/>
          <w:sz w:val="24"/>
          <w:szCs w:val="24"/>
          <w:highlight w:val="none"/>
        </w:rPr>
        <w:t xml:space="preserve"> </w:t>
      </w:r>
      <w:r>
        <w:rPr>
          <w:rFonts w:ascii="仿宋" w:hAnsi="仿宋" w:eastAsia="仿宋" w:cs="仿宋"/>
          <w:spacing w:val="-7"/>
          <w:sz w:val="24"/>
          <w:szCs w:val="24"/>
          <w:highlight w:val="none"/>
        </w:rPr>
        <w:t>日内无条件支付，前述书</w:t>
      </w:r>
      <w:r>
        <w:rPr>
          <w:rFonts w:ascii="仿宋" w:hAnsi="仿宋" w:eastAsia="仿宋" w:cs="仿宋"/>
          <w:spacing w:val="-3"/>
          <w:sz w:val="24"/>
          <w:szCs w:val="24"/>
          <w:highlight w:val="none"/>
        </w:rPr>
        <w:t>面付款通知即为付款要求之单据，且应满足以下要求：</w:t>
      </w:r>
    </w:p>
    <w:p w14:paraId="48A16704">
      <w:pPr>
        <w:spacing w:before="1" w:line="238" w:lineRule="auto"/>
        <w:ind w:left="976"/>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Calibri" w:hAnsi="Calibri" w:eastAsia="Calibri" w:cs="Calibri"/>
          <w:spacing w:val="-3"/>
          <w:sz w:val="24"/>
          <w:szCs w:val="24"/>
          <w:highlight w:val="none"/>
        </w:rPr>
        <w:t>1</w:t>
      </w:r>
      <w:r>
        <w:rPr>
          <w:rFonts w:ascii="宋体" w:hAnsi="宋体" w:eastAsia="宋体" w:cs="宋体"/>
          <w:spacing w:val="-3"/>
          <w:sz w:val="24"/>
          <w:szCs w:val="24"/>
          <w:highlight w:val="none"/>
        </w:rPr>
        <w:t>）付款通知到达的日期在本保函的有效</w:t>
      </w:r>
      <w:r>
        <w:rPr>
          <w:rFonts w:ascii="宋体" w:hAnsi="宋体" w:eastAsia="宋体" w:cs="宋体"/>
          <w:spacing w:val="-4"/>
          <w:sz w:val="24"/>
          <w:szCs w:val="24"/>
          <w:highlight w:val="none"/>
        </w:rPr>
        <w:t>期内；</w:t>
      </w:r>
    </w:p>
    <w:p w14:paraId="56E3ECBB">
      <w:pPr>
        <w:spacing w:before="128"/>
        <w:ind w:left="976"/>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Calibri" w:hAnsi="Calibri" w:eastAsia="Calibri" w:cs="Calibri"/>
          <w:spacing w:val="-5"/>
          <w:sz w:val="24"/>
          <w:szCs w:val="24"/>
          <w:highlight w:val="none"/>
        </w:rPr>
        <w:t>2</w:t>
      </w:r>
      <w:r>
        <w:rPr>
          <w:rFonts w:ascii="宋体" w:hAnsi="宋体" w:eastAsia="宋体" w:cs="宋体"/>
          <w:spacing w:val="-5"/>
          <w:sz w:val="24"/>
          <w:szCs w:val="24"/>
          <w:highlight w:val="none"/>
        </w:rPr>
        <w:t>）载明要求支付的金额；</w:t>
      </w:r>
    </w:p>
    <w:p w14:paraId="555A6196">
      <w:pPr>
        <w:spacing w:before="130" w:line="279" w:lineRule="auto"/>
        <w:ind w:left="492" w:right="56" w:firstLine="483"/>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Calibri" w:hAnsi="Calibri" w:eastAsia="Calibri" w:cs="Calibri"/>
          <w:spacing w:val="-2"/>
          <w:sz w:val="24"/>
          <w:szCs w:val="24"/>
          <w:highlight w:val="none"/>
        </w:rPr>
        <w:t>3</w:t>
      </w:r>
      <w:r>
        <w:rPr>
          <w:rFonts w:ascii="宋体" w:hAnsi="宋体" w:eastAsia="宋体" w:cs="宋体"/>
          <w:spacing w:val="-2"/>
          <w:sz w:val="24"/>
          <w:szCs w:val="24"/>
          <w:highlight w:val="none"/>
        </w:rPr>
        <w:t>）</w:t>
      </w:r>
      <w:r>
        <w:rPr>
          <w:rFonts w:ascii="宋体" w:hAnsi="宋体" w:eastAsia="宋体" w:cs="宋体"/>
          <w:b/>
          <w:bCs/>
          <w:spacing w:val="-2"/>
          <w:sz w:val="24"/>
          <w:szCs w:val="24"/>
          <w:highlight w:val="none"/>
        </w:rPr>
        <w:t>载明申请人（即投标人）违反法律法规或者招标文件约定或者</w:t>
      </w:r>
      <w:r>
        <w:rPr>
          <w:rFonts w:ascii="宋体" w:hAnsi="宋体" w:eastAsia="宋体" w:cs="宋体"/>
          <w:b/>
          <w:bCs/>
          <w:spacing w:val="-3"/>
          <w:sz w:val="24"/>
          <w:szCs w:val="24"/>
          <w:highlight w:val="none"/>
        </w:rPr>
        <w:t>投标文件承诺的义务内容和具体条款；</w:t>
      </w:r>
    </w:p>
    <w:p w14:paraId="5B4C9706">
      <w:pPr>
        <w:spacing w:before="154" w:line="239" w:lineRule="auto"/>
        <w:ind w:left="976"/>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Calibri" w:hAnsi="Calibri" w:eastAsia="Calibri" w:cs="Calibri"/>
          <w:spacing w:val="-1"/>
          <w:sz w:val="24"/>
          <w:szCs w:val="24"/>
          <w:highlight w:val="none"/>
        </w:rPr>
        <w:t>4</w:t>
      </w:r>
      <w:r>
        <w:rPr>
          <w:rFonts w:ascii="宋体" w:hAnsi="宋体" w:eastAsia="宋体" w:cs="宋体"/>
          <w:spacing w:val="-1"/>
          <w:sz w:val="24"/>
          <w:szCs w:val="24"/>
          <w:highlight w:val="none"/>
        </w:rPr>
        <w:t>）书面付款通知应在本保函有效期内到达的地址是：</w:t>
      </w:r>
      <w:r>
        <w:rPr>
          <w:rFonts w:ascii="宋体" w:hAnsi="宋体" w:eastAsia="宋体" w:cs="宋体"/>
          <w:spacing w:val="12"/>
          <w:sz w:val="24"/>
          <w:szCs w:val="24"/>
          <w:highlight w:val="none"/>
          <w:u w:val="single" w:color="auto"/>
        </w:rPr>
        <w:t xml:space="preserve">          </w:t>
      </w:r>
      <w:r>
        <w:rPr>
          <w:rFonts w:ascii="宋体" w:hAnsi="宋体" w:eastAsia="宋体" w:cs="宋体"/>
          <w:spacing w:val="-1"/>
          <w:sz w:val="24"/>
          <w:szCs w:val="24"/>
          <w:highlight w:val="none"/>
        </w:rPr>
        <w:t>。</w:t>
      </w:r>
    </w:p>
    <w:p w14:paraId="4EAA1802">
      <w:pPr>
        <w:spacing w:before="130" w:line="338" w:lineRule="auto"/>
        <w:ind w:left="18" w:right="60" w:firstLine="476"/>
        <w:rPr>
          <w:rFonts w:ascii="仿宋" w:hAnsi="仿宋" w:eastAsia="仿宋" w:cs="仿宋"/>
          <w:sz w:val="24"/>
          <w:szCs w:val="24"/>
          <w:highlight w:val="none"/>
        </w:rPr>
      </w:pPr>
      <w:r>
        <w:rPr>
          <w:rFonts w:ascii="仿宋" w:hAnsi="仿宋" w:eastAsia="仿宋" w:cs="仿宋"/>
          <w:spacing w:val="-3"/>
          <w:sz w:val="24"/>
          <w:szCs w:val="24"/>
          <w:highlight w:val="none"/>
        </w:rPr>
        <w:t>招标人发出的书面付款通知应由其为鉴明招标人法定代表人（负责人）或授权代理人签字</w:t>
      </w:r>
      <w:r>
        <w:rPr>
          <w:rFonts w:ascii="仿宋" w:hAnsi="仿宋" w:eastAsia="仿宋" w:cs="仿宋"/>
          <w:spacing w:val="-8"/>
          <w:sz w:val="24"/>
          <w:szCs w:val="24"/>
          <w:highlight w:val="none"/>
        </w:rPr>
        <w:t>并加盖公章。</w:t>
      </w:r>
    </w:p>
    <w:p w14:paraId="135E55C8">
      <w:pPr>
        <w:spacing w:before="2" w:line="338" w:lineRule="auto"/>
        <w:ind w:left="15" w:right="59" w:firstLine="455"/>
        <w:rPr>
          <w:rFonts w:ascii="仿宋" w:hAnsi="仿宋" w:eastAsia="仿宋" w:cs="仿宋"/>
          <w:sz w:val="24"/>
          <w:szCs w:val="24"/>
          <w:highlight w:val="none"/>
        </w:rPr>
      </w:pPr>
      <w:r>
        <w:rPr>
          <w:rFonts w:ascii="仿宋" w:hAnsi="仿宋" w:eastAsia="仿宋" w:cs="仿宋"/>
          <w:spacing w:val="-14"/>
          <w:sz w:val="24"/>
          <w:szCs w:val="24"/>
          <w:highlight w:val="none"/>
        </w:rPr>
        <w:t>五、本保函项下的权利不得转让，不得设定担保。贵方未经我方书面同意转让本保函或其项下</w:t>
      </w:r>
      <w:r>
        <w:rPr>
          <w:rFonts w:ascii="仿宋" w:hAnsi="仿宋" w:eastAsia="仿宋" w:cs="仿宋"/>
          <w:spacing w:val="-3"/>
          <w:sz w:val="24"/>
          <w:szCs w:val="24"/>
          <w:highlight w:val="none"/>
        </w:rPr>
        <w:t>任何权利，对我方不发生法律效力。</w:t>
      </w:r>
    </w:p>
    <w:p w14:paraId="287912F8">
      <w:pPr>
        <w:spacing w:before="1" w:line="277" w:lineRule="auto"/>
        <w:ind w:left="19" w:right="57" w:firstLine="442"/>
        <w:rPr>
          <w:rFonts w:ascii="仿宋" w:hAnsi="仿宋" w:eastAsia="仿宋" w:cs="仿宋"/>
          <w:sz w:val="24"/>
          <w:szCs w:val="24"/>
          <w:highlight w:val="none"/>
        </w:rPr>
      </w:pPr>
      <w:r>
        <w:rPr>
          <w:rFonts w:ascii="仿宋" w:hAnsi="仿宋" w:eastAsia="仿宋" w:cs="仿宋"/>
          <w:spacing w:val="-14"/>
          <w:sz w:val="24"/>
          <w:szCs w:val="24"/>
          <w:highlight w:val="none"/>
        </w:rPr>
        <w:t>六、本保函项下的</w:t>
      </w:r>
      <w:r>
        <w:rPr>
          <w:rFonts w:ascii="仿宋" w:hAnsi="仿宋" w:eastAsia="仿宋" w:cs="仿宋"/>
          <w:b/>
          <w:bCs/>
          <w:spacing w:val="-14"/>
          <w:sz w:val="24"/>
          <w:szCs w:val="24"/>
          <w:highlight w:val="none"/>
        </w:rPr>
        <w:t>基础交易</w:t>
      </w:r>
      <w:r>
        <w:rPr>
          <w:rFonts w:ascii="仿宋" w:hAnsi="仿宋" w:eastAsia="仿宋" w:cs="仿宋"/>
          <w:spacing w:val="-14"/>
          <w:sz w:val="24"/>
          <w:szCs w:val="24"/>
          <w:highlight w:val="none"/>
        </w:rPr>
        <w:t>不成立、不生效、无效、被撤销、被解除，不影响本保函的独立有</w:t>
      </w:r>
      <w:r>
        <w:rPr>
          <w:rFonts w:ascii="仿宋" w:hAnsi="仿宋" w:eastAsia="仿宋" w:cs="仿宋"/>
          <w:spacing w:val="-3"/>
          <w:sz w:val="24"/>
          <w:szCs w:val="24"/>
          <w:highlight w:val="none"/>
        </w:rPr>
        <w:t>效，不影响开立人履行见索即付义务的责任。</w:t>
      </w:r>
    </w:p>
    <w:p w14:paraId="299EE45A">
      <w:pPr>
        <w:spacing w:before="162" w:line="297" w:lineRule="auto"/>
        <w:ind w:left="16" w:right="30" w:firstLine="453"/>
        <w:rPr>
          <w:rFonts w:ascii="仿宋" w:hAnsi="仿宋" w:eastAsia="仿宋" w:cs="仿宋"/>
          <w:sz w:val="24"/>
          <w:szCs w:val="24"/>
          <w:highlight w:val="none"/>
        </w:rPr>
      </w:pPr>
      <w:r>
        <w:rPr>
          <w:rFonts w:ascii="仿宋" w:hAnsi="仿宋" w:eastAsia="仿宋" w:cs="仿宋"/>
          <w:spacing w:val="-14"/>
          <w:sz w:val="24"/>
          <w:szCs w:val="24"/>
          <w:highlight w:val="none"/>
        </w:rPr>
        <w:t>七、招标人应在本保函到期后的七日内将本保函正本退回我方注销，但是不论招标人是否按此</w:t>
      </w:r>
      <w:r>
        <w:rPr>
          <w:rFonts w:ascii="仿宋" w:hAnsi="仿宋" w:eastAsia="仿宋" w:cs="仿宋"/>
          <w:spacing w:val="-8"/>
          <w:sz w:val="24"/>
          <w:szCs w:val="24"/>
          <w:highlight w:val="none"/>
        </w:rPr>
        <w:t>要求将本保函正本退回我方，我方在本保函项下的义务和责任均在保函有效期到期后自动消灭，</w:t>
      </w:r>
      <w:r>
        <w:rPr>
          <w:rFonts w:ascii="仿宋" w:hAnsi="仿宋" w:eastAsia="仿宋" w:cs="仿宋"/>
          <w:spacing w:val="-1"/>
          <w:sz w:val="24"/>
          <w:szCs w:val="24"/>
          <w:highlight w:val="none"/>
        </w:rPr>
        <w:t>但因异议、投诉、立案处理的，本保函有效期将顺延到案件处理完</w:t>
      </w:r>
      <w:r>
        <w:rPr>
          <w:rFonts w:ascii="仿宋" w:hAnsi="仿宋" w:eastAsia="仿宋" w:cs="仿宋"/>
          <w:spacing w:val="-2"/>
          <w:sz w:val="24"/>
          <w:szCs w:val="24"/>
          <w:highlight w:val="none"/>
        </w:rPr>
        <w:t>毕之日后再顺延七日。</w:t>
      </w:r>
    </w:p>
    <w:p w14:paraId="07A6E015">
      <w:pPr>
        <w:spacing w:before="160" w:line="217" w:lineRule="auto"/>
        <w:ind w:left="512"/>
        <w:rPr>
          <w:rFonts w:ascii="仿宋" w:hAnsi="仿宋" w:eastAsia="仿宋" w:cs="仿宋"/>
          <w:sz w:val="24"/>
          <w:szCs w:val="24"/>
          <w:highlight w:val="none"/>
        </w:rPr>
      </w:pPr>
      <w:r>
        <w:rPr>
          <w:rFonts w:ascii="仿宋" w:hAnsi="仿宋" w:eastAsia="仿宋" w:cs="仿宋"/>
          <w:spacing w:val="14"/>
          <w:sz w:val="24"/>
          <w:szCs w:val="24"/>
          <w:highlight w:val="none"/>
        </w:rPr>
        <w:t>八、本保函适用的法律为中华人民共和国法律，</w:t>
      </w:r>
      <w:r>
        <w:rPr>
          <w:rFonts w:ascii="仿宋" w:hAnsi="仿宋" w:eastAsia="仿宋" w:cs="仿宋"/>
          <w:spacing w:val="-32"/>
          <w:sz w:val="24"/>
          <w:szCs w:val="24"/>
          <w:highlight w:val="none"/>
        </w:rPr>
        <w:t xml:space="preserve"> </w:t>
      </w:r>
      <w:r>
        <w:rPr>
          <w:rFonts w:ascii="仿宋" w:hAnsi="仿宋" w:eastAsia="仿宋" w:cs="仿宋"/>
          <w:spacing w:val="14"/>
          <w:sz w:val="24"/>
          <w:szCs w:val="24"/>
          <w:highlight w:val="none"/>
        </w:rPr>
        <w:t>争议裁判管辖地为中华人民共和国</w:t>
      </w:r>
    </w:p>
    <w:p w14:paraId="42B44FA4">
      <w:pPr>
        <w:spacing w:before="318" w:line="53" w:lineRule="exact"/>
        <w:ind w:left="1351"/>
        <w:rPr>
          <w:rFonts w:ascii="仿宋" w:hAnsi="仿宋" w:eastAsia="仿宋" w:cs="仿宋"/>
          <w:sz w:val="24"/>
          <w:szCs w:val="24"/>
          <w:highlight w:val="none"/>
        </w:rPr>
      </w:pPr>
      <w:r>
        <w:rPr>
          <w:highlight w:val="none"/>
        </w:rPr>
        <w:pict>
          <v:shape id="_x0000_s1026" o:spid="_x0000_s1026" o:spt="202" type="#_x0000_t202" style="position:absolute;left:0pt;margin-left:-1pt;margin-top:9.3pt;height:14.1pt;width:67.95pt;z-index:251659264;mso-width-relative:page;mso-height-relative:page;" filled="f" stroked="f" coordsize="21600,21600">
            <v:path/>
            <v:fill on="f" focussize="0,0"/>
            <v:stroke on="f"/>
            <v:imagedata o:title=""/>
            <o:lock v:ext="edit" aspectratio="f"/>
            <v:textbox inset="0mm,0mm,0mm,0mm">
              <w:txbxContent>
                <w:p w14:paraId="13D0B819">
                  <w:pPr>
                    <w:pStyle w:val="3"/>
                    <w:tabs>
                      <w:tab w:val="left" w:pos="1338"/>
                    </w:tabs>
                    <w:spacing w:before="19"/>
                    <w:ind w:left="20"/>
                  </w:pPr>
                  <w:r>
                    <w:rPr>
                      <w:u w:val="single" w:color="auto"/>
                    </w:rPr>
                    <w:tab/>
                  </w:r>
                </w:p>
              </w:txbxContent>
            </v:textbox>
          </v:shape>
        </w:pict>
      </w:r>
      <w:r>
        <w:rPr>
          <w:rFonts w:ascii="仿宋" w:hAnsi="仿宋" w:eastAsia="仿宋" w:cs="仿宋"/>
          <w:sz w:val="24"/>
          <w:szCs w:val="24"/>
          <w:highlight w:val="none"/>
        </w:rPr>
        <w:t>。</w:t>
      </w:r>
    </w:p>
    <w:p w14:paraId="5034BCC5">
      <w:pPr>
        <w:spacing w:line="53" w:lineRule="exact"/>
        <w:rPr>
          <w:rFonts w:ascii="仿宋" w:hAnsi="仿宋" w:eastAsia="仿宋" w:cs="仿宋"/>
          <w:sz w:val="24"/>
          <w:szCs w:val="24"/>
          <w:highlight w:val="none"/>
        </w:rPr>
        <w:sectPr>
          <w:footerReference r:id="rId87" w:type="default"/>
          <w:pgSz w:w="11907" w:h="16839"/>
          <w:pgMar w:top="1431" w:right="1023" w:bottom="1127" w:left="1082" w:header="0" w:footer="896" w:gutter="0"/>
          <w:cols w:space="720" w:num="1"/>
        </w:sectPr>
      </w:pPr>
    </w:p>
    <w:p w14:paraId="4F3E928B">
      <w:pPr>
        <w:spacing w:before="155" w:line="216" w:lineRule="auto"/>
        <w:ind w:left="489"/>
        <w:rPr>
          <w:rFonts w:ascii="仿宋" w:hAnsi="仿宋" w:eastAsia="仿宋" w:cs="仿宋"/>
          <w:sz w:val="24"/>
          <w:szCs w:val="24"/>
          <w:highlight w:val="none"/>
        </w:rPr>
      </w:pPr>
      <w:r>
        <w:rPr>
          <w:rFonts w:ascii="仿宋" w:hAnsi="仿宋" w:eastAsia="仿宋" w:cs="仿宋"/>
          <w:spacing w:val="-1"/>
          <w:sz w:val="24"/>
          <w:szCs w:val="24"/>
          <w:highlight w:val="none"/>
        </w:rPr>
        <w:t>九、本保函自我方法定代表人或授权代表签字并加盖公章之日起生效。</w:t>
      </w:r>
    </w:p>
    <w:p w14:paraId="6AAAC1FC">
      <w:pPr>
        <w:spacing w:before="158" w:line="217" w:lineRule="auto"/>
        <w:ind w:left="601"/>
        <w:rPr>
          <w:rFonts w:ascii="仿宋" w:hAnsi="仿宋" w:eastAsia="仿宋" w:cs="仿宋"/>
          <w:sz w:val="24"/>
          <w:szCs w:val="24"/>
          <w:highlight w:val="none"/>
        </w:rPr>
      </w:pPr>
      <w:r>
        <w:rPr>
          <w:rFonts w:ascii="仿宋" w:hAnsi="仿宋" w:eastAsia="仿宋" w:cs="仿宋"/>
          <w:spacing w:val="-2"/>
          <w:sz w:val="24"/>
          <w:szCs w:val="24"/>
          <w:highlight w:val="none"/>
        </w:rPr>
        <w:t>开立人（出函银行</w:t>
      </w:r>
      <w:r>
        <w:rPr>
          <w:rFonts w:ascii="仿宋" w:hAnsi="仿宋" w:eastAsia="仿宋" w:cs="仿宋"/>
          <w:spacing w:val="1"/>
          <w:sz w:val="24"/>
          <w:szCs w:val="24"/>
          <w:highlight w:val="none"/>
        </w:rPr>
        <w:t>）：（</w:t>
      </w:r>
      <w:r>
        <w:rPr>
          <w:rFonts w:ascii="仿宋" w:hAnsi="仿宋" w:eastAsia="仿宋" w:cs="仿宋"/>
          <w:spacing w:val="-2"/>
          <w:sz w:val="24"/>
          <w:szCs w:val="24"/>
          <w:highlight w:val="none"/>
        </w:rPr>
        <w:t>公章）</w:t>
      </w:r>
    </w:p>
    <w:p w14:paraId="1815C8DA">
      <w:pPr>
        <w:spacing w:before="159" w:line="217" w:lineRule="auto"/>
        <w:ind w:left="488"/>
        <w:rPr>
          <w:rFonts w:ascii="仿宋" w:hAnsi="仿宋" w:eastAsia="仿宋" w:cs="仿宋"/>
          <w:sz w:val="24"/>
          <w:szCs w:val="24"/>
          <w:highlight w:val="none"/>
        </w:rPr>
      </w:pPr>
      <w:r>
        <w:rPr>
          <w:rFonts w:ascii="仿宋" w:hAnsi="仿宋" w:eastAsia="仿宋" w:cs="仿宋"/>
          <w:spacing w:val="-4"/>
          <w:sz w:val="24"/>
          <w:szCs w:val="24"/>
          <w:highlight w:val="none"/>
        </w:rPr>
        <w:t>法定代表人（或授权代表</w:t>
      </w:r>
      <w:r>
        <w:rPr>
          <w:rFonts w:ascii="仿宋" w:hAnsi="仿宋" w:eastAsia="仿宋" w:cs="仿宋"/>
          <w:spacing w:val="1"/>
          <w:sz w:val="24"/>
          <w:szCs w:val="24"/>
          <w:highlight w:val="none"/>
        </w:rPr>
        <w:t>）（</w:t>
      </w:r>
      <w:r>
        <w:rPr>
          <w:rFonts w:ascii="仿宋" w:hAnsi="仿宋" w:eastAsia="仿宋" w:cs="仿宋"/>
          <w:spacing w:val="-4"/>
          <w:sz w:val="24"/>
          <w:szCs w:val="24"/>
          <w:highlight w:val="none"/>
        </w:rPr>
        <w:t>出函银行</w:t>
      </w:r>
      <w:r>
        <w:rPr>
          <w:rFonts w:ascii="仿宋" w:hAnsi="仿宋" w:eastAsia="仿宋" w:cs="仿宋"/>
          <w:spacing w:val="1"/>
          <w:sz w:val="24"/>
          <w:szCs w:val="24"/>
          <w:highlight w:val="none"/>
        </w:rPr>
        <w:t>）：</w:t>
      </w:r>
      <w:r>
        <w:rPr>
          <w:rFonts w:ascii="仿宋" w:hAnsi="仿宋" w:eastAsia="仿宋" w:cs="仿宋"/>
          <w:spacing w:val="-81"/>
          <w:sz w:val="24"/>
          <w:szCs w:val="24"/>
          <w:highlight w:val="none"/>
        </w:rPr>
        <w:t xml:space="preserve"> </w:t>
      </w:r>
      <w:r>
        <w:rPr>
          <w:rFonts w:ascii="仿宋" w:hAnsi="仿宋" w:eastAsia="仿宋" w:cs="仿宋"/>
          <w:spacing w:val="11"/>
          <w:sz w:val="24"/>
          <w:szCs w:val="24"/>
          <w:highlight w:val="none"/>
          <w:u w:val="single" w:color="auto"/>
        </w:rPr>
        <w:t xml:space="preserve">     </w:t>
      </w:r>
      <w:r>
        <w:rPr>
          <w:rFonts w:ascii="仿宋" w:hAnsi="仿宋" w:eastAsia="仿宋" w:cs="仿宋"/>
          <w:spacing w:val="1"/>
          <w:sz w:val="24"/>
          <w:szCs w:val="24"/>
          <w:highlight w:val="none"/>
        </w:rPr>
        <w:t>（</w:t>
      </w:r>
      <w:r>
        <w:rPr>
          <w:rFonts w:ascii="仿宋" w:hAnsi="仿宋" w:eastAsia="仿宋" w:cs="仿宋"/>
          <w:spacing w:val="-4"/>
          <w:sz w:val="24"/>
          <w:szCs w:val="24"/>
          <w:highlight w:val="none"/>
        </w:rPr>
        <w:t>签字或签章）</w:t>
      </w:r>
    </w:p>
    <w:p w14:paraId="2F1C10C0">
      <w:pPr>
        <w:spacing w:before="158" w:line="227" w:lineRule="auto"/>
        <w:ind w:left="482"/>
        <w:rPr>
          <w:rFonts w:ascii="仿宋" w:hAnsi="仿宋" w:eastAsia="仿宋" w:cs="仿宋"/>
          <w:sz w:val="24"/>
          <w:szCs w:val="24"/>
          <w:highlight w:val="none"/>
        </w:rPr>
      </w:pPr>
      <w:r>
        <w:rPr>
          <w:rFonts w:ascii="仿宋" w:hAnsi="仿宋" w:eastAsia="仿宋" w:cs="仿宋"/>
          <w:spacing w:val="-13"/>
          <w:sz w:val="24"/>
          <w:szCs w:val="24"/>
          <w:highlight w:val="none"/>
        </w:rPr>
        <w:t>地</w:t>
      </w:r>
      <w:r>
        <w:rPr>
          <w:rFonts w:ascii="仿宋" w:hAnsi="仿宋" w:eastAsia="仿宋" w:cs="仿宋"/>
          <w:spacing w:val="5"/>
          <w:sz w:val="24"/>
          <w:szCs w:val="24"/>
          <w:highlight w:val="none"/>
        </w:rPr>
        <w:t xml:space="preserve">    </w:t>
      </w:r>
      <w:r>
        <w:rPr>
          <w:rFonts w:ascii="仿宋" w:hAnsi="仿宋" w:eastAsia="仿宋" w:cs="仿宋"/>
          <w:spacing w:val="-13"/>
          <w:sz w:val="24"/>
          <w:szCs w:val="24"/>
          <w:highlight w:val="none"/>
        </w:rPr>
        <w:t>址：</w:t>
      </w:r>
    </w:p>
    <w:p w14:paraId="71229E4F">
      <w:pPr>
        <w:spacing w:before="143" w:line="217" w:lineRule="auto"/>
        <w:ind w:left="494"/>
        <w:rPr>
          <w:rFonts w:ascii="仿宋" w:hAnsi="仿宋" w:eastAsia="仿宋" w:cs="仿宋"/>
          <w:sz w:val="24"/>
          <w:szCs w:val="24"/>
          <w:highlight w:val="none"/>
        </w:rPr>
      </w:pPr>
      <w:r>
        <w:rPr>
          <w:rFonts w:ascii="仿宋" w:hAnsi="仿宋" w:eastAsia="仿宋" w:cs="仿宋"/>
          <w:spacing w:val="-8"/>
          <w:sz w:val="24"/>
          <w:szCs w:val="24"/>
          <w:highlight w:val="none"/>
        </w:rPr>
        <w:t>邮政编码：</w:t>
      </w:r>
      <w:r>
        <w:rPr>
          <w:rFonts w:ascii="仿宋" w:hAnsi="仿宋" w:eastAsia="仿宋" w:cs="仿宋"/>
          <w:sz w:val="24"/>
          <w:szCs w:val="24"/>
          <w:highlight w:val="none"/>
          <w:u w:val="single" w:color="auto"/>
        </w:rPr>
        <w:t xml:space="preserve">                     </w:t>
      </w:r>
    </w:p>
    <w:p w14:paraId="4E54447A">
      <w:pPr>
        <w:spacing w:before="159" w:line="219" w:lineRule="auto"/>
        <w:ind w:left="507"/>
        <w:rPr>
          <w:rFonts w:ascii="仿宋" w:hAnsi="仿宋" w:eastAsia="仿宋" w:cs="仿宋"/>
          <w:sz w:val="24"/>
          <w:szCs w:val="24"/>
          <w:highlight w:val="none"/>
        </w:rPr>
      </w:pPr>
      <w:r>
        <w:rPr>
          <w:rFonts w:ascii="仿宋" w:hAnsi="仿宋" w:eastAsia="仿宋" w:cs="仿宋"/>
          <w:spacing w:val="-21"/>
          <w:sz w:val="24"/>
          <w:szCs w:val="24"/>
          <w:highlight w:val="none"/>
        </w:rPr>
        <w:t>电</w:t>
      </w:r>
      <w:r>
        <w:rPr>
          <w:rFonts w:ascii="仿宋" w:hAnsi="仿宋" w:eastAsia="仿宋" w:cs="仿宋"/>
          <w:spacing w:val="4"/>
          <w:sz w:val="24"/>
          <w:szCs w:val="24"/>
          <w:highlight w:val="none"/>
        </w:rPr>
        <w:t xml:space="preserve">    </w:t>
      </w:r>
      <w:r>
        <w:rPr>
          <w:rFonts w:ascii="仿宋" w:hAnsi="仿宋" w:eastAsia="仿宋" w:cs="仿宋"/>
          <w:spacing w:val="-21"/>
          <w:sz w:val="24"/>
          <w:szCs w:val="24"/>
          <w:highlight w:val="none"/>
        </w:rPr>
        <w:t>话：</w:t>
      </w:r>
      <w:r>
        <w:rPr>
          <w:rFonts w:ascii="仿宋" w:hAnsi="仿宋" w:eastAsia="仿宋" w:cs="仿宋"/>
          <w:sz w:val="24"/>
          <w:szCs w:val="24"/>
          <w:highlight w:val="none"/>
          <w:u w:val="single" w:color="auto"/>
        </w:rPr>
        <w:t xml:space="preserve">                      </w:t>
      </w:r>
    </w:p>
    <w:p w14:paraId="5964A5F7">
      <w:pPr>
        <w:spacing w:before="154" w:line="219" w:lineRule="auto"/>
        <w:ind w:left="484"/>
        <w:rPr>
          <w:rFonts w:ascii="仿宋" w:hAnsi="仿宋" w:eastAsia="仿宋" w:cs="仿宋"/>
          <w:sz w:val="24"/>
          <w:szCs w:val="24"/>
          <w:highlight w:val="none"/>
        </w:rPr>
      </w:pPr>
      <w:r>
        <w:rPr>
          <w:rFonts w:ascii="仿宋" w:hAnsi="仿宋" w:eastAsia="仿宋" w:cs="仿宋"/>
          <w:spacing w:val="-9"/>
          <w:sz w:val="24"/>
          <w:szCs w:val="24"/>
          <w:highlight w:val="none"/>
        </w:rPr>
        <w:t>传</w:t>
      </w:r>
      <w:r>
        <w:rPr>
          <w:rFonts w:ascii="仿宋" w:hAnsi="仿宋" w:eastAsia="仿宋" w:cs="仿宋"/>
          <w:spacing w:val="8"/>
          <w:sz w:val="24"/>
          <w:szCs w:val="24"/>
          <w:highlight w:val="none"/>
        </w:rPr>
        <w:t xml:space="preserve">    </w:t>
      </w:r>
      <w:r>
        <w:rPr>
          <w:rFonts w:ascii="仿宋" w:hAnsi="仿宋" w:eastAsia="仿宋" w:cs="仿宋"/>
          <w:spacing w:val="-9"/>
          <w:sz w:val="24"/>
          <w:szCs w:val="24"/>
          <w:highlight w:val="none"/>
        </w:rPr>
        <w:t>真：</w:t>
      </w:r>
      <w:r>
        <w:rPr>
          <w:rFonts w:ascii="仿宋" w:hAnsi="仿宋" w:eastAsia="仿宋" w:cs="仿宋"/>
          <w:spacing w:val="-9"/>
          <w:sz w:val="24"/>
          <w:szCs w:val="24"/>
          <w:highlight w:val="none"/>
          <w:u w:val="single" w:color="auto"/>
        </w:rPr>
        <w:t xml:space="preserve">                       </w:t>
      </w:r>
    </w:p>
    <w:p w14:paraId="4E340308">
      <w:pPr>
        <w:spacing w:before="155" w:line="218"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开立时间：年月</w:t>
      </w:r>
    </w:p>
    <w:p w14:paraId="1D493AD5">
      <w:pPr>
        <w:spacing w:before="158" w:line="339" w:lineRule="auto"/>
        <w:ind w:left="1" w:firstLine="565"/>
        <w:jc w:val="both"/>
        <w:rPr>
          <w:rFonts w:ascii="仿宋" w:hAnsi="仿宋" w:eastAsia="仿宋" w:cs="仿宋"/>
          <w:sz w:val="24"/>
          <w:szCs w:val="24"/>
          <w:highlight w:val="none"/>
        </w:rPr>
      </w:pPr>
      <w:r>
        <w:rPr>
          <w:rFonts w:ascii="仿宋" w:hAnsi="仿宋" w:eastAsia="仿宋" w:cs="仿宋"/>
          <w:spacing w:val="-17"/>
          <w:sz w:val="24"/>
          <w:szCs w:val="24"/>
          <w:highlight w:val="none"/>
        </w:rPr>
        <w:t>注</w:t>
      </w:r>
      <w:r>
        <w:rPr>
          <w:rFonts w:ascii="仿宋" w:hAnsi="仿宋" w:eastAsia="仿宋" w:cs="仿宋"/>
          <w:spacing w:val="-16"/>
          <w:sz w:val="24"/>
          <w:szCs w:val="24"/>
          <w:highlight w:val="none"/>
        </w:rPr>
        <w:t>：保函期限必须大于投标有效期。投标人须将采用的纸质保函原件</w:t>
      </w:r>
      <w:r>
        <w:rPr>
          <w:rFonts w:ascii="仿宋" w:hAnsi="仿宋" w:eastAsia="仿宋" w:cs="仿宋"/>
          <w:spacing w:val="-17"/>
          <w:sz w:val="24"/>
          <w:szCs w:val="24"/>
          <w:highlight w:val="none"/>
        </w:rPr>
        <w:t>扫描件编入投标文件，</w:t>
      </w:r>
      <w:r>
        <w:rPr>
          <w:rFonts w:ascii="仿宋" w:hAnsi="仿宋" w:eastAsia="仿宋" w:cs="仿宋"/>
          <w:spacing w:val="-16"/>
          <w:sz w:val="24"/>
          <w:szCs w:val="24"/>
          <w:highlight w:val="none"/>
        </w:rPr>
        <w:t>未编入的视为未提供投标担保，其投标无效；虽提交了纸质保函原件扫描件，但其载明的</w:t>
      </w:r>
      <w:r>
        <w:rPr>
          <w:rFonts w:ascii="仿宋" w:hAnsi="仿宋" w:eastAsia="仿宋" w:cs="仿宋"/>
          <w:spacing w:val="-17"/>
          <w:sz w:val="24"/>
          <w:szCs w:val="24"/>
          <w:highlight w:val="none"/>
        </w:rPr>
        <w:t>要素与权利</w:t>
      </w:r>
      <w:r>
        <w:rPr>
          <w:rFonts w:ascii="仿宋" w:hAnsi="仿宋" w:eastAsia="仿宋" w:cs="仿宋"/>
          <w:spacing w:val="-16"/>
          <w:sz w:val="24"/>
          <w:szCs w:val="24"/>
          <w:highlight w:val="none"/>
        </w:rPr>
        <w:t>义务的要求，不符合格式文本要求，没有按照招标文件约定、投标人的承诺承担所有保</w:t>
      </w:r>
      <w:r>
        <w:rPr>
          <w:rFonts w:ascii="仿宋" w:hAnsi="仿宋" w:eastAsia="仿宋" w:cs="仿宋"/>
          <w:spacing w:val="-17"/>
          <w:sz w:val="24"/>
          <w:szCs w:val="24"/>
          <w:highlight w:val="none"/>
        </w:rPr>
        <w:t>证事项、或</w:t>
      </w:r>
      <w:r>
        <w:rPr>
          <w:rFonts w:ascii="仿宋" w:hAnsi="仿宋" w:eastAsia="仿宋" w:cs="仿宋"/>
          <w:spacing w:val="-16"/>
          <w:sz w:val="24"/>
          <w:szCs w:val="24"/>
          <w:highlight w:val="none"/>
        </w:rPr>
        <w:t>者不是无条件见索即付式的保函，视为未提交保函，其投标无效。</w:t>
      </w:r>
    </w:p>
    <w:p w14:paraId="61C68975">
      <w:pPr>
        <w:pStyle w:val="3"/>
        <w:spacing w:line="266" w:lineRule="auto"/>
        <w:rPr>
          <w:highlight w:val="none"/>
        </w:rPr>
      </w:pPr>
    </w:p>
    <w:p w14:paraId="7201075C">
      <w:pPr>
        <w:pStyle w:val="3"/>
        <w:spacing w:line="266" w:lineRule="auto"/>
        <w:rPr>
          <w:highlight w:val="none"/>
        </w:rPr>
      </w:pPr>
    </w:p>
    <w:p w14:paraId="7441733D">
      <w:pPr>
        <w:pStyle w:val="3"/>
        <w:spacing w:line="266" w:lineRule="auto"/>
        <w:rPr>
          <w:highlight w:val="none"/>
        </w:rPr>
      </w:pPr>
    </w:p>
    <w:p w14:paraId="34A84F1A">
      <w:pPr>
        <w:pStyle w:val="3"/>
        <w:spacing w:line="266" w:lineRule="auto"/>
        <w:rPr>
          <w:highlight w:val="none"/>
        </w:rPr>
      </w:pPr>
    </w:p>
    <w:p w14:paraId="16680612">
      <w:pPr>
        <w:spacing w:before="78" w:line="220" w:lineRule="auto"/>
        <w:ind w:left="3663"/>
        <w:rPr>
          <w:rFonts w:ascii="黑体" w:hAnsi="黑体" w:eastAsia="黑体" w:cs="黑体"/>
          <w:sz w:val="24"/>
          <w:szCs w:val="24"/>
          <w:highlight w:val="none"/>
        </w:rPr>
      </w:pPr>
      <w:r>
        <w:rPr>
          <w:rFonts w:ascii="黑体" w:hAnsi="黑体" w:eastAsia="黑体" w:cs="黑体"/>
          <w:spacing w:val="-1"/>
          <w:sz w:val="24"/>
          <w:szCs w:val="24"/>
          <w:highlight w:val="none"/>
        </w:rPr>
        <w:t>担保（纸质）保函格式</w:t>
      </w:r>
    </w:p>
    <w:p w14:paraId="07995E77">
      <w:pPr>
        <w:spacing w:before="166" w:line="216" w:lineRule="auto"/>
        <w:ind w:left="480"/>
        <w:rPr>
          <w:rFonts w:ascii="仿宋" w:hAnsi="仿宋" w:eastAsia="仿宋" w:cs="仿宋"/>
          <w:sz w:val="24"/>
          <w:szCs w:val="24"/>
          <w:highlight w:val="none"/>
        </w:rPr>
      </w:pPr>
      <w:r>
        <w:rPr>
          <w:rFonts w:ascii="仿宋" w:hAnsi="仿宋" w:eastAsia="仿宋" w:cs="仿宋"/>
          <w:spacing w:val="-2"/>
          <w:sz w:val="24"/>
          <w:szCs w:val="24"/>
          <w:highlight w:val="none"/>
        </w:rPr>
        <w:t>投标人（即</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申请人</w:t>
      </w:r>
      <w:r>
        <w:rPr>
          <w:rFonts w:ascii="Times New Roman" w:hAnsi="Times New Roman" w:eastAsia="Times New Roman" w:cs="Times New Roman"/>
          <w:spacing w:val="-2"/>
          <w:sz w:val="24"/>
          <w:szCs w:val="24"/>
          <w:highlight w:val="none"/>
        </w:rPr>
        <w:t>”</w:t>
      </w:r>
      <w:r>
        <w:rPr>
          <w:rFonts w:ascii="仿宋" w:hAnsi="仿宋" w:eastAsia="仿宋" w:cs="仿宋"/>
          <w:spacing w:val="-12"/>
          <w:sz w:val="24"/>
          <w:szCs w:val="24"/>
          <w:highlight w:val="none"/>
        </w:rPr>
        <w:t>）：</w:t>
      </w:r>
    </w:p>
    <w:p w14:paraId="7FF156F4">
      <w:pPr>
        <w:spacing w:before="162" w:line="227" w:lineRule="auto"/>
        <w:ind w:left="477"/>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6C24A658">
      <w:pPr>
        <w:spacing w:before="143" w:line="218" w:lineRule="auto"/>
        <w:ind w:left="480"/>
        <w:rPr>
          <w:rFonts w:ascii="仿宋" w:hAnsi="仿宋" w:eastAsia="仿宋" w:cs="仿宋"/>
          <w:sz w:val="24"/>
          <w:szCs w:val="24"/>
          <w:highlight w:val="none"/>
        </w:rPr>
      </w:pPr>
      <w:r>
        <w:rPr>
          <w:rFonts w:ascii="仿宋" w:hAnsi="仿宋" w:eastAsia="仿宋" w:cs="仿宋"/>
          <w:spacing w:val="-2"/>
          <w:sz w:val="24"/>
          <w:szCs w:val="24"/>
          <w:highlight w:val="none"/>
        </w:rPr>
        <w:t>招标人（即</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受益人</w:t>
      </w:r>
      <w:r>
        <w:rPr>
          <w:rFonts w:ascii="Times New Roman" w:hAnsi="Times New Roman" w:eastAsia="Times New Roman" w:cs="Times New Roman"/>
          <w:spacing w:val="-2"/>
          <w:sz w:val="24"/>
          <w:szCs w:val="24"/>
          <w:highlight w:val="none"/>
        </w:rPr>
        <w:t>”</w:t>
      </w:r>
      <w:r>
        <w:rPr>
          <w:rFonts w:ascii="仿宋" w:hAnsi="仿宋" w:eastAsia="仿宋" w:cs="仿宋"/>
          <w:spacing w:val="-12"/>
          <w:sz w:val="24"/>
          <w:szCs w:val="24"/>
          <w:highlight w:val="none"/>
        </w:rPr>
        <w:t>）：</w:t>
      </w:r>
    </w:p>
    <w:p w14:paraId="1532B428">
      <w:pPr>
        <w:spacing w:before="156" w:line="227" w:lineRule="auto"/>
        <w:ind w:left="477"/>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478F28B8">
      <w:pPr>
        <w:spacing w:before="146" w:line="217" w:lineRule="auto"/>
        <w:ind w:left="476"/>
        <w:rPr>
          <w:rFonts w:ascii="仿宋" w:hAnsi="仿宋" w:eastAsia="仿宋" w:cs="仿宋"/>
          <w:sz w:val="24"/>
          <w:szCs w:val="24"/>
          <w:highlight w:val="none"/>
        </w:rPr>
      </w:pPr>
      <w:r>
        <w:rPr>
          <w:rFonts w:ascii="仿宋" w:hAnsi="仿宋" w:eastAsia="仿宋" w:cs="仿宋"/>
          <w:spacing w:val="-2"/>
          <w:sz w:val="24"/>
          <w:szCs w:val="24"/>
          <w:highlight w:val="none"/>
        </w:rPr>
        <w:t>开立人（出函担保机构</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p>
    <w:p w14:paraId="39D8E60D">
      <w:pPr>
        <w:spacing w:before="158" w:line="227" w:lineRule="auto"/>
        <w:ind w:left="477"/>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788F2A3A">
      <w:pPr>
        <w:spacing w:before="143" w:line="217" w:lineRule="auto"/>
        <w:ind w:left="484"/>
        <w:rPr>
          <w:rFonts w:ascii="仿宋" w:hAnsi="仿宋" w:eastAsia="仿宋" w:cs="仿宋"/>
          <w:sz w:val="24"/>
          <w:szCs w:val="24"/>
          <w:highlight w:val="none"/>
        </w:rPr>
      </w:pPr>
      <w:r>
        <w:rPr>
          <w:rFonts w:ascii="仿宋" w:hAnsi="仿宋" w:eastAsia="仿宋" w:cs="仿宋"/>
          <w:spacing w:val="-2"/>
          <w:sz w:val="24"/>
          <w:szCs w:val="24"/>
          <w:highlight w:val="none"/>
        </w:rPr>
        <w:t>致</w:t>
      </w:r>
      <w:r>
        <w:rPr>
          <w:rFonts w:ascii="仿宋" w:hAnsi="仿宋" w:eastAsia="仿宋" w:cs="仿宋"/>
          <w:spacing w:val="-3"/>
          <w:sz w:val="24"/>
          <w:szCs w:val="24"/>
          <w:highlight w:val="none"/>
        </w:rPr>
        <w:t>：</w:t>
      </w:r>
      <w:r>
        <w:rPr>
          <w:rFonts w:ascii="仿宋" w:hAnsi="仿宋" w:eastAsia="仿宋" w:cs="仿宋"/>
          <w:spacing w:val="-3"/>
          <w:sz w:val="24"/>
          <w:szCs w:val="24"/>
          <w:highlight w:val="none"/>
          <w:u w:val="single" w:color="auto"/>
        </w:rPr>
        <w:t>（</w:t>
      </w:r>
      <w:r>
        <w:rPr>
          <w:rFonts w:ascii="仿宋" w:hAnsi="仿宋" w:eastAsia="仿宋" w:cs="仿宋"/>
          <w:spacing w:val="-2"/>
          <w:sz w:val="24"/>
          <w:szCs w:val="24"/>
          <w:highlight w:val="none"/>
          <w:u w:val="single" w:color="auto"/>
        </w:rPr>
        <w:t>招标人名称）</w:t>
      </w:r>
    </w:p>
    <w:p w14:paraId="1C257AD3">
      <w:pPr>
        <w:spacing w:before="159" w:line="339" w:lineRule="auto"/>
        <w:ind w:right="12" w:firstLine="489"/>
        <w:rPr>
          <w:rFonts w:ascii="仿宋" w:hAnsi="仿宋" w:eastAsia="仿宋" w:cs="仿宋"/>
          <w:sz w:val="24"/>
          <w:szCs w:val="24"/>
          <w:highlight w:val="none"/>
        </w:rPr>
      </w:pPr>
      <w:r>
        <w:rPr>
          <w:rFonts w:ascii="仿宋" w:hAnsi="仿宋" w:eastAsia="仿宋" w:cs="仿宋"/>
          <w:spacing w:val="-11"/>
          <w:sz w:val="24"/>
          <w:szCs w:val="24"/>
          <w:highlight w:val="none"/>
        </w:rPr>
        <w:t>我方（即“开立人”）已获得通知，本保函申请人（即“投标人”）已响应</w:t>
      </w:r>
      <w:r>
        <w:rPr>
          <w:rFonts w:ascii="仿宋" w:hAnsi="仿宋" w:eastAsia="仿宋" w:cs="仿宋"/>
          <w:spacing w:val="-12"/>
          <w:sz w:val="24"/>
          <w:szCs w:val="24"/>
          <w:highlight w:val="none"/>
        </w:rPr>
        <w:t>贵方于   年  月</w:t>
      </w:r>
      <w:r>
        <w:rPr>
          <w:rFonts w:ascii="仿宋" w:hAnsi="仿宋" w:eastAsia="仿宋" w:cs="仿宋"/>
          <w:spacing w:val="-3"/>
          <w:sz w:val="24"/>
          <w:szCs w:val="24"/>
          <w:highlight w:val="none"/>
        </w:rPr>
        <w:t>日就（以下简称“本项目”）发出的招标文件，并已向招标人（即“受益人”）提交了投标文</w:t>
      </w:r>
      <w:r>
        <w:rPr>
          <w:rFonts w:ascii="仿宋" w:hAnsi="仿宋" w:eastAsia="仿宋" w:cs="仿宋"/>
          <w:spacing w:val="-4"/>
          <w:sz w:val="24"/>
          <w:szCs w:val="24"/>
          <w:highlight w:val="none"/>
        </w:rPr>
        <w:t>件（即“基础交易”）。</w:t>
      </w:r>
    </w:p>
    <w:p w14:paraId="5181E737">
      <w:pPr>
        <w:spacing w:before="1" w:line="297" w:lineRule="auto"/>
        <w:ind w:right="12" w:firstLine="485"/>
        <w:rPr>
          <w:rFonts w:ascii="仿宋" w:hAnsi="仿宋" w:eastAsia="仿宋" w:cs="仿宋"/>
          <w:sz w:val="24"/>
          <w:szCs w:val="24"/>
          <w:highlight w:val="none"/>
        </w:rPr>
      </w:pPr>
      <w:r>
        <w:rPr>
          <w:rFonts w:ascii="仿宋" w:hAnsi="仿宋" w:eastAsia="仿宋" w:cs="仿宋"/>
          <w:spacing w:val="-12"/>
          <w:sz w:val="24"/>
          <w:szCs w:val="24"/>
          <w:highlight w:val="none"/>
        </w:rPr>
        <w:t>一、我方理解根据招标条件，投标人必须提交一份投标保函</w:t>
      </w:r>
      <w:r>
        <w:rPr>
          <w:rFonts w:ascii="仿宋" w:hAnsi="仿宋" w:eastAsia="仿宋" w:cs="仿宋"/>
          <w:b/>
          <w:bCs/>
          <w:spacing w:val="-12"/>
          <w:sz w:val="24"/>
          <w:szCs w:val="24"/>
          <w:highlight w:val="none"/>
        </w:rPr>
        <w:t>（以下简称</w:t>
      </w:r>
      <w:r>
        <w:rPr>
          <w:rFonts w:ascii="Times New Roman" w:hAnsi="Times New Roman" w:eastAsia="Times New Roman" w:cs="Times New Roman"/>
          <w:b/>
          <w:bCs/>
          <w:spacing w:val="-12"/>
          <w:sz w:val="24"/>
          <w:szCs w:val="24"/>
          <w:highlight w:val="none"/>
        </w:rPr>
        <w:t>“</w:t>
      </w:r>
      <w:r>
        <w:rPr>
          <w:rFonts w:ascii="仿宋" w:hAnsi="仿宋" w:eastAsia="仿宋" w:cs="仿宋"/>
          <w:b/>
          <w:bCs/>
          <w:spacing w:val="-12"/>
          <w:sz w:val="24"/>
          <w:szCs w:val="24"/>
          <w:highlight w:val="none"/>
        </w:rPr>
        <w:t>本保</w:t>
      </w:r>
      <w:r>
        <w:rPr>
          <w:rFonts w:ascii="仿宋" w:hAnsi="仿宋" w:eastAsia="仿宋" w:cs="仿宋"/>
          <w:b/>
          <w:bCs/>
          <w:spacing w:val="-13"/>
          <w:sz w:val="24"/>
          <w:szCs w:val="24"/>
          <w:highlight w:val="none"/>
        </w:rPr>
        <w:t>函</w:t>
      </w:r>
      <w:r>
        <w:rPr>
          <w:rFonts w:ascii="Times New Roman" w:hAnsi="Times New Roman" w:eastAsia="Times New Roman" w:cs="Times New Roman"/>
          <w:b/>
          <w:bCs/>
          <w:spacing w:val="-13"/>
          <w:sz w:val="24"/>
          <w:szCs w:val="24"/>
          <w:highlight w:val="none"/>
        </w:rPr>
        <w:t>”</w:t>
      </w:r>
      <w:r>
        <w:rPr>
          <w:rFonts w:ascii="仿宋" w:hAnsi="仿宋" w:eastAsia="仿宋" w:cs="仿宋"/>
          <w:b/>
          <w:bCs/>
          <w:spacing w:val="-68"/>
          <w:sz w:val="24"/>
          <w:szCs w:val="24"/>
          <w:highlight w:val="none"/>
        </w:rPr>
        <w:t>）</w:t>
      </w:r>
      <w:r>
        <w:rPr>
          <w:rFonts w:ascii="仿宋" w:hAnsi="仿宋" w:eastAsia="仿宋" w:cs="仿宋"/>
          <w:spacing w:val="-68"/>
          <w:sz w:val="24"/>
          <w:szCs w:val="24"/>
          <w:highlight w:val="none"/>
        </w:rPr>
        <w:t>，</w:t>
      </w:r>
      <w:r>
        <w:rPr>
          <w:rFonts w:ascii="仿宋" w:hAnsi="仿宋" w:eastAsia="仿宋" w:cs="仿宋"/>
          <w:spacing w:val="-13"/>
          <w:sz w:val="24"/>
          <w:szCs w:val="24"/>
          <w:highlight w:val="none"/>
        </w:rPr>
        <w:t>以担保投</w:t>
      </w:r>
      <w:r>
        <w:rPr>
          <w:rFonts w:ascii="仿宋" w:hAnsi="仿宋" w:eastAsia="仿宋" w:cs="仿宋"/>
          <w:spacing w:val="-5"/>
          <w:sz w:val="24"/>
          <w:szCs w:val="24"/>
          <w:highlight w:val="none"/>
        </w:rPr>
        <w:t>标人诚信履行其在</w:t>
      </w:r>
      <w:r>
        <w:rPr>
          <w:rFonts w:ascii="仿宋" w:hAnsi="仿宋" w:eastAsia="仿宋" w:cs="仿宋"/>
          <w:b/>
          <w:bCs/>
          <w:spacing w:val="-5"/>
          <w:sz w:val="24"/>
          <w:szCs w:val="24"/>
          <w:highlight w:val="none"/>
        </w:rPr>
        <w:t>上述基础交易</w:t>
      </w:r>
      <w:r>
        <w:rPr>
          <w:rFonts w:ascii="仿宋" w:hAnsi="仿宋" w:eastAsia="仿宋" w:cs="仿宋"/>
          <w:spacing w:val="-5"/>
          <w:sz w:val="24"/>
          <w:szCs w:val="24"/>
          <w:highlight w:val="none"/>
        </w:rPr>
        <w:t>中承担的投标人义务。鉴</w:t>
      </w:r>
      <w:r>
        <w:rPr>
          <w:rFonts w:ascii="仿宋" w:hAnsi="仿宋" w:eastAsia="仿宋" w:cs="仿宋"/>
          <w:spacing w:val="-6"/>
          <w:sz w:val="24"/>
          <w:szCs w:val="24"/>
          <w:highlight w:val="none"/>
        </w:rPr>
        <w:t>此，</w:t>
      </w:r>
      <w:r>
        <w:rPr>
          <w:rFonts w:ascii="仿宋" w:hAnsi="仿宋" w:eastAsia="仿宋" w:cs="仿宋"/>
          <w:spacing w:val="61"/>
          <w:sz w:val="24"/>
          <w:szCs w:val="24"/>
          <w:highlight w:val="none"/>
        </w:rPr>
        <w:t xml:space="preserve"> </w:t>
      </w:r>
      <w:r>
        <w:rPr>
          <w:rFonts w:ascii="仿宋" w:hAnsi="仿宋" w:eastAsia="仿宋" w:cs="仿宋"/>
          <w:spacing w:val="-6"/>
          <w:sz w:val="24"/>
          <w:szCs w:val="24"/>
          <w:highlight w:val="none"/>
        </w:rPr>
        <w:t>应投标人要求，我方在此</w:t>
      </w:r>
      <w:r>
        <w:rPr>
          <w:rFonts w:ascii="仿宋" w:hAnsi="仿宋" w:eastAsia="仿宋" w:cs="仿宋"/>
          <w:spacing w:val="-52"/>
          <w:sz w:val="24"/>
          <w:szCs w:val="24"/>
          <w:highlight w:val="none"/>
        </w:rPr>
        <w:t xml:space="preserve"> </w:t>
      </w:r>
      <w:r>
        <w:rPr>
          <w:rFonts w:ascii="仿宋" w:hAnsi="仿宋" w:eastAsia="仿宋" w:cs="仿宋"/>
          <w:spacing w:val="-6"/>
          <w:sz w:val="24"/>
          <w:szCs w:val="24"/>
          <w:highlight w:val="none"/>
        </w:rPr>
        <w:t>同</w:t>
      </w:r>
      <w:r>
        <w:rPr>
          <w:rFonts w:ascii="仿宋" w:hAnsi="仿宋" w:eastAsia="仿宋" w:cs="仿宋"/>
          <w:spacing w:val="-66"/>
          <w:sz w:val="24"/>
          <w:szCs w:val="24"/>
          <w:highlight w:val="none"/>
        </w:rPr>
        <w:t xml:space="preserve"> </w:t>
      </w:r>
      <w:r>
        <w:rPr>
          <w:rFonts w:ascii="仿宋" w:hAnsi="仿宋" w:eastAsia="仿宋" w:cs="仿宋"/>
          <w:spacing w:val="-6"/>
          <w:sz w:val="24"/>
          <w:szCs w:val="24"/>
          <w:highlight w:val="none"/>
        </w:rPr>
        <w:t>意</w:t>
      </w:r>
      <w:r>
        <w:rPr>
          <w:rFonts w:ascii="仿宋" w:hAnsi="仿宋" w:eastAsia="仿宋" w:cs="仿宋"/>
          <w:spacing w:val="27"/>
          <w:sz w:val="24"/>
          <w:szCs w:val="24"/>
          <w:highlight w:val="none"/>
        </w:rPr>
        <w:t>向贵方出具此投标保函，本保函担保金额最高不超过人民币</w:t>
      </w:r>
      <w:r>
        <w:rPr>
          <w:rFonts w:ascii="仿宋" w:hAnsi="仿宋" w:eastAsia="仿宋" w:cs="仿宋"/>
          <w:spacing w:val="26"/>
          <w:sz w:val="24"/>
          <w:szCs w:val="24"/>
          <w:highlight w:val="none"/>
        </w:rPr>
        <w:t>（大写）元(</w:t>
      </w:r>
      <w:r>
        <w:rPr>
          <w:rFonts w:ascii="Times New Roman" w:hAnsi="Times New Roman" w:eastAsia="Times New Roman" w:cs="Times New Roman"/>
          <w:spacing w:val="26"/>
          <w:sz w:val="24"/>
          <w:szCs w:val="24"/>
          <w:highlight w:val="none"/>
        </w:rPr>
        <w:t>¥</w:t>
      </w:r>
      <w:r>
        <w:rPr>
          <w:position w:val="-4"/>
          <w:sz w:val="24"/>
          <w:szCs w:val="24"/>
          <w:highlight w:val="none"/>
        </w:rPr>
        <w:drawing>
          <wp:inline distT="0" distB="0" distL="0" distR="0">
            <wp:extent cx="15367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3"/>
                    <a:stretch>
                      <a:fillRect/>
                    </a:stretch>
                  </pic:blipFill>
                  <pic:spPr>
                    <a:xfrm>
                      <a:off x="0" y="0"/>
                      <a:ext cx="154228" cy="7620"/>
                    </a:xfrm>
                    <a:prstGeom prst="rect">
                      <a:avLst/>
                    </a:prstGeom>
                  </pic:spPr>
                </pic:pic>
              </a:graphicData>
            </a:graphic>
          </wp:inline>
        </w:drawing>
      </w:r>
      <w:r>
        <w:rPr>
          <w:rFonts w:ascii="Times New Roman" w:hAnsi="Times New Roman" w:eastAsia="Times New Roman" w:cs="Times New Roman"/>
          <w:spacing w:val="-25"/>
          <w:sz w:val="24"/>
          <w:szCs w:val="24"/>
          <w:highlight w:val="none"/>
        </w:rPr>
        <w:t xml:space="preserve"> </w:t>
      </w:r>
      <w:r>
        <w:rPr>
          <w:rFonts w:ascii="仿宋" w:hAnsi="仿宋" w:eastAsia="仿宋" w:cs="仿宋"/>
          <w:spacing w:val="26"/>
          <w:sz w:val="24"/>
          <w:szCs w:val="24"/>
          <w:highlight w:val="none"/>
        </w:rPr>
        <w:t>)。</w:t>
      </w:r>
    </w:p>
    <w:p w14:paraId="5FA63F58">
      <w:pPr>
        <w:spacing w:before="160" w:line="220" w:lineRule="auto"/>
        <w:ind w:left="958"/>
        <w:rPr>
          <w:rFonts w:ascii="宋体" w:hAnsi="宋体" w:eastAsia="宋体" w:cs="宋体"/>
          <w:sz w:val="24"/>
          <w:szCs w:val="24"/>
          <w:highlight w:val="none"/>
        </w:rPr>
      </w:pPr>
      <w:r>
        <w:rPr>
          <w:rFonts w:ascii="宋体" w:hAnsi="宋体" w:eastAsia="宋体" w:cs="宋体"/>
          <w:spacing w:val="-3"/>
          <w:sz w:val="24"/>
          <w:szCs w:val="24"/>
          <w:highlight w:val="none"/>
        </w:rPr>
        <w:t>二、我方在投标人发生以下情形时承担保证担保责任：</w:t>
      </w:r>
    </w:p>
    <w:p w14:paraId="7A9F48C8">
      <w:pPr>
        <w:spacing w:before="154" w:line="215"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（1）投标人在开标后和投标有效期满之前撤销投标的；</w:t>
      </w:r>
    </w:p>
    <w:p w14:paraId="0D14CCAE">
      <w:pPr>
        <w:spacing w:before="159" w:line="215"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（2）投标人在中标后无正当理由不与招标人订立合同或者签订合同时向招标人提出附加</w:t>
      </w:r>
    </w:p>
    <w:p w14:paraId="1705761B">
      <w:pPr>
        <w:spacing w:line="215" w:lineRule="auto"/>
        <w:rPr>
          <w:rFonts w:ascii="仿宋" w:hAnsi="仿宋" w:eastAsia="仿宋" w:cs="仿宋"/>
          <w:sz w:val="24"/>
          <w:szCs w:val="24"/>
          <w:highlight w:val="none"/>
        </w:rPr>
        <w:sectPr>
          <w:footerReference r:id="rId88" w:type="default"/>
          <w:pgSz w:w="11907" w:h="16839"/>
          <w:pgMar w:top="1431" w:right="1067" w:bottom="1127" w:left="1097" w:header="0" w:footer="896" w:gutter="0"/>
          <w:cols w:space="720" w:num="1"/>
        </w:sectPr>
      </w:pPr>
    </w:p>
    <w:p w14:paraId="7931162F">
      <w:pPr>
        <w:spacing w:before="155" w:line="218" w:lineRule="auto"/>
        <w:ind w:left="18"/>
        <w:rPr>
          <w:rFonts w:ascii="仿宋" w:hAnsi="仿宋" w:eastAsia="仿宋" w:cs="仿宋"/>
          <w:sz w:val="24"/>
          <w:szCs w:val="24"/>
          <w:highlight w:val="none"/>
        </w:rPr>
      </w:pPr>
      <w:r>
        <w:rPr>
          <w:rFonts w:ascii="仿宋" w:hAnsi="仿宋" w:eastAsia="仿宋" w:cs="仿宋"/>
          <w:spacing w:val="-14"/>
          <w:sz w:val="24"/>
          <w:szCs w:val="24"/>
          <w:highlight w:val="none"/>
        </w:rPr>
        <w:t>条件的；</w:t>
      </w:r>
    </w:p>
    <w:p w14:paraId="160FF91F">
      <w:pPr>
        <w:spacing w:before="155" w:line="215" w:lineRule="auto"/>
        <w:ind w:left="496"/>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宋体" w:hAnsi="宋体" w:eastAsia="宋体" w:cs="宋体"/>
          <w:spacing w:val="-2"/>
          <w:sz w:val="24"/>
          <w:szCs w:val="24"/>
          <w:highlight w:val="none"/>
        </w:rPr>
        <w:t>3</w:t>
      </w:r>
      <w:r>
        <w:rPr>
          <w:rFonts w:ascii="仿宋" w:hAnsi="仿宋" w:eastAsia="仿宋" w:cs="仿宋"/>
          <w:spacing w:val="-2"/>
          <w:sz w:val="24"/>
          <w:szCs w:val="24"/>
          <w:highlight w:val="none"/>
        </w:rPr>
        <w:t>）投标人在中标后不按照招标文件要求提交履约保证金或履约担保</w:t>
      </w:r>
      <w:r>
        <w:rPr>
          <w:rFonts w:ascii="仿宋" w:hAnsi="仿宋" w:eastAsia="仿宋" w:cs="仿宋"/>
          <w:spacing w:val="-3"/>
          <w:sz w:val="24"/>
          <w:szCs w:val="24"/>
          <w:highlight w:val="none"/>
        </w:rPr>
        <w:t>的；</w:t>
      </w:r>
    </w:p>
    <w:p w14:paraId="11758B10">
      <w:pPr>
        <w:spacing w:before="161" w:line="217" w:lineRule="auto"/>
        <w:ind w:left="496"/>
        <w:rPr>
          <w:rFonts w:ascii="仿宋" w:hAnsi="仿宋" w:eastAsia="仿宋" w:cs="仿宋"/>
          <w:sz w:val="24"/>
          <w:szCs w:val="24"/>
          <w:highlight w:val="none"/>
        </w:rPr>
      </w:pPr>
      <w:r>
        <w:rPr>
          <w:rFonts w:ascii="仿宋" w:hAnsi="仿宋" w:eastAsia="仿宋" w:cs="仿宋"/>
          <w:sz w:val="24"/>
          <w:szCs w:val="24"/>
          <w:highlight w:val="none"/>
        </w:rPr>
        <w:t>（4）投标人违反招标文件规定，依照招标文件</w:t>
      </w:r>
      <w:r>
        <w:rPr>
          <w:rFonts w:ascii="仿宋" w:hAnsi="仿宋" w:eastAsia="仿宋" w:cs="仿宋"/>
          <w:spacing w:val="-1"/>
          <w:sz w:val="24"/>
          <w:szCs w:val="24"/>
          <w:highlight w:val="none"/>
        </w:rPr>
        <w:t>的约定属于投标保证金不予退还的；</w:t>
      </w:r>
    </w:p>
    <w:p w14:paraId="190FB004">
      <w:pPr>
        <w:spacing w:before="157" w:line="278" w:lineRule="auto"/>
        <w:ind w:left="20" w:right="64" w:firstLine="475"/>
        <w:rPr>
          <w:rFonts w:ascii="仿宋" w:hAnsi="仿宋" w:eastAsia="仿宋" w:cs="仿宋"/>
          <w:sz w:val="24"/>
          <w:szCs w:val="24"/>
          <w:highlight w:val="none"/>
        </w:rPr>
      </w:pPr>
      <w:r>
        <w:rPr>
          <w:rFonts w:ascii="仿宋" w:hAnsi="仿宋" w:eastAsia="仿宋" w:cs="仿宋"/>
          <w:sz w:val="24"/>
          <w:szCs w:val="24"/>
          <w:highlight w:val="none"/>
        </w:rPr>
        <w:t>（5）投标人违反投标承诺，依照招标文件的约定和投标文件承诺，属于投标保证金</w:t>
      </w:r>
      <w:r>
        <w:rPr>
          <w:rFonts w:ascii="仿宋" w:hAnsi="仿宋" w:eastAsia="仿宋" w:cs="仿宋"/>
          <w:spacing w:val="-1"/>
          <w:sz w:val="24"/>
          <w:szCs w:val="24"/>
          <w:highlight w:val="none"/>
        </w:rPr>
        <w:t>不予</w:t>
      </w:r>
      <w:r>
        <w:rPr>
          <w:rFonts w:ascii="仿宋" w:hAnsi="仿宋" w:eastAsia="仿宋" w:cs="仿宋"/>
          <w:spacing w:val="-14"/>
          <w:sz w:val="24"/>
          <w:szCs w:val="24"/>
          <w:highlight w:val="none"/>
        </w:rPr>
        <w:t>退还的；</w:t>
      </w:r>
    </w:p>
    <w:p w14:paraId="52328298">
      <w:pPr>
        <w:spacing w:before="159" w:line="217" w:lineRule="auto"/>
        <w:ind w:left="496"/>
        <w:rPr>
          <w:rFonts w:ascii="仿宋" w:hAnsi="仿宋" w:eastAsia="仿宋" w:cs="仿宋"/>
          <w:sz w:val="24"/>
          <w:szCs w:val="24"/>
          <w:highlight w:val="none"/>
        </w:rPr>
      </w:pPr>
      <w:r>
        <w:rPr>
          <w:rFonts w:ascii="仿宋" w:hAnsi="仿宋" w:eastAsia="仿宋" w:cs="仿宋"/>
          <w:spacing w:val="-3"/>
          <w:sz w:val="24"/>
          <w:szCs w:val="24"/>
          <w:highlight w:val="none"/>
        </w:rPr>
        <w:t>（6）投标人违反招标文件约定的其他情形。</w:t>
      </w:r>
    </w:p>
    <w:p w14:paraId="311C3F95">
      <w:pPr>
        <w:spacing w:before="158" w:line="338" w:lineRule="auto"/>
        <w:ind w:left="19" w:firstLine="452"/>
        <w:rPr>
          <w:rFonts w:ascii="仿宋" w:hAnsi="仿宋" w:eastAsia="仿宋" w:cs="仿宋"/>
          <w:sz w:val="24"/>
          <w:szCs w:val="24"/>
          <w:highlight w:val="none"/>
        </w:rPr>
      </w:pPr>
      <w:r>
        <w:rPr>
          <w:rFonts w:ascii="仿宋" w:hAnsi="仿宋" w:eastAsia="仿宋" w:cs="仿宋"/>
          <w:spacing w:val="-14"/>
          <w:sz w:val="24"/>
          <w:szCs w:val="24"/>
          <w:highlight w:val="none"/>
        </w:rPr>
        <w:t>三、本保函为不可撤销、不可转让的见索即付独立保函。本保函有效期自开立之日起至投标有</w:t>
      </w:r>
      <w:r>
        <w:rPr>
          <w:rFonts w:ascii="仿宋" w:hAnsi="仿宋" w:eastAsia="仿宋" w:cs="仿宋"/>
          <w:spacing w:val="-13"/>
          <w:sz w:val="24"/>
          <w:szCs w:val="24"/>
          <w:highlight w:val="none"/>
        </w:rPr>
        <w:t>效期届满之日后的</w:t>
      </w:r>
      <w:r>
        <w:rPr>
          <w:rFonts w:ascii="仿宋" w:hAnsi="仿宋" w:eastAsia="仿宋" w:cs="仿宋"/>
          <w:spacing w:val="-50"/>
          <w:sz w:val="24"/>
          <w:szCs w:val="24"/>
          <w:highlight w:val="none"/>
        </w:rPr>
        <w:t xml:space="preserve"> </w:t>
      </w:r>
      <w:r>
        <w:rPr>
          <w:rFonts w:ascii="仿宋" w:hAnsi="仿宋" w:eastAsia="仿宋" w:cs="仿宋"/>
          <w:spacing w:val="-13"/>
          <w:sz w:val="24"/>
          <w:szCs w:val="24"/>
          <w:highlight w:val="none"/>
        </w:rPr>
        <w:t>日。投标有效期延长的，本保函有效期相应顺延，最迟不超过   年  月   日。</w:t>
      </w:r>
    </w:p>
    <w:p w14:paraId="19B8678E">
      <w:pPr>
        <w:spacing w:before="1" w:line="338" w:lineRule="auto"/>
        <w:ind w:left="781" w:right="59" w:hanging="96"/>
        <w:rPr>
          <w:rFonts w:ascii="仿宋" w:hAnsi="仿宋" w:eastAsia="仿宋" w:cs="仿宋"/>
          <w:sz w:val="24"/>
          <w:szCs w:val="24"/>
          <w:highlight w:val="none"/>
        </w:rPr>
      </w:pPr>
      <w:r>
        <w:rPr>
          <w:rFonts w:ascii="仿宋" w:hAnsi="仿宋" w:eastAsia="仿宋" w:cs="仿宋"/>
          <w:spacing w:val="-7"/>
          <w:sz w:val="24"/>
          <w:szCs w:val="24"/>
          <w:highlight w:val="none"/>
        </w:rPr>
        <w:t>四、我方承诺，在收到招标人发来的书面付款通知后的</w:t>
      </w:r>
      <w:r>
        <w:rPr>
          <w:rFonts w:ascii="仿宋" w:hAnsi="仿宋" w:eastAsia="仿宋" w:cs="仿宋"/>
          <w:spacing w:val="-118"/>
          <w:sz w:val="24"/>
          <w:szCs w:val="24"/>
          <w:highlight w:val="none"/>
        </w:rPr>
        <w:t xml:space="preserve"> </w:t>
      </w:r>
      <w:r>
        <w:rPr>
          <w:rFonts w:ascii="仿宋" w:hAnsi="仿宋" w:eastAsia="仿宋" w:cs="仿宋"/>
          <w:spacing w:val="18"/>
          <w:sz w:val="24"/>
          <w:szCs w:val="24"/>
          <w:highlight w:val="none"/>
          <w:u w:val="single" w:color="auto"/>
        </w:rPr>
        <w:t xml:space="preserve">      </w:t>
      </w:r>
      <w:r>
        <w:rPr>
          <w:rFonts w:ascii="仿宋" w:hAnsi="仿宋" w:eastAsia="仿宋" w:cs="仿宋"/>
          <w:spacing w:val="-51"/>
          <w:sz w:val="24"/>
          <w:szCs w:val="24"/>
          <w:highlight w:val="none"/>
        </w:rPr>
        <w:t xml:space="preserve"> </w:t>
      </w:r>
      <w:r>
        <w:rPr>
          <w:rFonts w:ascii="仿宋" w:hAnsi="仿宋" w:eastAsia="仿宋" w:cs="仿宋"/>
          <w:spacing w:val="-7"/>
          <w:sz w:val="24"/>
          <w:szCs w:val="24"/>
          <w:highlight w:val="none"/>
        </w:rPr>
        <w:t>日内无条件支付，前述书</w:t>
      </w:r>
      <w:r>
        <w:rPr>
          <w:rFonts w:ascii="仿宋" w:hAnsi="仿宋" w:eastAsia="仿宋" w:cs="仿宋"/>
          <w:spacing w:val="-3"/>
          <w:sz w:val="24"/>
          <w:szCs w:val="24"/>
          <w:highlight w:val="none"/>
        </w:rPr>
        <w:t>面付款通知即为付款要求之单据，且应满足以下要求：</w:t>
      </w:r>
    </w:p>
    <w:p w14:paraId="7026A5C9">
      <w:pPr>
        <w:spacing w:before="1" w:line="238" w:lineRule="auto"/>
        <w:ind w:left="976"/>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Calibri" w:hAnsi="Calibri" w:eastAsia="Calibri" w:cs="Calibri"/>
          <w:spacing w:val="-3"/>
          <w:sz w:val="24"/>
          <w:szCs w:val="24"/>
          <w:highlight w:val="none"/>
        </w:rPr>
        <w:t>1</w:t>
      </w:r>
      <w:r>
        <w:rPr>
          <w:rFonts w:ascii="宋体" w:hAnsi="宋体" w:eastAsia="宋体" w:cs="宋体"/>
          <w:spacing w:val="-3"/>
          <w:sz w:val="24"/>
          <w:szCs w:val="24"/>
          <w:highlight w:val="none"/>
        </w:rPr>
        <w:t>）付款通知到达的日期在本保函的有效</w:t>
      </w:r>
      <w:r>
        <w:rPr>
          <w:rFonts w:ascii="宋体" w:hAnsi="宋体" w:eastAsia="宋体" w:cs="宋体"/>
          <w:spacing w:val="-4"/>
          <w:sz w:val="24"/>
          <w:szCs w:val="24"/>
          <w:highlight w:val="none"/>
        </w:rPr>
        <w:t>期内；</w:t>
      </w:r>
    </w:p>
    <w:p w14:paraId="2D4D3E78">
      <w:pPr>
        <w:spacing w:before="130"/>
        <w:ind w:left="976"/>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Calibri" w:hAnsi="Calibri" w:eastAsia="Calibri" w:cs="Calibri"/>
          <w:spacing w:val="-5"/>
          <w:sz w:val="24"/>
          <w:szCs w:val="24"/>
          <w:highlight w:val="none"/>
        </w:rPr>
        <w:t>2</w:t>
      </w:r>
      <w:r>
        <w:rPr>
          <w:rFonts w:ascii="宋体" w:hAnsi="宋体" w:eastAsia="宋体" w:cs="宋体"/>
          <w:spacing w:val="-5"/>
          <w:sz w:val="24"/>
          <w:szCs w:val="24"/>
          <w:highlight w:val="none"/>
        </w:rPr>
        <w:t>）载明要求支付的金额；</w:t>
      </w:r>
    </w:p>
    <w:p w14:paraId="6F6DAD4D">
      <w:pPr>
        <w:spacing w:before="127" w:line="279" w:lineRule="auto"/>
        <w:ind w:left="492" w:right="56" w:firstLine="483"/>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Calibri" w:hAnsi="Calibri" w:eastAsia="Calibri" w:cs="Calibri"/>
          <w:spacing w:val="-2"/>
          <w:sz w:val="24"/>
          <w:szCs w:val="24"/>
          <w:highlight w:val="none"/>
        </w:rPr>
        <w:t>3</w:t>
      </w:r>
      <w:r>
        <w:rPr>
          <w:rFonts w:ascii="宋体" w:hAnsi="宋体" w:eastAsia="宋体" w:cs="宋体"/>
          <w:spacing w:val="-2"/>
          <w:sz w:val="24"/>
          <w:szCs w:val="24"/>
          <w:highlight w:val="none"/>
        </w:rPr>
        <w:t>）</w:t>
      </w:r>
      <w:r>
        <w:rPr>
          <w:rFonts w:ascii="宋体" w:hAnsi="宋体" w:eastAsia="宋体" w:cs="宋体"/>
          <w:b/>
          <w:bCs/>
          <w:spacing w:val="-2"/>
          <w:sz w:val="24"/>
          <w:szCs w:val="24"/>
          <w:highlight w:val="none"/>
        </w:rPr>
        <w:t>载明申请人（即投标人）违反法律法规或者招标文件约定或者</w:t>
      </w:r>
      <w:r>
        <w:rPr>
          <w:rFonts w:ascii="宋体" w:hAnsi="宋体" w:eastAsia="宋体" w:cs="宋体"/>
          <w:b/>
          <w:bCs/>
          <w:spacing w:val="-3"/>
          <w:sz w:val="24"/>
          <w:szCs w:val="24"/>
          <w:highlight w:val="none"/>
        </w:rPr>
        <w:t>投标文件承诺的义务内容和具体条款；</w:t>
      </w:r>
    </w:p>
    <w:p w14:paraId="1D065F89">
      <w:pPr>
        <w:spacing w:before="156" w:line="239" w:lineRule="auto"/>
        <w:ind w:left="976"/>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Calibri" w:hAnsi="Calibri" w:eastAsia="Calibri" w:cs="Calibri"/>
          <w:spacing w:val="-1"/>
          <w:sz w:val="24"/>
          <w:szCs w:val="24"/>
          <w:highlight w:val="none"/>
        </w:rPr>
        <w:t>4</w:t>
      </w:r>
      <w:r>
        <w:rPr>
          <w:rFonts w:ascii="宋体" w:hAnsi="宋体" w:eastAsia="宋体" w:cs="宋体"/>
          <w:spacing w:val="-1"/>
          <w:sz w:val="24"/>
          <w:szCs w:val="24"/>
          <w:highlight w:val="none"/>
        </w:rPr>
        <w:t>）书面付款通知应在本保函有效期内到达的地址是：</w:t>
      </w:r>
      <w:r>
        <w:rPr>
          <w:rFonts w:ascii="宋体" w:hAnsi="宋体" w:eastAsia="宋体" w:cs="宋体"/>
          <w:spacing w:val="12"/>
          <w:sz w:val="24"/>
          <w:szCs w:val="24"/>
          <w:highlight w:val="none"/>
          <w:u w:val="single" w:color="auto"/>
        </w:rPr>
        <w:t xml:space="preserve">          </w:t>
      </w:r>
      <w:r>
        <w:rPr>
          <w:rFonts w:ascii="宋体" w:hAnsi="宋体" w:eastAsia="宋体" w:cs="宋体"/>
          <w:spacing w:val="-1"/>
          <w:sz w:val="24"/>
          <w:szCs w:val="24"/>
          <w:highlight w:val="none"/>
        </w:rPr>
        <w:t>。</w:t>
      </w:r>
    </w:p>
    <w:p w14:paraId="424FB22A">
      <w:pPr>
        <w:spacing w:before="129" w:line="338" w:lineRule="auto"/>
        <w:ind w:left="18" w:right="59" w:firstLine="476"/>
        <w:rPr>
          <w:rFonts w:ascii="仿宋" w:hAnsi="仿宋" w:eastAsia="仿宋" w:cs="仿宋"/>
          <w:sz w:val="24"/>
          <w:szCs w:val="24"/>
          <w:highlight w:val="none"/>
        </w:rPr>
      </w:pPr>
      <w:r>
        <w:rPr>
          <w:rFonts w:ascii="仿宋" w:hAnsi="仿宋" w:eastAsia="仿宋" w:cs="仿宋"/>
          <w:spacing w:val="-3"/>
          <w:sz w:val="24"/>
          <w:szCs w:val="24"/>
          <w:highlight w:val="none"/>
        </w:rPr>
        <w:t>招标人发出的书面付款通知应由其为鉴明招标人法定代表人（负责人）或授权代理人签字</w:t>
      </w:r>
      <w:r>
        <w:rPr>
          <w:rFonts w:ascii="仿宋" w:hAnsi="仿宋" w:eastAsia="仿宋" w:cs="仿宋"/>
          <w:spacing w:val="-8"/>
          <w:sz w:val="24"/>
          <w:szCs w:val="24"/>
          <w:highlight w:val="none"/>
        </w:rPr>
        <w:t>并加盖公章。</w:t>
      </w:r>
    </w:p>
    <w:p w14:paraId="6B96ACC8">
      <w:pPr>
        <w:spacing w:before="2" w:line="338" w:lineRule="auto"/>
        <w:ind w:left="15" w:right="59" w:firstLine="455"/>
        <w:rPr>
          <w:rFonts w:ascii="仿宋" w:hAnsi="仿宋" w:eastAsia="仿宋" w:cs="仿宋"/>
          <w:sz w:val="24"/>
          <w:szCs w:val="24"/>
          <w:highlight w:val="none"/>
        </w:rPr>
      </w:pPr>
      <w:r>
        <w:rPr>
          <w:rFonts w:ascii="仿宋" w:hAnsi="仿宋" w:eastAsia="仿宋" w:cs="仿宋"/>
          <w:spacing w:val="-14"/>
          <w:sz w:val="24"/>
          <w:szCs w:val="24"/>
          <w:highlight w:val="none"/>
        </w:rPr>
        <w:t>五、本保函项下的权利不得转让，不得设定担保。贵方未经我方书面同意转让本保函或其项下</w:t>
      </w:r>
      <w:r>
        <w:rPr>
          <w:rFonts w:ascii="仿宋" w:hAnsi="仿宋" w:eastAsia="仿宋" w:cs="仿宋"/>
          <w:spacing w:val="-3"/>
          <w:sz w:val="24"/>
          <w:szCs w:val="24"/>
          <w:highlight w:val="none"/>
        </w:rPr>
        <w:t>任何权利，对我方不发生法律效力。</w:t>
      </w:r>
    </w:p>
    <w:p w14:paraId="000CE038">
      <w:pPr>
        <w:spacing w:line="278" w:lineRule="auto"/>
        <w:ind w:left="19" w:right="57" w:firstLine="442"/>
        <w:rPr>
          <w:rFonts w:ascii="仿宋" w:hAnsi="仿宋" w:eastAsia="仿宋" w:cs="仿宋"/>
          <w:sz w:val="24"/>
          <w:szCs w:val="24"/>
          <w:highlight w:val="none"/>
        </w:rPr>
      </w:pPr>
      <w:r>
        <w:rPr>
          <w:rFonts w:ascii="仿宋" w:hAnsi="仿宋" w:eastAsia="仿宋" w:cs="仿宋"/>
          <w:spacing w:val="-14"/>
          <w:sz w:val="24"/>
          <w:szCs w:val="24"/>
          <w:highlight w:val="none"/>
        </w:rPr>
        <w:t>六、本保函项下的</w:t>
      </w:r>
      <w:r>
        <w:rPr>
          <w:rFonts w:ascii="仿宋" w:hAnsi="仿宋" w:eastAsia="仿宋" w:cs="仿宋"/>
          <w:b/>
          <w:bCs/>
          <w:spacing w:val="-14"/>
          <w:sz w:val="24"/>
          <w:szCs w:val="24"/>
          <w:highlight w:val="none"/>
        </w:rPr>
        <w:t>基础交易</w:t>
      </w:r>
      <w:r>
        <w:rPr>
          <w:rFonts w:ascii="仿宋" w:hAnsi="仿宋" w:eastAsia="仿宋" w:cs="仿宋"/>
          <w:spacing w:val="-14"/>
          <w:sz w:val="24"/>
          <w:szCs w:val="24"/>
          <w:highlight w:val="none"/>
        </w:rPr>
        <w:t>不成立、不生效、无效、被撤销、被解除，不影响本保函的独立有</w:t>
      </w:r>
      <w:r>
        <w:rPr>
          <w:rFonts w:ascii="仿宋" w:hAnsi="仿宋" w:eastAsia="仿宋" w:cs="仿宋"/>
          <w:spacing w:val="-3"/>
          <w:sz w:val="24"/>
          <w:szCs w:val="24"/>
          <w:highlight w:val="none"/>
        </w:rPr>
        <w:t>效，不影响开立人履行见索即付义务的责任。</w:t>
      </w:r>
    </w:p>
    <w:p w14:paraId="4E0F8FC7">
      <w:pPr>
        <w:spacing w:before="158" w:line="298" w:lineRule="auto"/>
        <w:ind w:left="16" w:right="29" w:firstLine="453"/>
        <w:rPr>
          <w:rFonts w:ascii="仿宋" w:hAnsi="仿宋" w:eastAsia="仿宋" w:cs="仿宋"/>
          <w:sz w:val="24"/>
          <w:szCs w:val="24"/>
          <w:highlight w:val="none"/>
        </w:rPr>
      </w:pPr>
      <w:r>
        <w:rPr>
          <w:rFonts w:ascii="仿宋" w:hAnsi="仿宋" w:eastAsia="仿宋" w:cs="仿宋"/>
          <w:spacing w:val="-14"/>
          <w:sz w:val="24"/>
          <w:szCs w:val="24"/>
          <w:highlight w:val="none"/>
        </w:rPr>
        <w:t>七、招标人应在本保函到期后的七日内将本保函正本退回我方注销，但是不论招标人是否按此</w:t>
      </w:r>
      <w:r>
        <w:rPr>
          <w:rFonts w:ascii="仿宋" w:hAnsi="仿宋" w:eastAsia="仿宋" w:cs="仿宋"/>
          <w:spacing w:val="-8"/>
          <w:sz w:val="24"/>
          <w:szCs w:val="24"/>
          <w:highlight w:val="none"/>
        </w:rPr>
        <w:t>要求将本保函正本退回我方，我方在本保函项下的义务和责任均在保函有效期到期后自动消灭，</w:t>
      </w:r>
      <w:r>
        <w:rPr>
          <w:rFonts w:ascii="仿宋" w:hAnsi="仿宋" w:eastAsia="仿宋" w:cs="仿宋"/>
          <w:spacing w:val="-1"/>
          <w:sz w:val="24"/>
          <w:szCs w:val="24"/>
          <w:highlight w:val="none"/>
        </w:rPr>
        <w:t>但因异议、投诉、立案处理的，本保函有效期将顺延到案件处理完毕之日后</w:t>
      </w:r>
      <w:r>
        <w:rPr>
          <w:rFonts w:ascii="仿宋" w:hAnsi="仿宋" w:eastAsia="仿宋" w:cs="仿宋"/>
          <w:spacing w:val="-2"/>
          <w:sz w:val="24"/>
          <w:szCs w:val="24"/>
          <w:highlight w:val="none"/>
        </w:rPr>
        <w:t>再顺延七日。</w:t>
      </w:r>
    </w:p>
    <w:p w14:paraId="3B86C3E5">
      <w:pPr>
        <w:spacing w:before="157" w:line="217" w:lineRule="auto"/>
        <w:ind w:left="512"/>
        <w:rPr>
          <w:rFonts w:ascii="仿宋" w:hAnsi="仿宋" w:eastAsia="仿宋" w:cs="仿宋"/>
          <w:sz w:val="24"/>
          <w:szCs w:val="24"/>
          <w:highlight w:val="none"/>
        </w:rPr>
      </w:pPr>
      <w:r>
        <w:rPr>
          <w:rFonts w:ascii="仿宋" w:hAnsi="仿宋" w:eastAsia="仿宋" w:cs="仿宋"/>
          <w:spacing w:val="14"/>
          <w:sz w:val="24"/>
          <w:szCs w:val="24"/>
          <w:highlight w:val="none"/>
        </w:rPr>
        <w:t>八、本保函适用的法律为中华人民共和国法律，</w:t>
      </w:r>
      <w:r>
        <w:rPr>
          <w:rFonts w:ascii="仿宋" w:hAnsi="仿宋" w:eastAsia="仿宋" w:cs="仿宋"/>
          <w:spacing w:val="-32"/>
          <w:sz w:val="24"/>
          <w:szCs w:val="24"/>
          <w:highlight w:val="none"/>
        </w:rPr>
        <w:t xml:space="preserve"> </w:t>
      </w:r>
      <w:r>
        <w:rPr>
          <w:rFonts w:ascii="仿宋" w:hAnsi="仿宋" w:eastAsia="仿宋" w:cs="仿宋"/>
          <w:spacing w:val="14"/>
          <w:sz w:val="24"/>
          <w:szCs w:val="24"/>
          <w:highlight w:val="none"/>
        </w:rPr>
        <w:t>争议裁判管辖地为中华人民共和国</w:t>
      </w:r>
    </w:p>
    <w:p w14:paraId="709118FA">
      <w:pPr>
        <w:spacing w:before="319" w:line="54" w:lineRule="exact"/>
        <w:ind w:left="1351"/>
        <w:rPr>
          <w:rFonts w:ascii="仿宋" w:hAnsi="仿宋" w:eastAsia="仿宋" w:cs="仿宋"/>
          <w:sz w:val="24"/>
          <w:szCs w:val="24"/>
          <w:highlight w:val="none"/>
        </w:rPr>
      </w:pPr>
      <w:r>
        <w:rPr>
          <w:highlight w:val="none"/>
        </w:rPr>
        <w:pict>
          <v:shape id="_x0000_s1027" o:spid="_x0000_s1027" o:spt="202" type="#_x0000_t202" style="position:absolute;left:0pt;margin-left:-1pt;margin-top:9.3pt;height:14.1pt;width:67.95pt;z-index:251660288;mso-width-relative:page;mso-height-relative:page;" filled="f" stroked="f" coordsize="21600,21600">
            <v:path/>
            <v:fill on="f" focussize="0,0"/>
            <v:stroke on="f"/>
            <v:imagedata o:title=""/>
            <o:lock v:ext="edit" aspectratio="f"/>
            <v:textbox inset="0mm,0mm,0mm,0mm">
              <w:txbxContent>
                <w:p w14:paraId="12D5024C">
                  <w:pPr>
                    <w:pStyle w:val="3"/>
                    <w:tabs>
                      <w:tab w:val="left" w:pos="1338"/>
                    </w:tabs>
                    <w:spacing w:before="19"/>
                    <w:ind w:left="20"/>
                  </w:pPr>
                  <w:r>
                    <w:rPr>
                      <w:u w:val="single" w:color="auto"/>
                    </w:rPr>
                    <w:tab/>
                  </w:r>
                </w:p>
              </w:txbxContent>
            </v:textbox>
          </v:shape>
        </w:pict>
      </w:r>
      <w:r>
        <w:rPr>
          <w:rFonts w:ascii="仿宋" w:hAnsi="仿宋" w:eastAsia="仿宋" w:cs="仿宋"/>
          <w:sz w:val="24"/>
          <w:szCs w:val="24"/>
          <w:highlight w:val="none"/>
        </w:rPr>
        <w:t>。</w:t>
      </w:r>
    </w:p>
    <w:p w14:paraId="0278AA38">
      <w:pPr>
        <w:spacing w:before="227" w:line="216" w:lineRule="auto"/>
        <w:ind w:left="504"/>
        <w:rPr>
          <w:rFonts w:ascii="仿宋" w:hAnsi="仿宋" w:eastAsia="仿宋" w:cs="仿宋"/>
          <w:sz w:val="24"/>
          <w:szCs w:val="24"/>
          <w:highlight w:val="none"/>
        </w:rPr>
      </w:pPr>
      <w:r>
        <w:rPr>
          <w:rFonts w:ascii="仿宋" w:hAnsi="仿宋" w:eastAsia="仿宋" w:cs="仿宋"/>
          <w:spacing w:val="-1"/>
          <w:sz w:val="24"/>
          <w:szCs w:val="24"/>
          <w:highlight w:val="none"/>
        </w:rPr>
        <w:t>九、本保函自我方法定代表人或授权代表签字并加盖公章之日起生效。</w:t>
      </w:r>
    </w:p>
    <w:p w14:paraId="519606B5">
      <w:pPr>
        <w:spacing w:before="158" w:line="217" w:lineRule="auto"/>
        <w:ind w:left="616"/>
        <w:rPr>
          <w:rFonts w:ascii="仿宋" w:hAnsi="仿宋" w:eastAsia="仿宋" w:cs="仿宋"/>
          <w:sz w:val="24"/>
          <w:szCs w:val="24"/>
          <w:highlight w:val="none"/>
        </w:rPr>
      </w:pPr>
      <w:r>
        <w:rPr>
          <w:rFonts w:ascii="仿宋" w:hAnsi="仿宋" w:eastAsia="仿宋" w:cs="仿宋"/>
          <w:spacing w:val="-2"/>
          <w:sz w:val="24"/>
          <w:szCs w:val="24"/>
          <w:highlight w:val="none"/>
        </w:rPr>
        <w:t>开立人（出函担保机构</w:t>
      </w:r>
      <w:r>
        <w:rPr>
          <w:rFonts w:ascii="仿宋" w:hAnsi="仿宋" w:eastAsia="仿宋" w:cs="仿宋"/>
          <w:spacing w:val="-3"/>
          <w:sz w:val="24"/>
          <w:szCs w:val="24"/>
          <w:highlight w:val="none"/>
        </w:rPr>
        <w:t>）：（</w:t>
      </w:r>
      <w:r>
        <w:rPr>
          <w:rFonts w:ascii="仿宋" w:hAnsi="仿宋" w:eastAsia="仿宋" w:cs="仿宋"/>
          <w:spacing w:val="-2"/>
          <w:sz w:val="24"/>
          <w:szCs w:val="24"/>
          <w:highlight w:val="none"/>
        </w:rPr>
        <w:t>公章）</w:t>
      </w:r>
    </w:p>
    <w:p w14:paraId="4E58C025">
      <w:pPr>
        <w:spacing w:before="157" w:line="217" w:lineRule="auto"/>
        <w:ind w:left="504"/>
        <w:rPr>
          <w:rFonts w:ascii="仿宋" w:hAnsi="仿宋" w:eastAsia="仿宋" w:cs="仿宋"/>
          <w:sz w:val="24"/>
          <w:szCs w:val="24"/>
          <w:highlight w:val="none"/>
        </w:rPr>
      </w:pPr>
      <w:r>
        <w:rPr>
          <w:rFonts w:ascii="仿宋" w:hAnsi="仿宋" w:eastAsia="仿宋" w:cs="仿宋"/>
          <w:spacing w:val="-2"/>
          <w:sz w:val="24"/>
          <w:szCs w:val="24"/>
          <w:highlight w:val="none"/>
        </w:rPr>
        <w:t>法定代表人（或授权代表</w:t>
      </w:r>
      <w:r>
        <w:rPr>
          <w:rFonts w:ascii="仿宋" w:hAnsi="仿宋" w:eastAsia="仿宋" w:cs="仿宋"/>
          <w:spacing w:val="1"/>
          <w:sz w:val="24"/>
          <w:szCs w:val="24"/>
          <w:highlight w:val="none"/>
        </w:rPr>
        <w:t>）（</w:t>
      </w:r>
      <w:r>
        <w:rPr>
          <w:rFonts w:ascii="仿宋" w:hAnsi="仿宋" w:eastAsia="仿宋" w:cs="仿宋"/>
          <w:spacing w:val="-2"/>
          <w:sz w:val="24"/>
          <w:szCs w:val="24"/>
          <w:highlight w:val="none"/>
        </w:rPr>
        <w:t>出函担保机构</w:t>
      </w:r>
      <w:r>
        <w:rPr>
          <w:rFonts w:ascii="仿宋" w:hAnsi="仿宋" w:eastAsia="仿宋" w:cs="仿宋"/>
          <w:spacing w:val="1"/>
          <w:sz w:val="24"/>
          <w:szCs w:val="24"/>
          <w:highlight w:val="none"/>
        </w:rPr>
        <w:t>）：（</w:t>
      </w:r>
      <w:r>
        <w:rPr>
          <w:rFonts w:ascii="仿宋" w:hAnsi="仿宋" w:eastAsia="仿宋" w:cs="仿宋"/>
          <w:spacing w:val="-2"/>
          <w:sz w:val="24"/>
          <w:szCs w:val="24"/>
          <w:highlight w:val="none"/>
        </w:rPr>
        <w:t>签字或签章）</w:t>
      </w:r>
    </w:p>
    <w:p w14:paraId="71ACCA28">
      <w:pPr>
        <w:spacing w:before="161" w:line="227" w:lineRule="auto"/>
        <w:ind w:left="497"/>
        <w:rPr>
          <w:rFonts w:ascii="仿宋" w:hAnsi="仿宋" w:eastAsia="仿宋" w:cs="仿宋"/>
          <w:sz w:val="24"/>
          <w:szCs w:val="24"/>
          <w:highlight w:val="none"/>
        </w:rPr>
      </w:pPr>
      <w:r>
        <w:rPr>
          <w:rFonts w:ascii="仿宋" w:hAnsi="仿宋" w:eastAsia="仿宋" w:cs="仿宋"/>
          <w:spacing w:val="-13"/>
          <w:sz w:val="24"/>
          <w:szCs w:val="24"/>
          <w:highlight w:val="none"/>
        </w:rPr>
        <w:t>地</w:t>
      </w:r>
      <w:r>
        <w:rPr>
          <w:rFonts w:ascii="仿宋" w:hAnsi="仿宋" w:eastAsia="仿宋" w:cs="仿宋"/>
          <w:spacing w:val="5"/>
          <w:sz w:val="24"/>
          <w:szCs w:val="24"/>
          <w:highlight w:val="none"/>
        </w:rPr>
        <w:t xml:space="preserve">    </w:t>
      </w:r>
      <w:r>
        <w:rPr>
          <w:rFonts w:ascii="仿宋" w:hAnsi="仿宋" w:eastAsia="仿宋" w:cs="仿宋"/>
          <w:spacing w:val="-13"/>
          <w:sz w:val="24"/>
          <w:szCs w:val="24"/>
          <w:highlight w:val="none"/>
        </w:rPr>
        <w:t>址：</w:t>
      </w:r>
    </w:p>
    <w:p w14:paraId="4AC72330">
      <w:pPr>
        <w:spacing w:before="143" w:line="217" w:lineRule="auto"/>
        <w:ind w:left="509"/>
        <w:rPr>
          <w:rFonts w:ascii="仿宋" w:hAnsi="仿宋" w:eastAsia="仿宋" w:cs="仿宋"/>
          <w:sz w:val="24"/>
          <w:szCs w:val="24"/>
          <w:highlight w:val="none"/>
        </w:rPr>
      </w:pPr>
      <w:r>
        <w:rPr>
          <w:rFonts w:ascii="仿宋" w:hAnsi="仿宋" w:eastAsia="仿宋" w:cs="仿宋"/>
          <w:spacing w:val="-8"/>
          <w:sz w:val="24"/>
          <w:szCs w:val="24"/>
          <w:highlight w:val="none"/>
        </w:rPr>
        <w:t>邮政编码：</w:t>
      </w:r>
      <w:r>
        <w:rPr>
          <w:rFonts w:ascii="仿宋" w:hAnsi="仿宋" w:eastAsia="仿宋" w:cs="仿宋"/>
          <w:sz w:val="24"/>
          <w:szCs w:val="24"/>
          <w:highlight w:val="none"/>
          <w:u w:val="single" w:color="auto"/>
        </w:rPr>
        <w:t xml:space="preserve">                     </w:t>
      </w:r>
    </w:p>
    <w:p w14:paraId="66A1A7BE">
      <w:pPr>
        <w:spacing w:line="217" w:lineRule="auto"/>
        <w:rPr>
          <w:rFonts w:ascii="仿宋" w:hAnsi="仿宋" w:eastAsia="仿宋" w:cs="仿宋"/>
          <w:sz w:val="24"/>
          <w:szCs w:val="24"/>
          <w:highlight w:val="none"/>
        </w:rPr>
        <w:sectPr>
          <w:footerReference r:id="rId89" w:type="default"/>
          <w:pgSz w:w="11907" w:h="16839"/>
          <w:pgMar w:top="1431" w:right="1023" w:bottom="1127" w:left="1082" w:header="0" w:footer="896" w:gutter="0"/>
          <w:cols w:space="720" w:num="1"/>
        </w:sectPr>
      </w:pPr>
    </w:p>
    <w:p w14:paraId="10B39B7D">
      <w:pPr>
        <w:spacing w:before="155" w:line="219" w:lineRule="auto"/>
        <w:ind w:left="507"/>
        <w:rPr>
          <w:rFonts w:ascii="仿宋" w:hAnsi="仿宋" w:eastAsia="仿宋" w:cs="仿宋"/>
          <w:sz w:val="24"/>
          <w:szCs w:val="24"/>
          <w:highlight w:val="none"/>
        </w:rPr>
      </w:pPr>
      <w:r>
        <w:rPr>
          <w:rFonts w:ascii="仿宋" w:hAnsi="仿宋" w:eastAsia="仿宋" w:cs="仿宋"/>
          <w:spacing w:val="-21"/>
          <w:sz w:val="24"/>
          <w:szCs w:val="24"/>
          <w:highlight w:val="none"/>
        </w:rPr>
        <w:t>电</w:t>
      </w:r>
      <w:r>
        <w:rPr>
          <w:rFonts w:ascii="仿宋" w:hAnsi="仿宋" w:eastAsia="仿宋" w:cs="仿宋"/>
          <w:spacing w:val="4"/>
          <w:sz w:val="24"/>
          <w:szCs w:val="24"/>
          <w:highlight w:val="none"/>
        </w:rPr>
        <w:t xml:space="preserve">    </w:t>
      </w:r>
      <w:r>
        <w:rPr>
          <w:rFonts w:ascii="仿宋" w:hAnsi="仿宋" w:eastAsia="仿宋" w:cs="仿宋"/>
          <w:spacing w:val="-21"/>
          <w:sz w:val="24"/>
          <w:szCs w:val="24"/>
          <w:highlight w:val="none"/>
        </w:rPr>
        <w:t>话：</w:t>
      </w:r>
      <w:r>
        <w:rPr>
          <w:rFonts w:ascii="仿宋" w:hAnsi="仿宋" w:eastAsia="仿宋" w:cs="仿宋"/>
          <w:sz w:val="24"/>
          <w:szCs w:val="24"/>
          <w:highlight w:val="none"/>
          <w:u w:val="single" w:color="auto"/>
        </w:rPr>
        <w:t xml:space="preserve">                      </w:t>
      </w:r>
    </w:p>
    <w:p w14:paraId="482D7CD1">
      <w:pPr>
        <w:spacing w:before="154" w:line="219" w:lineRule="auto"/>
        <w:ind w:left="484"/>
        <w:rPr>
          <w:rFonts w:ascii="仿宋" w:hAnsi="仿宋" w:eastAsia="仿宋" w:cs="仿宋"/>
          <w:sz w:val="24"/>
          <w:szCs w:val="24"/>
          <w:highlight w:val="none"/>
        </w:rPr>
      </w:pPr>
      <w:r>
        <w:rPr>
          <w:rFonts w:ascii="仿宋" w:hAnsi="仿宋" w:eastAsia="仿宋" w:cs="仿宋"/>
          <w:spacing w:val="-9"/>
          <w:sz w:val="24"/>
          <w:szCs w:val="24"/>
          <w:highlight w:val="none"/>
        </w:rPr>
        <w:t>传</w:t>
      </w:r>
      <w:r>
        <w:rPr>
          <w:rFonts w:ascii="仿宋" w:hAnsi="仿宋" w:eastAsia="仿宋" w:cs="仿宋"/>
          <w:spacing w:val="8"/>
          <w:sz w:val="24"/>
          <w:szCs w:val="24"/>
          <w:highlight w:val="none"/>
        </w:rPr>
        <w:t xml:space="preserve">    </w:t>
      </w:r>
      <w:r>
        <w:rPr>
          <w:rFonts w:ascii="仿宋" w:hAnsi="仿宋" w:eastAsia="仿宋" w:cs="仿宋"/>
          <w:spacing w:val="-9"/>
          <w:sz w:val="24"/>
          <w:szCs w:val="24"/>
          <w:highlight w:val="none"/>
        </w:rPr>
        <w:t>真：</w:t>
      </w:r>
      <w:r>
        <w:rPr>
          <w:rFonts w:ascii="仿宋" w:hAnsi="仿宋" w:eastAsia="仿宋" w:cs="仿宋"/>
          <w:spacing w:val="-9"/>
          <w:sz w:val="24"/>
          <w:szCs w:val="24"/>
          <w:highlight w:val="none"/>
          <w:u w:val="single" w:color="auto"/>
        </w:rPr>
        <w:t xml:space="preserve">                       </w:t>
      </w:r>
    </w:p>
    <w:p w14:paraId="1FE49E11">
      <w:pPr>
        <w:spacing w:before="157" w:line="218"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开立时间：年月</w:t>
      </w:r>
    </w:p>
    <w:p w14:paraId="2C302BE6">
      <w:pPr>
        <w:spacing w:before="155" w:line="339" w:lineRule="auto"/>
        <w:ind w:right="104" w:firstLine="504"/>
        <w:jc w:val="both"/>
        <w:rPr>
          <w:rFonts w:ascii="仿宋" w:hAnsi="仿宋" w:eastAsia="仿宋" w:cs="仿宋"/>
          <w:sz w:val="24"/>
          <w:szCs w:val="24"/>
          <w:highlight w:val="none"/>
        </w:rPr>
      </w:pPr>
      <w:r>
        <w:rPr>
          <w:rFonts w:ascii="仿宋" w:hAnsi="仿宋" w:eastAsia="仿宋" w:cs="仿宋"/>
          <w:spacing w:val="9"/>
          <w:sz w:val="24"/>
          <w:szCs w:val="24"/>
          <w:highlight w:val="none"/>
        </w:rPr>
        <w:t>注：保函期限必须大于投标有效期。投标人须将采用的纸质保函原件扫描件编入投标文件，未编入的视为未提供投标担保，其投标无效；虽提交了纸质保函原件扫描件，但其载明的要素与权利义务的要求，不符合格式文本要求，没有按照招标文件约定、投标人的承诺承担所有保证事项、或者不是无条件见索即付式的保函，视为未提交保函，其投标无</w:t>
      </w:r>
      <w:r>
        <w:rPr>
          <w:rFonts w:ascii="仿宋" w:hAnsi="仿宋" w:eastAsia="仿宋" w:cs="仿宋"/>
          <w:spacing w:val="-8"/>
          <w:sz w:val="24"/>
          <w:szCs w:val="24"/>
          <w:highlight w:val="none"/>
        </w:rPr>
        <w:t>效。</w:t>
      </w:r>
    </w:p>
    <w:p w14:paraId="397DD8E3">
      <w:pPr>
        <w:pStyle w:val="3"/>
        <w:spacing w:line="463" w:lineRule="auto"/>
        <w:rPr>
          <w:highlight w:val="none"/>
        </w:rPr>
      </w:pPr>
    </w:p>
    <w:p w14:paraId="6B126DD1">
      <w:pPr>
        <w:spacing w:before="78" w:line="220" w:lineRule="auto"/>
        <w:ind w:left="3662"/>
        <w:rPr>
          <w:rFonts w:ascii="黑体" w:hAnsi="黑体" w:eastAsia="黑体" w:cs="黑体"/>
          <w:sz w:val="24"/>
          <w:szCs w:val="24"/>
          <w:highlight w:val="none"/>
        </w:rPr>
      </w:pPr>
      <w:r>
        <w:rPr>
          <w:rFonts w:ascii="黑体" w:hAnsi="黑体" w:eastAsia="黑体" w:cs="黑体"/>
          <w:spacing w:val="-1"/>
          <w:sz w:val="24"/>
          <w:szCs w:val="24"/>
          <w:highlight w:val="none"/>
        </w:rPr>
        <w:t>保证保险（纸质）格式</w:t>
      </w:r>
    </w:p>
    <w:p w14:paraId="4541BA23">
      <w:pPr>
        <w:spacing w:before="166" w:line="216" w:lineRule="auto"/>
        <w:ind w:left="480"/>
        <w:rPr>
          <w:rFonts w:ascii="仿宋" w:hAnsi="仿宋" w:eastAsia="仿宋" w:cs="仿宋"/>
          <w:sz w:val="24"/>
          <w:szCs w:val="24"/>
          <w:highlight w:val="none"/>
        </w:rPr>
      </w:pPr>
      <w:r>
        <w:rPr>
          <w:rFonts w:ascii="仿宋" w:hAnsi="仿宋" w:eastAsia="仿宋" w:cs="仿宋"/>
          <w:spacing w:val="-2"/>
          <w:sz w:val="24"/>
          <w:szCs w:val="24"/>
          <w:highlight w:val="none"/>
        </w:rPr>
        <w:t>投标人（即</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申请人</w:t>
      </w:r>
      <w:r>
        <w:rPr>
          <w:rFonts w:ascii="Times New Roman" w:hAnsi="Times New Roman" w:eastAsia="Times New Roman" w:cs="Times New Roman"/>
          <w:spacing w:val="-2"/>
          <w:sz w:val="24"/>
          <w:szCs w:val="24"/>
          <w:highlight w:val="none"/>
        </w:rPr>
        <w:t>”</w:t>
      </w:r>
      <w:r>
        <w:rPr>
          <w:rFonts w:ascii="仿宋" w:hAnsi="仿宋" w:eastAsia="仿宋" w:cs="仿宋"/>
          <w:spacing w:val="-12"/>
          <w:sz w:val="24"/>
          <w:szCs w:val="24"/>
          <w:highlight w:val="none"/>
        </w:rPr>
        <w:t>）：</w:t>
      </w:r>
    </w:p>
    <w:p w14:paraId="15BD59F0">
      <w:pPr>
        <w:spacing w:before="161" w:line="227" w:lineRule="auto"/>
        <w:ind w:left="477"/>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3F1D2E68">
      <w:pPr>
        <w:spacing w:before="144" w:line="218" w:lineRule="auto"/>
        <w:ind w:left="480"/>
        <w:rPr>
          <w:rFonts w:ascii="仿宋" w:hAnsi="仿宋" w:eastAsia="仿宋" w:cs="仿宋"/>
          <w:sz w:val="24"/>
          <w:szCs w:val="24"/>
          <w:highlight w:val="none"/>
        </w:rPr>
      </w:pPr>
      <w:r>
        <w:rPr>
          <w:rFonts w:ascii="仿宋" w:hAnsi="仿宋" w:eastAsia="仿宋" w:cs="仿宋"/>
          <w:spacing w:val="-2"/>
          <w:sz w:val="24"/>
          <w:szCs w:val="24"/>
          <w:highlight w:val="none"/>
        </w:rPr>
        <w:t>招标人（即</w:t>
      </w:r>
      <w:r>
        <w:rPr>
          <w:rFonts w:ascii="Times New Roman" w:hAnsi="Times New Roman" w:eastAsia="Times New Roman" w:cs="Times New Roman"/>
          <w:spacing w:val="-2"/>
          <w:sz w:val="24"/>
          <w:szCs w:val="24"/>
          <w:highlight w:val="none"/>
        </w:rPr>
        <w:t>“</w:t>
      </w:r>
      <w:r>
        <w:rPr>
          <w:rFonts w:ascii="仿宋" w:hAnsi="仿宋" w:eastAsia="仿宋" w:cs="仿宋"/>
          <w:spacing w:val="-2"/>
          <w:sz w:val="24"/>
          <w:szCs w:val="24"/>
          <w:highlight w:val="none"/>
        </w:rPr>
        <w:t>受益人</w:t>
      </w:r>
      <w:r>
        <w:rPr>
          <w:rFonts w:ascii="Times New Roman" w:hAnsi="Times New Roman" w:eastAsia="Times New Roman" w:cs="Times New Roman"/>
          <w:spacing w:val="-2"/>
          <w:sz w:val="24"/>
          <w:szCs w:val="24"/>
          <w:highlight w:val="none"/>
        </w:rPr>
        <w:t>”</w:t>
      </w:r>
      <w:r>
        <w:rPr>
          <w:rFonts w:ascii="仿宋" w:hAnsi="仿宋" w:eastAsia="仿宋" w:cs="仿宋"/>
          <w:spacing w:val="-12"/>
          <w:sz w:val="24"/>
          <w:szCs w:val="24"/>
          <w:highlight w:val="none"/>
        </w:rPr>
        <w:t>）：</w:t>
      </w:r>
    </w:p>
    <w:p w14:paraId="3382D934">
      <w:pPr>
        <w:spacing w:before="156" w:line="227" w:lineRule="auto"/>
        <w:ind w:left="477"/>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3F8D8E00">
      <w:pPr>
        <w:spacing w:before="146" w:line="217" w:lineRule="auto"/>
        <w:ind w:left="476"/>
        <w:rPr>
          <w:rFonts w:ascii="仿宋" w:hAnsi="仿宋" w:eastAsia="仿宋" w:cs="仿宋"/>
          <w:sz w:val="24"/>
          <w:szCs w:val="24"/>
          <w:highlight w:val="none"/>
        </w:rPr>
      </w:pPr>
      <w:r>
        <w:rPr>
          <w:rFonts w:ascii="仿宋" w:hAnsi="仿宋" w:eastAsia="仿宋" w:cs="仿宋"/>
          <w:spacing w:val="-2"/>
          <w:sz w:val="24"/>
          <w:szCs w:val="24"/>
          <w:highlight w:val="none"/>
        </w:rPr>
        <w:t>开立人（出函保险机构</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p>
    <w:p w14:paraId="2D460FD3">
      <w:pPr>
        <w:spacing w:before="158" w:line="227" w:lineRule="auto"/>
        <w:ind w:left="477"/>
        <w:rPr>
          <w:rFonts w:ascii="仿宋" w:hAnsi="仿宋" w:eastAsia="仿宋" w:cs="仿宋"/>
          <w:sz w:val="24"/>
          <w:szCs w:val="24"/>
          <w:highlight w:val="none"/>
        </w:rPr>
      </w:pPr>
      <w:r>
        <w:rPr>
          <w:rFonts w:ascii="仿宋" w:hAnsi="仿宋" w:eastAsia="仿宋" w:cs="仿宋"/>
          <w:spacing w:val="-7"/>
          <w:sz w:val="24"/>
          <w:szCs w:val="24"/>
          <w:highlight w:val="none"/>
        </w:rPr>
        <w:t>地址：</w:t>
      </w:r>
      <w:r>
        <w:rPr>
          <w:rFonts w:ascii="仿宋" w:hAnsi="仿宋" w:eastAsia="仿宋" w:cs="仿宋"/>
          <w:sz w:val="24"/>
          <w:szCs w:val="24"/>
          <w:highlight w:val="none"/>
          <w:u w:val="single" w:color="auto"/>
        </w:rPr>
        <w:t xml:space="preserve">                         </w:t>
      </w:r>
    </w:p>
    <w:p w14:paraId="1E55FFDB">
      <w:pPr>
        <w:spacing w:before="143" w:line="217" w:lineRule="auto"/>
        <w:ind w:left="484"/>
        <w:rPr>
          <w:rFonts w:ascii="仿宋" w:hAnsi="仿宋" w:eastAsia="仿宋" w:cs="仿宋"/>
          <w:sz w:val="24"/>
          <w:szCs w:val="24"/>
          <w:highlight w:val="none"/>
        </w:rPr>
      </w:pPr>
      <w:r>
        <w:rPr>
          <w:rFonts w:ascii="仿宋" w:hAnsi="仿宋" w:eastAsia="仿宋" w:cs="仿宋"/>
          <w:spacing w:val="-2"/>
          <w:sz w:val="24"/>
          <w:szCs w:val="24"/>
          <w:highlight w:val="none"/>
        </w:rPr>
        <w:t>致</w:t>
      </w:r>
      <w:r>
        <w:rPr>
          <w:rFonts w:ascii="仿宋" w:hAnsi="仿宋" w:eastAsia="仿宋" w:cs="仿宋"/>
          <w:spacing w:val="-3"/>
          <w:sz w:val="24"/>
          <w:szCs w:val="24"/>
          <w:highlight w:val="none"/>
        </w:rPr>
        <w:t>：</w:t>
      </w:r>
      <w:r>
        <w:rPr>
          <w:rFonts w:ascii="仿宋" w:hAnsi="仿宋" w:eastAsia="仿宋" w:cs="仿宋"/>
          <w:spacing w:val="-3"/>
          <w:sz w:val="24"/>
          <w:szCs w:val="24"/>
          <w:highlight w:val="none"/>
          <w:u w:val="single" w:color="auto"/>
        </w:rPr>
        <w:t>（</w:t>
      </w:r>
      <w:r>
        <w:rPr>
          <w:rFonts w:ascii="仿宋" w:hAnsi="仿宋" w:eastAsia="仿宋" w:cs="仿宋"/>
          <w:spacing w:val="-2"/>
          <w:sz w:val="24"/>
          <w:szCs w:val="24"/>
          <w:highlight w:val="none"/>
          <w:u w:val="single" w:color="auto"/>
        </w:rPr>
        <w:t>招标人名称）</w:t>
      </w:r>
    </w:p>
    <w:p w14:paraId="280F419D">
      <w:pPr>
        <w:spacing w:before="162" w:line="338" w:lineRule="auto"/>
        <w:ind w:right="104" w:firstLine="489"/>
        <w:rPr>
          <w:rFonts w:ascii="仿宋" w:hAnsi="仿宋" w:eastAsia="仿宋" w:cs="仿宋"/>
          <w:sz w:val="24"/>
          <w:szCs w:val="24"/>
          <w:highlight w:val="none"/>
        </w:rPr>
      </w:pPr>
      <w:r>
        <w:rPr>
          <w:rFonts w:ascii="仿宋" w:hAnsi="仿宋" w:eastAsia="仿宋" w:cs="仿宋"/>
          <w:spacing w:val="-11"/>
          <w:sz w:val="24"/>
          <w:szCs w:val="24"/>
          <w:highlight w:val="none"/>
        </w:rPr>
        <w:t>我方（即“开立人”）已获得通知，本保证保险</w:t>
      </w:r>
      <w:r>
        <w:rPr>
          <w:rFonts w:ascii="仿宋" w:hAnsi="仿宋" w:eastAsia="仿宋" w:cs="仿宋"/>
          <w:spacing w:val="-12"/>
          <w:sz w:val="24"/>
          <w:szCs w:val="24"/>
          <w:highlight w:val="none"/>
        </w:rPr>
        <w:t>申请人（即“投标人”）已响应贵方于   年</w:t>
      </w:r>
      <w:r>
        <w:rPr>
          <w:rFonts w:ascii="仿宋" w:hAnsi="仿宋" w:eastAsia="仿宋" w:cs="仿宋"/>
          <w:spacing w:val="-5"/>
          <w:sz w:val="24"/>
          <w:szCs w:val="24"/>
          <w:highlight w:val="none"/>
        </w:rPr>
        <w:t>月</w:t>
      </w:r>
      <w:r>
        <w:rPr>
          <w:rFonts w:ascii="仿宋" w:hAnsi="仿宋" w:eastAsia="仿宋" w:cs="仿宋"/>
          <w:spacing w:val="42"/>
          <w:sz w:val="24"/>
          <w:szCs w:val="24"/>
          <w:highlight w:val="none"/>
        </w:rPr>
        <w:t xml:space="preserve">  </w:t>
      </w:r>
      <w:r>
        <w:rPr>
          <w:rFonts w:ascii="仿宋" w:hAnsi="仿宋" w:eastAsia="仿宋" w:cs="仿宋"/>
          <w:spacing w:val="-5"/>
          <w:sz w:val="24"/>
          <w:szCs w:val="24"/>
          <w:highlight w:val="none"/>
        </w:rPr>
        <w:t>日就（以下简称“本项目”）发出的招标文件，并已向招标人（即“受益人”）提交了投</w:t>
      </w:r>
      <w:r>
        <w:rPr>
          <w:rFonts w:ascii="仿宋" w:hAnsi="仿宋" w:eastAsia="仿宋" w:cs="仿宋"/>
          <w:spacing w:val="-4"/>
          <w:sz w:val="24"/>
          <w:szCs w:val="24"/>
          <w:highlight w:val="none"/>
        </w:rPr>
        <w:t>标文件（即“基础交易”）。</w:t>
      </w:r>
    </w:p>
    <w:p w14:paraId="6DA30A32">
      <w:pPr>
        <w:spacing w:before="5" w:line="307" w:lineRule="auto"/>
        <w:ind w:left="2" w:firstLine="482"/>
        <w:rPr>
          <w:rFonts w:ascii="仿宋" w:hAnsi="仿宋" w:eastAsia="仿宋" w:cs="仿宋"/>
          <w:sz w:val="24"/>
          <w:szCs w:val="24"/>
          <w:highlight w:val="none"/>
        </w:rPr>
      </w:pPr>
      <w:r>
        <w:rPr>
          <w:rFonts w:ascii="仿宋" w:hAnsi="仿宋" w:eastAsia="仿宋" w:cs="仿宋"/>
          <w:spacing w:val="-4"/>
          <w:sz w:val="24"/>
          <w:szCs w:val="24"/>
          <w:highlight w:val="none"/>
        </w:rPr>
        <w:t>一、我方理解根据招标条件，投标人必须提交一份投标保证保险</w:t>
      </w:r>
      <w:r>
        <w:rPr>
          <w:rFonts w:ascii="仿宋" w:hAnsi="仿宋" w:eastAsia="仿宋" w:cs="仿宋"/>
          <w:b/>
          <w:bCs/>
          <w:spacing w:val="-4"/>
          <w:sz w:val="24"/>
          <w:szCs w:val="24"/>
          <w:highlight w:val="none"/>
        </w:rPr>
        <w:t>（以下简称</w:t>
      </w:r>
      <w:r>
        <w:rPr>
          <w:rFonts w:ascii="Times New Roman" w:hAnsi="Times New Roman" w:eastAsia="Times New Roman" w:cs="Times New Roman"/>
          <w:b/>
          <w:bCs/>
          <w:spacing w:val="-4"/>
          <w:sz w:val="24"/>
          <w:szCs w:val="24"/>
          <w:highlight w:val="none"/>
        </w:rPr>
        <w:t>“</w:t>
      </w:r>
      <w:r>
        <w:rPr>
          <w:rFonts w:ascii="仿宋" w:hAnsi="仿宋" w:eastAsia="仿宋" w:cs="仿宋"/>
          <w:b/>
          <w:bCs/>
          <w:spacing w:val="-4"/>
          <w:sz w:val="24"/>
          <w:szCs w:val="24"/>
          <w:highlight w:val="none"/>
        </w:rPr>
        <w:t>本保险</w:t>
      </w:r>
      <w:r>
        <w:rPr>
          <w:rFonts w:ascii="Times New Roman" w:hAnsi="Times New Roman" w:eastAsia="Times New Roman" w:cs="Times New Roman"/>
          <w:b/>
          <w:bCs/>
          <w:spacing w:val="-4"/>
          <w:sz w:val="24"/>
          <w:szCs w:val="24"/>
          <w:highlight w:val="none"/>
        </w:rPr>
        <w:t>”</w:t>
      </w:r>
      <w:r>
        <w:rPr>
          <w:rFonts w:ascii="仿宋" w:hAnsi="仿宋" w:eastAsia="仿宋" w:cs="仿宋"/>
          <w:b/>
          <w:bCs/>
          <w:spacing w:val="21"/>
          <w:sz w:val="24"/>
          <w:szCs w:val="24"/>
          <w:highlight w:val="none"/>
        </w:rPr>
        <w:t>），</w:t>
      </w:r>
      <w:r>
        <w:rPr>
          <w:rFonts w:ascii="仿宋" w:hAnsi="仿宋" w:eastAsia="仿宋" w:cs="仿宋"/>
          <w:spacing w:val="2"/>
          <w:sz w:val="24"/>
          <w:szCs w:val="24"/>
          <w:highlight w:val="none"/>
        </w:rPr>
        <w:t>以担保投标人诚信履行其在</w:t>
      </w:r>
      <w:r>
        <w:rPr>
          <w:rFonts w:ascii="仿宋" w:hAnsi="仿宋" w:eastAsia="仿宋" w:cs="仿宋"/>
          <w:b/>
          <w:bCs/>
          <w:spacing w:val="2"/>
          <w:sz w:val="24"/>
          <w:szCs w:val="24"/>
          <w:highlight w:val="none"/>
        </w:rPr>
        <w:t>上述基础交易</w:t>
      </w:r>
      <w:r>
        <w:rPr>
          <w:rFonts w:ascii="仿宋" w:hAnsi="仿宋" w:eastAsia="仿宋" w:cs="仿宋"/>
          <w:spacing w:val="2"/>
          <w:sz w:val="24"/>
          <w:szCs w:val="24"/>
          <w:highlight w:val="none"/>
        </w:rPr>
        <w:t>中承担的投标人义务。鉴此，应投标人要求，我方</w:t>
      </w:r>
      <w:r>
        <w:rPr>
          <w:rFonts w:ascii="仿宋" w:hAnsi="仿宋" w:eastAsia="仿宋" w:cs="仿宋"/>
          <w:spacing w:val="15"/>
          <w:sz w:val="24"/>
          <w:szCs w:val="24"/>
          <w:highlight w:val="none"/>
        </w:rPr>
        <w:t>在此</w:t>
      </w:r>
      <w:r>
        <w:rPr>
          <w:rFonts w:ascii="仿宋" w:hAnsi="仿宋" w:eastAsia="仿宋" w:cs="仿宋"/>
          <w:spacing w:val="-36"/>
          <w:sz w:val="24"/>
          <w:szCs w:val="24"/>
          <w:highlight w:val="none"/>
        </w:rPr>
        <w:t xml:space="preserve"> </w:t>
      </w:r>
      <w:r>
        <w:rPr>
          <w:rFonts w:ascii="仿宋" w:hAnsi="仿宋" w:eastAsia="仿宋" w:cs="仿宋"/>
          <w:spacing w:val="15"/>
          <w:sz w:val="24"/>
          <w:szCs w:val="24"/>
          <w:highlight w:val="none"/>
        </w:rPr>
        <w:t>同</w:t>
      </w:r>
      <w:r>
        <w:rPr>
          <w:rFonts w:ascii="仿宋" w:hAnsi="仿宋" w:eastAsia="仿宋" w:cs="仿宋"/>
          <w:spacing w:val="-66"/>
          <w:sz w:val="24"/>
          <w:szCs w:val="24"/>
          <w:highlight w:val="none"/>
        </w:rPr>
        <w:t xml:space="preserve"> </w:t>
      </w:r>
      <w:r>
        <w:rPr>
          <w:rFonts w:ascii="仿宋" w:hAnsi="仿宋" w:eastAsia="仿宋" w:cs="仿宋"/>
          <w:spacing w:val="15"/>
          <w:sz w:val="24"/>
          <w:szCs w:val="24"/>
          <w:highlight w:val="none"/>
        </w:rPr>
        <w:t>意向贵方出具此投标保证保险，本保证保险担保金额最高不超过人民币（大写）</w:t>
      </w:r>
      <w:r>
        <w:rPr>
          <w:rFonts w:ascii="仿宋" w:hAnsi="仿宋" w:eastAsia="仿宋" w:cs="仿宋"/>
          <w:spacing w:val="31"/>
          <w:w w:val="108"/>
          <w:sz w:val="24"/>
          <w:szCs w:val="24"/>
          <w:highlight w:val="none"/>
        </w:rPr>
        <w:t>元(</w:t>
      </w:r>
      <w:r>
        <w:rPr>
          <w:rFonts w:ascii="Times New Roman" w:hAnsi="Times New Roman" w:eastAsia="Times New Roman" w:cs="Times New Roman"/>
          <w:spacing w:val="31"/>
          <w:w w:val="108"/>
          <w:sz w:val="24"/>
          <w:szCs w:val="24"/>
          <w:highlight w:val="none"/>
        </w:rPr>
        <w:t>¥</w:t>
      </w:r>
      <w:r>
        <w:rPr>
          <w:position w:val="-4"/>
          <w:sz w:val="24"/>
          <w:szCs w:val="24"/>
          <w:highlight w:val="none"/>
        </w:rPr>
        <w:drawing>
          <wp:inline distT="0" distB="0" distL="0" distR="0">
            <wp:extent cx="79375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4"/>
                    <a:stretch>
                      <a:fillRect/>
                    </a:stretch>
                  </pic:blipFill>
                  <pic:spPr>
                    <a:xfrm>
                      <a:off x="0" y="0"/>
                      <a:ext cx="794308" cy="7619"/>
                    </a:xfrm>
                    <a:prstGeom prst="rect">
                      <a:avLst/>
                    </a:prstGeom>
                  </pic:spPr>
                </pic:pic>
              </a:graphicData>
            </a:graphic>
          </wp:inline>
        </w:drawing>
      </w:r>
      <w:r>
        <w:rPr>
          <w:rFonts w:ascii="Times New Roman" w:hAnsi="Times New Roman" w:eastAsia="Times New Roman" w:cs="Times New Roman"/>
          <w:spacing w:val="-26"/>
          <w:sz w:val="24"/>
          <w:szCs w:val="24"/>
          <w:highlight w:val="none"/>
        </w:rPr>
        <w:t xml:space="preserve"> </w:t>
      </w:r>
      <w:r>
        <w:rPr>
          <w:rFonts w:ascii="仿宋" w:hAnsi="仿宋" w:eastAsia="仿宋" w:cs="仿宋"/>
          <w:spacing w:val="31"/>
          <w:w w:val="108"/>
          <w:sz w:val="24"/>
          <w:szCs w:val="24"/>
          <w:highlight w:val="none"/>
        </w:rPr>
        <w:t>)。</w:t>
      </w:r>
    </w:p>
    <w:p w14:paraId="51C6874F">
      <w:pPr>
        <w:spacing w:before="158" w:line="220" w:lineRule="auto"/>
        <w:ind w:left="1558"/>
        <w:rPr>
          <w:rFonts w:ascii="宋体" w:hAnsi="宋体" w:eastAsia="宋体" w:cs="宋体"/>
          <w:sz w:val="24"/>
          <w:szCs w:val="24"/>
          <w:highlight w:val="none"/>
        </w:rPr>
      </w:pPr>
      <w:r>
        <w:rPr>
          <w:rFonts w:ascii="宋体" w:hAnsi="宋体" w:eastAsia="宋体" w:cs="宋体"/>
          <w:spacing w:val="-4"/>
          <w:sz w:val="24"/>
          <w:szCs w:val="24"/>
          <w:highlight w:val="none"/>
        </w:rPr>
        <w:t>二、</w:t>
      </w:r>
      <w:r>
        <w:rPr>
          <w:rFonts w:ascii="宋体" w:hAnsi="宋体" w:eastAsia="宋体" w:cs="宋体"/>
          <w:spacing w:val="-31"/>
          <w:sz w:val="24"/>
          <w:szCs w:val="24"/>
          <w:highlight w:val="none"/>
        </w:rPr>
        <w:t xml:space="preserve"> </w:t>
      </w:r>
      <w:r>
        <w:rPr>
          <w:rFonts w:ascii="宋体" w:hAnsi="宋体" w:eastAsia="宋体" w:cs="宋体"/>
          <w:spacing w:val="-4"/>
          <w:sz w:val="24"/>
          <w:szCs w:val="24"/>
          <w:highlight w:val="none"/>
        </w:rPr>
        <w:t>我方在投标人发生以下情形时承担保证担保责任：</w:t>
      </w:r>
    </w:p>
    <w:p w14:paraId="66795E09">
      <w:pPr>
        <w:spacing w:before="154" w:line="215"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（1）投标人在开标后和投标有效期满之前撤销投标的；</w:t>
      </w:r>
    </w:p>
    <w:p w14:paraId="6351407E">
      <w:pPr>
        <w:spacing w:before="162" w:line="278" w:lineRule="auto"/>
        <w:ind w:left="3" w:right="211" w:firstLine="477"/>
        <w:rPr>
          <w:rFonts w:ascii="仿宋" w:hAnsi="仿宋" w:eastAsia="仿宋" w:cs="仿宋"/>
          <w:sz w:val="24"/>
          <w:szCs w:val="24"/>
          <w:highlight w:val="none"/>
        </w:rPr>
      </w:pPr>
      <w:r>
        <w:rPr>
          <w:rFonts w:ascii="仿宋" w:hAnsi="仿宋" w:eastAsia="仿宋" w:cs="仿宋"/>
          <w:spacing w:val="-3"/>
          <w:sz w:val="24"/>
          <w:szCs w:val="24"/>
          <w:highlight w:val="none"/>
        </w:rPr>
        <w:t>（2）投标人在中标后无正当理由不与招标人订立合同或者签订合同时向招标人提出附加</w:t>
      </w:r>
      <w:r>
        <w:rPr>
          <w:rFonts w:ascii="仿宋" w:hAnsi="仿宋" w:eastAsia="仿宋" w:cs="仿宋"/>
          <w:spacing w:val="-14"/>
          <w:sz w:val="24"/>
          <w:szCs w:val="24"/>
          <w:highlight w:val="none"/>
        </w:rPr>
        <w:t>条件的；</w:t>
      </w:r>
    </w:p>
    <w:p w14:paraId="40AC6770">
      <w:pPr>
        <w:spacing w:before="156" w:line="215" w:lineRule="auto"/>
        <w:ind w:left="481"/>
        <w:rPr>
          <w:rFonts w:ascii="仿宋" w:hAnsi="仿宋" w:eastAsia="仿宋" w:cs="仿宋"/>
          <w:sz w:val="24"/>
          <w:szCs w:val="24"/>
          <w:highlight w:val="none"/>
        </w:rPr>
      </w:pPr>
      <w:r>
        <w:rPr>
          <w:rFonts w:ascii="仿宋" w:hAnsi="仿宋" w:eastAsia="仿宋" w:cs="仿宋"/>
          <w:spacing w:val="-2"/>
          <w:sz w:val="24"/>
          <w:szCs w:val="24"/>
          <w:highlight w:val="none"/>
        </w:rPr>
        <w:t>（</w:t>
      </w:r>
      <w:r>
        <w:rPr>
          <w:rFonts w:ascii="宋体" w:hAnsi="宋体" w:eastAsia="宋体" w:cs="宋体"/>
          <w:spacing w:val="-2"/>
          <w:sz w:val="24"/>
          <w:szCs w:val="24"/>
          <w:highlight w:val="none"/>
        </w:rPr>
        <w:t>3</w:t>
      </w:r>
      <w:r>
        <w:rPr>
          <w:rFonts w:ascii="仿宋" w:hAnsi="仿宋" w:eastAsia="仿宋" w:cs="仿宋"/>
          <w:spacing w:val="-2"/>
          <w:sz w:val="24"/>
          <w:szCs w:val="24"/>
          <w:highlight w:val="none"/>
        </w:rPr>
        <w:t>）投标人在中标后不按照招标文件要求提交履约保证金或履约担保</w:t>
      </w:r>
      <w:r>
        <w:rPr>
          <w:rFonts w:ascii="仿宋" w:hAnsi="仿宋" w:eastAsia="仿宋" w:cs="仿宋"/>
          <w:spacing w:val="-3"/>
          <w:sz w:val="24"/>
          <w:szCs w:val="24"/>
          <w:highlight w:val="none"/>
        </w:rPr>
        <w:t>的；</w:t>
      </w:r>
    </w:p>
    <w:p w14:paraId="2BE578C7">
      <w:pPr>
        <w:spacing w:before="161" w:line="217" w:lineRule="auto"/>
        <w:ind w:left="481"/>
        <w:rPr>
          <w:rFonts w:ascii="仿宋" w:hAnsi="仿宋" w:eastAsia="仿宋" w:cs="仿宋"/>
          <w:sz w:val="24"/>
          <w:szCs w:val="24"/>
          <w:highlight w:val="none"/>
        </w:rPr>
      </w:pPr>
      <w:r>
        <w:rPr>
          <w:rFonts w:ascii="仿宋" w:hAnsi="仿宋" w:eastAsia="仿宋" w:cs="仿宋"/>
          <w:sz w:val="24"/>
          <w:szCs w:val="24"/>
          <w:highlight w:val="none"/>
        </w:rPr>
        <w:t>（4）投标人违反招标文件规定，依照招标文件</w:t>
      </w:r>
      <w:r>
        <w:rPr>
          <w:rFonts w:ascii="仿宋" w:hAnsi="仿宋" w:eastAsia="仿宋" w:cs="仿宋"/>
          <w:spacing w:val="-1"/>
          <w:sz w:val="24"/>
          <w:szCs w:val="24"/>
          <w:highlight w:val="none"/>
        </w:rPr>
        <w:t>的约定属于投标保证金不予退还的；</w:t>
      </w:r>
    </w:p>
    <w:p w14:paraId="57AA6B3D">
      <w:pPr>
        <w:spacing w:before="157" w:line="217" w:lineRule="auto"/>
        <w:ind w:left="481"/>
        <w:rPr>
          <w:rFonts w:ascii="仿宋" w:hAnsi="仿宋" w:eastAsia="仿宋" w:cs="仿宋"/>
          <w:sz w:val="24"/>
          <w:szCs w:val="24"/>
          <w:highlight w:val="none"/>
        </w:rPr>
      </w:pPr>
      <w:r>
        <w:rPr>
          <w:rFonts w:ascii="仿宋" w:hAnsi="仿宋" w:eastAsia="仿宋" w:cs="仿宋"/>
          <w:sz w:val="24"/>
          <w:szCs w:val="24"/>
          <w:highlight w:val="none"/>
        </w:rPr>
        <w:t>（5）投标人违反投标承诺，依照招标文件的约定和投标文件承诺，属于投标保证金</w:t>
      </w:r>
      <w:r>
        <w:rPr>
          <w:rFonts w:ascii="仿宋" w:hAnsi="仿宋" w:eastAsia="仿宋" w:cs="仿宋"/>
          <w:spacing w:val="-1"/>
          <w:sz w:val="24"/>
          <w:szCs w:val="24"/>
          <w:highlight w:val="none"/>
        </w:rPr>
        <w:t>不予</w:t>
      </w:r>
    </w:p>
    <w:p w14:paraId="277BE6B5">
      <w:pPr>
        <w:spacing w:line="217" w:lineRule="auto"/>
        <w:rPr>
          <w:rFonts w:ascii="仿宋" w:hAnsi="仿宋" w:eastAsia="仿宋" w:cs="仿宋"/>
          <w:sz w:val="24"/>
          <w:szCs w:val="24"/>
          <w:highlight w:val="none"/>
        </w:rPr>
        <w:sectPr>
          <w:footerReference r:id="rId90" w:type="default"/>
          <w:pgSz w:w="11907" w:h="16839"/>
          <w:pgMar w:top="1431" w:right="976" w:bottom="1127" w:left="1097" w:header="0" w:footer="896" w:gutter="0"/>
          <w:cols w:space="720" w:num="1"/>
        </w:sectPr>
      </w:pPr>
    </w:p>
    <w:p w14:paraId="4F533CF7">
      <w:pPr>
        <w:spacing w:before="155" w:line="218" w:lineRule="auto"/>
        <w:ind w:left="20"/>
        <w:rPr>
          <w:rFonts w:ascii="仿宋" w:hAnsi="仿宋" w:eastAsia="仿宋" w:cs="仿宋"/>
          <w:sz w:val="24"/>
          <w:szCs w:val="24"/>
          <w:highlight w:val="none"/>
        </w:rPr>
      </w:pPr>
      <w:r>
        <w:rPr>
          <w:rFonts w:ascii="仿宋" w:hAnsi="仿宋" w:eastAsia="仿宋" w:cs="仿宋"/>
          <w:spacing w:val="-14"/>
          <w:sz w:val="24"/>
          <w:szCs w:val="24"/>
          <w:highlight w:val="none"/>
        </w:rPr>
        <w:t>退还的；</w:t>
      </w:r>
    </w:p>
    <w:p w14:paraId="2F4B4725">
      <w:pPr>
        <w:spacing w:before="156" w:line="217" w:lineRule="auto"/>
        <w:ind w:left="496"/>
        <w:rPr>
          <w:rFonts w:ascii="仿宋" w:hAnsi="仿宋" w:eastAsia="仿宋" w:cs="仿宋"/>
          <w:sz w:val="24"/>
          <w:szCs w:val="24"/>
          <w:highlight w:val="none"/>
        </w:rPr>
      </w:pPr>
      <w:r>
        <w:rPr>
          <w:rFonts w:ascii="仿宋" w:hAnsi="仿宋" w:eastAsia="仿宋" w:cs="仿宋"/>
          <w:spacing w:val="-3"/>
          <w:sz w:val="24"/>
          <w:szCs w:val="24"/>
          <w:highlight w:val="none"/>
        </w:rPr>
        <w:t>（6）投标人违反招标文件约定的其他情形。</w:t>
      </w:r>
    </w:p>
    <w:p w14:paraId="4FC427EA">
      <w:pPr>
        <w:spacing w:before="158" w:line="338" w:lineRule="auto"/>
        <w:ind w:left="19" w:right="8" w:firstLine="452"/>
        <w:rPr>
          <w:rFonts w:ascii="仿宋" w:hAnsi="仿宋" w:eastAsia="仿宋" w:cs="仿宋"/>
          <w:sz w:val="24"/>
          <w:szCs w:val="24"/>
          <w:highlight w:val="none"/>
        </w:rPr>
      </w:pPr>
      <w:r>
        <w:rPr>
          <w:rFonts w:ascii="仿宋" w:hAnsi="仿宋" w:eastAsia="仿宋" w:cs="仿宋"/>
          <w:spacing w:val="-14"/>
          <w:sz w:val="24"/>
          <w:szCs w:val="24"/>
          <w:highlight w:val="none"/>
        </w:rPr>
        <w:t>三、本保险为不可撤销、不可转让的见索即付独立保证。本保险有效期自开立之日起至投标有</w:t>
      </w:r>
      <w:r>
        <w:rPr>
          <w:rFonts w:ascii="仿宋" w:hAnsi="仿宋" w:eastAsia="仿宋" w:cs="仿宋"/>
          <w:spacing w:val="-13"/>
          <w:sz w:val="24"/>
          <w:szCs w:val="24"/>
          <w:highlight w:val="none"/>
        </w:rPr>
        <w:t>效期届满之日后的</w:t>
      </w:r>
      <w:r>
        <w:rPr>
          <w:rFonts w:ascii="仿宋" w:hAnsi="仿宋" w:eastAsia="仿宋" w:cs="仿宋"/>
          <w:spacing w:val="-50"/>
          <w:sz w:val="24"/>
          <w:szCs w:val="24"/>
          <w:highlight w:val="none"/>
        </w:rPr>
        <w:t xml:space="preserve"> </w:t>
      </w:r>
      <w:r>
        <w:rPr>
          <w:rFonts w:ascii="仿宋" w:hAnsi="仿宋" w:eastAsia="仿宋" w:cs="仿宋"/>
          <w:spacing w:val="-13"/>
          <w:sz w:val="24"/>
          <w:szCs w:val="24"/>
          <w:highlight w:val="none"/>
        </w:rPr>
        <w:t>日。投标有效期延长的，本保险有效期相应顺延，最迟不超过   年  月   日。</w:t>
      </w:r>
    </w:p>
    <w:p w14:paraId="6E28708A">
      <w:pPr>
        <w:spacing w:before="1" w:line="338" w:lineRule="auto"/>
        <w:ind w:left="781" w:right="67" w:hanging="96"/>
        <w:rPr>
          <w:rFonts w:ascii="仿宋" w:hAnsi="仿宋" w:eastAsia="仿宋" w:cs="仿宋"/>
          <w:sz w:val="24"/>
          <w:szCs w:val="24"/>
          <w:highlight w:val="none"/>
        </w:rPr>
      </w:pPr>
      <w:r>
        <w:rPr>
          <w:rFonts w:ascii="仿宋" w:hAnsi="仿宋" w:eastAsia="仿宋" w:cs="仿宋"/>
          <w:spacing w:val="-7"/>
          <w:sz w:val="24"/>
          <w:szCs w:val="24"/>
          <w:highlight w:val="none"/>
        </w:rPr>
        <w:t>四、我方承诺，在收到招标人发来的书面付款通知后的</w:t>
      </w:r>
      <w:r>
        <w:rPr>
          <w:rFonts w:ascii="仿宋" w:hAnsi="仿宋" w:eastAsia="仿宋" w:cs="仿宋"/>
          <w:spacing w:val="-118"/>
          <w:sz w:val="24"/>
          <w:szCs w:val="24"/>
          <w:highlight w:val="none"/>
        </w:rPr>
        <w:t xml:space="preserve"> </w:t>
      </w:r>
      <w:r>
        <w:rPr>
          <w:rFonts w:ascii="仿宋" w:hAnsi="仿宋" w:eastAsia="仿宋" w:cs="仿宋"/>
          <w:spacing w:val="18"/>
          <w:sz w:val="24"/>
          <w:szCs w:val="24"/>
          <w:highlight w:val="none"/>
          <w:u w:val="single" w:color="auto"/>
        </w:rPr>
        <w:t xml:space="preserve">      </w:t>
      </w:r>
      <w:r>
        <w:rPr>
          <w:rFonts w:ascii="仿宋" w:hAnsi="仿宋" w:eastAsia="仿宋" w:cs="仿宋"/>
          <w:spacing w:val="-51"/>
          <w:sz w:val="24"/>
          <w:szCs w:val="24"/>
          <w:highlight w:val="none"/>
        </w:rPr>
        <w:t xml:space="preserve"> </w:t>
      </w:r>
      <w:r>
        <w:rPr>
          <w:rFonts w:ascii="仿宋" w:hAnsi="仿宋" w:eastAsia="仿宋" w:cs="仿宋"/>
          <w:spacing w:val="-7"/>
          <w:sz w:val="24"/>
          <w:szCs w:val="24"/>
          <w:highlight w:val="none"/>
        </w:rPr>
        <w:t>日内无条件支付，前述书</w:t>
      </w:r>
      <w:r>
        <w:rPr>
          <w:rFonts w:ascii="仿宋" w:hAnsi="仿宋" w:eastAsia="仿宋" w:cs="仿宋"/>
          <w:spacing w:val="-3"/>
          <w:sz w:val="24"/>
          <w:szCs w:val="24"/>
          <w:highlight w:val="none"/>
        </w:rPr>
        <w:t>面付款通知即为付款要求之单据，且应满足以下要求：</w:t>
      </w:r>
    </w:p>
    <w:p w14:paraId="7AE79A67">
      <w:pPr>
        <w:spacing w:before="1" w:line="238" w:lineRule="auto"/>
        <w:ind w:left="976"/>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Calibri" w:hAnsi="Calibri" w:eastAsia="Calibri" w:cs="Calibri"/>
          <w:spacing w:val="-3"/>
          <w:sz w:val="24"/>
          <w:szCs w:val="24"/>
          <w:highlight w:val="none"/>
        </w:rPr>
        <w:t>1</w:t>
      </w:r>
      <w:r>
        <w:rPr>
          <w:rFonts w:ascii="宋体" w:hAnsi="宋体" w:eastAsia="宋体" w:cs="宋体"/>
          <w:spacing w:val="-3"/>
          <w:sz w:val="24"/>
          <w:szCs w:val="24"/>
          <w:highlight w:val="none"/>
        </w:rPr>
        <w:t>）付款通知到达的日期在本保险的有效期内；</w:t>
      </w:r>
    </w:p>
    <w:p w14:paraId="5687743E">
      <w:pPr>
        <w:spacing w:before="129"/>
        <w:ind w:left="976"/>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Calibri" w:hAnsi="Calibri" w:eastAsia="Calibri" w:cs="Calibri"/>
          <w:spacing w:val="-5"/>
          <w:sz w:val="24"/>
          <w:szCs w:val="24"/>
          <w:highlight w:val="none"/>
        </w:rPr>
        <w:t>2</w:t>
      </w:r>
      <w:r>
        <w:rPr>
          <w:rFonts w:ascii="宋体" w:hAnsi="宋体" w:eastAsia="宋体" w:cs="宋体"/>
          <w:spacing w:val="-5"/>
          <w:sz w:val="24"/>
          <w:szCs w:val="24"/>
          <w:highlight w:val="none"/>
        </w:rPr>
        <w:t>）载明要求支付的金额；</w:t>
      </w:r>
    </w:p>
    <w:p w14:paraId="5596ED11">
      <w:pPr>
        <w:spacing w:before="129" w:line="279" w:lineRule="auto"/>
        <w:ind w:left="492" w:right="65" w:firstLine="483"/>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Calibri" w:hAnsi="Calibri" w:eastAsia="Calibri" w:cs="Calibri"/>
          <w:spacing w:val="-2"/>
          <w:sz w:val="24"/>
          <w:szCs w:val="24"/>
          <w:highlight w:val="none"/>
        </w:rPr>
        <w:t>3</w:t>
      </w:r>
      <w:r>
        <w:rPr>
          <w:rFonts w:ascii="宋体" w:hAnsi="宋体" w:eastAsia="宋体" w:cs="宋体"/>
          <w:spacing w:val="-2"/>
          <w:sz w:val="24"/>
          <w:szCs w:val="24"/>
          <w:highlight w:val="none"/>
        </w:rPr>
        <w:t>）</w:t>
      </w:r>
      <w:r>
        <w:rPr>
          <w:rFonts w:ascii="宋体" w:hAnsi="宋体" w:eastAsia="宋体" w:cs="宋体"/>
          <w:b/>
          <w:bCs/>
          <w:spacing w:val="-2"/>
          <w:sz w:val="24"/>
          <w:szCs w:val="24"/>
          <w:highlight w:val="none"/>
        </w:rPr>
        <w:t>载明申请人（即投标人）违反法律法规或者招标文件约定或者</w:t>
      </w:r>
      <w:r>
        <w:rPr>
          <w:rFonts w:ascii="宋体" w:hAnsi="宋体" w:eastAsia="宋体" w:cs="宋体"/>
          <w:b/>
          <w:bCs/>
          <w:spacing w:val="-3"/>
          <w:sz w:val="24"/>
          <w:szCs w:val="24"/>
          <w:highlight w:val="none"/>
        </w:rPr>
        <w:t>投标文件承诺的义务内容和具体条款；</w:t>
      </w:r>
    </w:p>
    <w:p w14:paraId="47511E38">
      <w:pPr>
        <w:spacing w:before="154" w:line="239" w:lineRule="auto"/>
        <w:ind w:left="976"/>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Calibri" w:hAnsi="Calibri" w:eastAsia="Calibri" w:cs="Calibri"/>
          <w:spacing w:val="-1"/>
          <w:sz w:val="24"/>
          <w:szCs w:val="24"/>
          <w:highlight w:val="none"/>
        </w:rPr>
        <w:t>4</w:t>
      </w:r>
      <w:r>
        <w:rPr>
          <w:rFonts w:ascii="宋体" w:hAnsi="宋体" w:eastAsia="宋体" w:cs="宋体"/>
          <w:spacing w:val="-1"/>
          <w:sz w:val="24"/>
          <w:szCs w:val="24"/>
          <w:highlight w:val="none"/>
        </w:rPr>
        <w:t>）书面付款通知应在本保险有效期内到达的地址是：</w:t>
      </w:r>
      <w:r>
        <w:rPr>
          <w:rFonts w:ascii="宋体" w:hAnsi="宋体" w:eastAsia="宋体" w:cs="宋体"/>
          <w:spacing w:val="12"/>
          <w:sz w:val="24"/>
          <w:szCs w:val="24"/>
          <w:highlight w:val="none"/>
          <w:u w:val="single" w:color="auto"/>
        </w:rPr>
        <w:t xml:space="preserve">          </w:t>
      </w:r>
      <w:r>
        <w:rPr>
          <w:rFonts w:ascii="宋体" w:hAnsi="宋体" w:eastAsia="宋体" w:cs="宋体"/>
          <w:spacing w:val="-1"/>
          <w:sz w:val="24"/>
          <w:szCs w:val="24"/>
          <w:highlight w:val="none"/>
        </w:rPr>
        <w:t>。</w:t>
      </w:r>
    </w:p>
    <w:p w14:paraId="7CA5B572">
      <w:pPr>
        <w:spacing w:before="131" w:line="338" w:lineRule="auto"/>
        <w:ind w:left="18" w:right="69" w:firstLine="476"/>
        <w:rPr>
          <w:rFonts w:ascii="仿宋" w:hAnsi="仿宋" w:eastAsia="仿宋" w:cs="仿宋"/>
          <w:sz w:val="24"/>
          <w:szCs w:val="24"/>
          <w:highlight w:val="none"/>
        </w:rPr>
      </w:pPr>
      <w:r>
        <w:rPr>
          <w:rFonts w:ascii="仿宋" w:hAnsi="仿宋" w:eastAsia="仿宋" w:cs="仿宋"/>
          <w:spacing w:val="-3"/>
          <w:sz w:val="24"/>
          <w:szCs w:val="24"/>
          <w:highlight w:val="none"/>
        </w:rPr>
        <w:t>招标人发出的书面付款通知应由其为鉴明招标人法定代表人（负责人）或授权代理人签字</w:t>
      </w:r>
      <w:r>
        <w:rPr>
          <w:rFonts w:ascii="仿宋" w:hAnsi="仿宋" w:eastAsia="仿宋" w:cs="仿宋"/>
          <w:spacing w:val="-8"/>
          <w:sz w:val="24"/>
          <w:szCs w:val="24"/>
          <w:highlight w:val="none"/>
        </w:rPr>
        <w:t>并加盖公章。</w:t>
      </w:r>
    </w:p>
    <w:p w14:paraId="26DF6B0B">
      <w:pPr>
        <w:spacing w:before="2" w:line="338" w:lineRule="auto"/>
        <w:ind w:left="15" w:right="68" w:firstLine="455"/>
        <w:rPr>
          <w:rFonts w:ascii="仿宋" w:hAnsi="仿宋" w:eastAsia="仿宋" w:cs="仿宋"/>
          <w:sz w:val="24"/>
          <w:szCs w:val="24"/>
          <w:highlight w:val="none"/>
        </w:rPr>
      </w:pPr>
      <w:r>
        <w:rPr>
          <w:rFonts w:ascii="仿宋" w:hAnsi="仿宋" w:eastAsia="仿宋" w:cs="仿宋"/>
          <w:spacing w:val="-14"/>
          <w:sz w:val="24"/>
          <w:szCs w:val="24"/>
          <w:highlight w:val="none"/>
        </w:rPr>
        <w:t>五、本保险项下的权利不得转让，不得设定担保。贵方未经我方书面同意转让本保险或其项下</w:t>
      </w:r>
      <w:r>
        <w:rPr>
          <w:rFonts w:ascii="仿宋" w:hAnsi="仿宋" w:eastAsia="仿宋" w:cs="仿宋"/>
          <w:spacing w:val="-3"/>
          <w:sz w:val="24"/>
          <w:szCs w:val="24"/>
          <w:highlight w:val="none"/>
        </w:rPr>
        <w:t>任何权利，对我方不发生法律效力。</w:t>
      </w:r>
    </w:p>
    <w:p w14:paraId="159EDF8A">
      <w:pPr>
        <w:spacing w:line="277" w:lineRule="auto"/>
        <w:ind w:left="19" w:right="66" w:firstLine="442"/>
        <w:rPr>
          <w:rFonts w:ascii="仿宋" w:hAnsi="仿宋" w:eastAsia="仿宋" w:cs="仿宋"/>
          <w:sz w:val="24"/>
          <w:szCs w:val="24"/>
          <w:highlight w:val="none"/>
        </w:rPr>
      </w:pPr>
      <w:r>
        <w:rPr>
          <w:rFonts w:ascii="仿宋" w:hAnsi="仿宋" w:eastAsia="仿宋" w:cs="仿宋"/>
          <w:spacing w:val="-14"/>
          <w:sz w:val="24"/>
          <w:szCs w:val="24"/>
          <w:highlight w:val="none"/>
        </w:rPr>
        <w:t>六、本保险项下的</w:t>
      </w:r>
      <w:r>
        <w:rPr>
          <w:rFonts w:ascii="仿宋" w:hAnsi="仿宋" w:eastAsia="仿宋" w:cs="仿宋"/>
          <w:b/>
          <w:bCs/>
          <w:spacing w:val="-14"/>
          <w:sz w:val="24"/>
          <w:szCs w:val="24"/>
          <w:highlight w:val="none"/>
        </w:rPr>
        <w:t>基础交易</w:t>
      </w:r>
      <w:r>
        <w:rPr>
          <w:rFonts w:ascii="仿宋" w:hAnsi="仿宋" w:eastAsia="仿宋" w:cs="仿宋"/>
          <w:spacing w:val="-14"/>
          <w:sz w:val="24"/>
          <w:szCs w:val="24"/>
          <w:highlight w:val="none"/>
        </w:rPr>
        <w:t>不成立、不生效、无效、被撤销、被解除，不影响本保险的独立有</w:t>
      </w:r>
      <w:r>
        <w:rPr>
          <w:rFonts w:ascii="仿宋" w:hAnsi="仿宋" w:eastAsia="仿宋" w:cs="仿宋"/>
          <w:spacing w:val="-3"/>
          <w:sz w:val="24"/>
          <w:szCs w:val="24"/>
          <w:highlight w:val="none"/>
        </w:rPr>
        <w:t>效，不影响开立人履行见索即付义务的责任。</w:t>
      </w:r>
    </w:p>
    <w:p w14:paraId="2E9F8287">
      <w:pPr>
        <w:spacing w:before="162" w:line="297" w:lineRule="auto"/>
        <w:ind w:left="16" w:firstLine="453"/>
        <w:rPr>
          <w:rFonts w:ascii="仿宋" w:hAnsi="仿宋" w:eastAsia="仿宋" w:cs="仿宋"/>
          <w:sz w:val="24"/>
          <w:szCs w:val="24"/>
          <w:highlight w:val="none"/>
        </w:rPr>
      </w:pPr>
      <w:r>
        <w:rPr>
          <w:rFonts w:ascii="仿宋" w:hAnsi="仿宋" w:eastAsia="仿宋" w:cs="仿宋"/>
          <w:spacing w:val="-14"/>
          <w:sz w:val="24"/>
          <w:szCs w:val="24"/>
          <w:highlight w:val="none"/>
        </w:rPr>
        <w:t>七、招标人应在本保险到期后的七日内将本保险正本退回我方注销，但是不论招标人是否按此</w:t>
      </w:r>
      <w:r>
        <w:rPr>
          <w:rFonts w:ascii="仿宋" w:hAnsi="仿宋" w:eastAsia="仿宋" w:cs="仿宋"/>
          <w:spacing w:val="-3"/>
          <w:sz w:val="24"/>
          <w:szCs w:val="24"/>
          <w:highlight w:val="none"/>
        </w:rPr>
        <w:t>要求将本保险正本退回我方，我方在本保险项下的义务和责任均在本保险有效期到期后自动消</w:t>
      </w:r>
      <w:r>
        <w:rPr>
          <w:rFonts w:ascii="仿宋" w:hAnsi="仿宋" w:eastAsia="仿宋" w:cs="仿宋"/>
          <w:spacing w:val="-1"/>
          <w:sz w:val="24"/>
          <w:szCs w:val="24"/>
          <w:highlight w:val="none"/>
        </w:rPr>
        <w:t>灭，但因异议、投诉、立案处理的，本保险有效期将顺延到案件处理完毕之</w:t>
      </w:r>
      <w:r>
        <w:rPr>
          <w:rFonts w:ascii="仿宋" w:hAnsi="仿宋" w:eastAsia="仿宋" w:cs="仿宋"/>
          <w:spacing w:val="-2"/>
          <w:sz w:val="24"/>
          <w:szCs w:val="24"/>
          <w:highlight w:val="none"/>
        </w:rPr>
        <w:t>日后再顺延七日。</w:t>
      </w:r>
    </w:p>
    <w:p w14:paraId="057FAAC2">
      <w:pPr>
        <w:spacing w:before="160" w:line="217" w:lineRule="auto"/>
        <w:ind w:left="512"/>
        <w:rPr>
          <w:rFonts w:ascii="仿宋" w:hAnsi="仿宋" w:eastAsia="仿宋" w:cs="仿宋"/>
          <w:sz w:val="24"/>
          <w:szCs w:val="24"/>
          <w:highlight w:val="none"/>
        </w:rPr>
      </w:pPr>
      <w:r>
        <w:rPr>
          <w:rFonts w:ascii="仿宋" w:hAnsi="仿宋" w:eastAsia="仿宋" w:cs="仿宋"/>
          <w:spacing w:val="14"/>
          <w:sz w:val="24"/>
          <w:szCs w:val="24"/>
          <w:highlight w:val="none"/>
        </w:rPr>
        <w:t>八、本保险适用的法律为中华人民共和国法律，</w:t>
      </w:r>
      <w:r>
        <w:rPr>
          <w:rFonts w:ascii="仿宋" w:hAnsi="仿宋" w:eastAsia="仿宋" w:cs="仿宋"/>
          <w:spacing w:val="-34"/>
          <w:sz w:val="24"/>
          <w:szCs w:val="24"/>
          <w:highlight w:val="none"/>
        </w:rPr>
        <w:t xml:space="preserve"> </w:t>
      </w:r>
      <w:r>
        <w:rPr>
          <w:rFonts w:ascii="仿宋" w:hAnsi="仿宋" w:eastAsia="仿宋" w:cs="仿宋"/>
          <w:spacing w:val="14"/>
          <w:sz w:val="24"/>
          <w:szCs w:val="24"/>
          <w:highlight w:val="none"/>
        </w:rPr>
        <w:t>争议裁判管辖地为中华人民共和国</w:t>
      </w:r>
    </w:p>
    <w:p w14:paraId="38AEB164">
      <w:pPr>
        <w:spacing w:before="318" w:line="54" w:lineRule="exact"/>
        <w:ind w:left="1351"/>
        <w:rPr>
          <w:rFonts w:ascii="仿宋" w:hAnsi="仿宋" w:eastAsia="仿宋" w:cs="仿宋"/>
          <w:sz w:val="24"/>
          <w:szCs w:val="24"/>
          <w:highlight w:val="none"/>
        </w:rPr>
      </w:pPr>
      <w:r>
        <w:rPr>
          <w:highlight w:val="none"/>
        </w:rPr>
        <w:pict>
          <v:shape id="_x0000_s1028" o:spid="_x0000_s1028" o:spt="202" type="#_x0000_t202" style="position:absolute;left:0pt;margin-left:-1pt;margin-top:9.3pt;height:14.1pt;width:67.95pt;z-index:251661312;mso-width-relative:page;mso-height-relative:page;" filled="f" stroked="f" coordsize="21600,21600">
            <v:path/>
            <v:fill on="f" focussize="0,0"/>
            <v:stroke on="f"/>
            <v:imagedata o:title=""/>
            <o:lock v:ext="edit" aspectratio="f"/>
            <v:textbox inset="0mm,0mm,0mm,0mm">
              <w:txbxContent>
                <w:p w14:paraId="203CF75E">
                  <w:pPr>
                    <w:pStyle w:val="3"/>
                    <w:tabs>
                      <w:tab w:val="left" w:pos="1338"/>
                    </w:tabs>
                    <w:spacing w:before="19"/>
                    <w:ind w:left="20"/>
                  </w:pPr>
                  <w:r>
                    <w:rPr>
                      <w:u w:val="single" w:color="auto"/>
                    </w:rPr>
                    <w:tab/>
                  </w:r>
                </w:p>
              </w:txbxContent>
            </v:textbox>
          </v:shape>
        </w:pict>
      </w:r>
      <w:r>
        <w:rPr>
          <w:rFonts w:ascii="仿宋" w:hAnsi="仿宋" w:eastAsia="仿宋" w:cs="仿宋"/>
          <w:sz w:val="24"/>
          <w:szCs w:val="24"/>
          <w:highlight w:val="none"/>
        </w:rPr>
        <w:t>。</w:t>
      </w:r>
    </w:p>
    <w:p w14:paraId="42C17098">
      <w:pPr>
        <w:spacing w:before="225" w:line="216" w:lineRule="auto"/>
        <w:ind w:left="504"/>
        <w:rPr>
          <w:rFonts w:ascii="仿宋" w:hAnsi="仿宋" w:eastAsia="仿宋" w:cs="仿宋"/>
          <w:sz w:val="24"/>
          <w:szCs w:val="24"/>
          <w:highlight w:val="none"/>
        </w:rPr>
      </w:pPr>
      <w:r>
        <w:rPr>
          <w:rFonts w:ascii="仿宋" w:hAnsi="仿宋" w:eastAsia="仿宋" w:cs="仿宋"/>
          <w:spacing w:val="-1"/>
          <w:sz w:val="24"/>
          <w:szCs w:val="24"/>
          <w:highlight w:val="none"/>
        </w:rPr>
        <w:t>九、本保险自我方法定代表人或授权代表签字并加盖公章之日起生效。</w:t>
      </w:r>
    </w:p>
    <w:p w14:paraId="6D739E98">
      <w:pPr>
        <w:spacing w:before="160" w:line="217" w:lineRule="auto"/>
        <w:ind w:left="616"/>
        <w:rPr>
          <w:rFonts w:ascii="仿宋" w:hAnsi="仿宋" w:eastAsia="仿宋" w:cs="仿宋"/>
          <w:sz w:val="24"/>
          <w:szCs w:val="24"/>
          <w:highlight w:val="none"/>
        </w:rPr>
      </w:pPr>
      <w:r>
        <w:rPr>
          <w:rFonts w:ascii="仿宋" w:hAnsi="仿宋" w:eastAsia="仿宋" w:cs="仿宋"/>
          <w:spacing w:val="-2"/>
          <w:sz w:val="24"/>
          <w:szCs w:val="24"/>
          <w:highlight w:val="none"/>
        </w:rPr>
        <w:t>开立人（出函保险机构</w:t>
      </w:r>
      <w:r>
        <w:rPr>
          <w:rFonts w:ascii="仿宋" w:hAnsi="仿宋" w:eastAsia="仿宋" w:cs="仿宋"/>
          <w:spacing w:val="-3"/>
          <w:sz w:val="24"/>
          <w:szCs w:val="24"/>
          <w:highlight w:val="none"/>
        </w:rPr>
        <w:t>）：（</w:t>
      </w:r>
      <w:r>
        <w:rPr>
          <w:rFonts w:ascii="仿宋" w:hAnsi="仿宋" w:eastAsia="仿宋" w:cs="仿宋"/>
          <w:spacing w:val="-2"/>
          <w:sz w:val="24"/>
          <w:szCs w:val="24"/>
          <w:highlight w:val="none"/>
        </w:rPr>
        <w:t>公章）</w:t>
      </w:r>
    </w:p>
    <w:p w14:paraId="23A45863">
      <w:pPr>
        <w:spacing w:before="157" w:line="217" w:lineRule="auto"/>
        <w:ind w:left="504"/>
        <w:rPr>
          <w:rFonts w:ascii="仿宋" w:hAnsi="仿宋" w:eastAsia="仿宋" w:cs="仿宋"/>
          <w:sz w:val="24"/>
          <w:szCs w:val="24"/>
          <w:highlight w:val="none"/>
        </w:rPr>
      </w:pPr>
      <w:r>
        <w:rPr>
          <w:rFonts w:ascii="仿宋" w:hAnsi="仿宋" w:eastAsia="仿宋" w:cs="仿宋"/>
          <w:spacing w:val="-2"/>
          <w:sz w:val="24"/>
          <w:szCs w:val="24"/>
          <w:highlight w:val="none"/>
        </w:rPr>
        <w:t>法定代表人（或授权代表</w:t>
      </w:r>
      <w:r>
        <w:rPr>
          <w:rFonts w:ascii="仿宋" w:hAnsi="仿宋" w:eastAsia="仿宋" w:cs="仿宋"/>
          <w:spacing w:val="1"/>
          <w:sz w:val="24"/>
          <w:szCs w:val="24"/>
          <w:highlight w:val="none"/>
        </w:rPr>
        <w:t>）（</w:t>
      </w:r>
      <w:r>
        <w:rPr>
          <w:rFonts w:ascii="仿宋" w:hAnsi="仿宋" w:eastAsia="仿宋" w:cs="仿宋"/>
          <w:spacing w:val="-2"/>
          <w:sz w:val="24"/>
          <w:szCs w:val="24"/>
          <w:highlight w:val="none"/>
        </w:rPr>
        <w:t>出函保险机构</w:t>
      </w:r>
      <w:r>
        <w:rPr>
          <w:rFonts w:ascii="仿宋" w:hAnsi="仿宋" w:eastAsia="仿宋" w:cs="仿宋"/>
          <w:spacing w:val="1"/>
          <w:sz w:val="24"/>
          <w:szCs w:val="24"/>
          <w:highlight w:val="none"/>
        </w:rPr>
        <w:t>）：（</w:t>
      </w:r>
      <w:r>
        <w:rPr>
          <w:rFonts w:ascii="仿宋" w:hAnsi="仿宋" w:eastAsia="仿宋" w:cs="仿宋"/>
          <w:spacing w:val="-2"/>
          <w:sz w:val="24"/>
          <w:szCs w:val="24"/>
          <w:highlight w:val="none"/>
        </w:rPr>
        <w:t>签字或签章）</w:t>
      </w:r>
    </w:p>
    <w:p w14:paraId="695DD9D6">
      <w:pPr>
        <w:spacing w:before="159" w:line="227" w:lineRule="auto"/>
        <w:ind w:left="497"/>
        <w:rPr>
          <w:rFonts w:ascii="仿宋" w:hAnsi="仿宋" w:eastAsia="仿宋" w:cs="仿宋"/>
          <w:sz w:val="24"/>
          <w:szCs w:val="24"/>
          <w:highlight w:val="none"/>
        </w:rPr>
      </w:pPr>
      <w:r>
        <w:rPr>
          <w:rFonts w:ascii="仿宋" w:hAnsi="仿宋" w:eastAsia="仿宋" w:cs="仿宋"/>
          <w:spacing w:val="-13"/>
          <w:sz w:val="24"/>
          <w:szCs w:val="24"/>
          <w:highlight w:val="none"/>
        </w:rPr>
        <w:t>地</w:t>
      </w:r>
      <w:r>
        <w:rPr>
          <w:rFonts w:ascii="仿宋" w:hAnsi="仿宋" w:eastAsia="仿宋" w:cs="仿宋"/>
          <w:spacing w:val="5"/>
          <w:sz w:val="24"/>
          <w:szCs w:val="24"/>
          <w:highlight w:val="none"/>
        </w:rPr>
        <w:t xml:space="preserve">    </w:t>
      </w:r>
      <w:r>
        <w:rPr>
          <w:rFonts w:ascii="仿宋" w:hAnsi="仿宋" w:eastAsia="仿宋" w:cs="仿宋"/>
          <w:spacing w:val="-13"/>
          <w:sz w:val="24"/>
          <w:szCs w:val="24"/>
          <w:highlight w:val="none"/>
        </w:rPr>
        <w:t>址：</w:t>
      </w:r>
    </w:p>
    <w:p w14:paraId="50621B4E">
      <w:pPr>
        <w:spacing w:before="146" w:line="217" w:lineRule="auto"/>
        <w:ind w:left="509"/>
        <w:rPr>
          <w:rFonts w:ascii="仿宋" w:hAnsi="仿宋" w:eastAsia="仿宋" w:cs="仿宋"/>
          <w:sz w:val="24"/>
          <w:szCs w:val="24"/>
          <w:highlight w:val="none"/>
        </w:rPr>
      </w:pPr>
      <w:r>
        <w:rPr>
          <w:rFonts w:ascii="仿宋" w:hAnsi="仿宋" w:eastAsia="仿宋" w:cs="仿宋"/>
          <w:spacing w:val="-8"/>
          <w:sz w:val="24"/>
          <w:szCs w:val="24"/>
          <w:highlight w:val="none"/>
        </w:rPr>
        <w:t>邮政编码：</w:t>
      </w:r>
      <w:r>
        <w:rPr>
          <w:rFonts w:ascii="仿宋" w:hAnsi="仿宋" w:eastAsia="仿宋" w:cs="仿宋"/>
          <w:sz w:val="24"/>
          <w:szCs w:val="24"/>
          <w:highlight w:val="none"/>
          <w:u w:val="single" w:color="auto"/>
        </w:rPr>
        <w:t xml:space="preserve">                     </w:t>
      </w:r>
    </w:p>
    <w:p w14:paraId="08B53BB7">
      <w:pPr>
        <w:spacing w:before="157" w:line="219" w:lineRule="auto"/>
        <w:ind w:left="522"/>
        <w:rPr>
          <w:rFonts w:ascii="仿宋" w:hAnsi="仿宋" w:eastAsia="仿宋" w:cs="仿宋"/>
          <w:sz w:val="24"/>
          <w:szCs w:val="24"/>
          <w:highlight w:val="none"/>
        </w:rPr>
      </w:pPr>
      <w:r>
        <w:rPr>
          <w:rFonts w:ascii="仿宋" w:hAnsi="仿宋" w:eastAsia="仿宋" w:cs="仿宋"/>
          <w:spacing w:val="-21"/>
          <w:sz w:val="24"/>
          <w:szCs w:val="24"/>
          <w:highlight w:val="none"/>
        </w:rPr>
        <w:t>电</w:t>
      </w:r>
      <w:r>
        <w:rPr>
          <w:rFonts w:ascii="仿宋" w:hAnsi="仿宋" w:eastAsia="仿宋" w:cs="仿宋"/>
          <w:spacing w:val="4"/>
          <w:sz w:val="24"/>
          <w:szCs w:val="24"/>
          <w:highlight w:val="none"/>
        </w:rPr>
        <w:t xml:space="preserve">    </w:t>
      </w:r>
      <w:r>
        <w:rPr>
          <w:rFonts w:ascii="仿宋" w:hAnsi="仿宋" w:eastAsia="仿宋" w:cs="仿宋"/>
          <w:spacing w:val="-21"/>
          <w:sz w:val="24"/>
          <w:szCs w:val="24"/>
          <w:highlight w:val="none"/>
        </w:rPr>
        <w:t>话：</w:t>
      </w:r>
      <w:r>
        <w:rPr>
          <w:rFonts w:ascii="仿宋" w:hAnsi="仿宋" w:eastAsia="仿宋" w:cs="仿宋"/>
          <w:sz w:val="24"/>
          <w:szCs w:val="24"/>
          <w:highlight w:val="none"/>
          <w:u w:val="single" w:color="auto"/>
        </w:rPr>
        <w:t xml:space="preserve">                      </w:t>
      </w:r>
    </w:p>
    <w:p w14:paraId="0C33FDE2">
      <w:pPr>
        <w:spacing w:before="154" w:line="219" w:lineRule="auto"/>
        <w:ind w:left="499"/>
        <w:rPr>
          <w:rFonts w:ascii="仿宋" w:hAnsi="仿宋" w:eastAsia="仿宋" w:cs="仿宋"/>
          <w:sz w:val="24"/>
          <w:szCs w:val="24"/>
          <w:highlight w:val="none"/>
        </w:rPr>
      </w:pPr>
      <w:r>
        <w:rPr>
          <w:rFonts w:ascii="仿宋" w:hAnsi="仿宋" w:eastAsia="仿宋" w:cs="仿宋"/>
          <w:spacing w:val="-9"/>
          <w:sz w:val="24"/>
          <w:szCs w:val="24"/>
          <w:highlight w:val="none"/>
        </w:rPr>
        <w:t>传</w:t>
      </w:r>
      <w:r>
        <w:rPr>
          <w:rFonts w:ascii="仿宋" w:hAnsi="仿宋" w:eastAsia="仿宋" w:cs="仿宋"/>
          <w:spacing w:val="8"/>
          <w:sz w:val="24"/>
          <w:szCs w:val="24"/>
          <w:highlight w:val="none"/>
        </w:rPr>
        <w:t xml:space="preserve">    </w:t>
      </w:r>
      <w:r>
        <w:rPr>
          <w:rFonts w:ascii="仿宋" w:hAnsi="仿宋" w:eastAsia="仿宋" w:cs="仿宋"/>
          <w:spacing w:val="-9"/>
          <w:sz w:val="24"/>
          <w:szCs w:val="24"/>
          <w:highlight w:val="none"/>
        </w:rPr>
        <w:t>真：</w:t>
      </w:r>
      <w:r>
        <w:rPr>
          <w:rFonts w:ascii="仿宋" w:hAnsi="仿宋" w:eastAsia="仿宋" w:cs="仿宋"/>
          <w:spacing w:val="-9"/>
          <w:sz w:val="24"/>
          <w:szCs w:val="24"/>
          <w:highlight w:val="none"/>
          <w:u w:val="single" w:color="auto"/>
        </w:rPr>
        <w:t xml:space="preserve">                       </w:t>
      </w:r>
    </w:p>
    <w:p w14:paraId="66B4838C">
      <w:pPr>
        <w:spacing w:before="157" w:line="218" w:lineRule="auto"/>
        <w:ind w:left="496"/>
        <w:rPr>
          <w:rFonts w:ascii="仿宋" w:hAnsi="仿宋" w:eastAsia="仿宋" w:cs="仿宋"/>
          <w:sz w:val="24"/>
          <w:szCs w:val="24"/>
          <w:highlight w:val="none"/>
        </w:rPr>
      </w:pPr>
      <w:r>
        <w:rPr>
          <w:rFonts w:ascii="仿宋" w:hAnsi="仿宋" w:eastAsia="仿宋" w:cs="仿宋"/>
          <w:spacing w:val="-2"/>
          <w:sz w:val="24"/>
          <w:szCs w:val="24"/>
          <w:highlight w:val="none"/>
        </w:rPr>
        <w:t>开立时间：年月</w:t>
      </w:r>
    </w:p>
    <w:p w14:paraId="45061357">
      <w:pPr>
        <w:spacing w:before="156" w:line="217" w:lineRule="auto"/>
        <w:ind w:left="503"/>
        <w:rPr>
          <w:rFonts w:ascii="仿宋" w:hAnsi="仿宋" w:eastAsia="仿宋" w:cs="仿宋"/>
          <w:sz w:val="24"/>
          <w:szCs w:val="24"/>
          <w:highlight w:val="none"/>
        </w:rPr>
      </w:pPr>
      <w:r>
        <w:rPr>
          <w:rFonts w:ascii="仿宋" w:hAnsi="仿宋" w:eastAsia="仿宋" w:cs="仿宋"/>
          <w:spacing w:val="-3"/>
          <w:sz w:val="24"/>
          <w:szCs w:val="24"/>
          <w:highlight w:val="none"/>
        </w:rPr>
        <w:t>注：保证保险期限必须大于投标有效期。投标人须将采用的纸质保证保险原件扫描件编入</w:t>
      </w:r>
    </w:p>
    <w:p w14:paraId="6850047B">
      <w:pPr>
        <w:spacing w:line="217" w:lineRule="auto"/>
        <w:rPr>
          <w:rFonts w:ascii="仿宋" w:hAnsi="仿宋" w:eastAsia="仿宋" w:cs="仿宋"/>
          <w:sz w:val="24"/>
          <w:szCs w:val="24"/>
          <w:highlight w:val="none"/>
        </w:rPr>
        <w:sectPr>
          <w:footerReference r:id="rId91" w:type="default"/>
          <w:pgSz w:w="11907" w:h="16839"/>
          <w:pgMar w:top="1431" w:right="1014" w:bottom="1127" w:left="1082" w:header="0" w:footer="896" w:gutter="0"/>
          <w:cols w:space="720" w:num="1"/>
        </w:sectPr>
      </w:pPr>
    </w:p>
    <w:p w14:paraId="6413F1DF">
      <w:pPr>
        <w:spacing w:before="156" w:line="339" w:lineRule="auto"/>
        <w:jc w:val="both"/>
        <w:rPr>
          <w:rFonts w:ascii="仿宋" w:hAnsi="仿宋" w:eastAsia="仿宋" w:cs="仿宋"/>
          <w:sz w:val="24"/>
          <w:szCs w:val="24"/>
          <w:highlight w:val="none"/>
        </w:rPr>
      </w:pPr>
      <w:r>
        <w:rPr>
          <w:rFonts w:ascii="仿宋" w:hAnsi="仿宋" w:eastAsia="仿宋" w:cs="仿宋"/>
          <w:spacing w:val="-2"/>
          <w:sz w:val="24"/>
          <w:szCs w:val="24"/>
          <w:highlight w:val="none"/>
        </w:rPr>
        <w:t>投标文件，未编入的视为未提供投标担保，其投标无效；虽提交了纸质保证保险原件扫描件，但其载明的要素与权利义务的要求，不符合格</w:t>
      </w:r>
      <w:r>
        <w:rPr>
          <w:rFonts w:ascii="仿宋" w:hAnsi="仿宋" w:eastAsia="仿宋" w:cs="仿宋"/>
          <w:spacing w:val="-3"/>
          <w:sz w:val="24"/>
          <w:szCs w:val="24"/>
          <w:highlight w:val="none"/>
        </w:rPr>
        <w:t>式文本要求，没有按照招标文件约定、投标人的</w:t>
      </w:r>
      <w:r>
        <w:rPr>
          <w:rFonts w:ascii="仿宋" w:hAnsi="仿宋" w:eastAsia="仿宋" w:cs="仿宋"/>
          <w:spacing w:val="-2"/>
          <w:sz w:val="24"/>
          <w:szCs w:val="24"/>
          <w:highlight w:val="none"/>
        </w:rPr>
        <w:t>承诺承担所有保证事项、或者不是无条件见索即付</w:t>
      </w:r>
      <w:r>
        <w:rPr>
          <w:rFonts w:ascii="仿宋" w:hAnsi="仿宋" w:eastAsia="仿宋" w:cs="仿宋"/>
          <w:spacing w:val="-3"/>
          <w:sz w:val="24"/>
          <w:szCs w:val="24"/>
          <w:highlight w:val="none"/>
        </w:rPr>
        <w:t>式的保证保险，视为未提交保证保险，其投</w:t>
      </w:r>
      <w:r>
        <w:rPr>
          <w:rFonts w:ascii="仿宋" w:hAnsi="仿宋" w:eastAsia="仿宋" w:cs="仿宋"/>
          <w:spacing w:val="-4"/>
          <w:sz w:val="24"/>
          <w:szCs w:val="24"/>
          <w:highlight w:val="none"/>
        </w:rPr>
        <w:t>标无效。</w:t>
      </w:r>
    </w:p>
    <w:p w14:paraId="1DD03964">
      <w:pPr>
        <w:spacing w:line="339" w:lineRule="auto"/>
        <w:rPr>
          <w:rFonts w:ascii="仿宋" w:hAnsi="仿宋" w:eastAsia="仿宋" w:cs="仿宋"/>
          <w:sz w:val="24"/>
          <w:szCs w:val="24"/>
          <w:highlight w:val="none"/>
        </w:rPr>
        <w:sectPr>
          <w:footerReference r:id="rId92" w:type="default"/>
          <w:pgSz w:w="11907" w:h="16839"/>
          <w:pgMar w:top="1431" w:right="1033" w:bottom="1127" w:left="1097" w:header="0" w:footer="896" w:gutter="0"/>
          <w:cols w:space="720" w:num="1"/>
        </w:sectPr>
      </w:pPr>
    </w:p>
    <w:p w14:paraId="3FF58A42">
      <w:pPr>
        <w:pStyle w:val="3"/>
        <w:spacing w:line="442" w:lineRule="auto"/>
        <w:rPr>
          <w:highlight w:val="none"/>
        </w:rPr>
      </w:pPr>
    </w:p>
    <w:p w14:paraId="1391BF5C">
      <w:pPr>
        <w:spacing w:before="98" w:line="217" w:lineRule="auto"/>
        <w:ind w:left="3387"/>
        <w:rPr>
          <w:rFonts w:ascii="仿宋" w:hAnsi="仿宋" w:eastAsia="仿宋" w:cs="仿宋"/>
          <w:sz w:val="30"/>
          <w:szCs w:val="30"/>
          <w:highlight w:val="none"/>
        </w:rPr>
      </w:pPr>
      <w:r>
        <w:rPr>
          <w:rFonts w:ascii="仿宋" w:hAnsi="仿宋" w:eastAsia="仿宋" w:cs="仿宋"/>
          <w:b/>
          <w:bCs/>
          <w:spacing w:val="-6"/>
          <w:sz w:val="30"/>
          <w:szCs w:val="30"/>
          <w:highlight w:val="none"/>
        </w:rPr>
        <w:t>免缴投标保证金承诺函</w:t>
      </w:r>
    </w:p>
    <w:p w14:paraId="6C2410B2">
      <w:pPr>
        <w:pStyle w:val="3"/>
        <w:spacing w:line="249" w:lineRule="auto"/>
        <w:rPr>
          <w:highlight w:val="none"/>
        </w:rPr>
      </w:pPr>
    </w:p>
    <w:p w14:paraId="426242D8">
      <w:pPr>
        <w:pStyle w:val="3"/>
        <w:spacing w:line="250" w:lineRule="auto"/>
        <w:rPr>
          <w:highlight w:val="none"/>
        </w:rPr>
      </w:pPr>
    </w:p>
    <w:p w14:paraId="58525B64">
      <w:pPr>
        <w:spacing w:before="78" w:line="218" w:lineRule="auto"/>
        <w:ind w:left="479"/>
        <w:rPr>
          <w:rFonts w:ascii="仿宋" w:hAnsi="仿宋" w:eastAsia="仿宋" w:cs="仿宋"/>
          <w:sz w:val="24"/>
          <w:szCs w:val="24"/>
          <w:highlight w:val="none"/>
        </w:rPr>
      </w:pPr>
      <w:r>
        <w:rPr>
          <w:rFonts w:ascii="仿宋" w:hAnsi="仿宋" w:eastAsia="仿宋" w:cs="仿宋"/>
          <w:spacing w:val="-13"/>
          <w:sz w:val="24"/>
          <w:szCs w:val="24"/>
          <w:highlight w:val="none"/>
        </w:rPr>
        <w:t>招标人：</w:t>
      </w:r>
    </w:p>
    <w:p w14:paraId="2781F631">
      <w:pPr>
        <w:spacing w:before="155" w:line="339" w:lineRule="auto"/>
        <w:ind w:right="1" w:firstLine="481"/>
        <w:rPr>
          <w:rFonts w:ascii="仿宋" w:hAnsi="仿宋" w:eastAsia="仿宋" w:cs="仿宋"/>
          <w:sz w:val="24"/>
          <w:szCs w:val="24"/>
          <w:highlight w:val="none"/>
        </w:rPr>
      </w:pPr>
      <w:r>
        <w:rPr>
          <w:rFonts w:ascii="仿宋" w:hAnsi="仿宋" w:eastAsia="仿宋" w:cs="仿宋"/>
          <w:spacing w:val="-3"/>
          <w:sz w:val="24"/>
          <w:szCs w:val="24"/>
          <w:highlight w:val="none"/>
        </w:rPr>
        <w:t>本公司（单位）拟参加项目的投标，自愿以书面承诺形式替代投标保证金并愿意承担不实</w:t>
      </w:r>
      <w:r>
        <w:rPr>
          <w:rFonts w:ascii="仿宋" w:hAnsi="仿宋" w:eastAsia="仿宋" w:cs="仿宋"/>
          <w:spacing w:val="-6"/>
          <w:sz w:val="24"/>
          <w:szCs w:val="24"/>
          <w:highlight w:val="none"/>
        </w:rPr>
        <w:t>承诺的法律责任。</w:t>
      </w:r>
    </w:p>
    <w:p w14:paraId="302D5C6D">
      <w:pPr>
        <w:spacing w:line="218" w:lineRule="auto"/>
        <w:ind w:left="486"/>
        <w:rPr>
          <w:rFonts w:ascii="仿宋" w:hAnsi="仿宋" w:eastAsia="仿宋" w:cs="仿宋"/>
          <w:sz w:val="24"/>
          <w:szCs w:val="24"/>
          <w:highlight w:val="none"/>
        </w:rPr>
      </w:pPr>
      <w:r>
        <w:rPr>
          <w:rFonts w:ascii="仿宋" w:hAnsi="仿宋" w:eastAsia="仿宋" w:cs="仿宋"/>
          <w:b/>
          <w:bCs/>
          <w:spacing w:val="-4"/>
          <w:sz w:val="24"/>
          <w:szCs w:val="24"/>
          <w:highlight w:val="none"/>
        </w:rPr>
        <w:t>一、项目基本情况：</w:t>
      </w:r>
    </w:p>
    <w:p w14:paraId="0B7AC757">
      <w:pPr>
        <w:spacing w:before="155" w:line="217" w:lineRule="auto"/>
        <w:ind w:left="481"/>
        <w:rPr>
          <w:rFonts w:ascii="仿宋" w:hAnsi="仿宋" w:eastAsia="仿宋" w:cs="仿宋"/>
          <w:sz w:val="24"/>
          <w:szCs w:val="24"/>
          <w:highlight w:val="none"/>
        </w:rPr>
      </w:pPr>
      <w:r>
        <w:rPr>
          <w:rFonts w:ascii="仿宋" w:hAnsi="仿宋" w:eastAsia="仿宋" w:cs="仿宋"/>
          <w:spacing w:val="-12"/>
          <w:sz w:val="24"/>
          <w:szCs w:val="24"/>
          <w:highlight w:val="none"/>
        </w:rPr>
        <w:t>项目名称：</w:t>
      </w:r>
    </w:p>
    <w:p w14:paraId="1117957E">
      <w:pPr>
        <w:spacing w:before="159" w:line="217" w:lineRule="auto"/>
        <w:ind w:left="479"/>
        <w:rPr>
          <w:rFonts w:ascii="仿宋" w:hAnsi="仿宋" w:eastAsia="仿宋" w:cs="仿宋"/>
          <w:sz w:val="24"/>
          <w:szCs w:val="24"/>
          <w:highlight w:val="none"/>
        </w:rPr>
      </w:pPr>
      <w:r>
        <w:rPr>
          <w:rFonts w:ascii="仿宋" w:hAnsi="仿宋" w:eastAsia="仿宋" w:cs="仿宋"/>
          <w:spacing w:val="-11"/>
          <w:sz w:val="24"/>
          <w:szCs w:val="24"/>
          <w:highlight w:val="none"/>
        </w:rPr>
        <w:t>标段名称：</w:t>
      </w:r>
    </w:p>
    <w:p w14:paraId="3655DBFA">
      <w:pPr>
        <w:spacing w:before="158" w:line="218" w:lineRule="auto"/>
        <w:ind w:left="480"/>
        <w:rPr>
          <w:rFonts w:ascii="仿宋" w:hAnsi="仿宋" w:eastAsia="仿宋" w:cs="仿宋"/>
          <w:sz w:val="24"/>
          <w:szCs w:val="24"/>
          <w:highlight w:val="none"/>
        </w:rPr>
      </w:pPr>
      <w:r>
        <w:rPr>
          <w:rFonts w:ascii="仿宋" w:hAnsi="仿宋" w:eastAsia="仿宋" w:cs="仿宋"/>
          <w:spacing w:val="-8"/>
          <w:sz w:val="24"/>
          <w:szCs w:val="24"/>
          <w:highlight w:val="none"/>
        </w:rPr>
        <w:t>开标时间：</w:t>
      </w:r>
      <w:r>
        <w:rPr>
          <w:rFonts w:ascii="仿宋" w:hAnsi="仿宋" w:eastAsia="仿宋" w:cs="仿宋"/>
          <w:spacing w:val="6"/>
          <w:sz w:val="24"/>
          <w:szCs w:val="24"/>
          <w:highlight w:val="none"/>
        </w:rPr>
        <w:t xml:space="preserve">   </w:t>
      </w:r>
      <w:r>
        <w:rPr>
          <w:rFonts w:ascii="仿宋" w:hAnsi="仿宋" w:eastAsia="仿宋" w:cs="仿宋"/>
          <w:spacing w:val="-8"/>
          <w:sz w:val="24"/>
          <w:szCs w:val="24"/>
          <w:highlight w:val="none"/>
        </w:rPr>
        <w:t>年</w:t>
      </w:r>
      <w:r>
        <w:rPr>
          <w:rFonts w:ascii="仿宋" w:hAnsi="仿宋" w:eastAsia="仿宋" w:cs="仿宋"/>
          <w:spacing w:val="14"/>
          <w:sz w:val="24"/>
          <w:szCs w:val="24"/>
          <w:highlight w:val="none"/>
        </w:rPr>
        <w:t xml:space="preserve">  </w:t>
      </w:r>
      <w:r>
        <w:rPr>
          <w:rFonts w:ascii="仿宋" w:hAnsi="仿宋" w:eastAsia="仿宋" w:cs="仿宋"/>
          <w:spacing w:val="-8"/>
          <w:sz w:val="24"/>
          <w:szCs w:val="24"/>
          <w:highlight w:val="none"/>
        </w:rPr>
        <w:t>月</w:t>
      </w:r>
      <w:r>
        <w:rPr>
          <w:rFonts w:ascii="仿宋" w:hAnsi="仿宋" w:eastAsia="仿宋" w:cs="仿宋"/>
          <w:spacing w:val="34"/>
          <w:sz w:val="24"/>
          <w:szCs w:val="24"/>
          <w:highlight w:val="none"/>
        </w:rPr>
        <w:t xml:space="preserve">  </w:t>
      </w:r>
      <w:r>
        <w:rPr>
          <w:rFonts w:ascii="仿宋" w:hAnsi="仿宋" w:eastAsia="仿宋" w:cs="仿宋"/>
          <w:spacing w:val="-8"/>
          <w:sz w:val="24"/>
          <w:szCs w:val="24"/>
          <w:highlight w:val="none"/>
        </w:rPr>
        <w:t>日</w:t>
      </w:r>
    </w:p>
    <w:p w14:paraId="25391C0A">
      <w:pPr>
        <w:spacing w:before="155" w:line="217"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保证金金额：</w:t>
      </w:r>
      <w:r>
        <w:rPr>
          <w:rFonts w:hint="eastAsia" w:ascii="仿宋" w:hAnsi="仿宋" w:eastAsia="仿宋" w:cs="仿宋"/>
          <w:spacing w:val="-3"/>
          <w:sz w:val="24"/>
          <w:szCs w:val="24"/>
          <w:highlight w:val="none"/>
          <w:lang w:val="en-US" w:eastAsia="zh-CN"/>
        </w:rPr>
        <w:t>10万</w:t>
      </w:r>
      <w:r>
        <w:rPr>
          <w:rFonts w:ascii="仿宋" w:hAnsi="仿宋" w:eastAsia="仿宋" w:cs="仿宋"/>
          <w:spacing w:val="-3"/>
          <w:sz w:val="24"/>
          <w:szCs w:val="24"/>
          <w:highlight w:val="none"/>
        </w:rPr>
        <w:t>元</w:t>
      </w:r>
    </w:p>
    <w:p w14:paraId="56B8D9B9">
      <w:pPr>
        <w:spacing w:before="159" w:line="217" w:lineRule="auto"/>
        <w:ind w:left="490"/>
        <w:rPr>
          <w:rFonts w:ascii="仿宋" w:hAnsi="仿宋" w:eastAsia="仿宋" w:cs="仿宋"/>
          <w:sz w:val="24"/>
          <w:szCs w:val="24"/>
          <w:highlight w:val="none"/>
        </w:rPr>
      </w:pPr>
      <w:r>
        <w:rPr>
          <w:rFonts w:ascii="仿宋" w:hAnsi="仿宋" w:eastAsia="仿宋" w:cs="仿宋"/>
          <w:b/>
          <w:bCs/>
          <w:spacing w:val="-6"/>
          <w:sz w:val="24"/>
          <w:szCs w:val="24"/>
          <w:highlight w:val="none"/>
        </w:rPr>
        <w:t>二、本公司（单位）承诺：</w:t>
      </w:r>
    </w:p>
    <w:p w14:paraId="61A358B9">
      <w:pPr>
        <w:spacing w:before="158" w:line="215" w:lineRule="auto"/>
        <w:ind w:left="482"/>
        <w:rPr>
          <w:rFonts w:ascii="仿宋" w:hAnsi="仿宋" w:eastAsia="仿宋" w:cs="仿宋"/>
          <w:sz w:val="24"/>
          <w:szCs w:val="24"/>
          <w:highlight w:val="none"/>
        </w:rPr>
      </w:pPr>
      <w:r>
        <w:rPr>
          <w:rFonts w:ascii="仿宋" w:hAnsi="仿宋" w:eastAsia="仿宋" w:cs="仿宋"/>
          <w:spacing w:val="-4"/>
          <w:sz w:val="24"/>
          <w:szCs w:val="24"/>
          <w:highlight w:val="none"/>
        </w:rPr>
        <w:t>在此次招投标活动中不发生以下情形：</w:t>
      </w:r>
    </w:p>
    <w:p w14:paraId="34A764DB">
      <w:pPr>
        <w:spacing w:before="159" w:line="215" w:lineRule="auto"/>
        <w:ind w:left="490"/>
        <w:rPr>
          <w:rFonts w:ascii="仿宋" w:hAnsi="仿宋" w:eastAsia="仿宋" w:cs="仿宋"/>
          <w:sz w:val="24"/>
          <w:szCs w:val="24"/>
          <w:highlight w:val="none"/>
        </w:rPr>
      </w:pPr>
      <w:r>
        <w:rPr>
          <w:rFonts w:ascii="仿宋" w:hAnsi="仿宋" w:eastAsia="仿宋" w:cs="仿宋"/>
          <w:spacing w:val="-5"/>
          <w:sz w:val="24"/>
          <w:szCs w:val="24"/>
          <w:highlight w:val="none"/>
        </w:rPr>
        <w:t>1、在投标截止后撤销投标文件；</w:t>
      </w:r>
    </w:p>
    <w:p w14:paraId="1A77294F">
      <w:pPr>
        <w:spacing w:before="163" w:line="277" w:lineRule="auto"/>
        <w:ind w:left="5" w:right="24" w:firstLine="470"/>
        <w:rPr>
          <w:rFonts w:ascii="仿宋" w:hAnsi="仿宋" w:eastAsia="仿宋" w:cs="仿宋"/>
          <w:sz w:val="24"/>
          <w:szCs w:val="24"/>
          <w:highlight w:val="none"/>
        </w:rPr>
      </w:pPr>
      <w:r>
        <w:rPr>
          <w:rFonts w:ascii="仿宋" w:hAnsi="仿宋" w:eastAsia="仿宋" w:cs="仿宋"/>
          <w:sz w:val="24"/>
          <w:szCs w:val="24"/>
          <w:highlight w:val="none"/>
        </w:rPr>
        <w:t>2、中标后无正当理由不与招标人订立合同，在签订合同时向招标人提出附加条件，或者</w:t>
      </w:r>
      <w:r>
        <w:rPr>
          <w:rFonts w:ascii="仿宋" w:hAnsi="仿宋" w:eastAsia="仿宋" w:cs="仿宋"/>
          <w:spacing w:val="-4"/>
          <w:sz w:val="24"/>
          <w:szCs w:val="24"/>
          <w:highlight w:val="none"/>
        </w:rPr>
        <w:t>不按照招标文件要求提交履约保证金（履约担保</w:t>
      </w:r>
      <w:r>
        <w:rPr>
          <w:rFonts w:ascii="仿宋" w:hAnsi="仿宋" w:eastAsia="仿宋" w:cs="仿宋"/>
          <w:spacing w:val="6"/>
          <w:sz w:val="24"/>
          <w:szCs w:val="24"/>
          <w:highlight w:val="none"/>
        </w:rPr>
        <w:t>）；</w:t>
      </w:r>
    </w:p>
    <w:p w14:paraId="50A3C906">
      <w:pPr>
        <w:spacing w:before="157" w:line="217" w:lineRule="auto"/>
        <w:ind w:left="477"/>
        <w:rPr>
          <w:rFonts w:ascii="仿宋" w:hAnsi="仿宋" w:eastAsia="仿宋" w:cs="仿宋"/>
          <w:sz w:val="24"/>
          <w:szCs w:val="24"/>
          <w:highlight w:val="none"/>
        </w:rPr>
      </w:pPr>
      <w:r>
        <w:rPr>
          <w:rFonts w:ascii="仿宋" w:hAnsi="仿宋" w:eastAsia="仿宋" w:cs="仿宋"/>
          <w:spacing w:val="-3"/>
          <w:sz w:val="24"/>
          <w:szCs w:val="24"/>
          <w:highlight w:val="none"/>
        </w:rPr>
        <w:t>3、招标文件中约定属于投标保证金不予退还情形；</w:t>
      </w:r>
    </w:p>
    <w:p w14:paraId="53BA00E2">
      <w:pPr>
        <w:spacing w:before="160" w:line="217" w:lineRule="auto"/>
        <w:ind w:left="472"/>
        <w:rPr>
          <w:rFonts w:ascii="仿宋" w:hAnsi="仿宋" w:eastAsia="仿宋" w:cs="仿宋"/>
          <w:sz w:val="24"/>
          <w:szCs w:val="24"/>
          <w:highlight w:val="none"/>
        </w:rPr>
      </w:pPr>
      <w:r>
        <w:rPr>
          <w:rFonts w:ascii="仿宋" w:hAnsi="仿宋" w:eastAsia="仿宋" w:cs="仿宋"/>
          <w:spacing w:val="-2"/>
          <w:sz w:val="24"/>
          <w:szCs w:val="24"/>
          <w:highlight w:val="none"/>
        </w:rPr>
        <w:t>4、法律法规规定的其他不予退还投标保证金情形。</w:t>
      </w:r>
    </w:p>
    <w:p w14:paraId="5D3B1CB5">
      <w:pPr>
        <w:spacing w:before="158" w:line="218" w:lineRule="auto"/>
        <w:ind w:left="489"/>
        <w:rPr>
          <w:rFonts w:ascii="仿宋" w:hAnsi="仿宋" w:eastAsia="仿宋" w:cs="仿宋"/>
          <w:sz w:val="24"/>
          <w:szCs w:val="24"/>
          <w:highlight w:val="none"/>
        </w:rPr>
      </w:pPr>
      <w:r>
        <w:rPr>
          <w:rFonts w:ascii="仿宋" w:hAnsi="仿宋" w:eastAsia="仿宋" w:cs="仿宋"/>
          <w:b/>
          <w:bCs/>
          <w:spacing w:val="-6"/>
          <w:sz w:val="24"/>
          <w:szCs w:val="24"/>
          <w:highlight w:val="none"/>
        </w:rPr>
        <w:t>三、自愿承担不实承诺的法律后果：</w:t>
      </w:r>
    </w:p>
    <w:p w14:paraId="407E0253">
      <w:pPr>
        <w:spacing w:before="155" w:line="218" w:lineRule="auto"/>
        <w:ind w:left="490"/>
        <w:rPr>
          <w:rFonts w:ascii="仿宋" w:hAnsi="仿宋" w:eastAsia="仿宋" w:cs="仿宋"/>
          <w:sz w:val="24"/>
          <w:szCs w:val="24"/>
          <w:highlight w:val="none"/>
        </w:rPr>
      </w:pPr>
      <w:r>
        <w:rPr>
          <w:rFonts w:ascii="仿宋" w:hAnsi="仿宋" w:eastAsia="仿宋" w:cs="仿宋"/>
          <w:spacing w:val="-9"/>
          <w:sz w:val="24"/>
          <w:szCs w:val="24"/>
          <w:highlight w:val="none"/>
        </w:rPr>
        <w:t>1、投标资格无效；</w:t>
      </w:r>
    </w:p>
    <w:p w14:paraId="5B3A9103">
      <w:pPr>
        <w:spacing w:before="160" w:line="297" w:lineRule="auto"/>
        <w:ind w:left="3" w:firstLine="472"/>
        <w:rPr>
          <w:rFonts w:ascii="仿宋" w:hAnsi="仿宋" w:eastAsia="仿宋" w:cs="仿宋"/>
          <w:sz w:val="24"/>
          <w:szCs w:val="24"/>
          <w:highlight w:val="none"/>
        </w:rPr>
      </w:pPr>
      <w:r>
        <w:rPr>
          <w:rFonts w:ascii="仿宋" w:hAnsi="仿宋" w:eastAsia="仿宋" w:cs="仿宋"/>
          <w:spacing w:val="-1"/>
          <w:sz w:val="24"/>
          <w:szCs w:val="24"/>
          <w:highlight w:val="none"/>
        </w:rPr>
        <w:t>2、自发现上述不实承诺行为之日起</w:t>
      </w:r>
      <w:r>
        <w:rPr>
          <w:rFonts w:ascii="仿宋" w:hAnsi="仿宋" w:eastAsia="仿宋" w:cs="仿宋"/>
          <w:spacing w:val="-28"/>
          <w:sz w:val="24"/>
          <w:szCs w:val="24"/>
          <w:highlight w:val="none"/>
        </w:rPr>
        <w:t xml:space="preserve"> </w:t>
      </w:r>
      <w:r>
        <w:rPr>
          <w:rFonts w:ascii="仿宋" w:hAnsi="仿宋" w:eastAsia="仿宋" w:cs="仿宋"/>
          <w:spacing w:val="-1"/>
          <w:sz w:val="24"/>
          <w:szCs w:val="24"/>
          <w:highlight w:val="none"/>
        </w:rPr>
        <w:t>7</w:t>
      </w:r>
      <w:r>
        <w:rPr>
          <w:rFonts w:ascii="仿宋" w:hAnsi="仿宋" w:eastAsia="仿宋" w:cs="仿宋"/>
          <w:spacing w:val="-26"/>
          <w:sz w:val="24"/>
          <w:szCs w:val="24"/>
          <w:highlight w:val="none"/>
        </w:rPr>
        <w:t xml:space="preserve"> </w:t>
      </w:r>
      <w:r>
        <w:rPr>
          <w:rFonts w:ascii="仿宋" w:hAnsi="仿宋" w:eastAsia="仿宋" w:cs="仿宋"/>
          <w:spacing w:val="-1"/>
          <w:sz w:val="24"/>
          <w:szCs w:val="24"/>
          <w:highlight w:val="none"/>
        </w:rPr>
        <w:t>个工作日内向招标文件约定的投标保证金专</w:t>
      </w:r>
      <w:r>
        <w:rPr>
          <w:rFonts w:ascii="仿宋" w:hAnsi="仿宋" w:eastAsia="仿宋" w:cs="仿宋"/>
          <w:spacing w:val="-2"/>
          <w:sz w:val="24"/>
          <w:szCs w:val="24"/>
          <w:highlight w:val="none"/>
        </w:rPr>
        <w:t>用账户</w:t>
      </w:r>
      <w:r>
        <w:rPr>
          <w:rFonts w:ascii="仿宋" w:hAnsi="仿宋" w:eastAsia="仿宋" w:cs="仿宋"/>
          <w:spacing w:val="-3"/>
          <w:sz w:val="24"/>
          <w:szCs w:val="24"/>
          <w:highlight w:val="none"/>
        </w:rPr>
        <w:t>补缴投标保证金；逾期未缴的视为失信行为，自愿接受记不良行为记录、投标资格限制、不予</w:t>
      </w:r>
      <w:r>
        <w:rPr>
          <w:rFonts w:ascii="仿宋" w:hAnsi="仿宋" w:eastAsia="仿宋" w:cs="仿宋"/>
          <w:spacing w:val="-2"/>
          <w:sz w:val="24"/>
          <w:szCs w:val="24"/>
          <w:highlight w:val="none"/>
        </w:rPr>
        <w:t>退还投标保证金等处罚或处理；给他人造成损失的，自愿依法承担赔偿责任。</w:t>
      </w:r>
    </w:p>
    <w:p w14:paraId="65C1A5F6">
      <w:pPr>
        <w:spacing w:before="160" w:line="218" w:lineRule="auto"/>
        <w:ind w:left="967"/>
        <w:rPr>
          <w:rFonts w:ascii="仿宋" w:hAnsi="仿宋" w:eastAsia="仿宋" w:cs="仿宋"/>
          <w:sz w:val="24"/>
          <w:szCs w:val="24"/>
          <w:highlight w:val="none"/>
        </w:rPr>
      </w:pPr>
      <w:r>
        <w:rPr>
          <w:rFonts w:ascii="仿宋" w:hAnsi="仿宋" w:eastAsia="仿宋" w:cs="仿宋"/>
          <w:b/>
          <w:bCs/>
          <w:spacing w:val="-4"/>
          <w:sz w:val="24"/>
          <w:szCs w:val="24"/>
          <w:highlight w:val="none"/>
        </w:rPr>
        <w:t>上述承诺是自身真实的意思表示。</w:t>
      </w:r>
    </w:p>
    <w:p w14:paraId="302DB8AF">
      <w:pPr>
        <w:pStyle w:val="3"/>
        <w:spacing w:line="272" w:lineRule="auto"/>
        <w:rPr>
          <w:highlight w:val="none"/>
        </w:rPr>
      </w:pPr>
    </w:p>
    <w:p w14:paraId="1FE10279">
      <w:pPr>
        <w:pStyle w:val="3"/>
        <w:spacing w:line="272" w:lineRule="auto"/>
        <w:rPr>
          <w:highlight w:val="none"/>
        </w:rPr>
      </w:pPr>
    </w:p>
    <w:p w14:paraId="0C3B9EEB">
      <w:pPr>
        <w:pStyle w:val="3"/>
        <w:spacing w:line="272" w:lineRule="auto"/>
        <w:rPr>
          <w:highlight w:val="none"/>
        </w:rPr>
      </w:pPr>
    </w:p>
    <w:p w14:paraId="646EBBDC">
      <w:pPr>
        <w:pStyle w:val="3"/>
        <w:spacing w:line="272" w:lineRule="auto"/>
        <w:rPr>
          <w:highlight w:val="none"/>
        </w:rPr>
      </w:pPr>
    </w:p>
    <w:p w14:paraId="5F69F990">
      <w:pPr>
        <w:pStyle w:val="3"/>
        <w:spacing w:line="272" w:lineRule="auto"/>
        <w:rPr>
          <w:highlight w:val="none"/>
        </w:rPr>
      </w:pPr>
    </w:p>
    <w:p w14:paraId="0A4852E7">
      <w:pPr>
        <w:pStyle w:val="3"/>
        <w:spacing w:line="273" w:lineRule="auto"/>
        <w:rPr>
          <w:highlight w:val="none"/>
        </w:rPr>
      </w:pPr>
    </w:p>
    <w:p w14:paraId="19470D0D">
      <w:pPr>
        <w:spacing w:before="78" w:line="218" w:lineRule="auto"/>
        <w:ind w:left="5041"/>
        <w:rPr>
          <w:rFonts w:ascii="仿宋" w:hAnsi="仿宋" w:eastAsia="仿宋" w:cs="仿宋"/>
          <w:sz w:val="24"/>
          <w:szCs w:val="24"/>
          <w:highlight w:val="none"/>
        </w:rPr>
      </w:pPr>
      <w:r>
        <w:rPr>
          <w:rFonts w:ascii="仿宋" w:hAnsi="仿宋" w:eastAsia="仿宋" w:cs="仿宋"/>
          <w:spacing w:val="-9"/>
          <w:sz w:val="24"/>
          <w:szCs w:val="24"/>
          <w:highlight w:val="none"/>
        </w:rPr>
        <w:t>承诺人（公章</w:t>
      </w:r>
      <w:r>
        <w:rPr>
          <w:rFonts w:ascii="仿宋" w:hAnsi="仿宋" w:eastAsia="仿宋" w:cs="仿宋"/>
          <w:spacing w:val="-4"/>
          <w:sz w:val="24"/>
          <w:szCs w:val="24"/>
          <w:highlight w:val="none"/>
        </w:rPr>
        <w:t>）：</w:t>
      </w:r>
    </w:p>
    <w:p w14:paraId="6D5F179D">
      <w:pPr>
        <w:spacing w:before="156" w:line="219" w:lineRule="auto"/>
        <w:ind w:left="5048"/>
        <w:rPr>
          <w:rFonts w:ascii="仿宋" w:hAnsi="仿宋" w:eastAsia="仿宋" w:cs="仿宋"/>
          <w:sz w:val="24"/>
          <w:szCs w:val="24"/>
          <w:highlight w:val="none"/>
        </w:rPr>
      </w:pPr>
      <w:r>
        <w:rPr>
          <w:rFonts w:ascii="仿宋" w:hAnsi="仿宋" w:eastAsia="仿宋" w:cs="仿宋"/>
          <w:spacing w:val="-11"/>
          <w:sz w:val="24"/>
          <w:szCs w:val="24"/>
          <w:highlight w:val="none"/>
        </w:rPr>
        <w:t>法定代表人：</w:t>
      </w:r>
    </w:p>
    <w:p w14:paraId="71F3DB1A">
      <w:pPr>
        <w:spacing w:before="154" w:line="219" w:lineRule="auto"/>
        <w:ind w:left="5038"/>
        <w:rPr>
          <w:rFonts w:ascii="仿宋" w:hAnsi="仿宋" w:eastAsia="仿宋" w:cs="仿宋"/>
          <w:sz w:val="24"/>
          <w:szCs w:val="24"/>
          <w:highlight w:val="none"/>
        </w:rPr>
      </w:pPr>
      <w:r>
        <w:rPr>
          <w:rFonts w:ascii="仿宋" w:hAnsi="仿宋" w:eastAsia="仿宋" w:cs="仿宋"/>
          <w:spacing w:val="-11"/>
          <w:sz w:val="24"/>
          <w:szCs w:val="24"/>
          <w:highlight w:val="none"/>
        </w:rPr>
        <w:t>联系电话：</w:t>
      </w:r>
    </w:p>
    <w:p w14:paraId="0052925C">
      <w:pPr>
        <w:spacing w:before="158" w:line="218" w:lineRule="auto"/>
        <w:ind w:left="5041"/>
        <w:rPr>
          <w:rFonts w:ascii="仿宋" w:hAnsi="仿宋" w:eastAsia="仿宋" w:cs="仿宋"/>
          <w:sz w:val="24"/>
          <w:szCs w:val="24"/>
          <w:highlight w:val="none"/>
        </w:rPr>
      </w:pPr>
      <w:r>
        <w:rPr>
          <w:rFonts w:ascii="仿宋" w:hAnsi="仿宋" w:eastAsia="仿宋" w:cs="仿宋"/>
          <w:spacing w:val="-8"/>
          <w:sz w:val="24"/>
          <w:szCs w:val="24"/>
          <w:highlight w:val="none"/>
        </w:rPr>
        <w:t>承诺日期：</w:t>
      </w:r>
      <w:r>
        <w:rPr>
          <w:rFonts w:ascii="仿宋" w:hAnsi="仿宋" w:eastAsia="仿宋" w:cs="仿宋"/>
          <w:spacing w:val="7"/>
          <w:sz w:val="24"/>
          <w:szCs w:val="24"/>
          <w:highlight w:val="none"/>
        </w:rPr>
        <w:t xml:space="preserve">   </w:t>
      </w:r>
      <w:r>
        <w:rPr>
          <w:rFonts w:ascii="仿宋" w:hAnsi="仿宋" w:eastAsia="仿宋" w:cs="仿宋"/>
          <w:spacing w:val="-8"/>
          <w:sz w:val="24"/>
          <w:szCs w:val="24"/>
          <w:highlight w:val="none"/>
        </w:rPr>
        <w:t>年</w:t>
      </w:r>
      <w:r>
        <w:rPr>
          <w:rFonts w:ascii="仿宋" w:hAnsi="仿宋" w:eastAsia="仿宋" w:cs="仿宋"/>
          <w:spacing w:val="13"/>
          <w:sz w:val="24"/>
          <w:szCs w:val="24"/>
          <w:highlight w:val="none"/>
        </w:rPr>
        <w:t xml:space="preserve">  </w:t>
      </w:r>
      <w:r>
        <w:rPr>
          <w:rFonts w:ascii="仿宋" w:hAnsi="仿宋" w:eastAsia="仿宋" w:cs="仿宋"/>
          <w:spacing w:val="-8"/>
          <w:sz w:val="24"/>
          <w:szCs w:val="24"/>
          <w:highlight w:val="none"/>
        </w:rPr>
        <w:t>月</w:t>
      </w:r>
      <w:r>
        <w:rPr>
          <w:rFonts w:ascii="仿宋" w:hAnsi="仿宋" w:eastAsia="仿宋" w:cs="仿宋"/>
          <w:spacing w:val="33"/>
          <w:sz w:val="24"/>
          <w:szCs w:val="24"/>
          <w:highlight w:val="none"/>
        </w:rPr>
        <w:t xml:space="preserve">  </w:t>
      </w:r>
      <w:r>
        <w:rPr>
          <w:rFonts w:ascii="仿宋" w:hAnsi="仿宋" w:eastAsia="仿宋" w:cs="仿宋"/>
          <w:spacing w:val="-8"/>
          <w:sz w:val="24"/>
          <w:szCs w:val="24"/>
          <w:highlight w:val="none"/>
        </w:rPr>
        <w:t>日</w:t>
      </w:r>
    </w:p>
    <w:p w14:paraId="16DFBA95">
      <w:pPr>
        <w:spacing w:line="218" w:lineRule="auto"/>
        <w:rPr>
          <w:rFonts w:ascii="仿宋" w:hAnsi="仿宋" w:eastAsia="仿宋" w:cs="仿宋"/>
          <w:sz w:val="24"/>
          <w:szCs w:val="24"/>
          <w:highlight w:val="none"/>
        </w:rPr>
        <w:sectPr>
          <w:footerReference r:id="rId93" w:type="default"/>
          <w:pgSz w:w="11907" w:h="16839"/>
          <w:pgMar w:top="1431" w:right="1067" w:bottom="1127" w:left="1098" w:header="0" w:footer="896" w:gutter="0"/>
          <w:cols w:space="720" w:num="1"/>
        </w:sectPr>
      </w:pPr>
    </w:p>
    <w:p w14:paraId="47EA9CF9">
      <w:pPr>
        <w:spacing w:before="181" w:line="219" w:lineRule="auto"/>
        <w:ind w:left="2810"/>
        <w:rPr>
          <w:rFonts w:ascii="宋体" w:hAnsi="宋体" w:eastAsia="宋体" w:cs="宋体"/>
          <w:sz w:val="28"/>
          <w:szCs w:val="28"/>
          <w:highlight w:val="none"/>
        </w:rPr>
      </w:pPr>
      <w:r>
        <w:rPr>
          <w:rFonts w:ascii="宋体" w:hAnsi="宋体" w:eastAsia="宋体" w:cs="宋体"/>
          <w:b/>
          <w:bCs/>
          <w:spacing w:val="-6"/>
          <w:sz w:val="28"/>
          <w:szCs w:val="28"/>
          <w:highlight w:val="none"/>
        </w:rPr>
        <w:t>(二)设计人员及项目管理机构配备</w:t>
      </w:r>
    </w:p>
    <w:p w14:paraId="294F8874">
      <w:pPr>
        <w:spacing w:before="230" w:line="309" w:lineRule="auto"/>
        <w:ind w:firstLine="478"/>
        <w:jc w:val="both"/>
        <w:rPr>
          <w:rFonts w:ascii="宋体" w:hAnsi="宋体" w:eastAsia="宋体" w:cs="宋体"/>
          <w:sz w:val="24"/>
          <w:szCs w:val="24"/>
          <w:highlight w:val="none"/>
        </w:rPr>
      </w:pPr>
      <w:r>
        <w:rPr>
          <w:rFonts w:ascii="宋体" w:hAnsi="宋体" w:eastAsia="宋体" w:cs="宋体"/>
          <w:spacing w:val="-6"/>
          <w:sz w:val="24"/>
          <w:szCs w:val="24"/>
          <w:highlight w:val="none"/>
        </w:rPr>
        <w:t>注：具体要求详见招标文件。联合体投标的， 设计岗位人员资料由联合体成员中具有设计</w:t>
      </w:r>
      <w:r>
        <w:rPr>
          <w:rFonts w:ascii="宋体" w:hAnsi="宋体" w:eastAsia="宋体" w:cs="宋体"/>
          <w:spacing w:val="-3"/>
          <w:sz w:val="24"/>
          <w:szCs w:val="24"/>
          <w:highlight w:val="none"/>
        </w:rPr>
        <w:t>资质的成员单位提供，建设工程项目部关键岗位人员资料由联合体成员中具有施工资质的成员</w:t>
      </w:r>
      <w:r>
        <w:rPr>
          <w:rFonts w:ascii="宋体" w:hAnsi="宋体" w:eastAsia="宋体" w:cs="宋体"/>
          <w:spacing w:val="-8"/>
          <w:sz w:val="24"/>
          <w:szCs w:val="24"/>
          <w:highlight w:val="none"/>
        </w:rPr>
        <w:t>单位提供。</w:t>
      </w:r>
    </w:p>
    <w:p w14:paraId="1E99087D">
      <w:pPr>
        <w:spacing w:before="170"/>
        <w:rPr>
          <w:highlight w:val="none"/>
        </w:rPr>
      </w:pPr>
    </w:p>
    <w:tbl>
      <w:tblPr>
        <w:tblStyle w:val="24"/>
        <w:tblW w:w="9527"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808"/>
        <w:gridCol w:w="938"/>
        <w:gridCol w:w="756"/>
        <w:gridCol w:w="1279"/>
        <w:gridCol w:w="1396"/>
        <w:gridCol w:w="807"/>
        <w:gridCol w:w="856"/>
        <w:gridCol w:w="986"/>
      </w:tblGrid>
      <w:tr w14:paraId="232DD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1" w:type="dxa"/>
            <w:vMerge w:val="restart"/>
            <w:tcBorders>
              <w:bottom w:val="nil"/>
            </w:tcBorders>
            <w:vAlign w:val="top"/>
          </w:tcPr>
          <w:p w14:paraId="645C1983">
            <w:pPr>
              <w:pStyle w:val="25"/>
              <w:spacing w:before="268" w:line="218" w:lineRule="auto"/>
              <w:ind w:left="124"/>
              <w:rPr>
                <w:highlight w:val="none"/>
              </w:rPr>
            </w:pPr>
            <w:r>
              <w:rPr>
                <w:spacing w:val="-4"/>
                <w:highlight w:val="none"/>
              </w:rPr>
              <w:t>序号</w:t>
            </w:r>
          </w:p>
        </w:tc>
        <w:tc>
          <w:tcPr>
            <w:tcW w:w="1808" w:type="dxa"/>
            <w:vMerge w:val="restart"/>
            <w:tcBorders>
              <w:bottom w:val="nil"/>
            </w:tcBorders>
            <w:vAlign w:val="top"/>
          </w:tcPr>
          <w:p w14:paraId="71C62581">
            <w:pPr>
              <w:pStyle w:val="25"/>
              <w:spacing w:before="268" w:line="218" w:lineRule="auto"/>
              <w:ind w:left="316"/>
              <w:rPr>
                <w:highlight w:val="none"/>
              </w:rPr>
            </w:pPr>
            <w:r>
              <w:rPr>
                <w:spacing w:val="-3"/>
                <w:highlight w:val="none"/>
              </w:rPr>
              <w:t>本项目任职</w:t>
            </w:r>
          </w:p>
        </w:tc>
        <w:tc>
          <w:tcPr>
            <w:tcW w:w="938" w:type="dxa"/>
            <w:vMerge w:val="restart"/>
            <w:tcBorders>
              <w:bottom w:val="nil"/>
            </w:tcBorders>
            <w:vAlign w:val="top"/>
          </w:tcPr>
          <w:p w14:paraId="4D80F6D0">
            <w:pPr>
              <w:pStyle w:val="25"/>
              <w:spacing w:before="268" w:line="220" w:lineRule="auto"/>
              <w:ind w:left="241"/>
              <w:rPr>
                <w:highlight w:val="none"/>
              </w:rPr>
            </w:pPr>
            <w:r>
              <w:rPr>
                <w:spacing w:val="-4"/>
                <w:highlight w:val="none"/>
              </w:rPr>
              <w:t>姓名</w:t>
            </w:r>
          </w:p>
        </w:tc>
        <w:tc>
          <w:tcPr>
            <w:tcW w:w="756" w:type="dxa"/>
            <w:vMerge w:val="restart"/>
            <w:tcBorders>
              <w:bottom w:val="nil"/>
            </w:tcBorders>
            <w:vAlign w:val="top"/>
          </w:tcPr>
          <w:p w14:paraId="4735CFD5">
            <w:pPr>
              <w:pStyle w:val="25"/>
              <w:spacing w:before="268" w:line="217" w:lineRule="auto"/>
              <w:ind w:left="149"/>
              <w:rPr>
                <w:highlight w:val="none"/>
              </w:rPr>
            </w:pPr>
            <w:r>
              <w:rPr>
                <w:spacing w:val="-4"/>
                <w:highlight w:val="none"/>
              </w:rPr>
              <w:t>职称</w:t>
            </w:r>
          </w:p>
        </w:tc>
        <w:tc>
          <w:tcPr>
            <w:tcW w:w="1279" w:type="dxa"/>
            <w:vMerge w:val="restart"/>
            <w:tcBorders>
              <w:bottom w:val="nil"/>
            </w:tcBorders>
            <w:vAlign w:val="top"/>
          </w:tcPr>
          <w:p w14:paraId="38F09717">
            <w:pPr>
              <w:pStyle w:val="25"/>
              <w:spacing w:before="268" w:line="220" w:lineRule="auto"/>
              <w:ind w:left="414"/>
              <w:rPr>
                <w:highlight w:val="none"/>
              </w:rPr>
            </w:pPr>
            <w:r>
              <w:rPr>
                <w:spacing w:val="-5"/>
                <w:highlight w:val="none"/>
              </w:rPr>
              <w:t>专业</w:t>
            </w:r>
          </w:p>
        </w:tc>
        <w:tc>
          <w:tcPr>
            <w:tcW w:w="3059" w:type="dxa"/>
            <w:gridSpan w:val="3"/>
            <w:vAlign w:val="top"/>
          </w:tcPr>
          <w:p w14:paraId="317158D2">
            <w:pPr>
              <w:pStyle w:val="25"/>
              <w:spacing w:before="107" w:line="218" w:lineRule="auto"/>
              <w:ind w:left="462"/>
              <w:rPr>
                <w:highlight w:val="none"/>
              </w:rPr>
            </w:pPr>
            <w:r>
              <w:rPr>
                <w:spacing w:val="-2"/>
                <w:highlight w:val="none"/>
              </w:rPr>
              <w:t>执业或职业资格证明</w:t>
            </w:r>
          </w:p>
        </w:tc>
        <w:tc>
          <w:tcPr>
            <w:tcW w:w="986" w:type="dxa"/>
            <w:vMerge w:val="restart"/>
            <w:tcBorders>
              <w:bottom w:val="nil"/>
            </w:tcBorders>
            <w:vAlign w:val="top"/>
          </w:tcPr>
          <w:p w14:paraId="596A1F10">
            <w:pPr>
              <w:pStyle w:val="25"/>
              <w:spacing w:before="268" w:line="220" w:lineRule="auto"/>
              <w:ind w:left="267"/>
              <w:rPr>
                <w:highlight w:val="none"/>
              </w:rPr>
            </w:pPr>
            <w:r>
              <w:rPr>
                <w:spacing w:val="-5"/>
                <w:highlight w:val="none"/>
              </w:rPr>
              <w:t>备注</w:t>
            </w:r>
          </w:p>
        </w:tc>
      </w:tr>
      <w:tr w14:paraId="60D47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tcBorders>
            <w:vAlign w:val="top"/>
          </w:tcPr>
          <w:p w14:paraId="55B94382">
            <w:pPr>
              <w:rPr>
                <w:rFonts w:ascii="Arial"/>
                <w:sz w:val="21"/>
                <w:highlight w:val="none"/>
              </w:rPr>
            </w:pPr>
          </w:p>
        </w:tc>
        <w:tc>
          <w:tcPr>
            <w:tcW w:w="1808" w:type="dxa"/>
            <w:vMerge w:val="continue"/>
            <w:tcBorders>
              <w:top w:val="nil"/>
            </w:tcBorders>
            <w:vAlign w:val="top"/>
          </w:tcPr>
          <w:p w14:paraId="116626FA">
            <w:pPr>
              <w:rPr>
                <w:rFonts w:ascii="Arial"/>
                <w:sz w:val="21"/>
                <w:highlight w:val="none"/>
              </w:rPr>
            </w:pPr>
          </w:p>
        </w:tc>
        <w:tc>
          <w:tcPr>
            <w:tcW w:w="938" w:type="dxa"/>
            <w:vMerge w:val="continue"/>
            <w:tcBorders>
              <w:top w:val="nil"/>
            </w:tcBorders>
            <w:vAlign w:val="top"/>
          </w:tcPr>
          <w:p w14:paraId="4EB4F545">
            <w:pPr>
              <w:rPr>
                <w:rFonts w:ascii="Arial"/>
                <w:sz w:val="21"/>
                <w:highlight w:val="none"/>
              </w:rPr>
            </w:pPr>
          </w:p>
        </w:tc>
        <w:tc>
          <w:tcPr>
            <w:tcW w:w="756" w:type="dxa"/>
            <w:vMerge w:val="continue"/>
            <w:tcBorders>
              <w:top w:val="nil"/>
            </w:tcBorders>
            <w:vAlign w:val="top"/>
          </w:tcPr>
          <w:p w14:paraId="1D2FDF49">
            <w:pPr>
              <w:rPr>
                <w:rFonts w:ascii="Arial"/>
                <w:sz w:val="21"/>
                <w:highlight w:val="none"/>
              </w:rPr>
            </w:pPr>
          </w:p>
        </w:tc>
        <w:tc>
          <w:tcPr>
            <w:tcW w:w="1279" w:type="dxa"/>
            <w:vMerge w:val="continue"/>
            <w:tcBorders>
              <w:top w:val="nil"/>
            </w:tcBorders>
            <w:vAlign w:val="top"/>
          </w:tcPr>
          <w:p w14:paraId="484FEE8B">
            <w:pPr>
              <w:rPr>
                <w:rFonts w:ascii="Arial"/>
                <w:sz w:val="21"/>
                <w:highlight w:val="none"/>
              </w:rPr>
            </w:pPr>
          </w:p>
        </w:tc>
        <w:tc>
          <w:tcPr>
            <w:tcW w:w="1396" w:type="dxa"/>
            <w:vAlign w:val="top"/>
          </w:tcPr>
          <w:p w14:paraId="1007AC10">
            <w:pPr>
              <w:pStyle w:val="25"/>
              <w:spacing w:before="34" w:line="209" w:lineRule="auto"/>
              <w:ind w:left="231"/>
              <w:rPr>
                <w:highlight w:val="none"/>
              </w:rPr>
            </w:pPr>
            <w:r>
              <w:rPr>
                <w:spacing w:val="-3"/>
                <w:highlight w:val="none"/>
              </w:rPr>
              <w:t>证书名称</w:t>
            </w:r>
          </w:p>
        </w:tc>
        <w:tc>
          <w:tcPr>
            <w:tcW w:w="807" w:type="dxa"/>
            <w:vAlign w:val="top"/>
          </w:tcPr>
          <w:p w14:paraId="44525BCD">
            <w:pPr>
              <w:pStyle w:val="25"/>
              <w:spacing w:before="34" w:line="209" w:lineRule="auto"/>
              <w:ind w:left="178"/>
              <w:rPr>
                <w:highlight w:val="none"/>
              </w:rPr>
            </w:pPr>
            <w:r>
              <w:rPr>
                <w:spacing w:val="-5"/>
                <w:highlight w:val="none"/>
              </w:rPr>
              <w:t>级别</w:t>
            </w:r>
          </w:p>
        </w:tc>
        <w:tc>
          <w:tcPr>
            <w:tcW w:w="856" w:type="dxa"/>
            <w:vAlign w:val="top"/>
          </w:tcPr>
          <w:p w14:paraId="5CE14F75">
            <w:pPr>
              <w:pStyle w:val="25"/>
              <w:spacing w:before="34" w:line="209" w:lineRule="auto"/>
              <w:ind w:left="201"/>
              <w:rPr>
                <w:highlight w:val="none"/>
              </w:rPr>
            </w:pPr>
            <w:r>
              <w:rPr>
                <w:spacing w:val="-4"/>
                <w:highlight w:val="none"/>
              </w:rPr>
              <w:t>证号</w:t>
            </w:r>
          </w:p>
        </w:tc>
        <w:tc>
          <w:tcPr>
            <w:tcW w:w="986" w:type="dxa"/>
            <w:vMerge w:val="continue"/>
            <w:tcBorders>
              <w:top w:val="nil"/>
            </w:tcBorders>
            <w:vAlign w:val="top"/>
          </w:tcPr>
          <w:p w14:paraId="02DBADB8">
            <w:pPr>
              <w:rPr>
                <w:rFonts w:ascii="Arial"/>
                <w:sz w:val="21"/>
                <w:highlight w:val="none"/>
              </w:rPr>
            </w:pPr>
          </w:p>
        </w:tc>
      </w:tr>
      <w:tr w14:paraId="195AD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01" w:type="dxa"/>
            <w:vAlign w:val="top"/>
          </w:tcPr>
          <w:p w14:paraId="5A08241A">
            <w:pPr>
              <w:pStyle w:val="25"/>
              <w:spacing w:before="138" w:line="238" w:lineRule="auto"/>
              <w:ind w:left="314"/>
              <w:rPr>
                <w:highlight w:val="none"/>
              </w:rPr>
            </w:pPr>
            <w:r>
              <w:rPr>
                <w:highlight w:val="none"/>
              </w:rPr>
              <w:t>1</w:t>
            </w:r>
          </w:p>
        </w:tc>
        <w:tc>
          <w:tcPr>
            <w:tcW w:w="1808" w:type="dxa"/>
            <w:vAlign w:val="top"/>
          </w:tcPr>
          <w:p w14:paraId="52B58C16">
            <w:pPr>
              <w:pStyle w:val="25"/>
              <w:spacing w:before="137" w:line="218" w:lineRule="auto"/>
              <w:ind w:left="315"/>
              <w:rPr>
                <w:highlight w:val="none"/>
              </w:rPr>
            </w:pPr>
            <w:r>
              <w:rPr>
                <w:spacing w:val="-3"/>
                <w:highlight w:val="none"/>
              </w:rPr>
              <w:t>设计负责人</w:t>
            </w:r>
          </w:p>
        </w:tc>
        <w:tc>
          <w:tcPr>
            <w:tcW w:w="938" w:type="dxa"/>
            <w:vAlign w:val="top"/>
          </w:tcPr>
          <w:p w14:paraId="1B89EDCB">
            <w:pPr>
              <w:rPr>
                <w:rFonts w:ascii="Arial"/>
                <w:sz w:val="21"/>
                <w:highlight w:val="none"/>
              </w:rPr>
            </w:pPr>
          </w:p>
        </w:tc>
        <w:tc>
          <w:tcPr>
            <w:tcW w:w="756" w:type="dxa"/>
            <w:vAlign w:val="top"/>
          </w:tcPr>
          <w:p w14:paraId="28601944">
            <w:pPr>
              <w:rPr>
                <w:rFonts w:ascii="Arial"/>
                <w:sz w:val="21"/>
                <w:highlight w:val="none"/>
              </w:rPr>
            </w:pPr>
          </w:p>
        </w:tc>
        <w:tc>
          <w:tcPr>
            <w:tcW w:w="1279" w:type="dxa"/>
            <w:vAlign w:val="top"/>
          </w:tcPr>
          <w:p w14:paraId="4BF492CE">
            <w:pPr>
              <w:rPr>
                <w:rFonts w:ascii="Arial"/>
                <w:sz w:val="21"/>
                <w:highlight w:val="none"/>
              </w:rPr>
            </w:pPr>
          </w:p>
        </w:tc>
        <w:tc>
          <w:tcPr>
            <w:tcW w:w="1396" w:type="dxa"/>
            <w:vAlign w:val="top"/>
          </w:tcPr>
          <w:p w14:paraId="73665B8D">
            <w:pPr>
              <w:rPr>
                <w:rFonts w:ascii="Arial"/>
                <w:sz w:val="21"/>
                <w:highlight w:val="none"/>
              </w:rPr>
            </w:pPr>
          </w:p>
        </w:tc>
        <w:tc>
          <w:tcPr>
            <w:tcW w:w="807" w:type="dxa"/>
            <w:vAlign w:val="top"/>
          </w:tcPr>
          <w:p w14:paraId="445A5645">
            <w:pPr>
              <w:rPr>
                <w:rFonts w:ascii="Arial"/>
                <w:sz w:val="21"/>
                <w:highlight w:val="none"/>
              </w:rPr>
            </w:pPr>
          </w:p>
        </w:tc>
        <w:tc>
          <w:tcPr>
            <w:tcW w:w="856" w:type="dxa"/>
            <w:vAlign w:val="top"/>
          </w:tcPr>
          <w:p w14:paraId="74074199">
            <w:pPr>
              <w:rPr>
                <w:rFonts w:ascii="Arial"/>
                <w:sz w:val="21"/>
                <w:highlight w:val="none"/>
              </w:rPr>
            </w:pPr>
          </w:p>
        </w:tc>
        <w:tc>
          <w:tcPr>
            <w:tcW w:w="986" w:type="dxa"/>
            <w:vAlign w:val="top"/>
          </w:tcPr>
          <w:p w14:paraId="5BC36B2D">
            <w:pPr>
              <w:rPr>
                <w:rFonts w:ascii="Arial"/>
                <w:sz w:val="21"/>
                <w:highlight w:val="none"/>
              </w:rPr>
            </w:pPr>
          </w:p>
        </w:tc>
      </w:tr>
      <w:tr w14:paraId="0F00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01" w:type="dxa"/>
            <w:vAlign w:val="top"/>
          </w:tcPr>
          <w:p w14:paraId="3E38AC9D">
            <w:pPr>
              <w:pStyle w:val="25"/>
              <w:spacing w:before="138" w:line="238" w:lineRule="auto"/>
              <w:ind w:left="299"/>
              <w:rPr>
                <w:highlight w:val="none"/>
              </w:rPr>
            </w:pPr>
            <w:r>
              <w:rPr>
                <w:highlight w:val="none"/>
              </w:rPr>
              <w:t>2</w:t>
            </w:r>
          </w:p>
        </w:tc>
        <w:tc>
          <w:tcPr>
            <w:tcW w:w="1808" w:type="dxa"/>
            <w:vAlign w:val="top"/>
          </w:tcPr>
          <w:p w14:paraId="1257DF23">
            <w:pPr>
              <w:pStyle w:val="25"/>
              <w:spacing w:before="138" w:line="218" w:lineRule="auto"/>
              <w:ind w:left="435"/>
              <w:rPr>
                <w:highlight w:val="none"/>
              </w:rPr>
            </w:pPr>
            <w:r>
              <w:rPr>
                <w:spacing w:val="-3"/>
                <w:highlight w:val="none"/>
              </w:rPr>
              <w:t>设计人员</w:t>
            </w:r>
          </w:p>
        </w:tc>
        <w:tc>
          <w:tcPr>
            <w:tcW w:w="938" w:type="dxa"/>
            <w:vAlign w:val="top"/>
          </w:tcPr>
          <w:p w14:paraId="12829E38">
            <w:pPr>
              <w:rPr>
                <w:rFonts w:ascii="Arial"/>
                <w:sz w:val="21"/>
                <w:highlight w:val="none"/>
              </w:rPr>
            </w:pPr>
          </w:p>
        </w:tc>
        <w:tc>
          <w:tcPr>
            <w:tcW w:w="756" w:type="dxa"/>
            <w:vAlign w:val="top"/>
          </w:tcPr>
          <w:p w14:paraId="630105CC">
            <w:pPr>
              <w:rPr>
                <w:rFonts w:ascii="Arial"/>
                <w:sz w:val="21"/>
                <w:highlight w:val="none"/>
              </w:rPr>
            </w:pPr>
          </w:p>
        </w:tc>
        <w:tc>
          <w:tcPr>
            <w:tcW w:w="1279" w:type="dxa"/>
            <w:vAlign w:val="top"/>
          </w:tcPr>
          <w:p w14:paraId="3A1D08FE">
            <w:pPr>
              <w:rPr>
                <w:rFonts w:ascii="Arial"/>
                <w:sz w:val="21"/>
                <w:highlight w:val="none"/>
              </w:rPr>
            </w:pPr>
          </w:p>
        </w:tc>
        <w:tc>
          <w:tcPr>
            <w:tcW w:w="1396" w:type="dxa"/>
            <w:vAlign w:val="top"/>
          </w:tcPr>
          <w:p w14:paraId="6F37BE34">
            <w:pPr>
              <w:rPr>
                <w:rFonts w:ascii="Arial"/>
                <w:sz w:val="21"/>
                <w:highlight w:val="none"/>
              </w:rPr>
            </w:pPr>
          </w:p>
        </w:tc>
        <w:tc>
          <w:tcPr>
            <w:tcW w:w="807" w:type="dxa"/>
            <w:vAlign w:val="top"/>
          </w:tcPr>
          <w:p w14:paraId="58ADDBAE">
            <w:pPr>
              <w:rPr>
                <w:rFonts w:ascii="Arial"/>
                <w:sz w:val="21"/>
                <w:highlight w:val="none"/>
              </w:rPr>
            </w:pPr>
          </w:p>
        </w:tc>
        <w:tc>
          <w:tcPr>
            <w:tcW w:w="856" w:type="dxa"/>
            <w:vAlign w:val="top"/>
          </w:tcPr>
          <w:p w14:paraId="74131EA4">
            <w:pPr>
              <w:rPr>
                <w:rFonts w:ascii="Arial"/>
                <w:sz w:val="21"/>
                <w:highlight w:val="none"/>
              </w:rPr>
            </w:pPr>
          </w:p>
        </w:tc>
        <w:tc>
          <w:tcPr>
            <w:tcW w:w="986" w:type="dxa"/>
            <w:vAlign w:val="top"/>
          </w:tcPr>
          <w:p w14:paraId="439FFCED">
            <w:pPr>
              <w:rPr>
                <w:rFonts w:ascii="Arial"/>
                <w:sz w:val="21"/>
                <w:highlight w:val="none"/>
              </w:rPr>
            </w:pPr>
          </w:p>
        </w:tc>
      </w:tr>
      <w:tr w14:paraId="525E7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01" w:type="dxa"/>
            <w:vAlign w:val="top"/>
          </w:tcPr>
          <w:p w14:paraId="3B3D6999">
            <w:pPr>
              <w:pStyle w:val="25"/>
              <w:spacing w:before="138" w:line="237" w:lineRule="auto"/>
              <w:ind w:left="301"/>
              <w:rPr>
                <w:highlight w:val="none"/>
              </w:rPr>
            </w:pPr>
            <w:r>
              <w:rPr>
                <w:highlight w:val="none"/>
              </w:rPr>
              <w:t>3</w:t>
            </w:r>
          </w:p>
        </w:tc>
        <w:tc>
          <w:tcPr>
            <w:tcW w:w="1808" w:type="dxa"/>
            <w:vAlign w:val="top"/>
          </w:tcPr>
          <w:p w14:paraId="49432C23">
            <w:pPr>
              <w:pStyle w:val="25"/>
              <w:spacing w:before="138" w:line="218" w:lineRule="auto"/>
              <w:ind w:left="435"/>
              <w:rPr>
                <w:highlight w:val="none"/>
              </w:rPr>
            </w:pPr>
            <w:r>
              <w:rPr>
                <w:spacing w:val="-3"/>
                <w:highlight w:val="none"/>
              </w:rPr>
              <w:t>设计人员</w:t>
            </w:r>
          </w:p>
        </w:tc>
        <w:tc>
          <w:tcPr>
            <w:tcW w:w="938" w:type="dxa"/>
            <w:vAlign w:val="top"/>
          </w:tcPr>
          <w:p w14:paraId="185DE746">
            <w:pPr>
              <w:rPr>
                <w:rFonts w:ascii="Arial"/>
                <w:sz w:val="21"/>
                <w:highlight w:val="none"/>
              </w:rPr>
            </w:pPr>
          </w:p>
        </w:tc>
        <w:tc>
          <w:tcPr>
            <w:tcW w:w="756" w:type="dxa"/>
            <w:vAlign w:val="top"/>
          </w:tcPr>
          <w:p w14:paraId="6CEA9609">
            <w:pPr>
              <w:rPr>
                <w:rFonts w:ascii="Arial"/>
                <w:sz w:val="21"/>
                <w:highlight w:val="none"/>
              </w:rPr>
            </w:pPr>
          </w:p>
        </w:tc>
        <w:tc>
          <w:tcPr>
            <w:tcW w:w="1279" w:type="dxa"/>
            <w:vAlign w:val="top"/>
          </w:tcPr>
          <w:p w14:paraId="2B978145">
            <w:pPr>
              <w:rPr>
                <w:rFonts w:ascii="Arial"/>
                <w:sz w:val="21"/>
                <w:highlight w:val="none"/>
              </w:rPr>
            </w:pPr>
          </w:p>
        </w:tc>
        <w:tc>
          <w:tcPr>
            <w:tcW w:w="1396" w:type="dxa"/>
            <w:vAlign w:val="top"/>
          </w:tcPr>
          <w:p w14:paraId="6360E8E7">
            <w:pPr>
              <w:rPr>
                <w:rFonts w:ascii="Arial"/>
                <w:sz w:val="21"/>
                <w:highlight w:val="none"/>
              </w:rPr>
            </w:pPr>
          </w:p>
        </w:tc>
        <w:tc>
          <w:tcPr>
            <w:tcW w:w="807" w:type="dxa"/>
            <w:vAlign w:val="top"/>
          </w:tcPr>
          <w:p w14:paraId="7B7C0C1F">
            <w:pPr>
              <w:rPr>
                <w:rFonts w:ascii="Arial"/>
                <w:sz w:val="21"/>
                <w:highlight w:val="none"/>
              </w:rPr>
            </w:pPr>
          </w:p>
        </w:tc>
        <w:tc>
          <w:tcPr>
            <w:tcW w:w="856" w:type="dxa"/>
            <w:vAlign w:val="top"/>
          </w:tcPr>
          <w:p w14:paraId="038FF705">
            <w:pPr>
              <w:rPr>
                <w:rFonts w:ascii="Arial"/>
                <w:sz w:val="21"/>
                <w:highlight w:val="none"/>
              </w:rPr>
            </w:pPr>
          </w:p>
        </w:tc>
        <w:tc>
          <w:tcPr>
            <w:tcW w:w="986" w:type="dxa"/>
            <w:vAlign w:val="top"/>
          </w:tcPr>
          <w:p w14:paraId="00F9883B">
            <w:pPr>
              <w:rPr>
                <w:rFonts w:ascii="Arial"/>
                <w:sz w:val="21"/>
                <w:highlight w:val="none"/>
              </w:rPr>
            </w:pPr>
          </w:p>
        </w:tc>
      </w:tr>
      <w:tr w14:paraId="1B3F2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01" w:type="dxa"/>
            <w:vAlign w:val="top"/>
          </w:tcPr>
          <w:p w14:paraId="445FB767">
            <w:pPr>
              <w:pStyle w:val="25"/>
              <w:spacing w:before="138" w:line="238" w:lineRule="auto"/>
              <w:ind w:left="295"/>
              <w:rPr>
                <w:highlight w:val="none"/>
              </w:rPr>
            </w:pPr>
            <w:r>
              <w:rPr>
                <w:highlight w:val="none"/>
              </w:rPr>
              <w:t>4</w:t>
            </w:r>
          </w:p>
        </w:tc>
        <w:tc>
          <w:tcPr>
            <w:tcW w:w="1808" w:type="dxa"/>
            <w:vAlign w:val="top"/>
          </w:tcPr>
          <w:p w14:paraId="771B6745">
            <w:pPr>
              <w:pStyle w:val="25"/>
              <w:spacing w:before="138" w:line="218" w:lineRule="auto"/>
              <w:ind w:left="435"/>
              <w:rPr>
                <w:highlight w:val="none"/>
              </w:rPr>
            </w:pPr>
            <w:r>
              <w:rPr>
                <w:spacing w:val="-3"/>
                <w:highlight w:val="none"/>
              </w:rPr>
              <w:t>设计人员</w:t>
            </w:r>
          </w:p>
        </w:tc>
        <w:tc>
          <w:tcPr>
            <w:tcW w:w="938" w:type="dxa"/>
            <w:vAlign w:val="top"/>
          </w:tcPr>
          <w:p w14:paraId="5D3C0D44">
            <w:pPr>
              <w:rPr>
                <w:rFonts w:ascii="Arial"/>
                <w:sz w:val="21"/>
                <w:highlight w:val="none"/>
              </w:rPr>
            </w:pPr>
          </w:p>
        </w:tc>
        <w:tc>
          <w:tcPr>
            <w:tcW w:w="756" w:type="dxa"/>
            <w:vAlign w:val="top"/>
          </w:tcPr>
          <w:p w14:paraId="5C2CE939">
            <w:pPr>
              <w:rPr>
                <w:rFonts w:ascii="Arial"/>
                <w:sz w:val="21"/>
                <w:highlight w:val="none"/>
              </w:rPr>
            </w:pPr>
          </w:p>
        </w:tc>
        <w:tc>
          <w:tcPr>
            <w:tcW w:w="1279" w:type="dxa"/>
            <w:vAlign w:val="top"/>
          </w:tcPr>
          <w:p w14:paraId="22225163">
            <w:pPr>
              <w:rPr>
                <w:rFonts w:ascii="Arial"/>
                <w:sz w:val="21"/>
                <w:highlight w:val="none"/>
              </w:rPr>
            </w:pPr>
          </w:p>
        </w:tc>
        <w:tc>
          <w:tcPr>
            <w:tcW w:w="1396" w:type="dxa"/>
            <w:vAlign w:val="top"/>
          </w:tcPr>
          <w:p w14:paraId="0AD4FD05">
            <w:pPr>
              <w:rPr>
                <w:rFonts w:ascii="Arial"/>
                <w:sz w:val="21"/>
                <w:highlight w:val="none"/>
              </w:rPr>
            </w:pPr>
          </w:p>
        </w:tc>
        <w:tc>
          <w:tcPr>
            <w:tcW w:w="807" w:type="dxa"/>
            <w:vAlign w:val="top"/>
          </w:tcPr>
          <w:p w14:paraId="7E5FB635">
            <w:pPr>
              <w:rPr>
                <w:rFonts w:ascii="Arial"/>
                <w:sz w:val="21"/>
                <w:highlight w:val="none"/>
              </w:rPr>
            </w:pPr>
          </w:p>
        </w:tc>
        <w:tc>
          <w:tcPr>
            <w:tcW w:w="856" w:type="dxa"/>
            <w:vAlign w:val="top"/>
          </w:tcPr>
          <w:p w14:paraId="66516ABE">
            <w:pPr>
              <w:rPr>
                <w:rFonts w:ascii="Arial"/>
                <w:sz w:val="21"/>
                <w:highlight w:val="none"/>
              </w:rPr>
            </w:pPr>
          </w:p>
        </w:tc>
        <w:tc>
          <w:tcPr>
            <w:tcW w:w="986" w:type="dxa"/>
            <w:vAlign w:val="top"/>
          </w:tcPr>
          <w:p w14:paraId="0E716C98">
            <w:pPr>
              <w:rPr>
                <w:rFonts w:ascii="Arial"/>
                <w:sz w:val="21"/>
                <w:highlight w:val="none"/>
              </w:rPr>
            </w:pPr>
          </w:p>
        </w:tc>
      </w:tr>
      <w:tr w14:paraId="24548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01" w:type="dxa"/>
            <w:vAlign w:val="top"/>
          </w:tcPr>
          <w:p w14:paraId="59E14249">
            <w:pPr>
              <w:pStyle w:val="25"/>
              <w:spacing w:before="123" w:line="237" w:lineRule="auto"/>
              <w:ind w:left="301"/>
              <w:rPr>
                <w:highlight w:val="none"/>
              </w:rPr>
            </w:pPr>
            <w:r>
              <w:rPr>
                <w:highlight w:val="none"/>
              </w:rPr>
              <w:t>5</w:t>
            </w:r>
          </w:p>
        </w:tc>
        <w:tc>
          <w:tcPr>
            <w:tcW w:w="1808" w:type="dxa"/>
            <w:vAlign w:val="top"/>
          </w:tcPr>
          <w:p w14:paraId="477CDC3C">
            <w:pPr>
              <w:pStyle w:val="25"/>
              <w:spacing w:before="124" w:line="218" w:lineRule="auto"/>
              <w:ind w:left="435"/>
              <w:rPr>
                <w:highlight w:val="none"/>
              </w:rPr>
            </w:pPr>
            <w:r>
              <w:rPr>
                <w:spacing w:val="-3"/>
                <w:highlight w:val="none"/>
              </w:rPr>
              <w:t>设计人员</w:t>
            </w:r>
          </w:p>
        </w:tc>
        <w:tc>
          <w:tcPr>
            <w:tcW w:w="938" w:type="dxa"/>
            <w:vAlign w:val="top"/>
          </w:tcPr>
          <w:p w14:paraId="753F4DA9">
            <w:pPr>
              <w:rPr>
                <w:rFonts w:ascii="Arial"/>
                <w:sz w:val="21"/>
                <w:highlight w:val="none"/>
              </w:rPr>
            </w:pPr>
          </w:p>
        </w:tc>
        <w:tc>
          <w:tcPr>
            <w:tcW w:w="756" w:type="dxa"/>
            <w:vAlign w:val="top"/>
          </w:tcPr>
          <w:p w14:paraId="6E153769">
            <w:pPr>
              <w:rPr>
                <w:rFonts w:ascii="Arial"/>
                <w:sz w:val="21"/>
                <w:highlight w:val="none"/>
              </w:rPr>
            </w:pPr>
          </w:p>
        </w:tc>
        <w:tc>
          <w:tcPr>
            <w:tcW w:w="1279" w:type="dxa"/>
            <w:vAlign w:val="top"/>
          </w:tcPr>
          <w:p w14:paraId="678317A1">
            <w:pPr>
              <w:rPr>
                <w:rFonts w:ascii="Arial"/>
                <w:sz w:val="21"/>
                <w:highlight w:val="none"/>
              </w:rPr>
            </w:pPr>
          </w:p>
        </w:tc>
        <w:tc>
          <w:tcPr>
            <w:tcW w:w="1396" w:type="dxa"/>
            <w:vAlign w:val="top"/>
          </w:tcPr>
          <w:p w14:paraId="70131ADE">
            <w:pPr>
              <w:rPr>
                <w:rFonts w:ascii="Arial"/>
                <w:sz w:val="21"/>
                <w:highlight w:val="none"/>
              </w:rPr>
            </w:pPr>
          </w:p>
        </w:tc>
        <w:tc>
          <w:tcPr>
            <w:tcW w:w="807" w:type="dxa"/>
            <w:vAlign w:val="top"/>
          </w:tcPr>
          <w:p w14:paraId="457E443A">
            <w:pPr>
              <w:rPr>
                <w:rFonts w:ascii="Arial"/>
                <w:sz w:val="21"/>
                <w:highlight w:val="none"/>
              </w:rPr>
            </w:pPr>
          </w:p>
        </w:tc>
        <w:tc>
          <w:tcPr>
            <w:tcW w:w="856" w:type="dxa"/>
            <w:vAlign w:val="top"/>
          </w:tcPr>
          <w:p w14:paraId="6C02B381">
            <w:pPr>
              <w:rPr>
                <w:rFonts w:ascii="Arial"/>
                <w:sz w:val="21"/>
                <w:highlight w:val="none"/>
              </w:rPr>
            </w:pPr>
          </w:p>
        </w:tc>
        <w:tc>
          <w:tcPr>
            <w:tcW w:w="986" w:type="dxa"/>
            <w:vAlign w:val="top"/>
          </w:tcPr>
          <w:p w14:paraId="1A0E65C0">
            <w:pPr>
              <w:rPr>
                <w:rFonts w:ascii="Arial"/>
                <w:sz w:val="21"/>
                <w:highlight w:val="none"/>
              </w:rPr>
            </w:pPr>
          </w:p>
        </w:tc>
      </w:tr>
      <w:tr w14:paraId="530F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01" w:type="dxa"/>
            <w:vAlign w:val="top"/>
          </w:tcPr>
          <w:p w14:paraId="41F1ADD5">
            <w:pPr>
              <w:pStyle w:val="25"/>
              <w:spacing w:before="270" w:line="237" w:lineRule="auto"/>
              <w:ind w:left="298"/>
              <w:rPr>
                <w:highlight w:val="none"/>
              </w:rPr>
            </w:pPr>
            <w:r>
              <w:rPr>
                <w:highlight w:val="none"/>
              </w:rPr>
              <w:t>6</w:t>
            </w:r>
          </w:p>
        </w:tc>
        <w:tc>
          <w:tcPr>
            <w:tcW w:w="1808" w:type="dxa"/>
            <w:vAlign w:val="top"/>
          </w:tcPr>
          <w:p w14:paraId="415E027B">
            <w:pPr>
              <w:pStyle w:val="25"/>
              <w:spacing w:before="114" w:line="220" w:lineRule="auto"/>
              <w:ind w:left="120"/>
              <w:rPr>
                <w:highlight w:val="none"/>
              </w:rPr>
            </w:pPr>
            <w:r>
              <w:rPr>
                <w:spacing w:val="-13"/>
                <w:highlight w:val="none"/>
              </w:rPr>
              <w:t>项目经理（注册</w:t>
            </w:r>
          </w:p>
          <w:p w14:paraId="6E414907">
            <w:pPr>
              <w:pStyle w:val="25"/>
              <w:spacing w:before="26" w:line="218" w:lineRule="auto"/>
              <w:ind w:left="435"/>
              <w:rPr>
                <w:highlight w:val="none"/>
              </w:rPr>
            </w:pPr>
            <w:r>
              <w:rPr>
                <w:spacing w:val="-6"/>
                <w:highlight w:val="none"/>
              </w:rPr>
              <w:t>建造师）</w:t>
            </w:r>
          </w:p>
        </w:tc>
        <w:tc>
          <w:tcPr>
            <w:tcW w:w="938" w:type="dxa"/>
            <w:vAlign w:val="top"/>
          </w:tcPr>
          <w:p w14:paraId="51F5352E">
            <w:pPr>
              <w:rPr>
                <w:rFonts w:ascii="Arial"/>
                <w:sz w:val="21"/>
                <w:highlight w:val="none"/>
              </w:rPr>
            </w:pPr>
          </w:p>
        </w:tc>
        <w:tc>
          <w:tcPr>
            <w:tcW w:w="756" w:type="dxa"/>
            <w:vAlign w:val="top"/>
          </w:tcPr>
          <w:p w14:paraId="34FD8C14">
            <w:pPr>
              <w:rPr>
                <w:rFonts w:ascii="Arial"/>
                <w:sz w:val="21"/>
                <w:highlight w:val="none"/>
              </w:rPr>
            </w:pPr>
          </w:p>
        </w:tc>
        <w:tc>
          <w:tcPr>
            <w:tcW w:w="1279" w:type="dxa"/>
            <w:vAlign w:val="top"/>
          </w:tcPr>
          <w:p w14:paraId="28DE7999">
            <w:pPr>
              <w:rPr>
                <w:rFonts w:ascii="Arial"/>
                <w:sz w:val="21"/>
                <w:highlight w:val="none"/>
              </w:rPr>
            </w:pPr>
          </w:p>
        </w:tc>
        <w:tc>
          <w:tcPr>
            <w:tcW w:w="1396" w:type="dxa"/>
            <w:vAlign w:val="top"/>
          </w:tcPr>
          <w:p w14:paraId="58B63BF5">
            <w:pPr>
              <w:rPr>
                <w:rFonts w:ascii="Arial"/>
                <w:sz w:val="21"/>
                <w:highlight w:val="none"/>
              </w:rPr>
            </w:pPr>
          </w:p>
        </w:tc>
        <w:tc>
          <w:tcPr>
            <w:tcW w:w="807" w:type="dxa"/>
            <w:vAlign w:val="top"/>
          </w:tcPr>
          <w:p w14:paraId="06FA1BC5">
            <w:pPr>
              <w:rPr>
                <w:rFonts w:ascii="Arial"/>
                <w:sz w:val="21"/>
                <w:highlight w:val="none"/>
              </w:rPr>
            </w:pPr>
          </w:p>
        </w:tc>
        <w:tc>
          <w:tcPr>
            <w:tcW w:w="856" w:type="dxa"/>
            <w:vAlign w:val="top"/>
          </w:tcPr>
          <w:p w14:paraId="4883A0CA">
            <w:pPr>
              <w:rPr>
                <w:rFonts w:ascii="Arial"/>
                <w:sz w:val="21"/>
                <w:highlight w:val="none"/>
              </w:rPr>
            </w:pPr>
          </w:p>
        </w:tc>
        <w:tc>
          <w:tcPr>
            <w:tcW w:w="986" w:type="dxa"/>
            <w:vAlign w:val="top"/>
          </w:tcPr>
          <w:p w14:paraId="1991BC5E">
            <w:pPr>
              <w:rPr>
                <w:rFonts w:ascii="Arial"/>
                <w:sz w:val="21"/>
                <w:highlight w:val="none"/>
              </w:rPr>
            </w:pPr>
          </w:p>
        </w:tc>
      </w:tr>
      <w:tr w14:paraId="4B74A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01" w:type="dxa"/>
            <w:vAlign w:val="top"/>
          </w:tcPr>
          <w:p w14:paraId="7EF540DA">
            <w:pPr>
              <w:pStyle w:val="25"/>
              <w:spacing w:before="124" w:line="237" w:lineRule="auto"/>
              <w:ind w:left="302"/>
              <w:rPr>
                <w:highlight w:val="none"/>
              </w:rPr>
            </w:pPr>
            <w:r>
              <w:rPr>
                <w:highlight w:val="none"/>
              </w:rPr>
              <w:t>7</w:t>
            </w:r>
          </w:p>
        </w:tc>
        <w:tc>
          <w:tcPr>
            <w:tcW w:w="1808" w:type="dxa"/>
            <w:vAlign w:val="top"/>
          </w:tcPr>
          <w:p w14:paraId="5CB26646">
            <w:pPr>
              <w:pStyle w:val="25"/>
              <w:spacing w:before="124" w:line="218" w:lineRule="auto"/>
              <w:ind w:left="316"/>
              <w:rPr>
                <w:highlight w:val="none"/>
              </w:rPr>
            </w:pPr>
            <w:r>
              <w:rPr>
                <w:spacing w:val="-3"/>
                <w:highlight w:val="none"/>
              </w:rPr>
              <w:t>技术负责人</w:t>
            </w:r>
          </w:p>
        </w:tc>
        <w:tc>
          <w:tcPr>
            <w:tcW w:w="938" w:type="dxa"/>
            <w:vAlign w:val="top"/>
          </w:tcPr>
          <w:p w14:paraId="43846FFF">
            <w:pPr>
              <w:rPr>
                <w:rFonts w:ascii="Arial"/>
                <w:sz w:val="21"/>
                <w:highlight w:val="none"/>
              </w:rPr>
            </w:pPr>
          </w:p>
        </w:tc>
        <w:tc>
          <w:tcPr>
            <w:tcW w:w="756" w:type="dxa"/>
            <w:vAlign w:val="top"/>
          </w:tcPr>
          <w:p w14:paraId="7441AF78">
            <w:pPr>
              <w:rPr>
                <w:rFonts w:ascii="Arial"/>
                <w:sz w:val="21"/>
                <w:highlight w:val="none"/>
              </w:rPr>
            </w:pPr>
          </w:p>
        </w:tc>
        <w:tc>
          <w:tcPr>
            <w:tcW w:w="1279" w:type="dxa"/>
            <w:vAlign w:val="top"/>
          </w:tcPr>
          <w:p w14:paraId="1E761198">
            <w:pPr>
              <w:rPr>
                <w:rFonts w:ascii="Arial"/>
                <w:sz w:val="21"/>
                <w:highlight w:val="none"/>
              </w:rPr>
            </w:pPr>
          </w:p>
        </w:tc>
        <w:tc>
          <w:tcPr>
            <w:tcW w:w="1396" w:type="dxa"/>
            <w:vAlign w:val="top"/>
          </w:tcPr>
          <w:p w14:paraId="1ACC6711">
            <w:pPr>
              <w:rPr>
                <w:rFonts w:ascii="Arial"/>
                <w:sz w:val="21"/>
                <w:highlight w:val="none"/>
              </w:rPr>
            </w:pPr>
          </w:p>
        </w:tc>
        <w:tc>
          <w:tcPr>
            <w:tcW w:w="807" w:type="dxa"/>
            <w:vAlign w:val="top"/>
          </w:tcPr>
          <w:p w14:paraId="742B8E56">
            <w:pPr>
              <w:rPr>
                <w:rFonts w:ascii="Arial"/>
                <w:sz w:val="21"/>
                <w:highlight w:val="none"/>
              </w:rPr>
            </w:pPr>
          </w:p>
        </w:tc>
        <w:tc>
          <w:tcPr>
            <w:tcW w:w="856" w:type="dxa"/>
            <w:vAlign w:val="top"/>
          </w:tcPr>
          <w:p w14:paraId="2651E520">
            <w:pPr>
              <w:rPr>
                <w:rFonts w:ascii="Arial"/>
                <w:sz w:val="21"/>
                <w:highlight w:val="none"/>
              </w:rPr>
            </w:pPr>
          </w:p>
        </w:tc>
        <w:tc>
          <w:tcPr>
            <w:tcW w:w="986" w:type="dxa"/>
            <w:vAlign w:val="top"/>
          </w:tcPr>
          <w:p w14:paraId="0E144996">
            <w:pPr>
              <w:rPr>
                <w:rFonts w:ascii="Arial"/>
                <w:sz w:val="21"/>
                <w:highlight w:val="none"/>
              </w:rPr>
            </w:pPr>
          </w:p>
        </w:tc>
      </w:tr>
      <w:tr w14:paraId="40B9E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01" w:type="dxa"/>
            <w:vAlign w:val="top"/>
          </w:tcPr>
          <w:p w14:paraId="31FEF4AE">
            <w:pPr>
              <w:pStyle w:val="25"/>
              <w:spacing w:before="143" w:line="237" w:lineRule="auto"/>
              <w:ind w:left="297"/>
              <w:rPr>
                <w:highlight w:val="none"/>
              </w:rPr>
            </w:pPr>
            <w:r>
              <w:rPr>
                <w:highlight w:val="none"/>
              </w:rPr>
              <w:t>8</w:t>
            </w:r>
          </w:p>
        </w:tc>
        <w:tc>
          <w:tcPr>
            <w:tcW w:w="1808" w:type="dxa"/>
            <w:vAlign w:val="top"/>
          </w:tcPr>
          <w:p w14:paraId="2F319D2B">
            <w:pPr>
              <w:pStyle w:val="25"/>
              <w:spacing w:before="144" w:line="220" w:lineRule="auto"/>
              <w:ind w:left="555"/>
              <w:rPr>
                <w:highlight w:val="none"/>
              </w:rPr>
            </w:pPr>
            <w:r>
              <w:rPr>
                <w:spacing w:val="-4"/>
                <w:highlight w:val="none"/>
              </w:rPr>
              <w:t>施工员</w:t>
            </w:r>
          </w:p>
        </w:tc>
        <w:tc>
          <w:tcPr>
            <w:tcW w:w="938" w:type="dxa"/>
            <w:vAlign w:val="top"/>
          </w:tcPr>
          <w:p w14:paraId="029DC24B">
            <w:pPr>
              <w:rPr>
                <w:rFonts w:ascii="Arial"/>
                <w:sz w:val="21"/>
                <w:highlight w:val="none"/>
              </w:rPr>
            </w:pPr>
          </w:p>
        </w:tc>
        <w:tc>
          <w:tcPr>
            <w:tcW w:w="756" w:type="dxa"/>
            <w:vAlign w:val="top"/>
          </w:tcPr>
          <w:p w14:paraId="17FBE09C">
            <w:pPr>
              <w:rPr>
                <w:rFonts w:ascii="Arial"/>
                <w:sz w:val="21"/>
                <w:highlight w:val="none"/>
              </w:rPr>
            </w:pPr>
          </w:p>
        </w:tc>
        <w:tc>
          <w:tcPr>
            <w:tcW w:w="1279" w:type="dxa"/>
            <w:vAlign w:val="top"/>
          </w:tcPr>
          <w:p w14:paraId="5092BB05">
            <w:pPr>
              <w:rPr>
                <w:rFonts w:ascii="Arial"/>
                <w:sz w:val="21"/>
                <w:highlight w:val="none"/>
              </w:rPr>
            </w:pPr>
          </w:p>
        </w:tc>
        <w:tc>
          <w:tcPr>
            <w:tcW w:w="1396" w:type="dxa"/>
            <w:vAlign w:val="top"/>
          </w:tcPr>
          <w:p w14:paraId="01D2AE2A">
            <w:pPr>
              <w:rPr>
                <w:rFonts w:ascii="Arial"/>
                <w:sz w:val="21"/>
                <w:highlight w:val="none"/>
              </w:rPr>
            </w:pPr>
          </w:p>
        </w:tc>
        <w:tc>
          <w:tcPr>
            <w:tcW w:w="807" w:type="dxa"/>
            <w:vAlign w:val="top"/>
          </w:tcPr>
          <w:p w14:paraId="4387F38A">
            <w:pPr>
              <w:rPr>
                <w:rFonts w:ascii="Arial"/>
                <w:sz w:val="21"/>
                <w:highlight w:val="none"/>
              </w:rPr>
            </w:pPr>
          </w:p>
        </w:tc>
        <w:tc>
          <w:tcPr>
            <w:tcW w:w="856" w:type="dxa"/>
            <w:vAlign w:val="top"/>
          </w:tcPr>
          <w:p w14:paraId="75F4E25C">
            <w:pPr>
              <w:rPr>
                <w:rFonts w:ascii="Arial"/>
                <w:sz w:val="21"/>
                <w:highlight w:val="none"/>
              </w:rPr>
            </w:pPr>
          </w:p>
        </w:tc>
        <w:tc>
          <w:tcPr>
            <w:tcW w:w="986" w:type="dxa"/>
            <w:vAlign w:val="top"/>
          </w:tcPr>
          <w:p w14:paraId="3C6D64FD">
            <w:pPr>
              <w:rPr>
                <w:rFonts w:ascii="Arial"/>
                <w:sz w:val="21"/>
                <w:highlight w:val="none"/>
              </w:rPr>
            </w:pPr>
          </w:p>
        </w:tc>
      </w:tr>
      <w:tr w14:paraId="51E75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1" w:type="dxa"/>
            <w:vAlign w:val="top"/>
          </w:tcPr>
          <w:p w14:paraId="2DC741D6">
            <w:pPr>
              <w:pStyle w:val="25"/>
              <w:spacing w:before="143" w:line="237" w:lineRule="auto"/>
              <w:ind w:left="297"/>
              <w:rPr>
                <w:highlight w:val="none"/>
              </w:rPr>
            </w:pPr>
            <w:r>
              <w:rPr>
                <w:highlight w:val="none"/>
              </w:rPr>
              <w:t>9</w:t>
            </w:r>
          </w:p>
        </w:tc>
        <w:tc>
          <w:tcPr>
            <w:tcW w:w="1808" w:type="dxa"/>
            <w:vAlign w:val="top"/>
          </w:tcPr>
          <w:p w14:paraId="50ACE03D">
            <w:pPr>
              <w:pStyle w:val="25"/>
              <w:spacing w:before="144" w:line="220" w:lineRule="auto"/>
              <w:ind w:left="555"/>
              <w:rPr>
                <w:highlight w:val="none"/>
              </w:rPr>
            </w:pPr>
            <w:r>
              <w:rPr>
                <w:spacing w:val="-4"/>
                <w:highlight w:val="none"/>
              </w:rPr>
              <w:t>施工员</w:t>
            </w:r>
          </w:p>
        </w:tc>
        <w:tc>
          <w:tcPr>
            <w:tcW w:w="938" w:type="dxa"/>
            <w:vAlign w:val="top"/>
          </w:tcPr>
          <w:p w14:paraId="08C56871">
            <w:pPr>
              <w:rPr>
                <w:rFonts w:ascii="Arial"/>
                <w:sz w:val="21"/>
                <w:highlight w:val="none"/>
              </w:rPr>
            </w:pPr>
          </w:p>
        </w:tc>
        <w:tc>
          <w:tcPr>
            <w:tcW w:w="756" w:type="dxa"/>
            <w:vAlign w:val="top"/>
          </w:tcPr>
          <w:p w14:paraId="7FF26234">
            <w:pPr>
              <w:rPr>
                <w:rFonts w:ascii="Arial"/>
                <w:sz w:val="21"/>
                <w:highlight w:val="none"/>
              </w:rPr>
            </w:pPr>
          </w:p>
        </w:tc>
        <w:tc>
          <w:tcPr>
            <w:tcW w:w="1279" w:type="dxa"/>
            <w:vAlign w:val="top"/>
          </w:tcPr>
          <w:p w14:paraId="1FD01AAC">
            <w:pPr>
              <w:rPr>
                <w:rFonts w:ascii="Arial"/>
                <w:sz w:val="21"/>
                <w:highlight w:val="none"/>
              </w:rPr>
            </w:pPr>
          </w:p>
        </w:tc>
        <w:tc>
          <w:tcPr>
            <w:tcW w:w="1396" w:type="dxa"/>
            <w:vAlign w:val="top"/>
          </w:tcPr>
          <w:p w14:paraId="2F80E4CA">
            <w:pPr>
              <w:rPr>
                <w:rFonts w:ascii="Arial"/>
                <w:sz w:val="21"/>
                <w:highlight w:val="none"/>
              </w:rPr>
            </w:pPr>
          </w:p>
        </w:tc>
        <w:tc>
          <w:tcPr>
            <w:tcW w:w="807" w:type="dxa"/>
            <w:vAlign w:val="top"/>
          </w:tcPr>
          <w:p w14:paraId="71EE6ADE">
            <w:pPr>
              <w:rPr>
                <w:rFonts w:ascii="Arial"/>
                <w:sz w:val="21"/>
                <w:highlight w:val="none"/>
              </w:rPr>
            </w:pPr>
          </w:p>
        </w:tc>
        <w:tc>
          <w:tcPr>
            <w:tcW w:w="856" w:type="dxa"/>
            <w:vAlign w:val="top"/>
          </w:tcPr>
          <w:p w14:paraId="58C56896">
            <w:pPr>
              <w:rPr>
                <w:rFonts w:ascii="Arial"/>
                <w:sz w:val="21"/>
                <w:highlight w:val="none"/>
              </w:rPr>
            </w:pPr>
          </w:p>
        </w:tc>
        <w:tc>
          <w:tcPr>
            <w:tcW w:w="986" w:type="dxa"/>
            <w:vAlign w:val="top"/>
          </w:tcPr>
          <w:p w14:paraId="5EBEBC38">
            <w:pPr>
              <w:rPr>
                <w:rFonts w:ascii="Arial"/>
                <w:sz w:val="21"/>
                <w:highlight w:val="none"/>
              </w:rPr>
            </w:pPr>
          </w:p>
        </w:tc>
      </w:tr>
      <w:tr w14:paraId="1C27B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01" w:type="dxa"/>
            <w:vAlign w:val="top"/>
          </w:tcPr>
          <w:p w14:paraId="41779EA6">
            <w:pPr>
              <w:pStyle w:val="25"/>
              <w:spacing w:before="144" w:line="237" w:lineRule="auto"/>
              <w:ind w:left="254"/>
              <w:rPr>
                <w:highlight w:val="none"/>
              </w:rPr>
            </w:pPr>
            <w:r>
              <w:rPr>
                <w:spacing w:val="-7"/>
                <w:highlight w:val="none"/>
              </w:rPr>
              <w:t>10</w:t>
            </w:r>
          </w:p>
        </w:tc>
        <w:tc>
          <w:tcPr>
            <w:tcW w:w="1808" w:type="dxa"/>
            <w:vAlign w:val="top"/>
          </w:tcPr>
          <w:p w14:paraId="22B0C5B2">
            <w:pPr>
              <w:pStyle w:val="25"/>
              <w:spacing w:before="144" w:line="220" w:lineRule="auto"/>
              <w:ind w:left="561"/>
              <w:rPr>
                <w:highlight w:val="none"/>
              </w:rPr>
            </w:pPr>
            <w:r>
              <w:rPr>
                <w:spacing w:val="-5"/>
                <w:highlight w:val="none"/>
              </w:rPr>
              <w:t>质量员</w:t>
            </w:r>
          </w:p>
        </w:tc>
        <w:tc>
          <w:tcPr>
            <w:tcW w:w="938" w:type="dxa"/>
            <w:vAlign w:val="top"/>
          </w:tcPr>
          <w:p w14:paraId="4E28D0CE">
            <w:pPr>
              <w:rPr>
                <w:rFonts w:ascii="Arial"/>
                <w:sz w:val="21"/>
                <w:highlight w:val="none"/>
              </w:rPr>
            </w:pPr>
          </w:p>
        </w:tc>
        <w:tc>
          <w:tcPr>
            <w:tcW w:w="756" w:type="dxa"/>
            <w:vAlign w:val="top"/>
          </w:tcPr>
          <w:p w14:paraId="1BF7D0AB">
            <w:pPr>
              <w:rPr>
                <w:rFonts w:ascii="Arial"/>
                <w:sz w:val="21"/>
                <w:highlight w:val="none"/>
              </w:rPr>
            </w:pPr>
          </w:p>
        </w:tc>
        <w:tc>
          <w:tcPr>
            <w:tcW w:w="1279" w:type="dxa"/>
            <w:vAlign w:val="top"/>
          </w:tcPr>
          <w:p w14:paraId="22745D89">
            <w:pPr>
              <w:rPr>
                <w:rFonts w:ascii="Arial"/>
                <w:sz w:val="21"/>
                <w:highlight w:val="none"/>
              </w:rPr>
            </w:pPr>
          </w:p>
        </w:tc>
        <w:tc>
          <w:tcPr>
            <w:tcW w:w="1396" w:type="dxa"/>
            <w:vAlign w:val="top"/>
          </w:tcPr>
          <w:p w14:paraId="4AD4AE69">
            <w:pPr>
              <w:rPr>
                <w:rFonts w:ascii="Arial"/>
                <w:sz w:val="21"/>
                <w:highlight w:val="none"/>
              </w:rPr>
            </w:pPr>
          </w:p>
        </w:tc>
        <w:tc>
          <w:tcPr>
            <w:tcW w:w="807" w:type="dxa"/>
            <w:vAlign w:val="top"/>
          </w:tcPr>
          <w:p w14:paraId="3C96BE03">
            <w:pPr>
              <w:rPr>
                <w:rFonts w:ascii="Arial"/>
                <w:sz w:val="21"/>
                <w:highlight w:val="none"/>
              </w:rPr>
            </w:pPr>
          </w:p>
        </w:tc>
        <w:tc>
          <w:tcPr>
            <w:tcW w:w="856" w:type="dxa"/>
            <w:vAlign w:val="top"/>
          </w:tcPr>
          <w:p w14:paraId="7A6A85FE">
            <w:pPr>
              <w:rPr>
                <w:rFonts w:ascii="Arial"/>
                <w:sz w:val="21"/>
                <w:highlight w:val="none"/>
              </w:rPr>
            </w:pPr>
          </w:p>
        </w:tc>
        <w:tc>
          <w:tcPr>
            <w:tcW w:w="986" w:type="dxa"/>
            <w:vAlign w:val="top"/>
          </w:tcPr>
          <w:p w14:paraId="78A1E365">
            <w:pPr>
              <w:rPr>
                <w:rFonts w:ascii="Arial"/>
                <w:sz w:val="21"/>
                <w:highlight w:val="none"/>
              </w:rPr>
            </w:pPr>
          </w:p>
        </w:tc>
      </w:tr>
      <w:tr w14:paraId="78CD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01" w:type="dxa"/>
            <w:vAlign w:val="top"/>
          </w:tcPr>
          <w:p w14:paraId="3A5F68E2">
            <w:pPr>
              <w:pStyle w:val="25"/>
              <w:spacing w:before="145" w:line="238" w:lineRule="auto"/>
              <w:ind w:left="254"/>
              <w:rPr>
                <w:highlight w:val="none"/>
              </w:rPr>
            </w:pPr>
            <w:r>
              <w:rPr>
                <w:spacing w:val="-7"/>
                <w:highlight w:val="none"/>
              </w:rPr>
              <w:t>11</w:t>
            </w:r>
          </w:p>
        </w:tc>
        <w:tc>
          <w:tcPr>
            <w:tcW w:w="1808" w:type="dxa"/>
            <w:vAlign w:val="top"/>
          </w:tcPr>
          <w:p w14:paraId="7ADE5591">
            <w:pPr>
              <w:pStyle w:val="25"/>
              <w:spacing w:before="145" w:line="220" w:lineRule="auto"/>
              <w:ind w:left="561"/>
              <w:rPr>
                <w:highlight w:val="none"/>
              </w:rPr>
            </w:pPr>
            <w:r>
              <w:rPr>
                <w:spacing w:val="-5"/>
                <w:highlight w:val="none"/>
              </w:rPr>
              <w:t>质量员</w:t>
            </w:r>
          </w:p>
        </w:tc>
        <w:tc>
          <w:tcPr>
            <w:tcW w:w="938" w:type="dxa"/>
            <w:vAlign w:val="top"/>
          </w:tcPr>
          <w:p w14:paraId="5E1F3894">
            <w:pPr>
              <w:rPr>
                <w:rFonts w:ascii="Arial"/>
                <w:sz w:val="21"/>
                <w:highlight w:val="none"/>
              </w:rPr>
            </w:pPr>
          </w:p>
        </w:tc>
        <w:tc>
          <w:tcPr>
            <w:tcW w:w="756" w:type="dxa"/>
            <w:vAlign w:val="top"/>
          </w:tcPr>
          <w:p w14:paraId="51C7867C">
            <w:pPr>
              <w:rPr>
                <w:rFonts w:ascii="Arial"/>
                <w:sz w:val="21"/>
                <w:highlight w:val="none"/>
              </w:rPr>
            </w:pPr>
          </w:p>
        </w:tc>
        <w:tc>
          <w:tcPr>
            <w:tcW w:w="1279" w:type="dxa"/>
            <w:vAlign w:val="top"/>
          </w:tcPr>
          <w:p w14:paraId="7903F606">
            <w:pPr>
              <w:rPr>
                <w:rFonts w:ascii="Arial"/>
                <w:sz w:val="21"/>
                <w:highlight w:val="none"/>
              </w:rPr>
            </w:pPr>
          </w:p>
        </w:tc>
        <w:tc>
          <w:tcPr>
            <w:tcW w:w="1396" w:type="dxa"/>
            <w:vAlign w:val="top"/>
          </w:tcPr>
          <w:p w14:paraId="1E7FDD2D">
            <w:pPr>
              <w:rPr>
                <w:rFonts w:ascii="Arial"/>
                <w:sz w:val="21"/>
                <w:highlight w:val="none"/>
              </w:rPr>
            </w:pPr>
          </w:p>
        </w:tc>
        <w:tc>
          <w:tcPr>
            <w:tcW w:w="807" w:type="dxa"/>
            <w:vAlign w:val="top"/>
          </w:tcPr>
          <w:p w14:paraId="34FE89B3">
            <w:pPr>
              <w:rPr>
                <w:rFonts w:ascii="Arial"/>
                <w:sz w:val="21"/>
                <w:highlight w:val="none"/>
              </w:rPr>
            </w:pPr>
          </w:p>
        </w:tc>
        <w:tc>
          <w:tcPr>
            <w:tcW w:w="856" w:type="dxa"/>
            <w:vAlign w:val="top"/>
          </w:tcPr>
          <w:p w14:paraId="674F3571">
            <w:pPr>
              <w:rPr>
                <w:rFonts w:ascii="Arial"/>
                <w:sz w:val="21"/>
                <w:highlight w:val="none"/>
              </w:rPr>
            </w:pPr>
          </w:p>
        </w:tc>
        <w:tc>
          <w:tcPr>
            <w:tcW w:w="986" w:type="dxa"/>
            <w:vAlign w:val="top"/>
          </w:tcPr>
          <w:p w14:paraId="5B6C51EB">
            <w:pPr>
              <w:rPr>
                <w:rFonts w:ascii="Arial"/>
                <w:sz w:val="21"/>
                <w:highlight w:val="none"/>
              </w:rPr>
            </w:pPr>
          </w:p>
        </w:tc>
      </w:tr>
      <w:tr w14:paraId="5A398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01" w:type="dxa"/>
            <w:vAlign w:val="top"/>
          </w:tcPr>
          <w:p w14:paraId="4EC327A1">
            <w:pPr>
              <w:pStyle w:val="25"/>
              <w:spacing w:before="145" w:line="238" w:lineRule="auto"/>
              <w:ind w:left="254"/>
              <w:rPr>
                <w:highlight w:val="none"/>
              </w:rPr>
            </w:pPr>
            <w:r>
              <w:rPr>
                <w:spacing w:val="-7"/>
                <w:highlight w:val="none"/>
              </w:rPr>
              <w:t>12</w:t>
            </w:r>
          </w:p>
        </w:tc>
        <w:tc>
          <w:tcPr>
            <w:tcW w:w="1808" w:type="dxa"/>
            <w:vAlign w:val="top"/>
          </w:tcPr>
          <w:p w14:paraId="35FD829A">
            <w:pPr>
              <w:pStyle w:val="25"/>
              <w:spacing w:before="144" w:line="220" w:lineRule="auto"/>
              <w:ind w:left="558"/>
              <w:rPr>
                <w:highlight w:val="none"/>
              </w:rPr>
            </w:pPr>
            <w:r>
              <w:rPr>
                <w:spacing w:val="-5"/>
                <w:highlight w:val="none"/>
              </w:rPr>
              <w:t>安全员</w:t>
            </w:r>
          </w:p>
        </w:tc>
        <w:tc>
          <w:tcPr>
            <w:tcW w:w="938" w:type="dxa"/>
            <w:vAlign w:val="top"/>
          </w:tcPr>
          <w:p w14:paraId="4C09DB40">
            <w:pPr>
              <w:rPr>
                <w:rFonts w:ascii="Arial"/>
                <w:sz w:val="21"/>
                <w:highlight w:val="none"/>
              </w:rPr>
            </w:pPr>
          </w:p>
        </w:tc>
        <w:tc>
          <w:tcPr>
            <w:tcW w:w="756" w:type="dxa"/>
            <w:vAlign w:val="top"/>
          </w:tcPr>
          <w:p w14:paraId="0965120C">
            <w:pPr>
              <w:rPr>
                <w:rFonts w:ascii="Arial"/>
                <w:sz w:val="21"/>
                <w:highlight w:val="none"/>
              </w:rPr>
            </w:pPr>
          </w:p>
        </w:tc>
        <w:tc>
          <w:tcPr>
            <w:tcW w:w="1279" w:type="dxa"/>
            <w:vAlign w:val="top"/>
          </w:tcPr>
          <w:p w14:paraId="1E88BB44">
            <w:pPr>
              <w:rPr>
                <w:rFonts w:ascii="Arial"/>
                <w:sz w:val="21"/>
                <w:highlight w:val="none"/>
              </w:rPr>
            </w:pPr>
          </w:p>
        </w:tc>
        <w:tc>
          <w:tcPr>
            <w:tcW w:w="1396" w:type="dxa"/>
            <w:vAlign w:val="top"/>
          </w:tcPr>
          <w:p w14:paraId="3F495BB4">
            <w:pPr>
              <w:rPr>
                <w:rFonts w:ascii="Arial"/>
                <w:sz w:val="21"/>
                <w:highlight w:val="none"/>
              </w:rPr>
            </w:pPr>
          </w:p>
        </w:tc>
        <w:tc>
          <w:tcPr>
            <w:tcW w:w="807" w:type="dxa"/>
            <w:vAlign w:val="top"/>
          </w:tcPr>
          <w:p w14:paraId="77CFB7DA">
            <w:pPr>
              <w:rPr>
                <w:rFonts w:ascii="Arial"/>
                <w:sz w:val="21"/>
                <w:highlight w:val="none"/>
              </w:rPr>
            </w:pPr>
          </w:p>
        </w:tc>
        <w:tc>
          <w:tcPr>
            <w:tcW w:w="856" w:type="dxa"/>
            <w:vAlign w:val="top"/>
          </w:tcPr>
          <w:p w14:paraId="5AC5F792">
            <w:pPr>
              <w:rPr>
                <w:rFonts w:ascii="Arial"/>
                <w:sz w:val="21"/>
                <w:highlight w:val="none"/>
              </w:rPr>
            </w:pPr>
          </w:p>
        </w:tc>
        <w:tc>
          <w:tcPr>
            <w:tcW w:w="986" w:type="dxa"/>
            <w:vAlign w:val="top"/>
          </w:tcPr>
          <w:p w14:paraId="39C109CC">
            <w:pPr>
              <w:rPr>
                <w:rFonts w:ascii="Arial"/>
                <w:sz w:val="21"/>
                <w:highlight w:val="none"/>
              </w:rPr>
            </w:pPr>
          </w:p>
        </w:tc>
      </w:tr>
      <w:tr w14:paraId="124FD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1" w:type="dxa"/>
            <w:vAlign w:val="top"/>
          </w:tcPr>
          <w:p w14:paraId="02BB8186">
            <w:pPr>
              <w:pStyle w:val="25"/>
              <w:spacing w:before="145" w:line="237" w:lineRule="auto"/>
              <w:ind w:left="254"/>
              <w:rPr>
                <w:highlight w:val="none"/>
              </w:rPr>
            </w:pPr>
            <w:r>
              <w:rPr>
                <w:spacing w:val="-7"/>
                <w:highlight w:val="none"/>
              </w:rPr>
              <w:t>13</w:t>
            </w:r>
          </w:p>
        </w:tc>
        <w:tc>
          <w:tcPr>
            <w:tcW w:w="1808" w:type="dxa"/>
            <w:vAlign w:val="top"/>
          </w:tcPr>
          <w:p w14:paraId="48B95468">
            <w:pPr>
              <w:pStyle w:val="25"/>
              <w:spacing w:before="145" w:line="220" w:lineRule="auto"/>
              <w:ind w:left="558"/>
              <w:rPr>
                <w:highlight w:val="none"/>
              </w:rPr>
            </w:pPr>
            <w:r>
              <w:rPr>
                <w:spacing w:val="-5"/>
                <w:highlight w:val="none"/>
              </w:rPr>
              <w:t>安全员</w:t>
            </w:r>
          </w:p>
        </w:tc>
        <w:tc>
          <w:tcPr>
            <w:tcW w:w="938" w:type="dxa"/>
            <w:vAlign w:val="top"/>
          </w:tcPr>
          <w:p w14:paraId="5DBDCA6F">
            <w:pPr>
              <w:rPr>
                <w:rFonts w:ascii="Arial"/>
                <w:sz w:val="21"/>
                <w:highlight w:val="none"/>
              </w:rPr>
            </w:pPr>
          </w:p>
        </w:tc>
        <w:tc>
          <w:tcPr>
            <w:tcW w:w="756" w:type="dxa"/>
            <w:vAlign w:val="top"/>
          </w:tcPr>
          <w:p w14:paraId="7F8FEB50">
            <w:pPr>
              <w:rPr>
                <w:rFonts w:ascii="Arial"/>
                <w:sz w:val="21"/>
                <w:highlight w:val="none"/>
              </w:rPr>
            </w:pPr>
          </w:p>
        </w:tc>
        <w:tc>
          <w:tcPr>
            <w:tcW w:w="1279" w:type="dxa"/>
            <w:vAlign w:val="top"/>
          </w:tcPr>
          <w:p w14:paraId="755D396F">
            <w:pPr>
              <w:rPr>
                <w:rFonts w:ascii="Arial"/>
                <w:sz w:val="21"/>
                <w:highlight w:val="none"/>
              </w:rPr>
            </w:pPr>
          </w:p>
        </w:tc>
        <w:tc>
          <w:tcPr>
            <w:tcW w:w="1396" w:type="dxa"/>
            <w:vAlign w:val="top"/>
          </w:tcPr>
          <w:p w14:paraId="1B6A0D8A">
            <w:pPr>
              <w:rPr>
                <w:rFonts w:ascii="Arial"/>
                <w:sz w:val="21"/>
                <w:highlight w:val="none"/>
              </w:rPr>
            </w:pPr>
          </w:p>
        </w:tc>
        <w:tc>
          <w:tcPr>
            <w:tcW w:w="807" w:type="dxa"/>
            <w:vAlign w:val="top"/>
          </w:tcPr>
          <w:p w14:paraId="7CA254EB">
            <w:pPr>
              <w:rPr>
                <w:rFonts w:ascii="Arial"/>
                <w:sz w:val="21"/>
                <w:highlight w:val="none"/>
              </w:rPr>
            </w:pPr>
          </w:p>
        </w:tc>
        <w:tc>
          <w:tcPr>
            <w:tcW w:w="856" w:type="dxa"/>
            <w:vAlign w:val="top"/>
          </w:tcPr>
          <w:p w14:paraId="5647A8EC">
            <w:pPr>
              <w:rPr>
                <w:rFonts w:ascii="Arial"/>
                <w:sz w:val="21"/>
                <w:highlight w:val="none"/>
              </w:rPr>
            </w:pPr>
          </w:p>
        </w:tc>
        <w:tc>
          <w:tcPr>
            <w:tcW w:w="986" w:type="dxa"/>
            <w:vAlign w:val="top"/>
          </w:tcPr>
          <w:p w14:paraId="5C4E2C0B">
            <w:pPr>
              <w:rPr>
                <w:rFonts w:ascii="Arial"/>
                <w:sz w:val="21"/>
                <w:highlight w:val="none"/>
              </w:rPr>
            </w:pPr>
          </w:p>
        </w:tc>
      </w:tr>
      <w:tr w14:paraId="0784F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01" w:type="dxa"/>
            <w:vAlign w:val="top"/>
          </w:tcPr>
          <w:p w14:paraId="335A3938">
            <w:pPr>
              <w:pStyle w:val="25"/>
              <w:spacing w:before="146" w:line="238" w:lineRule="auto"/>
              <w:ind w:left="254"/>
              <w:rPr>
                <w:highlight w:val="none"/>
              </w:rPr>
            </w:pPr>
            <w:r>
              <w:rPr>
                <w:spacing w:val="-7"/>
                <w:highlight w:val="none"/>
              </w:rPr>
              <w:t>14</w:t>
            </w:r>
          </w:p>
        </w:tc>
        <w:tc>
          <w:tcPr>
            <w:tcW w:w="1808" w:type="dxa"/>
            <w:vAlign w:val="top"/>
          </w:tcPr>
          <w:p w14:paraId="6A88BA29">
            <w:pPr>
              <w:pStyle w:val="25"/>
              <w:spacing w:before="146" w:line="216" w:lineRule="auto"/>
              <w:ind w:left="568"/>
              <w:rPr>
                <w:highlight w:val="none"/>
              </w:rPr>
            </w:pPr>
            <w:r>
              <w:rPr>
                <w:spacing w:val="-7"/>
                <w:highlight w:val="none"/>
              </w:rPr>
              <w:t>资料员</w:t>
            </w:r>
          </w:p>
        </w:tc>
        <w:tc>
          <w:tcPr>
            <w:tcW w:w="938" w:type="dxa"/>
            <w:vAlign w:val="top"/>
          </w:tcPr>
          <w:p w14:paraId="4664D849">
            <w:pPr>
              <w:rPr>
                <w:rFonts w:ascii="Arial"/>
                <w:sz w:val="21"/>
                <w:highlight w:val="none"/>
              </w:rPr>
            </w:pPr>
          </w:p>
        </w:tc>
        <w:tc>
          <w:tcPr>
            <w:tcW w:w="756" w:type="dxa"/>
            <w:vAlign w:val="top"/>
          </w:tcPr>
          <w:p w14:paraId="265FD111">
            <w:pPr>
              <w:rPr>
                <w:rFonts w:ascii="Arial"/>
                <w:sz w:val="21"/>
                <w:highlight w:val="none"/>
              </w:rPr>
            </w:pPr>
          </w:p>
        </w:tc>
        <w:tc>
          <w:tcPr>
            <w:tcW w:w="1279" w:type="dxa"/>
            <w:vAlign w:val="top"/>
          </w:tcPr>
          <w:p w14:paraId="21CB189C">
            <w:pPr>
              <w:rPr>
                <w:rFonts w:ascii="Arial"/>
                <w:sz w:val="21"/>
                <w:highlight w:val="none"/>
              </w:rPr>
            </w:pPr>
          </w:p>
        </w:tc>
        <w:tc>
          <w:tcPr>
            <w:tcW w:w="1396" w:type="dxa"/>
            <w:vAlign w:val="top"/>
          </w:tcPr>
          <w:p w14:paraId="684B2B96">
            <w:pPr>
              <w:rPr>
                <w:rFonts w:ascii="Arial"/>
                <w:sz w:val="21"/>
                <w:highlight w:val="none"/>
              </w:rPr>
            </w:pPr>
          </w:p>
        </w:tc>
        <w:tc>
          <w:tcPr>
            <w:tcW w:w="807" w:type="dxa"/>
            <w:vAlign w:val="top"/>
          </w:tcPr>
          <w:p w14:paraId="5FAC79B3">
            <w:pPr>
              <w:rPr>
                <w:rFonts w:ascii="Arial"/>
                <w:sz w:val="21"/>
                <w:highlight w:val="none"/>
              </w:rPr>
            </w:pPr>
          </w:p>
        </w:tc>
        <w:tc>
          <w:tcPr>
            <w:tcW w:w="856" w:type="dxa"/>
            <w:vAlign w:val="top"/>
          </w:tcPr>
          <w:p w14:paraId="22F7F29D">
            <w:pPr>
              <w:rPr>
                <w:rFonts w:ascii="Arial"/>
                <w:sz w:val="21"/>
                <w:highlight w:val="none"/>
              </w:rPr>
            </w:pPr>
          </w:p>
        </w:tc>
        <w:tc>
          <w:tcPr>
            <w:tcW w:w="986" w:type="dxa"/>
            <w:vAlign w:val="top"/>
          </w:tcPr>
          <w:p w14:paraId="275324BD">
            <w:pPr>
              <w:rPr>
                <w:rFonts w:ascii="Arial"/>
                <w:sz w:val="21"/>
                <w:highlight w:val="none"/>
              </w:rPr>
            </w:pPr>
          </w:p>
        </w:tc>
      </w:tr>
      <w:tr w14:paraId="648D5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1" w:type="dxa"/>
            <w:vAlign w:val="top"/>
          </w:tcPr>
          <w:p w14:paraId="6742DB14">
            <w:pPr>
              <w:pStyle w:val="25"/>
              <w:spacing w:before="195" w:line="237" w:lineRule="auto"/>
              <w:ind w:left="254"/>
              <w:rPr>
                <w:highlight w:val="none"/>
              </w:rPr>
            </w:pPr>
            <w:r>
              <w:rPr>
                <w:spacing w:val="-7"/>
                <w:highlight w:val="none"/>
              </w:rPr>
              <w:t>15</w:t>
            </w:r>
          </w:p>
        </w:tc>
        <w:tc>
          <w:tcPr>
            <w:tcW w:w="1808" w:type="dxa"/>
            <w:vAlign w:val="top"/>
          </w:tcPr>
          <w:p w14:paraId="2BC16ED0">
            <w:pPr>
              <w:pStyle w:val="25"/>
              <w:spacing w:before="39" w:line="215" w:lineRule="auto"/>
              <w:ind w:left="196"/>
              <w:rPr>
                <w:highlight w:val="none"/>
              </w:rPr>
            </w:pPr>
            <w:r>
              <w:rPr>
                <w:spacing w:val="-3"/>
                <w:highlight w:val="none"/>
              </w:rPr>
              <w:t>取样员（可兼</w:t>
            </w:r>
          </w:p>
          <w:p w14:paraId="535FA766">
            <w:pPr>
              <w:pStyle w:val="25"/>
              <w:spacing w:before="32" w:line="209" w:lineRule="auto"/>
              <w:ind w:left="675"/>
              <w:rPr>
                <w:highlight w:val="none"/>
              </w:rPr>
            </w:pPr>
            <w:r>
              <w:rPr>
                <w:spacing w:val="-8"/>
                <w:highlight w:val="none"/>
              </w:rPr>
              <w:t>任）</w:t>
            </w:r>
          </w:p>
        </w:tc>
        <w:tc>
          <w:tcPr>
            <w:tcW w:w="938" w:type="dxa"/>
            <w:vAlign w:val="top"/>
          </w:tcPr>
          <w:p w14:paraId="7E5027BF">
            <w:pPr>
              <w:rPr>
                <w:rFonts w:ascii="Arial"/>
                <w:sz w:val="21"/>
                <w:highlight w:val="none"/>
              </w:rPr>
            </w:pPr>
          </w:p>
        </w:tc>
        <w:tc>
          <w:tcPr>
            <w:tcW w:w="756" w:type="dxa"/>
            <w:vAlign w:val="top"/>
          </w:tcPr>
          <w:p w14:paraId="504F4A00">
            <w:pPr>
              <w:rPr>
                <w:rFonts w:ascii="Arial"/>
                <w:sz w:val="21"/>
                <w:highlight w:val="none"/>
              </w:rPr>
            </w:pPr>
          </w:p>
        </w:tc>
        <w:tc>
          <w:tcPr>
            <w:tcW w:w="1279" w:type="dxa"/>
            <w:vAlign w:val="top"/>
          </w:tcPr>
          <w:p w14:paraId="316E86D2">
            <w:pPr>
              <w:rPr>
                <w:rFonts w:ascii="Arial"/>
                <w:sz w:val="21"/>
                <w:highlight w:val="none"/>
              </w:rPr>
            </w:pPr>
          </w:p>
        </w:tc>
        <w:tc>
          <w:tcPr>
            <w:tcW w:w="1396" w:type="dxa"/>
            <w:vAlign w:val="top"/>
          </w:tcPr>
          <w:p w14:paraId="1E3E6A3F">
            <w:pPr>
              <w:rPr>
                <w:rFonts w:ascii="Arial"/>
                <w:sz w:val="21"/>
                <w:highlight w:val="none"/>
              </w:rPr>
            </w:pPr>
          </w:p>
        </w:tc>
        <w:tc>
          <w:tcPr>
            <w:tcW w:w="807" w:type="dxa"/>
            <w:vAlign w:val="top"/>
          </w:tcPr>
          <w:p w14:paraId="02CEB7C2">
            <w:pPr>
              <w:rPr>
                <w:rFonts w:ascii="Arial"/>
                <w:sz w:val="21"/>
                <w:highlight w:val="none"/>
              </w:rPr>
            </w:pPr>
          </w:p>
        </w:tc>
        <w:tc>
          <w:tcPr>
            <w:tcW w:w="856" w:type="dxa"/>
            <w:vAlign w:val="top"/>
          </w:tcPr>
          <w:p w14:paraId="02DFD495">
            <w:pPr>
              <w:rPr>
                <w:rFonts w:ascii="Arial"/>
                <w:sz w:val="21"/>
                <w:highlight w:val="none"/>
              </w:rPr>
            </w:pPr>
          </w:p>
        </w:tc>
        <w:tc>
          <w:tcPr>
            <w:tcW w:w="986" w:type="dxa"/>
            <w:vAlign w:val="top"/>
          </w:tcPr>
          <w:p w14:paraId="3E0ED6C7">
            <w:pPr>
              <w:rPr>
                <w:rFonts w:ascii="Arial"/>
                <w:sz w:val="21"/>
                <w:highlight w:val="none"/>
              </w:rPr>
            </w:pPr>
          </w:p>
        </w:tc>
      </w:tr>
    </w:tbl>
    <w:p w14:paraId="7C35F34A">
      <w:pPr>
        <w:pStyle w:val="3"/>
        <w:rPr>
          <w:highlight w:val="none"/>
        </w:rPr>
      </w:pPr>
    </w:p>
    <w:p w14:paraId="2E069DA8">
      <w:pPr>
        <w:rPr>
          <w:highlight w:val="none"/>
        </w:rPr>
        <w:sectPr>
          <w:footerReference r:id="rId94" w:type="default"/>
          <w:pgSz w:w="11907" w:h="16839"/>
          <w:pgMar w:top="1431" w:right="1082" w:bottom="1127" w:left="1093" w:header="0" w:footer="896" w:gutter="0"/>
          <w:cols w:space="720" w:num="1"/>
        </w:sectPr>
      </w:pPr>
    </w:p>
    <w:p w14:paraId="31CE7F83">
      <w:pPr>
        <w:spacing w:before="201" w:line="219" w:lineRule="auto"/>
        <w:ind w:left="4032"/>
        <w:rPr>
          <w:rFonts w:ascii="宋体" w:hAnsi="宋体" w:eastAsia="宋体" w:cs="宋体"/>
          <w:sz w:val="24"/>
          <w:szCs w:val="24"/>
          <w:highlight w:val="none"/>
        </w:rPr>
      </w:pPr>
      <w:r>
        <w:rPr>
          <w:rFonts w:ascii="宋体" w:hAnsi="宋体" w:eastAsia="宋体" w:cs="宋体"/>
          <w:spacing w:val="-2"/>
          <w:sz w:val="24"/>
          <w:szCs w:val="24"/>
          <w:highlight w:val="none"/>
        </w:rPr>
        <w:t>主要人员简历表</w:t>
      </w:r>
    </w:p>
    <w:p w14:paraId="513D1F46">
      <w:pPr>
        <w:spacing w:line="147" w:lineRule="exact"/>
        <w:rPr>
          <w:highlight w:val="none"/>
        </w:rPr>
      </w:pPr>
    </w:p>
    <w:tbl>
      <w:tblPr>
        <w:tblStyle w:val="24"/>
        <w:tblW w:w="9544"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4"/>
        <w:gridCol w:w="403"/>
        <w:gridCol w:w="758"/>
        <w:gridCol w:w="1070"/>
        <w:gridCol w:w="1206"/>
        <w:gridCol w:w="790"/>
        <w:gridCol w:w="1406"/>
        <w:gridCol w:w="576"/>
        <w:gridCol w:w="1991"/>
      </w:tblGrid>
      <w:tr w14:paraId="3328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44" w:type="dxa"/>
            <w:vAlign w:val="top"/>
          </w:tcPr>
          <w:p w14:paraId="57566B36">
            <w:pPr>
              <w:spacing w:line="310" w:lineRule="auto"/>
              <w:rPr>
                <w:rFonts w:ascii="Arial"/>
                <w:sz w:val="21"/>
                <w:highlight w:val="none"/>
              </w:rPr>
            </w:pPr>
          </w:p>
          <w:p w14:paraId="601C36DC">
            <w:pPr>
              <w:pStyle w:val="25"/>
              <w:spacing w:before="61" w:line="229" w:lineRule="auto"/>
              <w:ind w:left="481"/>
              <w:rPr>
                <w:sz w:val="19"/>
                <w:szCs w:val="19"/>
                <w:highlight w:val="none"/>
              </w:rPr>
            </w:pPr>
            <w:r>
              <w:rPr>
                <w:spacing w:val="3"/>
                <w:sz w:val="19"/>
                <w:szCs w:val="19"/>
                <w:highlight w:val="none"/>
              </w:rPr>
              <w:t>姓名</w:t>
            </w:r>
          </w:p>
        </w:tc>
        <w:tc>
          <w:tcPr>
            <w:tcW w:w="1161" w:type="dxa"/>
            <w:gridSpan w:val="2"/>
            <w:vAlign w:val="top"/>
          </w:tcPr>
          <w:p w14:paraId="142F18FB">
            <w:pPr>
              <w:rPr>
                <w:rFonts w:ascii="Arial"/>
                <w:sz w:val="21"/>
                <w:highlight w:val="none"/>
              </w:rPr>
            </w:pPr>
          </w:p>
        </w:tc>
        <w:tc>
          <w:tcPr>
            <w:tcW w:w="1070" w:type="dxa"/>
            <w:vAlign w:val="top"/>
          </w:tcPr>
          <w:p w14:paraId="659A31D0">
            <w:pPr>
              <w:spacing w:line="309" w:lineRule="auto"/>
              <w:rPr>
                <w:rFonts w:ascii="Arial"/>
                <w:sz w:val="21"/>
                <w:highlight w:val="none"/>
              </w:rPr>
            </w:pPr>
          </w:p>
          <w:p w14:paraId="6193F56B">
            <w:pPr>
              <w:pStyle w:val="25"/>
              <w:spacing w:before="62" w:line="227" w:lineRule="auto"/>
              <w:ind w:left="349"/>
              <w:rPr>
                <w:sz w:val="19"/>
                <w:szCs w:val="19"/>
                <w:highlight w:val="none"/>
              </w:rPr>
            </w:pPr>
            <w:r>
              <w:rPr>
                <w:spacing w:val="1"/>
                <w:sz w:val="19"/>
                <w:szCs w:val="19"/>
                <w:highlight w:val="none"/>
              </w:rPr>
              <w:t>年龄</w:t>
            </w:r>
          </w:p>
        </w:tc>
        <w:tc>
          <w:tcPr>
            <w:tcW w:w="1206" w:type="dxa"/>
            <w:vAlign w:val="top"/>
          </w:tcPr>
          <w:p w14:paraId="2A04083E">
            <w:pPr>
              <w:rPr>
                <w:rFonts w:ascii="Arial"/>
                <w:sz w:val="21"/>
                <w:highlight w:val="none"/>
              </w:rPr>
            </w:pPr>
          </w:p>
        </w:tc>
        <w:tc>
          <w:tcPr>
            <w:tcW w:w="2772" w:type="dxa"/>
            <w:gridSpan w:val="3"/>
            <w:vAlign w:val="top"/>
          </w:tcPr>
          <w:p w14:paraId="09CA4AFC">
            <w:pPr>
              <w:spacing w:line="309" w:lineRule="auto"/>
              <w:rPr>
                <w:rFonts w:ascii="Arial"/>
                <w:sz w:val="21"/>
                <w:highlight w:val="none"/>
              </w:rPr>
            </w:pPr>
          </w:p>
          <w:p w14:paraId="31709799">
            <w:pPr>
              <w:pStyle w:val="25"/>
              <w:spacing w:before="62" w:line="228" w:lineRule="auto"/>
              <w:ind w:left="1205"/>
              <w:rPr>
                <w:sz w:val="19"/>
                <w:szCs w:val="19"/>
                <w:highlight w:val="none"/>
              </w:rPr>
            </w:pPr>
            <w:r>
              <w:rPr>
                <w:spacing w:val="-1"/>
                <w:sz w:val="19"/>
                <w:szCs w:val="19"/>
                <w:highlight w:val="none"/>
              </w:rPr>
              <w:t>学历</w:t>
            </w:r>
          </w:p>
        </w:tc>
        <w:tc>
          <w:tcPr>
            <w:tcW w:w="1991" w:type="dxa"/>
            <w:vAlign w:val="top"/>
          </w:tcPr>
          <w:p w14:paraId="117EE665">
            <w:pPr>
              <w:rPr>
                <w:rFonts w:ascii="Arial"/>
                <w:sz w:val="21"/>
                <w:highlight w:val="none"/>
              </w:rPr>
            </w:pPr>
          </w:p>
        </w:tc>
      </w:tr>
      <w:tr w14:paraId="6090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344" w:type="dxa"/>
            <w:vAlign w:val="top"/>
          </w:tcPr>
          <w:p w14:paraId="55A873CF">
            <w:pPr>
              <w:spacing w:line="305" w:lineRule="auto"/>
              <w:rPr>
                <w:rFonts w:ascii="Arial"/>
                <w:sz w:val="21"/>
                <w:highlight w:val="none"/>
              </w:rPr>
            </w:pPr>
          </w:p>
          <w:p w14:paraId="7A015DB5">
            <w:pPr>
              <w:pStyle w:val="25"/>
              <w:spacing w:before="62" w:line="226" w:lineRule="auto"/>
              <w:ind w:left="480"/>
              <w:rPr>
                <w:sz w:val="19"/>
                <w:szCs w:val="19"/>
                <w:highlight w:val="none"/>
              </w:rPr>
            </w:pPr>
            <w:r>
              <w:rPr>
                <w:spacing w:val="4"/>
                <w:sz w:val="19"/>
                <w:szCs w:val="19"/>
                <w:highlight w:val="none"/>
              </w:rPr>
              <w:t>职称</w:t>
            </w:r>
          </w:p>
        </w:tc>
        <w:tc>
          <w:tcPr>
            <w:tcW w:w="1161" w:type="dxa"/>
            <w:gridSpan w:val="2"/>
            <w:vAlign w:val="top"/>
          </w:tcPr>
          <w:p w14:paraId="12AA2480">
            <w:pPr>
              <w:rPr>
                <w:rFonts w:ascii="Arial"/>
                <w:sz w:val="21"/>
                <w:highlight w:val="none"/>
              </w:rPr>
            </w:pPr>
          </w:p>
        </w:tc>
        <w:tc>
          <w:tcPr>
            <w:tcW w:w="1070" w:type="dxa"/>
            <w:vAlign w:val="top"/>
          </w:tcPr>
          <w:p w14:paraId="18960181">
            <w:pPr>
              <w:spacing w:line="305" w:lineRule="auto"/>
              <w:rPr>
                <w:rFonts w:ascii="Arial"/>
                <w:sz w:val="21"/>
                <w:highlight w:val="none"/>
              </w:rPr>
            </w:pPr>
          </w:p>
          <w:p w14:paraId="00FCD4F7">
            <w:pPr>
              <w:pStyle w:val="25"/>
              <w:spacing w:before="62" w:line="228" w:lineRule="auto"/>
              <w:ind w:left="345"/>
              <w:rPr>
                <w:sz w:val="19"/>
                <w:szCs w:val="19"/>
                <w:highlight w:val="none"/>
              </w:rPr>
            </w:pPr>
            <w:r>
              <w:rPr>
                <w:spacing w:val="4"/>
                <w:sz w:val="19"/>
                <w:szCs w:val="19"/>
                <w:highlight w:val="none"/>
              </w:rPr>
              <w:t>职务</w:t>
            </w:r>
          </w:p>
        </w:tc>
        <w:tc>
          <w:tcPr>
            <w:tcW w:w="1206" w:type="dxa"/>
            <w:vAlign w:val="top"/>
          </w:tcPr>
          <w:p w14:paraId="0F55867C">
            <w:pPr>
              <w:rPr>
                <w:rFonts w:ascii="Arial"/>
                <w:sz w:val="21"/>
                <w:highlight w:val="none"/>
              </w:rPr>
            </w:pPr>
          </w:p>
        </w:tc>
        <w:tc>
          <w:tcPr>
            <w:tcW w:w="2772" w:type="dxa"/>
            <w:gridSpan w:val="3"/>
            <w:vAlign w:val="top"/>
          </w:tcPr>
          <w:p w14:paraId="6D1877E1">
            <w:pPr>
              <w:spacing w:line="306" w:lineRule="auto"/>
              <w:rPr>
                <w:rFonts w:ascii="Arial"/>
                <w:sz w:val="21"/>
                <w:highlight w:val="none"/>
              </w:rPr>
            </w:pPr>
          </w:p>
          <w:p w14:paraId="55E8DCEB">
            <w:pPr>
              <w:pStyle w:val="25"/>
              <w:spacing w:before="61" w:line="224" w:lineRule="auto"/>
              <w:ind w:left="698"/>
              <w:rPr>
                <w:sz w:val="19"/>
                <w:szCs w:val="19"/>
                <w:highlight w:val="none"/>
              </w:rPr>
            </w:pPr>
            <w:r>
              <w:rPr>
                <w:spacing w:val="7"/>
                <w:sz w:val="19"/>
                <w:szCs w:val="19"/>
                <w:highlight w:val="none"/>
              </w:rPr>
              <w:t>拟在本项目任职</w:t>
            </w:r>
          </w:p>
        </w:tc>
        <w:tc>
          <w:tcPr>
            <w:tcW w:w="1991" w:type="dxa"/>
            <w:vAlign w:val="top"/>
          </w:tcPr>
          <w:p w14:paraId="6AC22900">
            <w:pPr>
              <w:rPr>
                <w:rFonts w:ascii="Arial"/>
                <w:sz w:val="21"/>
                <w:highlight w:val="none"/>
              </w:rPr>
            </w:pPr>
          </w:p>
        </w:tc>
      </w:tr>
      <w:tr w14:paraId="54965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44" w:type="dxa"/>
            <w:vAlign w:val="top"/>
          </w:tcPr>
          <w:p w14:paraId="5E16F23C">
            <w:pPr>
              <w:pStyle w:val="25"/>
              <w:spacing w:before="121" w:line="218" w:lineRule="auto"/>
              <w:ind w:left="271"/>
              <w:rPr>
                <w:sz w:val="21"/>
                <w:szCs w:val="21"/>
                <w:highlight w:val="none"/>
              </w:rPr>
            </w:pPr>
            <w:r>
              <w:rPr>
                <w:spacing w:val="-6"/>
                <w:sz w:val="21"/>
                <w:szCs w:val="21"/>
                <w:highlight w:val="none"/>
              </w:rPr>
              <w:t>毕业学校</w:t>
            </w:r>
          </w:p>
        </w:tc>
        <w:tc>
          <w:tcPr>
            <w:tcW w:w="8200" w:type="dxa"/>
            <w:gridSpan w:val="8"/>
            <w:vAlign w:val="top"/>
          </w:tcPr>
          <w:p w14:paraId="5C0CFA70">
            <w:pPr>
              <w:pStyle w:val="25"/>
              <w:spacing w:before="121" w:line="218" w:lineRule="auto"/>
              <w:ind w:left="3374"/>
              <w:rPr>
                <w:sz w:val="21"/>
                <w:szCs w:val="21"/>
                <w:highlight w:val="none"/>
              </w:rPr>
            </w:pPr>
            <w:r>
              <w:rPr>
                <w:spacing w:val="-2"/>
                <w:sz w:val="21"/>
                <w:szCs w:val="21"/>
                <w:highlight w:val="none"/>
              </w:rPr>
              <w:t>年毕业于学校专业</w:t>
            </w:r>
          </w:p>
        </w:tc>
      </w:tr>
      <w:tr w14:paraId="64BD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44" w:type="dxa"/>
            <w:gridSpan w:val="9"/>
            <w:vAlign w:val="top"/>
          </w:tcPr>
          <w:p w14:paraId="0A493EB6">
            <w:pPr>
              <w:pStyle w:val="25"/>
              <w:spacing w:before="191" w:line="217" w:lineRule="auto"/>
              <w:ind w:left="4158"/>
              <w:rPr>
                <w:sz w:val="21"/>
                <w:szCs w:val="21"/>
                <w:highlight w:val="none"/>
              </w:rPr>
            </w:pPr>
            <w:r>
              <w:rPr>
                <w:spacing w:val="-3"/>
                <w:sz w:val="21"/>
                <w:szCs w:val="21"/>
                <w:highlight w:val="none"/>
              </w:rPr>
              <w:t>主要工作经历</w:t>
            </w:r>
          </w:p>
        </w:tc>
      </w:tr>
      <w:tr w14:paraId="384A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47" w:type="dxa"/>
            <w:gridSpan w:val="2"/>
            <w:vAlign w:val="top"/>
          </w:tcPr>
          <w:p w14:paraId="29028A2D">
            <w:pPr>
              <w:pStyle w:val="25"/>
              <w:spacing w:before="197" w:line="228" w:lineRule="auto"/>
              <w:ind w:left="797"/>
              <w:rPr>
                <w:sz w:val="19"/>
                <w:szCs w:val="19"/>
                <w:highlight w:val="none"/>
              </w:rPr>
            </w:pPr>
            <w:r>
              <w:rPr>
                <w:spacing w:val="-2"/>
                <w:sz w:val="19"/>
                <w:szCs w:val="19"/>
                <w:highlight w:val="none"/>
              </w:rPr>
              <w:t>时间</w:t>
            </w:r>
          </w:p>
        </w:tc>
        <w:tc>
          <w:tcPr>
            <w:tcW w:w="3824" w:type="dxa"/>
            <w:gridSpan w:val="4"/>
            <w:vAlign w:val="top"/>
          </w:tcPr>
          <w:p w14:paraId="37BB7FC3">
            <w:pPr>
              <w:pStyle w:val="25"/>
              <w:spacing w:before="191" w:line="220" w:lineRule="auto"/>
              <w:ind w:left="1088"/>
              <w:rPr>
                <w:sz w:val="21"/>
                <w:szCs w:val="21"/>
                <w:highlight w:val="none"/>
              </w:rPr>
            </w:pPr>
            <w:r>
              <w:rPr>
                <w:spacing w:val="-2"/>
                <w:sz w:val="21"/>
                <w:szCs w:val="21"/>
                <w:highlight w:val="none"/>
              </w:rPr>
              <w:t>参加过的类似项目</w:t>
            </w:r>
          </w:p>
        </w:tc>
        <w:tc>
          <w:tcPr>
            <w:tcW w:w="1406" w:type="dxa"/>
            <w:vAlign w:val="top"/>
          </w:tcPr>
          <w:p w14:paraId="4E1E4CC3">
            <w:pPr>
              <w:pStyle w:val="25"/>
              <w:spacing w:before="187" w:line="220" w:lineRule="auto"/>
              <w:ind w:left="347"/>
              <w:rPr>
                <w:sz w:val="21"/>
                <w:szCs w:val="21"/>
                <w:highlight w:val="none"/>
              </w:rPr>
            </w:pPr>
            <w:r>
              <w:rPr>
                <w:spacing w:val="-4"/>
                <w:sz w:val="21"/>
                <w:szCs w:val="21"/>
                <w:highlight w:val="none"/>
              </w:rPr>
              <w:t>担任职务</w:t>
            </w:r>
          </w:p>
        </w:tc>
        <w:tc>
          <w:tcPr>
            <w:tcW w:w="2567" w:type="dxa"/>
            <w:gridSpan w:val="2"/>
            <w:vAlign w:val="top"/>
          </w:tcPr>
          <w:p w14:paraId="1216AE10">
            <w:pPr>
              <w:pStyle w:val="25"/>
              <w:spacing w:before="187" w:line="220" w:lineRule="auto"/>
              <w:ind w:left="469"/>
              <w:rPr>
                <w:sz w:val="21"/>
                <w:szCs w:val="21"/>
                <w:highlight w:val="none"/>
              </w:rPr>
            </w:pPr>
            <w:r>
              <w:rPr>
                <w:spacing w:val="-3"/>
                <w:sz w:val="21"/>
                <w:szCs w:val="21"/>
                <w:highlight w:val="none"/>
              </w:rPr>
              <w:t>发包人及联系电话</w:t>
            </w:r>
          </w:p>
        </w:tc>
      </w:tr>
      <w:tr w14:paraId="1828E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47" w:type="dxa"/>
            <w:gridSpan w:val="2"/>
            <w:vAlign w:val="top"/>
          </w:tcPr>
          <w:p w14:paraId="4171947E">
            <w:pPr>
              <w:rPr>
                <w:rFonts w:ascii="Arial"/>
                <w:sz w:val="21"/>
                <w:highlight w:val="none"/>
              </w:rPr>
            </w:pPr>
          </w:p>
        </w:tc>
        <w:tc>
          <w:tcPr>
            <w:tcW w:w="3824" w:type="dxa"/>
            <w:gridSpan w:val="4"/>
            <w:vAlign w:val="top"/>
          </w:tcPr>
          <w:p w14:paraId="38664B91">
            <w:pPr>
              <w:rPr>
                <w:rFonts w:ascii="Arial"/>
                <w:sz w:val="21"/>
                <w:highlight w:val="none"/>
              </w:rPr>
            </w:pPr>
          </w:p>
        </w:tc>
        <w:tc>
          <w:tcPr>
            <w:tcW w:w="1406" w:type="dxa"/>
            <w:vAlign w:val="top"/>
          </w:tcPr>
          <w:p w14:paraId="2FE843E1">
            <w:pPr>
              <w:rPr>
                <w:rFonts w:ascii="Arial"/>
                <w:sz w:val="21"/>
                <w:highlight w:val="none"/>
              </w:rPr>
            </w:pPr>
          </w:p>
        </w:tc>
        <w:tc>
          <w:tcPr>
            <w:tcW w:w="2567" w:type="dxa"/>
            <w:gridSpan w:val="2"/>
            <w:vAlign w:val="top"/>
          </w:tcPr>
          <w:p w14:paraId="5A930E64">
            <w:pPr>
              <w:rPr>
                <w:rFonts w:ascii="Arial"/>
                <w:sz w:val="21"/>
                <w:highlight w:val="none"/>
              </w:rPr>
            </w:pPr>
          </w:p>
        </w:tc>
      </w:tr>
      <w:tr w14:paraId="3E8A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747" w:type="dxa"/>
            <w:gridSpan w:val="2"/>
            <w:vAlign w:val="top"/>
          </w:tcPr>
          <w:p w14:paraId="0B586C60">
            <w:pPr>
              <w:rPr>
                <w:rFonts w:ascii="Arial"/>
                <w:sz w:val="21"/>
                <w:highlight w:val="none"/>
              </w:rPr>
            </w:pPr>
          </w:p>
        </w:tc>
        <w:tc>
          <w:tcPr>
            <w:tcW w:w="3824" w:type="dxa"/>
            <w:gridSpan w:val="4"/>
            <w:vAlign w:val="top"/>
          </w:tcPr>
          <w:p w14:paraId="7AF3C6CB">
            <w:pPr>
              <w:rPr>
                <w:rFonts w:ascii="Arial"/>
                <w:sz w:val="21"/>
                <w:highlight w:val="none"/>
              </w:rPr>
            </w:pPr>
          </w:p>
        </w:tc>
        <w:tc>
          <w:tcPr>
            <w:tcW w:w="1406" w:type="dxa"/>
            <w:vAlign w:val="top"/>
          </w:tcPr>
          <w:p w14:paraId="36825EF5">
            <w:pPr>
              <w:rPr>
                <w:rFonts w:ascii="Arial"/>
                <w:sz w:val="21"/>
                <w:highlight w:val="none"/>
              </w:rPr>
            </w:pPr>
          </w:p>
        </w:tc>
        <w:tc>
          <w:tcPr>
            <w:tcW w:w="2567" w:type="dxa"/>
            <w:gridSpan w:val="2"/>
            <w:vAlign w:val="top"/>
          </w:tcPr>
          <w:p w14:paraId="1542376B">
            <w:pPr>
              <w:rPr>
                <w:rFonts w:ascii="Arial"/>
                <w:sz w:val="21"/>
                <w:highlight w:val="none"/>
              </w:rPr>
            </w:pPr>
          </w:p>
        </w:tc>
      </w:tr>
      <w:tr w14:paraId="62595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47" w:type="dxa"/>
            <w:gridSpan w:val="2"/>
            <w:vAlign w:val="top"/>
          </w:tcPr>
          <w:p w14:paraId="214A8C73">
            <w:pPr>
              <w:rPr>
                <w:rFonts w:ascii="Arial"/>
                <w:sz w:val="21"/>
                <w:highlight w:val="none"/>
              </w:rPr>
            </w:pPr>
          </w:p>
        </w:tc>
        <w:tc>
          <w:tcPr>
            <w:tcW w:w="3824" w:type="dxa"/>
            <w:gridSpan w:val="4"/>
            <w:vAlign w:val="top"/>
          </w:tcPr>
          <w:p w14:paraId="43498AA5">
            <w:pPr>
              <w:rPr>
                <w:rFonts w:ascii="Arial"/>
                <w:sz w:val="21"/>
                <w:highlight w:val="none"/>
              </w:rPr>
            </w:pPr>
          </w:p>
        </w:tc>
        <w:tc>
          <w:tcPr>
            <w:tcW w:w="1406" w:type="dxa"/>
            <w:vAlign w:val="top"/>
          </w:tcPr>
          <w:p w14:paraId="78AF3A2C">
            <w:pPr>
              <w:rPr>
                <w:rFonts w:ascii="Arial"/>
                <w:sz w:val="21"/>
                <w:highlight w:val="none"/>
              </w:rPr>
            </w:pPr>
          </w:p>
        </w:tc>
        <w:tc>
          <w:tcPr>
            <w:tcW w:w="2567" w:type="dxa"/>
            <w:gridSpan w:val="2"/>
            <w:vAlign w:val="top"/>
          </w:tcPr>
          <w:p w14:paraId="45A4A41D">
            <w:pPr>
              <w:rPr>
                <w:rFonts w:ascii="Arial"/>
                <w:sz w:val="21"/>
                <w:highlight w:val="none"/>
              </w:rPr>
            </w:pPr>
          </w:p>
        </w:tc>
      </w:tr>
      <w:tr w14:paraId="317A4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47" w:type="dxa"/>
            <w:gridSpan w:val="2"/>
            <w:vAlign w:val="top"/>
          </w:tcPr>
          <w:p w14:paraId="4457623B">
            <w:pPr>
              <w:rPr>
                <w:rFonts w:ascii="Arial"/>
                <w:sz w:val="21"/>
                <w:highlight w:val="none"/>
              </w:rPr>
            </w:pPr>
          </w:p>
        </w:tc>
        <w:tc>
          <w:tcPr>
            <w:tcW w:w="3824" w:type="dxa"/>
            <w:gridSpan w:val="4"/>
            <w:vAlign w:val="top"/>
          </w:tcPr>
          <w:p w14:paraId="7E297D24">
            <w:pPr>
              <w:rPr>
                <w:rFonts w:ascii="Arial"/>
                <w:sz w:val="21"/>
                <w:highlight w:val="none"/>
              </w:rPr>
            </w:pPr>
          </w:p>
        </w:tc>
        <w:tc>
          <w:tcPr>
            <w:tcW w:w="1406" w:type="dxa"/>
            <w:vAlign w:val="top"/>
          </w:tcPr>
          <w:p w14:paraId="53A9DD66">
            <w:pPr>
              <w:rPr>
                <w:rFonts w:ascii="Arial"/>
                <w:sz w:val="21"/>
                <w:highlight w:val="none"/>
              </w:rPr>
            </w:pPr>
          </w:p>
        </w:tc>
        <w:tc>
          <w:tcPr>
            <w:tcW w:w="2567" w:type="dxa"/>
            <w:gridSpan w:val="2"/>
            <w:vAlign w:val="top"/>
          </w:tcPr>
          <w:p w14:paraId="62E04937">
            <w:pPr>
              <w:rPr>
                <w:rFonts w:ascii="Arial"/>
                <w:sz w:val="21"/>
                <w:highlight w:val="none"/>
              </w:rPr>
            </w:pPr>
          </w:p>
        </w:tc>
      </w:tr>
      <w:tr w14:paraId="5821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47" w:type="dxa"/>
            <w:gridSpan w:val="2"/>
            <w:vAlign w:val="top"/>
          </w:tcPr>
          <w:p w14:paraId="7C9A9AEE">
            <w:pPr>
              <w:rPr>
                <w:rFonts w:ascii="Arial"/>
                <w:sz w:val="21"/>
                <w:highlight w:val="none"/>
              </w:rPr>
            </w:pPr>
          </w:p>
        </w:tc>
        <w:tc>
          <w:tcPr>
            <w:tcW w:w="3824" w:type="dxa"/>
            <w:gridSpan w:val="4"/>
            <w:vAlign w:val="top"/>
          </w:tcPr>
          <w:p w14:paraId="6C3D96D5">
            <w:pPr>
              <w:rPr>
                <w:rFonts w:ascii="Arial"/>
                <w:sz w:val="21"/>
                <w:highlight w:val="none"/>
              </w:rPr>
            </w:pPr>
          </w:p>
        </w:tc>
        <w:tc>
          <w:tcPr>
            <w:tcW w:w="1406" w:type="dxa"/>
            <w:vAlign w:val="top"/>
          </w:tcPr>
          <w:p w14:paraId="75BEBCD7">
            <w:pPr>
              <w:rPr>
                <w:rFonts w:ascii="Arial"/>
                <w:sz w:val="21"/>
                <w:highlight w:val="none"/>
              </w:rPr>
            </w:pPr>
          </w:p>
        </w:tc>
        <w:tc>
          <w:tcPr>
            <w:tcW w:w="2567" w:type="dxa"/>
            <w:gridSpan w:val="2"/>
            <w:vAlign w:val="top"/>
          </w:tcPr>
          <w:p w14:paraId="1EFD0B90">
            <w:pPr>
              <w:rPr>
                <w:rFonts w:ascii="Arial"/>
                <w:sz w:val="21"/>
                <w:highlight w:val="none"/>
              </w:rPr>
            </w:pPr>
          </w:p>
        </w:tc>
      </w:tr>
      <w:tr w14:paraId="1D13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47" w:type="dxa"/>
            <w:gridSpan w:val="2"/>
            <w:vAlign w:val="top"/>
          </w:tcPr>
          <w:p w14:paraId="492C7D30">
            <w:pPr>
              <w:rPr>
                <w:rFonts w:ascii="Arial"/>
                <w:sz w:val="21"/>
                <w:highlight w:val="none"/>
              </w:rPr>
            </w:pPr>
          </w:p>
        </w:tc>
        <w:tc>
          <w:tcPr>
            <w:tcW w:w="3824" w:type="dxa"/>
            <w:gridSpan w:val="4"/>
            <w:vAlign w:val="top"/>
          </w:tcPr>
          <w:p w14:paraId="63AB3D94">
            <w:pPr>
              <w:rPr>
                <w:rFonts w:ascii="Arial"/>
                <w:sz w:val="21"/>
                <w:highlight w:val="none"/>
              </w:rPr>
            </w:pPr>
          </w:p>
        </w:tc>
        <w:tc>
          <w:tcPr>
            <w:tcW w:w="1406" w:type="dxa"/>
            <w:vAlign w:val="top"/>
          </w:tcPr>
          <w:p w14:paraId="4A689C95">
            <w:pPr>
              <w:rPr>
                <w:rFonts w:ascii="Arial"/>
                <w:sz w:val="21"/>
                <w:highlight w:val="none"/>
              </w:rPr>
            </w:pPr>
          </w:p>
        </w:tc>
        <w:tc>
          <w:tcPr>
            <w:tcW w:w="2567" w:type="dxa"/>
            <w:gridSpan w:val="2"/>
            <w:vAlign w:val="top"/>
          </w:tcPr>
          <w:p w14:paraId="31A63076">
            <w:pPr>
              <w:rPr>
                <w:rFonts w:ascii="Arial"/>
                <w:sz w:val="21"/>
                <w:highlight w:val="none"/>
              </w:rPr>
            </w:pPr>
          </w:p>
        </w:tc>
      </w:tr>
      <w:tr w14:paraId="455D0597">
        <w:tblPrEx>
          <w:tblCellMar>
            <w:top w:w="0" w:type="dxa"/>
            <w:left w:w="0" w:type="dxa"/>
            <w:bottom w:w="0" w:type="dxa"/>
            <w:right w:w="0" w:type="dxa"/>
          </w:tblCellMar>
        </w:tblPrEx>
        <w:trPr>
          <w:trHeight w:val="592" w:hRule="atLeast"/>
        </w:trPr>
        <w:tc>
          <w:tcPr>
            <w:tcW w:w="1747" w:type="dxa"/>
            <w:gridSpan w:val="2"/>
            <w:vAlign w:val="top"/>
          </w:tcPr>
          <w:p w14:paraId="3B100852">
            <w:pPr>
              <w:rPr>
                <w:rFonts w:ascii="Arial"/>
                <w:sz w:val="21"/>
                <w:highlight w:val="none"/>
              </w:rPr>
            </w:pPr>
          </w:p>
        </w:tc>
        <w:tc>
          <w:tcPr>
            <w:tcW w:w="3824" w:type="dxa"/>
            <w:gridSpan w:val="4"/>
            <w:vAlign w:val="top"/>
          </w:tcPr>
          <w:p w14:paraId="5B2151A6">
            <w:pPr>
              <w:rPr>
                <w:rFonts w:ascii="Arial"/>
                <w:sz w:val="21"/>
                <w:highlight w:val="none"/>
              </w:rPr>
            </w:pPr>
          </w:p>
        </w:tc>
        <w:tc>
          <w:tcPr>
            <w:tcW w:w="1406" w:type="dxa"/>
            <w:vAlign w:val="top"/>
          </w:tcPr>
          <w:p w14:paraId="197EB047">
            <w:pPr>
              <w:rPr>
                <w:rFonts w:ascii="Arial"/>
                <w:sz w:val="21"/>
                <w:highlight w:val="none"/>
              </w:rPr>
            </w:pPr>
          </w:p>
        </w:tc>
        <w:tc>
          <w:tcPr>
            <w:tcW w:w="2567" w:type="dxa"/>
            <w:gridSpan w:val="2"/>
            <w:vAlign w:val="top"/>
          </w:tcPr>
          <w:p w14:paraId="62B885D4">
            <w:pPr>
              <w:rPr>
                <w:rFonts w:ascii="Arial"/>
                <w:sz w:val="21"/>
                <w:highlight w:val="none"/>
              </w:rPr>
            </w:pPr>
          </w:p>
        </w:tc>
      </w:tr>
      <w:tr w14:paraId="698AC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747" w:type="dxa"/>
            <w:gridSpan w:val="2"/>
            <w:vAlign w:val="top"/>
          </w:tcPr>
          <w:p w14:paraId="3C409160">
            <w:pPr>
              <w:rPr>
                <w:rFonts w:ascii="Arial"/>
                <w:sz w:val="21"/>
                <w:highlight w:val="none"/>
              </w:rPr>
            </w:pPr>
          </w:p>
        </w:tc>
        <w:tc>
          <w:tcPr>
            <w:tcW w:w="3824" w:type="dxa"/>
            <w:gridSpan w:val="4"/>
            <w:vAlign w:val="top"/>
          </w:tcPr>
          <w:p w14:paraId="2E17A5DE">
            <w:pPr>
              <w:rPr>
                <w:rFonts w:ascii="Arial"/>
                <w:sz w:val="21"/>
                <w:highlight w:val="none"/>
              </w:rPr>
            </w:pPr>
          </w:p>
        </w:tc>
        <w:tc>
          <w:tcPr>
            <w:tcW w:w="1406" w:type="dxa"/>
            <w:vAlign w:val="top"/>
          </w:tcPr>
          <w:p w14:paraId="08F86488">
            <w:pPr>
              <w:rPr>
                <w:rFonts w:ascii="Arial"/>
                <w:sz w:val="21"/>
                <w:highlight w:val="none"/>
              </w:rPr>
            </w:pPr>
          </w:p>
        </w:tc>
        <w:tc>
          <w:tcPr>
            <w:tcW w:w="2567" w:type="dxa"/>
            <w:gridSpan w:val="2"/>
            <w:vAlign w:val="top"/>
          </w:tcPr>
          <w:p w14:paraId="74346F12">
            <w:pPr>
              <w:rPr>
                <w:rFonts w:ascii="Arial"/>
                <w:sz w:val="21"/>
                <w:highlight w:val="none"/>
              </w:rPr>
            </w:pPr>
          </w:p>
        </w:tc>
      </w:tr>
      <w:tr w14:paraId="4CA9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747" w:type="dxa"/>
            <w:gridSpan w:val="2"/>
            <w:vAlign w:val="top"/>
          </w:tcPr>
          <w:p w14:paraId="18D72D6B">
            <w:pPr>
              <w:rPr>
                <w:rFonts w:ascii="Arial"/>
                <w:sz w:val="21"/>
                <w:highlight w:val="none"/>
              </w:rPr>
            </w:pPr>
          </w:p>
        </w:tc>
        <w:tc>
          <w:tcPr>
            <w:tcW w:w="3824" w:type="dxa"/>
            <w:gridSpan w:val="4"/>
            <w:vAlign w:val="top"/>
          </w:tcPr>
          <w:p w14:paraId="6CC33522">
            <w:pPr>
              <w:rPr>
                <w:rFonts w:ascii="Arial"/>
                <w:sz w:val="21"/>
                <w:highlight w:val="none"/>
              </w:rPr>
            </w:pPr>
          </w:p>
        </w:tc>
        <w:tc>
          <w:tcPr>
            <w:tcW w:w="1406" w:type="dxa"/>
            <w:vAlign w:val="top"/>
          </w:tcPr>
          <w:p w14:paraId="06950072">
            <w:pPr>
              <w:rPr>
                <w:rFonts w:ascii="Arial"/>
                <w:sz w:val="21"/>
                <w:highlight w:val="none"/>
              </w:rPr>
            </w:pPr>
          </w:p>
        </w:tc>
        <w:tc>
          <w:tcPr>
            <w:tcW w:w="2567" w:type="dxa"/>
            <w:gridSpan w:val="2"/>
            <w:vAlign w:val="top"/>
          </w:tcPr>
          <w:p w14:paraId="7C8649E0">
            <w:pPr>
              <w:rPr>
                <w:rFonts w:ascii="Arial"/>
                <w:sz w:val="21"/>
                <w:highlight w:val="none"/>
              </w:rPr>
            </w:pPr>
          </w:p>
        </w:tc>
      </w:tr>
    </w:tbl>
    <w:p w14:paraId="612094C3">
      <w:pPr>
        <w:spacing w:before="113" w:line="310" w:lineRule="auto"/>
        <w:rPr>
          <w:rFonts w:ascii="宋体" w:hAnsi="宋体" w:eastAsia="宋体" w:cs="宋体"/>
          <w:sz w:val="24"/>
          <w:szCs w:val="24"/>
          <w:highlight w:val="none"/>
        </w:rPr>
      </w:pPr>
      <w:r>
        <w:rPr>
          <w:rFonts w:ascii="宋体" w:hAnsi="宋体" w:eastAsia="宋体" w:cs="宋体"/>
          <w:spacing w:val="-5"/>
          <w:sz w:val="24"/>
          <w:szCs w:val="24"/>
          <w:highlight w:val="none"/>
        </w:rPr>
        <w:t>注：设计负责人、项目经理、施工技术负责人及设计</w:t>
      </w:r>
      <w:r>
        <w:rPr>
          <w:rFonts w:ascii="宋体" w:hAnsi="宋体" w:eastAsia="宋体" w:cs="宋体"/>
          <w:spacing w:val="-6"/>
          <w:sz w:val="24"/>
          <w:szCs w:val="24"/>
          <w:highlight w:val="none"/>
        </w:rPr>
        <w:t>主要人员须按此表格分别填写； 应根据招标文件评审要求附职称证书（如有）、注册资格证书（如有）及其</w:t>
      </w:r>
      <w:r>
        <w:rPr>
          <w:rFonts w:ascii="宋体" w:hAnsi="宋体" w:eastAsia="宋体" w:cs="宋体"/>
          <w:spacing w:val="-7"/>
          <w:sz w:val="24"/>
          <w:szCs w:val="24"/>
          <w:highlight w:val="none"/>
        </w:rPr>
        <w:t>它相关证书及证明扫描件等。</w:t>
      </w:r>
    </w:p>
    <w:p w14:paraId="4FB1467A">
      <w:pPr>
        <w:pStyle w:val="3"/>
        <w:spacing w:line="292" w:lineRule="auto"/>
        <w:rPr>
          <w:highlight w:val="none"/>
        </w:rPr>
      </w:pPr>
    </w:p>
    <w:p w14:paraId="66DAD8D7">
      <w:pPr>
        <w:pStyle w:val="3"/>
        <w:spacing w:line="292" w:lineRule="auto"/>
        <w:rPr>
          <w:highlight w:val="none"/>
        </w:rPr>
      </w:pPr>
    </w:p>
    <w:p w14:paraId="2A4AF01C">
      <w:pPr>
        <w:spacing w:before="91" w:line="219" w:lineRule="auto"/>
        <w:ind w:left="2489"/>
        <w:rPr>
          <w:rFonts w:ascii="宋体" w:hAnsi="宋体" w:eastAsia="宋体" w:cs="宋体"/>
          <w:sz w:val="28"/>
          <w:szCs w:val="28"/>
          <w:highlight w:val="none"/>
        </w:rPr>
      </w:pPr>
      <w:r>
        <w:rPr>
          <w:rFonts w:ascii="宋体" w:hAnsi="宋体" w:eastAsia="宋体" w:cs="宋体"/>
          <w:b/>
          <w:bCs/>
          <w:spacing w:val="-4"/>
          <w:sz w:val="28"/>
          <w:szCs w:val="28"/>
          <w:highlight w:val="none"/>
        </w:rPr>
        <w:t>（三）运营团队人员项目管理机构配备</w:t>
      </w:r>
    </w:p>
    <w:p w14:paraId="2BB279E6">
      <w:pPr>
        <w:spacing w:before="232" w:line="219" w:lineRule="auto"/>
        <w:ind w:left="4397"/>
        <w:rPr>
          <w:rFonts w:ascii="宋体" w:hAnsi="宋体" w:eastAsia="宋体" w:cs="宋体"/>
          <w:sz w:val="24"/>
          <w:szCs w:val="24"/>
          <w:highlight w:val="none"/>
        </w:rPr>
      </w:pPr>
      <w:r>
        <w:rPr>
          <w:rFonts w:ascii="宋体" w:hAnsi="宋体" w:eastAsia="宋体" w:cs="宋体"/>
          <w:spacing w:val="-5"/>
          <w:sz w:val="24"/>
          <w:szCs w:val="24"/>
          <w:highlight w:val="none"/>
        </w:rPr>
        <w:t>（格式自拟）</w:t>
      </w:r>
    </w:p>
    <w:p w14:paraId="0F4C6051">
      <w:pPr>
        <w:spacing w:before="182" w:line="361" w:lineRule="auto"/>
        <w:ind w:right="5" w:firstLine="480"/>
        <w:jc w:val="both"/>
        <w:rPr>
          <w:rFonts w:ascii="宋体" w:hAnsi="宋体" w:eastAsia="宋体" w:cs="宋体"/>
          <w:sz w:val="24"/>
          <w:szCs w:val="24"/>
          <w:highlight w:val="none"/>
        </w:rPr>
      </w:pPr>
      <w:r>
        <w:rPr>
          <w:rFonts w:ascii="宋体" w:hAnsi="宋体" w:eastAsia="宋体" w:cs="宋体"/>
          <w:spacing w:val="-5"/>
          <w:sz w:val="24"/>
          <w:szCs w:val="24"/>
          <w:highlight w:val="none"/>
        </w:rPr>
        <w:t>注：具体要求详见招标文件。联合体投标的，</w:t>
      </w:r>
      <w:r>
        <w:rPr>
          <w:rFonts w:ascii="宋体" w:hAnsi="宋体" w:eastAsia="宋体" w:cs="宋体"/>
          <w:spacing w:val="-23"/>
          <w:sz w:val="24"/>
          <w:szCs w:val="24"/>
          <w:highlight w:val="none"/>
        </w:rPr>
        <w:t xml:space="preserve"> </w:t>
      </w:r>
      <w:r>
        <w:rPr>
          <w:rFonts w:ascii="宋体" w:hAnsi="宋体" w:eastAsia="宋体" w:cs="宋体"/>
          <w:spacing w:val="-5"/>
          <w:sz w:val="24"/>
          <w:szCs w:val="24"/>
          <w:highlight w:val="none"/>
        </w:rPr>
        <w:t>运营团队岗</w:t>
      </w:r>
      <w:r>
        <w:rPr>
          <w:rFonts w:ascii="宋体" w:hAnsi="宋体" w:eastAsia="宋体" w:cs="宋体"/>
          <w:spacing w:val="-6"/>
          <w:sz w:val="24"/>
          <w:szCs w:val="24"/>
          <w:highlight w:val="none"/>
        </w:rPr>
        <w:t>位人员资料由联合体成员中具有</w:t>
      </w:r>
      <w:r>
        <w:rPr>
          <w:rFonts w:ascii="宋体" w:hAnsi="宋体" w:eastAsia="宋体" w:cs="宋体"/>
          <w:spacing w:val="-1"/>
          <w:sz w:val="24"/>
          <w:szCs w:val="24"/>
          <w:highlight w:val="none"/>
        </w:rPr>
        <w:t>运营资质的成员单位提供。</w:t>
      </w:r>
      <w:r>
        <w:rPr>
          <w:rFonts w:ascii="宋体" w:hAnsi="宋体" w:eastAsia="宋体" w:cs="宋体"/>
          <w:b/>
          <w:bCs/>
          <w:spacing w:val="-1"/>
          <w:sz w:val="24"/>
          <w:szCs w:val="24"/>
          <w:highlight w:val="none"/>
        </w:rPr>
        <w:t>投标文件中须提供能够证</w:t>
      </w:r>
      <w:r>
        <w:rPr>
          <w:rFonts w:ascii="宋体" w:hAnsi="宋体" w:eastAsia="宋体" w:cs="宋体"/>
          <w:b/>
          <w:bCs/>
          <w:spacing w:val="-2"/>
          <w:sz w:val="24"/>
          <w:szCs w:val="24"/>
          <w:highlight w:val="none"/>
        </w:rPr>
        <w:t>明前述运营团队主要人员管理经验证明材料原件扫描件（证明材料指相关运营协议，如PPP协议，BOT协议等，若证明材料无法体现</w:t>
      </w:r>
      <w:r>
        <w:rPr>
          <w:rFonts w:ascii="宋体" w:hAnsi="宋体" w:eastAsia="宋体" w:cs="宋体"/>
          <w:b/>
          <w:bCs/>
          <w:spacing w:val="-3"/>
          <w:sz w:val="24"/>
          <w:szCs w:val="24"/>
          <w:highlight w:val="none"/>
        </w:rPr>
        <w:t>管理经验年限及景区等级等因素，可提供业主（合同甲方）证明材料原</w:t>
      </w:r>
      <w:r>
        <w:rPr>
          <w:rFonts w:ascii="宋体" w:hAnsi="宋体" w:eastAsia="宋体" w:cs="宋体"/>
          <w:b/>
          <w:bCs/>
          <w:spacing w:val="-4"/>
          <w:sz w:val="24"/>
          <w:szCs w:val="24"/>
          <w:highlight w:val="none"/>
        </w:rPr>
        <w:t>件扫描件进行证明）。</w:t>
      </w:r>
    </w:p>
    <w:p w14:paraId="1A6D3DF2">
      <w:pPr>
        <w:spacing w:line="361" w:lineRule="auto"/>
        <w:rPr>
          <w:rFonts w:ascii="宋体" w:hAnsi="宋体" w:eastAsia="宋体" w:cs="宋体"/>
          <w:sz w:val="24"/>
          <w:szCs w:val="24"/>
          <w:highlight w:val="none"/>
        </w:rPr>
        <w:sectPr>
          <w:footerReference r:id="rId95" w:type="default"/>
          <w:pgSz w:w="11907" w:h="16839"/>
          <w:pgMar w:top="1431" w:right="997" w:bottom="1127" w:left="1091" w:header="0" w:footer="896" w:gutter="0"/>
          <w:cols w:space="720" w:num="1"/>
        </w:sectPr>
      </w:pPr>
    </w:p>
    <w:p w14:paraId="1877A2E2">
      <w:pPr>
        <w:spacing w:before="103" w:line="219" w:lineRule="auto"/>
        <w:ind w:left="2100"/>
        <w:rPr>
          <w:rFonts w:ascii="黑体" w:hAnsi="黑体" w:eastAsia="黑体" w:cs="黑体"/>
          <w:sz w:val="30"/>
          <w:szCs w:val="30"/>
          <w:highlight w:val="none"/>
        </w:rPr>
      </w:pPr>
      <w:r>
        <w:rPr>
          <w:rFonts w:ascii="黑体" w:hAnsi="黑体" w:eastAsia="黑体" w:cs="黑体"/>
          <w:spacing w:val="-2"/>
          <w:sz w:val="30"/>
          <w:szCs w:val="30"/>
          <w:highlight w:val="none"/>
        </w:rPr>
        <w:t>（四）承包人用于本工程施工的机械设备表</w:t>
      </w:r>
    </w:p>
    <w:p w14:paraId="48210A22">
      <w:pPr>
        <w:spacing w:line="144" w:lineRule="exact"/>
        <w:rPr>
          <w:highlight w:val="none"/>
        </w:rPr>
      </w:pPr>
    </w:p>
    <w:tbl>
      <w:tblPr>
        <w:tblStyle w:val="24"/>
        <w:tblW w:w="981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706"/>
        <w:gridCol w:w="706"/>
        <w:gridCol w:w="850"/>
        <w:gridCol w:w="1053"/>
        <w:gridCol w:w="879"/>
        <w:gridCol w:w="1017"/>
        <w:gridCol w:w="1478"/>
        <w:gridCol w:w="1017"/>
        <w:gridCol w:w="934"/>
      </w:tblGrid>
      <w:tr w14:paraId="2320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176" w:type="dxa"/>
            <w:tcBorders>
              <w:top w:val="single" w:color="000000" w:sz="10" w:space="0"/>
              <w:left w:val="single" w:color="000000" w:sz="10" w:space="0"/>
            </w:tcBorders>
            <w:vAlign w:val="top"/>
          </w:tcPr>
          <w:p w14:paraId="4620C524">
            <w:pPr>
              <w:spacing w:line="245" w:lineRule="auto"/>
              <w:rPr>
                <w:rFonts w:ascii="Arial"/>
                <w:sz w:val="21"/>
                <w:highlight w:val="none"/>
              </w:rPr>
            </w:pPr>
          </w:p>
          <w:p w14:paraId="5940AC50">
            <w:pPr>
              <w:pStyle w:val="25"/>
              <w:spacing w:before="91" w:line="219" w:lineRule="auto"/>
              <w:ind w:left="310"/>
              <w:rPr>
                <w:sz w:val="28"/>
                <w:szCs w:val="28"/>
                <w:highlight w:val="none"/>
              </w:rPr>
            </w:pPr>
            <w:r>
              <w:rPr>
                <w:spacing w:val="-5"/>
                <w:sz w:val="28"/>
                <w:szCs w:val="28"/>
                <w:highlight w:val="none"/>
              </w:rPr>
              <w:t>序号</w:t>
            </w:r>
          </w:p>
        </w:tc>
        <w:tc>
          <w:tcPr>
            <w:tcW w:w="1412" w:type="dxa"/>
            <w:gridSpan w:val="2"/>
            <w:tcBorders>
              <w:top w:val="single" w:color="000000" w:sz="10" w:space="0"/>
            </w:tcBorders>
            <w:vAlign w:val="top"/>
          </w:tcPr>
          <w:p w14:paraId="56DF117D">
            <w:pPr>
              <w:pStyle w:val="25"/>
              <w:spacing w:before="117" w:line="252" w:lineRule="auto"/>
              <w:ind w:left="295" w:right="144" w:hanging="143"/>
              <w:rPr>
                <w:sz w:val="28"/>
                <w:szCs w:val="28"/>
                <w:highlight w:val="none"/>
              </w:rPr>
            </w:pPr>
            <w:r>
              <w:rPr>
                <w:spacing w:val="-4"/>
                <w:sz w:val="28"/>
                <w:szCs w:val="28"/>
                <w:highlight w:val="none"/>
              </w:rPr>
              <w:t>机械或设</w:t>
            </w:r>
            <w:r>
              <w:rPr>
                <w:spacing w:val="-5"/>
                <w:sz w:val="28"/>
                <w:szCs w:val="28"/>
                <w:highlight w:val="none"/>
              </w:rPr>
              <w:t>备名称</w:t>
            </w:r>
          </w:p>
        </w:tc>
        <w:tc>
          <w:tcPr>
            <w:tcW w:w="850" w:type="dxa"/>
            <w:tcBorders>
              <w:top w:val="single" w:color="000000" w:sz="10" w:space="0"/>
            </w:tcBorders>
            <w:vAlign w:val="top"/>
          </w:tcPr>
          <w:p w14:paraId="7ABC5575">
            <w:pPr>
              <w:pStyle w:val="25"/>
              <w:spacing w:before="117" w:line="219" w:lineRule="auto"/>
              <w:ind w:left="153"/>
              <w:rPr>
                <w:sz w:val="28"/>
                <w:szCs w:val="28"/>
                <w:highlight w:val="none"/>
              </w:rPr>
            </w:pPr>
            <w:r>
              <w:rPr>
                <w:spacing w:val="-5"/>
                <w:sz w:val="28"/>
                <w:szCs w:val="28"/>
                <w:highlight w:val="none"/>
              </w:rPr>
              <w:t>规格</w:t>
            </w:r>
          </w:p>
          <w:p w14:paraId="50238A9C">
            <w:pPr>
              <w:pStyle w:val="25"/>
              <w:spacing w:before="108" w:line="214" w:lineRule="auto"/>
              <w:ind w:left="167"/>
              <w:rPr>
                <w:sz w:val="28"/>
                <w:szCs w:val="28"/>
                <w:highlight w:val="none"/>
              </w:rPr>
            </w:pPr>
            <w:r>
              <w:rPr>
                <w:spacing w:val="-8"/>
                <w:sz w:val="28"/>
                <w:szCs w:val="28"/>
                <w:highlight w:val="none"/>
              </w:rPr>
              <w:t>型号</w:t>
            </w:r>
          </w:p>
        </w:tc>
        <w:tc>
          <w:tcPr>
            <w:tcW w:w="1053" w:type="dxa"/>
            <w:tcBorders>
              <w:top w:val="single" w:color="000000" w:sz="10" w:space="0"/>
            </w:tcBorders>
            <w:vAlign w:val="top"/>
          </w:tcPr>
          <w:p w14:paraId="07F9734B">
            <w:pPr>
              <w:spacing w:line="246" w:lineRule="auto"/>
              <w:rPr>
                <w:rFonts w:ascii="Arial"/>
                <w:sz w:val="21"/>
                <w:highlight w:val="none"/>
              </w:rPr>
            </w:pPr>
          </w:p>
          <w:p w14:paraId="520ECB23">
            <w:pPr>
              <w:pStyle w:val="25"/>
              <w:spacing w:before="91" w:line="219" w:lineRule="auto"/>
              <w:ind w:left="259"/>
              <w:rPr>
                <w:sz w:val="28"/>
                <w:szCs w:val="28"/>
                <w:highlight w:val="none"/>
              </w:rPr>
            </w:pPr>
            <w:r>
              <w:rPr>
                <w:spacing w:val="-5"/>
                <w:sz w:val="28"/>
                <w:szCs w:val="28"/>
                <w:highlight w:val="none"/>
              </w:rPr>
              <w:t>数量</w:t>
            </w:r>
          </w:p>
        </w:tc>
        <w:tc>
          <w:tcPr>
            <w:tcW w:w="879" w:type="dxa"/>
            <w:tcBorders>
              <w:top w:val="single" w:color="000000" w:sz="10" w:space="0"/>
            </w:tcBorders>
            <w:vAlign w:val="top"/>
          </w:tcPr>
          <w:p w14:paraId="4BC667EF">
            <w:pPr>
              <w:spacing w:line="246" w:lineRule="auto"/>
              <w:rPr>
                <w:rFonts w:ascii="Arial"/>
                <w:sz w:val="21"/>
                <w:highlight w:val="none"/>
              </w:rPr>
            </w:pPr>
          </w:p>
          <w:p w14:paraId="0C5B08B3">
            <w:pPr>
              <w:pStyle w:val="25"/>
              <w:spacing w:before="91" w:line="220" w:lineRule="auto"/>
              <w:ind w:left="176"/>
              <w:rPr>
                <w:sz w:val="28"/>
                <w:szCs w:val="28"/>
                <w:highlight w:val="none"/>
              </w:rPr>
            </w:pPr>
            <w:r>
              <w:rPr>
                <w:spacing w:val="-5"/>
                <w:sz w:val="28"/>
                <w:szCs w:val="28"/>
                <w:highlight w:val="none"/>
              </w:rPr>
              <w:t>产地</w:t>
            </w:r>
          </w:p>
        </w:tc>
        <w:tc>
          <w:tcPr>
            <w:tcW w:w="1017" w:type="dxa"/>
            <w:tcBorders>
              <w:top w:val="single" w:color="000000" w:sz="10" w:space="0"/>
            </w:tcBorders>
            <w:vAlign w:val="top"/>
          </w:tcPr>
          <w:p w14:paraId="673545C4">
            <w:pPr>
              <w:pStyle w:val="25"/>
              <w:spacing w:before="117" w:line="218" w:lineRule="auto"/>
              <w:ind w:left="247"/>
              <w:rPr>
                <w:sz w:val="28"/>
                <w:szCs w:val="28"/>
                <w:highlight w:val="none"/>
              </w:rPr>
            </w:pPr>
            <w:r>
              <w:rPr>
                <w:spacing w:val="-5"/>
                <w:sz w:val="28"/>
                <w:szCs w:val="28"/>
                <w:highlight w:val="none"/>
              </w:rPr>
              <w:t>制造</w:t>
            </w:r>
          </w:p>
          <w:p w14:paraId="79E46EE7">
            <w:pPr>
              <w:pStyle w:val="25"/>
              <w:spacing w:before="109" w:line="214" w:lineRule="auto"/>
              <w:ind w:left="251"/>
              <w:rPr>
                <w:sz w:val="28"/>
                <w:szCs w:val="28"/>
                <w:highlight w:val="none"/>
              </w:rPr>
            </w:pPr>
            <w:r>
              <w:rPr>
                <w:spacing w:val="-6"/>
                <w:sz w:val="28"/>
                <w:szCs w:val="28"/>
                <w:highlight w:val="none"/>
              </w:rPr>
              <w:t>年份</w:t>
            </w:r>
          </w:p>
        </w:tc>
        <w:tc>
          <w:tcPr>
            <w:tcW w:w="1478" w:type="dxa"/>
            <w:tcBorders>
              <w:top w:val="single" w:color="000000" w:sz="10" w:space="0"/>
            </w:tcBorders>
            <w:vAlign w:val="top"/>
          </w:tcPr>
          <w:p w14:paraId="7528B550">
            <w:pPr>
              <w:pStyle w:val="25"/>
              <w:spacing w:before="118" w:line="219" w:lineRule="auto"/>
              <w:ind w:left="197"/>
              <w:rPr>
                <w:sz w:val="28"/>
                <w:szCs w:val="28"/>
                <w:highlight w:val="none"/>
              </w:rPr>
            </w:pPr>
            <w:r>
              <w:rPr>
                <w:spacing w:val="-3"/>
                <w:sz w:val="28"/>
                <w:szCs w:val="28"/>
                <w:highlight w:val="none"/>
              </w:rPr>
              <w:t>额定功率</w:t>
            </w:r>
          </w:p>
          <w:p w14:paraId="270FE6A9">
            <w:pPr>
              <w:spacing w:before="152" w:line="191" w:lineRule="auto"/>
              <w:ind w:left="455"/>
              <w:rPr>
                <w:rFonts w:ascii="Times New Roman" w:hAnsi="Times New Roman" w:eastAsia="Times New Roman" w:cs="Times New Roman"/>
                <w:sz w:val="28"/>
                <w:szCs w:val="28"/>
                <w:highlight w:val="none"/>
              </w:rPr>
            </w:pPr>
            <w:r>
              <w:rPr>
                <w:rFonts w:ascii="Times New Roman" w:hAnsi="Times New Roman" w:eastAsia="Times New Roman" w:cs="Times New Roman"/>
                <w:spacing w:val="-3"/>
                <w:sz w:val="28"/>
                <w:szCs w:val="28"/>
                <w:highlight w:val="none"/>
              </w:rPr>
              <w:t>(kW)</w:t>
            </w:r>
          </w:p>
        </w:tc>
        <w:tc>
          <w:tcPr>
            <w:tcW w:w="1017" w:type="dxa"/>
            <w:tcBorders>
              <w:top w:val="single" w:color="000000" w:sz="10" w:space="0"/>
            </w:tcBorders>
            <w:vAlign w:val="top"/>
          </w:tcPr>
          <w:p w14:paraId="3D367A88">
            <w:pPr>
              <w:pStyle w:val="25"/>
              <w:spacing w:before="117" w:line="220" w:lineRule="auto"/>
              <w:ind w:left="268"/>
              <w:rPr>
                <w:sz w:val="28"/>
                <w:szCs w:val="28"/>
                <w:highlight w:val="none"/>
              </w:rPr>
            </w:pPr>
            <w:r>
              <w:rPr>
                <w:spacing w:val="-9"/>
                <w:sz w:val="28"/>
                <w:szCs w:val="28"/>
                <w:highlight w:val="none"/>
              </w:rPr>
              <w:t>生产</w:t>
            </w:r>
          </w:p>
          <w:p w14:paraId="77F2D621">
            <w:pPr>
              <w:pStyle w:val="25"/>
              <w:spacing w:before="105" w:line="214" w:lineRule="auto"/>
              <w:ind w:left="268"/>
              <w:rPr>
                <w:sz w:val="28"/>
                <w:szCs w:val="28"/>
                <w:highlight w:val="none"/>
              </w:rPr>
            </w:pPr>
            <w:r>
              <w:rPr>
                <w:spacing w:val="-9"/>
                <w:sz w:val="28"/>
                <w:szCs w:val="28"/>
                <w:highlight w:val="none"/>
              </w:rPr>
              <w:t>能力</w:t>
            </w:r>
          </w:p>
        </w:tc>
        <w:tc>
          <w:tcPr>
            <w:tcW w:w="934" w:type="dxa"/>
            <w:tcBorders>
              <w:top w:val="single" w:color="000000" w:sz="10" w:space="0"/>
              <w:right w:val="single" w:color="000000" w:sz="10" w:space="0"/>
            </w:tcBorders>
            <w:vAlign w:val="top"/>
          </w:tcPr>
          <w:p w14:paraId="0BD27327">
            <w:pPr>
              <w:spacing w:line="245" w:lineRule="auto"/>
              <w:rPr>
                <w:rFonts w:ascii="Arial"/>
                <w:sz w:val="21"/>
                <w:highlight w:val="none"/>
              </w:rPr>
            </w:pPr>
          </w:p>
          <w:p w14:paraId="777BAA3F">
            <w:pPr>
              <w:pStyle w:val="25"/>
              <w:spacing w:before="91" w:line="221" w:lineRule="auto"/>
              <w:ind w:left="207"/>
              <w:rPr>
                <w:sz w:val="28"/>
                <w:szCs w:val="28"/>
                <w:highlight w:val="none"/>
              </w:rPr>
            </w:pPr>
            <w:r>
              <w:rPr>
                <w:spacing w:val="-5"/>
                <w:sz w:val="28"/>
                <w:szCs w:val="28"/>
                <w:highlight w:val="none"/>
              </w:rPr>
              <w:t>备注</w:t>
            </w:r>
          </w:p>
        </w:tc>
      </w:tr>
      <w:tr w14:paraId="78A14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176" w:type="dxa"/>
            <w:tcBorders>
              <w:left w:val="single" w:color="000000" w:sz="10" w:space="0"/>
            </w:tcBorders>
            <w:vAlign w:val="top"/>
          </w:tcPr>
          <w:p w14:paraId="4E289F37">
            <w:pPr>
              <w:rPr>
                <w:rFonts w:ascii="Arial"/>
                <w:sz w:val="21"/>
                <w:highlight w:val="none"/>
              </w:rPr>
            </w:pPr>
          </w:p>
        </w:tc>
        <w:tc>
          <w:tcPr>
            <w:tcW w:w="1412" w:type="dxa"/>
            <w:gridSpan w:val="2"/>
            <w:vAlign w:val="top"/>
          </w:tcPr>
          <w:p w14:paraId="75B5E5D3">
            <w:pPr>
              <w:rPr>
                <w:rFonts w:ascii="Arial"/>
                <w:sz w:val="21"/>
                <w:highlight w:val="none"/>
              </w:rPr>
            </w:pPr>
          </w:p>
        </w:tc>
        <w:tc>
          <w:tcPr>
            <w:tcW w:w="850" w:type="dxa"/>
            <w:vAlign w:val="top"/>
          </w:tcPr>
          <w:p w14:paraId="49D7B5E1">
            <w:pPr>
              <w:rPr>
                <w:rFonts w:ascii="Arial"/>
                <w:sz w:val="21"/>
                <w:highlight w:val="none"/>
              </w:rPr>
            </w:pPr>
          </w:p>
        </w:tc>
        <w:tc>
          <w:tcPr>
            <w:tcW w:w="1053" w:type="dxa"/>
            <w:vAlign w:val="top"/>
          </w:tcPr>
          <w:p w14:paraId="03E1755F">
            <w:pPr>
              <w:rPr>
                <w:rFonts w:ascii="Arial"/>
                <w:sz w:val="21"/>
                <w:highlight w:val="none"/>
              </w:rPr>
            </w:pPr>
          </w:p>
        </w:tc>
        <w:tc>
          <w:tcPr>
            <w:tcW w:w="879" w:type="dxa"/>
            <w:vAlign w:val="top"/>
          </w:tcPr>
          <w:p w14:paraId="52735550">
            <w:pPr>
              <w:rPr>
                <w:rFonts w:ascii="Arial"/>
                <w:sz w:val="21"/>
                <w:highlight w:val="none"/>
              </w:rPr>
            </w:pPr>
          </w:p>
        </w:tc>
        <w:tc>
          <w:tcPr>
            <w:tcW w:w="1017" w:type="dxa"/>
            <w:vAlign w:val="top"/>
          </w:tcPr>
          <w:p w14:paraId="583D5E4C">
            <w:pPr>
              <w:rPr>
                <w:rFonts w:ascii="Arial"/>
                <w:sz w:val="21"/>
                <w:highlight w:val="none"/>
              </w:rPr>
            </w:pPr>
          </w:p>
        </w:tc>
        <w:tc>
          <w:tcPr>
            <w:tcW w:w="1478" w:type="dxa"/>
            <w:vAlign w:val="top"/>
          </w:tcPr>
          <w:p w14:paraId="7EABF227">
            <w:pPr>
              <w:rPr>
                <w:rFonts w:ascii="Arial"/>
                <w:sz w:val="21"/>
                <w:highlight w:val="none"/>
              </w:rPr>
            </w:pPr>
          </w:p>
        </w:tc>
        <w:tc>
          <w:tcPr>
            <w:tcW w:w="1017" w:type="dxa"/>
            <w:vAlign w:val="top"/>
          </w:tcPr>
          <w:p w14:paraId="3E8BBC7A">
            <w:pPr>
              <w:rPr>
                <w:rFonts w:ascii="Arial"/>
                <w:sz w:val="21"/>
                <w:highlight w:val="none"/>
              </w:rPr>
            </w:pPr>
          </w:p>
        </w:tc>
        <w:tc>
          <w:tcPr>
            <w:tcW w:w="934" w:type="dxa"/>
            <w:tcBorders>
              <w:right w:val="single" w:color="000000" w:sz="10" w:space="0"/>
            </w:tcBorders>
            <w:vAlign w:val="top"/>
          </w:tcPr>
          <w:p w14:paraId="27E601E8">
            <w:pPr>
              <w:rPr>
                <w:rFonts w:ascii="Arial"/>
                <w:sz w:val="21"/>
                <w:highlight w:val="none"/>
              </w:rPr>
            </w:pPr>
          </w:p>
        </w:tc>
      </w:tr>
      <w:tr w14:paraId="459E8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76" w:type="dxa"/>
            <w:tcBorders>
              <w:left w:val="single" w:color="000000" w:sz="10" w:space="0"/>
            </w:tcBorders>
            <w:vAlign w:val="top"/>
          </w:tcPr>
          <w:p w14:paraId="198D43D8">
            <w:pPr>
              <w:rPr>
                <w:rFonts w:ascii="Arial"/>
                <w:sz w:val="21"/>
                <w:highlight w:val="none"/>
              </w:rPr>
            </w:pPr>
          </w:p>
        </w:tc>
        <w:tc>
          <w:tcPr>
            <w:tcW w:w="1412" w:type="dxa"/>
            <w:gridSpan w:val="2"/>
            <w:vAlign w:val="top"/>
          </w:tcPr>
          <w:p w14:paraId="0B91FFFD">
            <w:pPr>
              <w:rPr>
                <w:rFonts w:ascii="Arial"/>
                <w:sz w:val="21"/>
                <w:highlight w:val="none"/>
              </w:rPr>
            </w:pPr>
          </w:p>
        </w:tc>
        <w:tc>
          <w:tcPr>
            <w:tcW w:w="850" w:type="dxa"/>
            <w:vAlign w:val="top"/>
          </w:tcPr>
          <w:p w14:paraId="7E4C0019">
            <w:pPr>
              <w:rPr>
                <w:rFonts w:ascii="Arial"/>
                <w:sz w:val="21"/>
                <w:highlight w:val="none"/>
              </w:rPr>
            </w:pPr>
          </w:p>
        </w:tc>
        <w:tc>
          <w:tcPr>
            <w:tcW w:w="1053" w:type="dxa"/>
            <w:vAlign w:val="top"/>
          </w:tcPr>
          <w:p w14:paraId="62EF4775">
            <w:pPr>
              <w:rPr>
                <w:rFonts w:ascii="Arial"/>
                <w:sz w:val="21"/>
                <w:highlight w:val="none"/>
              </w:rPr>
            </w:pPr>
          </w:p>
        </w:tc>
        <w:tc>
          <w:tcPr>
            <w:tcW w:w="879" w:type="dxa"/>
            <w:vAlign w:val="top"/>
          </w:tcPr>
          <w:p w14:paraId="0EBFEB07">
            <w:pPr>
              <w:rPr>
                <w:rFonts w:ascii="Arial"/>
                <w:sz w:val="21"/>
                <w:highlight w:val="none"/>
              </w:rPr>
            </w:pPr>
          </w:p>
        </w:tc>
        <w:tc>
          <w:tcPr>
            <w:tcW w:w="1017" w:type="dxa"/>
            <w:vAlign w:val="top"/>
          </w:tcPr>
          <w:p w14:paraId="7E7AF4E3">
            <w:pPr>
              <w:rPr>
                <w:rFonts w:ascii="Arial"/>
                <w:sz w:val="21"/>
                <w:highlight w:val="none"/>
              </w:rPr>
            </w:pPr>
          </w:p>
        </w:tc>
        <w:tc>
          <w:tcPr>
            <w:tcW w:w="1478" w:type="dxa"/>
            <w:vAlign w:val="top"/>
          </w:tcPr>
          <w:p w14:paraId="623BC4F3">
            <w:pPr>
              <w:rPr>
                <w:rFonts w:ascii="Arial"/>
                <w:sz w:val="21"/>
                <w:highlight w:val="none"/>
              </w:rPr>
            </w:pPr>
          </w:p>
        </w:tc>
        <w:tc>
          <w:tcPr>
            <w:tcW w:w="1017" w:type="dxa"/>
            <w:vAlign w:val="top"/>
          </w:tcPr>
          <w:p w14:paraId="74ABC895">
            <w:pPr>
              <w:rPr>
                <w:rFonts w:ascii="Arial"/>
                <w:sz w:val="21"/>
                <w:highlight w:val="none"/>
              </w:rPr>
            </w:pPr>
          </w:p>
        </w:tc>
        <w:tc>
          <w:tcPr>
            <w:tcW w:w="934" w:type="dxa"/>
            <w:tcBorders>
              <w:right w:val="single" w:color="000000" w:sz="10" w:space="0"/>
            </w:tcBorders>
            <w:vAlign w:val="top"/>
          </w:tcPr>
          <w:p w14:paraId="774CE0CA">
            <w:pPr>
              <w:rPr>
                <w:rFonts w:ascii="Arial"/>
                <w:sz w:val="21"/>
                <w:highlight w:val="none"/>
              </w:rPr>
            </w:pPr>
          </w:p>
        </w:tc>
      </w:tr>
      <w:tr w14:paraId="10B4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6" w:type="dxa"/>
            <w:tcBorders>
              <w:left w:val="single" w:color="000000" w:sz="10" w:space="0"/>
            </w:tcBorders>
            <w:vAlign w:val="top"/>
          </w:tcPr>
          <w:p w14:paraId="487EBF97">
            <w:pPr>
              <w:rPr>
                <w:rFonts w:ascii="Arial"/>
                <w:sz w:val="21"/>
                <w:highlight w:val="none"/>
              </w:rPr>
            </w:pPr>
          </w:p>
        </w:tc>
        <w:tc>
          <w:tcPr>
            <w:tcW w:w="1412" w:type="dxa"/>
            <w:gridSpan w:val="2"/>
            <w:vAlign w:val="top"/>
          </w:tcPr>
          <w:p w14:paraId="4B52893D">
            <w:pPr>
              <w:rPr>
                <w:rFonts w:ascii="Arial"/>
                <w:sz w:val="21"/>
                <w:highlight w:val="none"/>
              </w:rPr>
            </w:pPr>
          </w:p>
        </w:tc>
        <w:tc>
          <w:tcPr>
            <w:tcW w:w="850" w:type="dxa"/>
            <w:vAlign w:val="top"/>
          </w:tcPr>
          <w:p w14:paraId="3B2CF1FD">
            <w:pPr>
              <w:rPr>
                <w:rFonts w:ascii="Arial"/>
                <w:sz w:val="21"/>
                <w:highlight w:val="none"/>
              </w:rPr>
            </w:pPr>
          </w:p>
        </w:tc>
        <w:tc>
          <w:tcPr>
            <w:tcW w:w="1053" w:type="dxa"/>
            <w:vAlign w:val="top"/>
          </w:tcPr>
          <w:p w14:paraId="6BDAFFEC">
            <w:pPr>
              <w:rPr>
                <w:rFonts w:ascii="Arial"/>
                <w:sz w:val="21"/>
                <w:highlight w:val="none"/>
              </w:rPr>
            </w:pPr>
          </w:p>
        </w:tc>
        <w:tc>
          <w:tcPr>
            <w:tcW w:w="879" w:type="dxa"/>
            <w:vAlign w:val="top"/>
          </w:tcPr>
          <w:p w14:paraId="13347F45">
            <w:pPr>
              <w:rPr>
                <w:rFonts w:ascii="Arial"/>
                <w:sz w:val="21"/>
                <w:highlight w:val="none"/>
              </w:rPr>
            </w:pPr>
          </w:p>
        </w:tc>
        <w:tc>
          <w:tcPr>
            <w:tcW w:w="1017" w:type="dxa"/>
            <w:vAlign w:val="top"/>
          </w:tcPr>
          <w:p w14:paraId="0338CD42">
            <w:pPr>
              <w:rPr>
                <w:rFonts w:ascii="Arial"/>
                <w:sz w:val="21"/>
                <w:highlight w:val="none"/>
              </w:rPr>
            </w:pPr>
          </w:p>
        </w:tc>
        <w:tc>
          <w:tcPr>
            <w:tcW w:w="1478" w:type="dxa"/>
            <w:vAlign w:val="top"/>
          </w:tcPr>
          <w:p w14:paraId="2C17A6A5">
            <w:pPr>
              <w:rPr>
                <w:rFonts w:ascii="Arial"/>
                <w:sz w:val="21"/>
                <w:highlight w:val="none"/>
              </w:rPr>
            </w:pPr>
          </w:p>
        </w:tc>
        <w:tc>
          <w:tcPr>
            <w:tcW w:w="1017" w:type="dxa"/>
            <w:vAlign w:val="top"/>
          </w:tcPr>
          <w:p w14:paraId="6D5533C9">
            <w:pPr>
              <w:rPr>
                <w:rFonts w:ascii="Arial"/>
                <w:sz w:val="21"/>
                <w:highlight w:val="none"/>
              </w:rPr>
            </w:pPr>
          </w:p>
        </w:tc>
        <w:tc>
          <w:tcPr>
            <w:tcW w:w="934" w:type="dxa"/>
            <w:tcBorders>
              <w:right w:val="single" w:color="000000" w:sz="10" w:space="0"/>
            </w:tcBorders>
            <w:vAlign w:val="top"/>
          </w:tcPr>
          <w:p w14:paraId="047D784E">
            <w:pPr>
              <w:rPr>
                <w:rFonts w:ascii="Arial"/>
                <w:sz w:val="21"/>
                <w:highlight w:val="none"/>
              </w:rPr>
            </w:pPr>
          </w:p>
        </w:tc>
      </w:tr>
      <w:tr w14:paraId="6C9F3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76" w:type="dxa"/>
            <w:tcBorders>
              <w:left w:val="single" w:color="000000" w:sz="10" w:space="0"/>
            </w:tcBorders>
            <w:vAlign w:val="top"/>
          </w:tcPr>
          <w:p w14:paraId="545BC233">
            <w:pPr>
              <w:rPr>
                <w:rFonts w:ascii="Arial"/>
                <w:sz w:val="21"/>
                <w:highlight w:val="none"/>
              </w:rPr>
            </w:pPr>
          </w:p>
        </w:tc>
        <w:tc>
          <w:tcPr>
            <w:tcW w:w="1412" w:type="dxa"/>
            <w:gridSpan w:val="2"/>
            <w:vAlign w:val="top"/>
          </w:tcPr>
          <w:p w14:paraId="5C3B6E23">
            <w:pPr>
              <w:rPr>
                <w:rFonts w:ascii="Arial"/>
                <w:sz w:val="21"/>
                <w:highlight w:val="none"/>
              </w:rPr>
            </w:pPr>
          </w:p>
        </w:tc>
        <w:tc>
          <w:tcPr>
            <w:tcW w:w="850" w:type="dxa"/>
            <w:vAlign w:val="top"/>
          </w:tcPr>
          <w:p w14:paraId="1C617312">
            <w:pPr>
              <w:rPr>
                <w:rFonts w:ascii="Arial"/>
                <w:sz w:val="21"/>
                <w:highlight w:val="none"/>
              </w:rPr>
            </w:pPr>
          </w:p>
        </w:tc>
        <w:tc>
          <w:tcPr>
            <w:tcW w:w="1053" w:type="dxa"/>
            <w:vAlign w:val="top"/>
          </w:tcPr>
          <w:p w14:paraId="451D7DAF">
            <w:pPr>
              <w:rPr>
                <w:rFonts w:ascii="Arial"/>
                <w:sz w:val="21"/>
                <w:highlight w:val="none"/>
              </w:rPr>
            </w:pPr>
          </w:p>
        </w:tc>
        <w:tc>
          <w:tcPr>
            <w:tcW w:w="879" w:type="dxa"/>
            <w:vAlign w:val="top"/>
          </w:tcPr>
          <w:p w14:paraId="2F2F9A40">
            <w:pPr>
              <w:rPr>
                <w:rFonts w:ascii="Arial"/>
                <w:sz w:val="21"/>
                <w:highlight w:val="none"/>
              </w:rPr>
            </w:pPr>
          </w:p>
        </w:tc>
        <w:tc>
          <w:tcPr>
            <w:tcW w:w="1017" w:type="dxa"/>
            <w:vAlign w:val="top"/>
          </w:tcPr>
          <w:p w14:paraId="62A10A53">
            <w:pPr>
              <w:rPr>
                <w:rFonts w:ascii="Arial"/>
                <w:sz w:val="21"/>
                <w:highlight w:val="none"/>
              </w:rPr>
            </w:pPr>
          </w:p>
        </w:tc>
        <w:tc>
          <w:tcPr>
            <w:tcW w:w="1478" w:type="dxa"/>
            <w:vAlign w:val="top"/>
          </w:tcPr>
          <w:p w14:paraId="3C267908">
            <w:pPr>
              <w:rPr>
                <w:rFonts w:ascii="Arial"/>
                <w:sz w:val="21"/>
                <w:highlight w:val="none"/>
              </w:rPr>
            </w:pPr>
          </w:p>
        </w:tc>
        <w:tc>
          <w:tcPr>
            <w:tcW w:w="1017" w:type="dxa"/>
            <w:vAlign w:val="top"/>
          </w:tcPr>
          <w:p w14:paraId="6056E2D0">
            <w:pPr>
              <w:rPr>
                <w:rFonts w:ascii="Arial"/>
                <w:sz w:val="21"/>
                <w:highlight w:val="none"/>
              </w:rPr>
            </w:pPr>
          </w:p>
        </w:tc>
        <w:tc>
          <w:tcPr>
            <w:tcW w:w="934" w:type="dxa"/>
            <w:tcBorders>
              <w:right w:val="single" w:color="000000" w:sz="10" w:space="0"/>
            </w:tcBorders>
            <w:vAlign w:val="top"/>
          </w:tcPr>
          <w:p w14:paraId="6974EDA4">
            <w:pPr>
              <w:rPr>
                <w:rFonts w:ascii="Arial"/>
                <w:sz w:val="21"/>
                <w:highlight w:val="none"/>
              </w:rPr>
            </w:pPr>
          </w:p>
        </w:tc>
      </w:tr>
      <w:tr w14:paraId="5661B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6" w:type="dxa"/>
            <w:tcBorders>
              <w:left w:val="single" w:color="000000" w:sz="10" w:space="0"/>
            </w:tcBorders>
            <w:vAlign w:val="top"/>
          </w:tcPr>
          <w:p w14:paraId="419B3A03">
            <w:pPr>
              <w:rPr>
                <w:rFonts w:ascii="Arial"/>
                <w:sz w:val="21"/>
                <w:highlight w:val="none"/>
              </w:rPr>
            </w:pPr>
          </w:p>
        </w:tc>
        <w:tc>
          <w:tcPr>
            <w:tcW w:w="1412" w:type="dxa"/>
            <w:gridSpan w:val="2"/>
            <w:vAlign w:val="top"/>
          </w:tcPr>
          <w:p w14:paraId="15DEB6A2">
            <w:pPr>
              <w:rPr>
                <w:rFonts w:ascii="Arial"/>
                <w:sz w:val="21"/>
                <w:highlight w:val="none"/>
              </w:rPr>
            </w:pPr>
          </w:p>
        </w:tc>
        <w:tc>
          <w:tcPr>
            <w:tcW w:w="850" w:type="dxa"/>
            <w:vAlign w:val="top"/>
          </w:tcPr>
          <w:p w14:paraId="61AC2CFE">
            <w:pPr>
              <w:rPr>
                <w:rFonts w:ascii="Arial"/>
                <w:sz w:val="21"/>
                <w:highlight w:val="none"/>
              </w:rPr>
            </w:pPr>
          </w:p>
        </w:tc>
        <w:tc>
          <w:tcPr>
            <w:tcW w:w="1053" w:type="dxa"/>
            <w:vAlign w:val="top"/>
          </w:tcPr>
          <w:p w14:paraId="00D3D8D7">
            <w:pPr>
              <w:rPr>
                <w:rFonts w:ascii="Arial"/>
                <w:sz w:val="21"/>
                <w:highlight w:val="none"/>
              </w:rPr>
            </w:pPr>
          </w:p>
        </w:tc>
        <w:tc>
          <w:tcPr>
            <w:tcW w:w="879" w:type="dxa"/>
            <w:vAlign w:val="top"/>
          </w:tcPr>
          <w:p w14:paraId="789C3050">
            <w:pPr>
              <w:rPr>
                <w:rFonts w:ascii="Arial"/>
                <w:sz w:val="21"/>
                <w:highlight w:val="none"/>
              </w:rPr>
            </w:pPr>
          </w:p>
        </w:tc>
        <w:tc>
          <w:tcPr>
            <w:tcW w:w="1017" w:type="dxa"/>
            <w:vAlign w:val="top"/>
          </w:tcPr>
          <w:p w14:paraId="28CB8D1D">
            <w:pPr>
              <w:rPr>
                <w:rFonts w:ascii="Arial"/>
                <w:sz w:val="21"/>
                <w:highlight w:val="none"/>
              </w:rPr>
            </w:pPr>
          </w:p>
        </w:tc>
        <w:tc>
          <w:tcPr>
            <w:tcW w:w="1478" w:type="dxa"/>
            <w:vAlign w:val="top"/>
          </w:tcPr>
          <w:p w14:paraId="5A9CEC71">
            <w:pPr>
              <w:rPr>
                <w:rFonts w:ascii="Arial"/>
                <w:sz w:val="21"/>
                <w:highlight w:val="none"/>
              </w:rPr>
            </w:pPr>
          </w:p>
        </w:tc>
        <w:tc>
          <w:tcPr>
            <w:tcW w:w="1017" w:type="dxa"/>
            <w:vAlign w:val="top"/>
          </w:tcPr>
          <w:p w14:paraId="1130BD14">
            <w:pPr>
              <w:rPr>
                <w:rFonts w:ascii="Arial"/>
                <w:sz w:val="21"/>
                <w:highlight w:val="none"/>
              </w:rPr>
            </w:pPr>
          </w:p>
        </w:tc>
        <w:tc>
          <w:tcPr>
            <w:tcW w:w="934" w:type="dxa"/>
            <w:tcBorders>
              <w:right w:val="single" w:color="000000" w:sz="10" w:space="0"/>
            </w:tcBorders>
            <w:vAlign w:val="top"/>
          </w:tcPr>
          <w:p w14:paraId="5170AB6E">
            <w:pPr>
              <w:rPr>
                <w:rFonts w:ascii="Arial"/>
                <w:sz w:val="21"/>
                <w:highlight w:val="none"/>
              </w:rPr>
            </w:pPr>
          </w:p>
        </w:tc>
      </w:tr>
      <w:tr w14:paraId="3F718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6" w:type="dxa"/>
            <w:tcBorders>
              <w:left w:val="single" w:color="000000" w:sz="10" w:space="0"/>
            </w:tcBorders>
            <w:vAlign w:val="top"/>
          </w:tcPr>
          <w:p w14:paraId="0EFFB0B0">
            <w:pPr>
              <w:rPr>
                <w:rFonts w:ascii="Arial"/>
                <w:sz w:val="21"/>
                <w:highlight w:val="none"/>
              </w:rPr>
            </w:pPr>
          </w:p>
        </w:tc>
        <w:tc>
          <w:tcPr>
            <w:tcW w:w="1412" w:type="dxa"/>
            <w:gridSpan w:val="2"/>
            <w:vAlign w:val="top"/>
          </w:tcPr>
          <w:p w14:paraId="3DE020AD">
            <w:pPr>
              <w:rPr>
                <w:rFonts w:ascii="Arial"/>
                <w:sz w:val="21"/>
                <w:highlight w:val="none"/>
              </w:rPr>
            </w:pPr>
          </w:p>
        </w:tc>
        <w:tc>
          <w:tcPr>
            <w:tcW w:w="850" w:type="dxa"/>
            <w:vAlign w:val="top"/>
          </w:tcPr>
          <w:p w14:paraId="5626D59E">
            <w:pPr>
              <w:rPr>
                <w:rFonts w:ascii="Arial"/>
                <w:sz w:val="21"/>
                <w:highlight w:val="none"/>
              </w:rPr>
            </w:pPr>
          </w:p>
        </w:tc>
        <w:tc>
          <w:tcPr>
            <w:tcW w:w="1053" w:type="dxa"/>
            <w:vAlign w:val="top"/>
          </w:tcPr>
          <w:p w14:paraId="2552BAB6">
            <w:pPr>
              <w:rPr>
                <w:rFonts w:ascii="Arial"/>
                <w:sz w:val="21"/>
                <w:highlight w:val="none"/>
              </w:rPr>
            </w:pPr>
          </w:p>
        </w:tc>
        <w:tc>
          <w:tcPr>
            <w:tcW w:w="879" w:type="dxa"/>
            <w:vAlign w:val="top"/>
          </w:tcPr>
          <w:p w14:paraId="760C75B4">
            <w:pPr>
              <w:rPr>
                <w:rFonts w:ascii="Arial"/>
                <w:sz w:val="21"/>
                <w:highlight w:val="none"/>
              </w:rPr>
            </w:pPr>
          </w:p>
        </w:tc>
        <w:tc>
          <w:tcPr>
            <w:tcW w:w="1017" w:type="dxa"/>
            <w:vAlign w:val="top"/>
          </w:tcPr>
          <w:p w14:paraId="725680CF">
            <w:pPr>
              <w:rPr>
                <w:rFonts w:ascii="Arial"/>
                <w:sz w:val="21"/>
                <w:highlight w:val="none"/>
              </w:rPr>
            </w:pPr>
          </w:p>
        </w:tc>
        <w:tc>
          <w:tcPr>
            <w:tcW w:w="1478" w:type="dxa"/>
            <w:vAlign w:val="top"/>
          </w:tcPr>
          <w:p w14:paraId="4F1C5B50">
            <w:pPr>
              <w:rPr>
                <w:rFonts w:ascii="Arial"/>
                <w:sz w:val="21"/>
                <w:highlight w:val="none"/>
              </w:rPr>
            </w:pPr>
          </w:p>
        </w:tc>
        <w:tc>
          <w:tcPr>
            <w:tcW w:w="1017" w:type="dxa"/>
            <w:vAlign w:val="top"/>
          </w:tcPr>
          <w:p w14:paraId="1D8C28F8">
            <w:pPr>
              <w:rPr>
                <w:rFonts w:ascii="Arial"/>
                <w:sz w:val="21"/>
                <w:highlight w:val="none"/>
              </w:rPr>
            </w:pPr>
          </w:p>
        </w:tc>
        <w:tc>
          <w:tcPr>
            <w:tcW w:w="934" w:type="dxa"/>
            <w:tcBorders>
              <w:right w:val="single" w:color="000000" w:sz="10" w:space="0"/>
            </w:tcBorders>
            <w:vAlign w:val="top"/>
          </w:tcPr>
          <w:p w14:paraId="29048284">
            <w:pPr>
              <w:rPr>
                <w:rFonts w:ascii="Arial"/>
                <w:sz w:val="21"/>
                <w:highlight w:val="none"/>
              </w:rPr>
            </w:pPr>
          </w:p>
        </w:tc>
      </w:tr>
      <w:tr w14:paraId="79BF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6" w:type="dxa"/>
            <w:tcBorders>
              <w:left w:val="single" w:color="000000" w:sz="10" w:space="0"/>
            </w:tcBorders>
            <w:vAlign w:val="top"/>
          </w:tcPr>
          <w:p w14:paraId="2A0829A9">
            <w:pPr>
              <w:rPr>
                <w:rFonts w:ascii="Arial"/>
                <w:sz w:val="21"/>
                <w:highlight w:val="none"/>
              </w:rPr>
            </w:pPr>
          </w:p>
        </w:tc>
        <w:tc>
          <w:tcPr>
            <w:tcW w:w="1412" w:type="dxa"/>
            <w:gridSpan w:val="2"/>
            <w:vAlign w:val="top"/>
          </w:tcPr>
          <w:p w14:paraId="50EFF579">
            <w:pPr>
              <w:rPr>
                <w:rFonts w:ascii="Arial"/>
                <w:sz w:val="21"/>
                <w:highlight w:val="none"/>
              </w:rPr>
            </w:pPr>
          </w:p>
        </w:tc>
        <w:tc>
          <w:tcPr>
            <w:tcW w:w="850" w:type="dxa"/>
            <w:vAlign w:val="top"/>
          </w:tcPr>
          <w:p w14:paraId="5934868E">
            <w:pPr>
              <w:rPr>
                <w:rFonts w:ascii="Arial"/>
                <w:sz w:val="21"/>
                <w:highlight w:val="none"/>
              </w:rPr>
            </w:pPr>
          </w:p>
        </w:tc>
        <w:tc>
          <w:tcPr>
            <w:tcW w:w="1053" w:type="dxa"/>
            <w:vAlign w:val="top"/>
          </w:tcPr>
          <w:p w14:paraId="3C28A3F9">
            <w:pPr>
              <w:rPr>
                <w:rFonts w:ascii="Arial"/>
                <w:sz w:val="21"/>
                <w:highlight w:val="none"/>
              </w:rPr>
            </w:pPr>
          </w:p>
        </w:tc>
        <w:tc>
          <w:tcPr>
            <w:tcW w:w="879" w:type="dxa"/>
            <w:vAlign w:val="top"/>
          </w:tcPr>
          <w:p w14:paraId="07A9069A">
            <w:pPr>
              <w:rPr>
                <w:rFonts w:ascii="Arial"/>
                <w:sz w:val="21"/>
                <w:highlight w:val="none"/>
              </w:rPr>
            </w:pPr>
          </w:p>
        </w:tc>
        <w:tc>
          <w:tcPr>
            <w:tcW w:w="1017" w:type="dxa"/>
            <w:vAlign w:val="top"/>
          </w:tcPr>
          <w:p w14:paraId="601221EA">
            <w:pPr>
              <w:rPr>
                <w:rFonts w:ascii="Arial"/>
                <w:sz w:val="21"/>
                <w:highlight w:val="none"/>
              </w:rPr>
            </w:pPr>
          </w:p>
        </w:tc>
        <w:tc>
          <w:tcPr>
            <w:tcW w:w="1478" w:type="dxa"/>
            <w:vAlign w:val="top"/>
          </w:tcPr>
          <w:p w14:paraId="414D86ED">
            <w:pPr>
              <w:rPr>
                <w:rFonts w:ascii="Arial"/>
                <w:sz w:val="21"/>
                <w:highlight w:val="none"/>
              </w:rPr>
            </w:pPr>
          </w:p>
        </w:tc>
        <w:tc>
          <w:tcPr>
            <w:tcW w:w="1017" w:type="dxa"/>
            <w:vAlign w:val="top"/>
          </w:tcPr>
          <w:p w14:paraId="6C04A289">
            <w:pPr>
              <w:rPr>
                <w:rFonts w:ascii="Arial"/>
                <w:sz w:val="21"/>
                <w:highlight w:val="none"/>
              </w:rPr>
            </w:pPr>
          </w:p>
        </w:tc>
        <w:tc>
          <w:tcPr>
            <w:tcW w:w="934" w:type="dxa"/>
            <w:tcBorders>
              <w:right w:val="single" w:color="000000" w:sz="10" w:space="0"/>
            </w:tcBorders>
            <w:vAlign w:val="top"/>
          </w:tcPr>
          <w:p w14:paraId="272B5047">
            <w:pPr>
              <w:rPr>
                <w:rFonts w:ascii="Arial"/>
                <w:sz w:val="21"/>
                <w:highlight w:val="none"/>
              </w:rPr>
            </w:pPr>
          </w:p>
        </w:tc>
      </w:tr>
      <w:tr w14:paraId="31847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6" w:type="dxa"/>
            <w:tcBorders>
              <w:left w:val="single" w:color="000000" w:sz="10" w:space="0"/>
            </w:tcBorders>
            <w:vAlign w:val="top"/>
          </w:tcPr>
          <w:p w14:paraId="5E9FD4D1">
            <w:pPr>
              <w:rPr>
                <w:rFonts w:ascii="Arial"/>
                <w:sz w:val="21"/>
                <w:highlight w:val="none"/>
              </w:rPr>
            </w:pPr>
          </w:p>
        </w:tc>
        <w:tc>
          <w:tcPr>
            <w:tcW w:w="1412" w:type="dxa"/>
            <w:gridSpan w:val="2"/>
            <w:vAlign w:val="top"/>
          </w:tcPr>
          <w:p w14:paraId="2A5F6E6C">
            <w:pPr>
              <w:rPr>
                <w:rFonts w:ascii="Arial"/>
                <w:sz w:val="21"/>
                <w:highlight w:val="none"/>
              </w:rPr>
            </w:pPr>
          </w:p>
        </w:tc>
        <w:tc>
          <w:tcPr>
            <w:tcW w:w="850" w:type="dxa"/>
            <w:vAlign w:val="top"/>
          </w:tcPr>
          <w:p w14:paraId="45492A58">
            <w:pPr>
              <w:rPr>
                <w:rFonts w:ascii="Arial"/>
                <w:sz w:val="21"/>
                <w:highlight w:val="none"/>
              </w:rPr>
            </w:pPr>
          </w:p>
        </w:tc>
        <w:tc>
          <w:tcPr>
            <w:tcW w:w="1053" w:type="dxa"/>
            <w:vAlign w:val="top"/>
          </w:tcPr>
          <w:p w14:paraId="41E7D9AF">
            <w:pPr>
              <w:rPr>
                <w:rFonts w:ascii="Arial"/>
                <w:sz w:val="21"/>
                <w:highlight w:val="none"/>
              </w:rPr>
            </w:pPr>
          </w:p>
        </w:tc>
        <w:tc>
          <w:tcPr>
            <w:tcW w:w="879" w:type="dxa"/>
            <w:vAlign w:val="top"/>
          </w:tcPr>
          <w:p w14:paraId="74F9A4AC">
            <w:pPr>
              <w:rPr>
                <w:rFonts w:ascii="Arial"/>
                <w:sz w:val="21"/>
                <w:highlight w:val="none"/>
              </w:rPr>
            </w:pPr>
          </w:p>
        </w:tc>
        <w:tc>
          <w:tcPr>
            <w:tcW w:w="1017" w:type="dxa"/>
            <w:vAlign w:val="top"/>
          </w:tcPr>
          <w:p w14:paraId="19395C99">
            <w:pPr>
              <w:rPr>
                <w:rFonts w:ascii="Arial"/>
                <w:sz w:val="21"/>
                <w:highlight w:val="none"/>
              </w:rPr>
            </w:pPr>
          </w:p>
        </w:tc>
        <w:tc>
          <w:tcPr>
            <w:tcW w:w="1478" w:type="dxa"/>
            <w:vAlign w:val="top"/>
          </w:tcPr>
          <w:p w14:paraId="3F761BE1">
            <w:pPr>
              <w:rPr>
                <w:rFonts w:ascii="Arial"/>
                <w:sz w:val="21"/>
                <w:highlight w:val="none"/>
              </w:rPr>
            </w:pPr>
          </w:p>
        </w:tc>
        <w:tc>
          <w:tcPr>
            <w:tcW w:w="1017" w:type="dxa"/>
            <w:vAlign w:val="top"/>
          </w:tcPr>
          <w:p w14:paraId="179B2943">
            <w:pPr>
              <w:rPr>
                <w:rFonts w:ascii="Arial"/>
                <w:sz w:val="21"/>
                <w:highlight w:val="none"/>
              </w:rPr>
            </w:pPr>
          </w:p>
        </w:tc>
        <w:tc>
          <w:tcPr>
            <w:tcW w:w="934" w:type="dxa"/>
            <w:tcBorders>
              <w:right w:val="single" w:color="000000" w:sz="10" w:space="0"/>
            </w:tcBorders>
            <w:vAlign w:val="top"/>
          </w:tcPr>
          <w:p w14:paraId="7DED4A48">
            <w:pPr>
              <w:rPr>
                <w:rFonts w:ascii="Arial"/>
                <w:sz w:val="21"/>
                <w:highlight w:val="none"/>
              </w:rPr>
            </w:pPr>
          </w:p>
        </w:tc>
      </w:tr>
      <w:tr w14:paraId="501D6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6" w:type="dxa"/>
            <w:tcBorders>
              <w:left w:val="single" w:color="000000" w:sz="10" w:space="0"/>
            </w:tcBorders>
            <w:vAlign w:val="top"/>
          </w:tcPr>
          <w:p w14:paraId="5CC844BE">
            <w:pPr>
              <w:rPr>
                <w:rFonts w:ascii="Arial"/>
                <w:sz w:val="21"/>
                <w:highlight w:val="none"/>
              </w:rPr>
            </w:pPr>
          </w:p>
        </w:tc>
        <w:tc>
          <w:tcPr>
            <w:tcW w:w="1412" w:type="dxa"/>
            <w:gridSpan w:val="2"/>
            <w:vAlign w:val="top"/>
          </w:tcPr>
          <w:p w14:paraId="430CF641">
            <w:pPr>
              <w:rPr>
                <w:rFonts w:ascii="Arial"/>
                <w:sz w:val="21"/>
                <w:highlight w:val="none"/>
              </w:rPr>
            </w:pPr>
          </w:p>
        </w:tc>
        <w:tc>
          <w:tcPr>
            <w:tcW w:w="850" w:type="dxa"/>
            <w:vAlign w:val="top"/>
          </w:tcPr>
          <w:p w14:paraId="0056E499">
            <w:pPr>
              <w:rPr>
                <w:rFonts w:ascii="Arial"/>
                <w:sz w:val="21"/>
                <w:highlight w:val="none"/>
              </w:rPr>
            </w:pPr>
          </w:p>
        </w:tc>
        <w:tc>
          <w:tcPr>
            <w:tcW w:w="1053" w:type="dxa"/>
            <w:vAlign w:val="top"/>
          </w:tcPr>
          <w:p w14:paraId="438C8EE1">
            <w:pPr>
              <w:rPr>
                <w:rFonts w:ascii="Arial"/>
                <w:sz w:val="21"/>
                <w:highlight w:val="none"/>
              </w:rPr>
            </w:pPr>
          </w:p>
        </w:tc>
        <w:tc>
          <w:tcPr>
            <w:tcW w:w="879" w:type="dxa"/>
            <w:vAlign w:val="top"/>
          </w:tcPr>
          <w:p w14:paraId="1BBAB233">
            <w:pPr>
              <w:rPr>
                <w:rFonts w:ascii="Arial"/>
                <w:sz w:val="21"/>
                <w:highlight w:val="none"/>
              </w:rPr>
            </w:pPr>
          </w:p>
        </w:tc>
        <w:tc>
          <w:tcPr>
            <w:tcW w:w="1017" w:type="dxa"/>
            <w:vAlign w:val="top"/>
          </w:tcPr>
          <w:p w14:paraId="31A46CF0">
            <w:pPr>
              <w:rPr>
                <w:rFonts w:ascii="Arial"/>
                <w:sz w:val="21"/>
                <w:highlight w:val="none"/>
              </w:rPr>
            </w:pPr>
          </w:p>
        </w:tc>
        <w:tc>
          <w:tcPr>
            <w:tcW w:w="1478" w:type="dxa"/>
            <w:vAlign w:val="top"/>
          </w:tcPr>
          <w:p w14:paraId="184399A4">
            <w:pPr>
              <w:rPr>
                <w:rFonts w:ascii="Arial"/>
                <w:sz w:val="21"/>
                <w:highlight w:val="none"/>
              </w:rPr>
            </w:pPr>
          </w:p>
        </w:tc>
        <w:tc>
          <w:tcPr>
            <w:tcW w:w="1017" w:type="dxa"/>
            <w:vAlign w:val="top"/>
          </w:tcPr>
          <w:p w14:paraId="27AB112A">
            <w:pPr>
              <w:rPr>
                <w:rFonts w:ascii="Arial"/>
                <w:sz w:val="21"/>
                <w:highlight w:val="none"/>
              </w:rPr>
            </w:pPr>
          </w:p>
        </w:tc>
        <w:tc>
          <w:tcPr>
            <w:tcW w:w="934" w:type="dxa"/>
            <w:tcBorders>
              <w:right w:val="single" w:color="000000" w:sz="10" w:space="0"/>
            </w:tcBorders>
            <w:vAlign w:val="top"/>
          </w:tcPr>
          <w:p w14:paraId="047FD529">
            <w:pPr>
              <w:rPr>
                <w:rFonts w:ascii="Arial"/>
                <w:sz w:val="21"/>
                <w:highlight w:val="none"/>
              </w:rPr>
            </w:pPr>
          </w:p>
        </w:tc>
      </w:tr>
      <w:tr w14:paraId="76B9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6" w:type="dxa"/>
            <w:tcBorders>
              <w:left w:val="single" w:color="000000" w:sz="10" w:space="0"/>
            </w:tcBorders>
            <w:vAlign w:val="top"/>
          </w:tcPr>
          <w:p w14:paraId="1016F97D">
            <w:pPr>
              <w:rPr>
                <w:rFonts w:ascii="Arial"/>
                <w:sz w:val="21"/>
                <w:highlight w:val="none"/>
              </w:rPr>
            </w:pPr>
          </w:p>
        </w:tc>
        <w:tc>
          <w:tcPr>
            <w:tcW w:w="1412" w:type="dxa"/>
            <w:gridSpan w:val="2"/>
            <w:vAlign w:val="top"/>
          </w:tcPr>
          <w:p w14:paraId="36CFF9DF">
            <w:pPr>
              <w:rPr>
                <w:rFonts w:ascii="Arial"/>
                <w:sz w:val="21"/>
                <w:highlight w:val="none"/>
              </w:rPr>
            </w:pPr>
          </w:p>
        </w:tc>
        <w:tc>
          <w:tcPr>
            <w:tcW w:w="850" w:type="dxa"/>
            <w:vAlign w:val="top"/>
          </w:tcPr>
          <w:p w14:paraId="07C201DA">
            <w:pPr>
              <w:rPr>
                <w:rFonts w:ascii="Arial"/>
                <w:sz w:val="21"/>
                <w:highlight w:val="none"/>
              </w:rPr>
            </w:pPr>
          </w:p>
        </w:tc>
        <w:tc>
          <w:tcPr>
            <w:tcW w:w="1053" w:type="dxa"/>
            <w:vAlign w:val="top"/>
          </w:tcPr>
          <w:p w14:paraId="09DB1B3F">
            <w:pPr>
              <w:rPr>
                <w:rFonts w:ascii="Arial"/>
                <w:sz w:val="21"/>
                <w:highlight w:val="none"/>
              </w:rPr>
            </w:pPr>
          </w:p>
        </w:tc>
        <w:tc>
          <w:tcPr>
            <w:tcW w:w="879" w:type="dxa"/>
            <w:vAlign w:val="top"/>
          </w:tcPr>
          <w:p w14:paraId="7BA8F6B5">
            <w:pPr>
              <w:rPr>
                <w:rFonts w:ascii="Arial"/>
                <w:sz w:val="21"/>
                <w:highlight w:val="none"/>
              </w:rPr>
            </w:pPr>
          </w:p>
        </w:tc>
        <w:tc>
          <w:tcPr>
            <w:tcW w:w="1017" w:type="dxa"/>
            <w:vAlign w:val="top"/>
          </w:tcPr>
          <w:p w14:paraId="78E0C648">
            <w:pPr>
              <w:rPr>
                <w:rFonts w:ascii="Arial"/>
                <w:sz w:val="21"/>
                <w:highlight w:val="none"/>
              </w:rPr>
            </w:pPr>
          </w:p>
        </w:tc>
        <w:tc>
          <w:tcPr>
            <w:tcW w:w="1478" w:type="dxa"/>
            <w:vAlign w:val="top"/>
          </w:tcPr>
          <w:p w14:paraId="0F04F53D">
            <w:pPr>
              <w:rPr>
                <w:rFonts w:ascii="Arial"/>
                <w:sz w:val="21"/>
                <w:highlight w:val="none"/>
              </w:rPr>
            </w:pPr>
          </w:p>
        </w:tc>
        <w:tc>
          <w:tcPr>
            <w:tcW w:w="1017" w:type="dxa"/>
            <w:vAlign w:val="top"/>
          </w:tcPr>
          <w:p w14:paraId="73E009AC">
            <w:pPr>
              <w:rPr>
                <w:rFonts w:ascii="Arial"/>
                <w:sz w:val="21"/>
                <w:highlight w:val="none"/>
              </w:rPr>
            </w:pPr>
          </w:p>
        </w:tc>
        <w:tc>
          <w:tcPr>
            <w:tcW w:w="934" w:type="dxa"/>
            <w:tcBorders>
              <w:right w:val="single" w:color="000000" w:sz="10" w:space="0"/>
            </w:tcBorders>
            <w:vAlign w:val="top"/>
          </w:tcPr>
          <w:p w14:paraId="3F2F53BD">
            <w:pPr>
              <w:rPr>
                <w:rFonts w:ascii="Arial"/>
                <w:sz w:val="21"/>
                <w:highlight w:val="none"/>
              </w:rPr>
            </w:pPr>
          </w:p>
        </w:tc>
      </w:tr>
      <w:tr w14:paraId="5E82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6" w:type="dxa"/>
            <w:tcBorders>
              <w:left w:val="single" w:color="000000" w:sz="10" w:space="0"/>
            </w:tcBorders>
            <w:vAlign w:val="top"/>
          </w:tcPr>
          <w:p w14:paraId="6FACB00C">
            <w:pPr>
              <w:rPr>
                <w:rFonts w:ascii="Arial"/>
                <w:sz w:val="21"/>
                <w:highlight w:val="none"/>
              </w:rPr>
            </w:pPr>
          </w:p>
        </w:tc>
        <w:tc>
          <w:tcPr>
            <w:tcW w:w="1412" w:type="dxa"/>
            <w:gridSpan w:val="2"/>
            <w:vAlign w:val="top"/>
          </w:tcPr>
          <w:p w14:paraId="1D118A4A">
            <w:pPr>
              <w:rPr>
                <w:rFonts w:ascii="Arial"/>
                <w:sz w:val="21"/>
                <w:highlight w:val="none"/>
              </w:rPr>
            </w:pPr>
          </w:p>
        </w:tc>
        <w:tc>
          <w:tcPr>
            <w:tcW w:w="850" w:type="dxa"/>
            <w:vAlign w:val="top"/>
          </w:tcPr>
          <w:p w14:paraId="7DE9FB85">
            <w:pPr>
              <w:rPr>
                <w:rFonts w:ascii="Arial"/>
                <w:sz w:val="21"/>
                <w:highlight w:val="none"/>
              </w:rPr>
            </w:pPr>
          </w:p>
        </w:tc>
        <w:tc>
          <w:tcPr>
            <w:tcW w:w="1053" w:type="dxa"/>
            <w:vAlign w:val="top"/>
          </w:tcPr>
          <w:p w14:paraId="233E3C8D">
            <w:pPr>
              <w:rPr>
                <w:rFonts w:ascii="Arial"/>
                <w:sz w:val="21"/>
                <w:highlight w:val="none"/>
              </w:rPr>
            </w:pPr>
          </w:p>
        </w:tc>
        <w:tc>
          <w:tcPr>
            <w:tcW w:w="879" w:type="dxa"/>
            <w:vAlign w:val="top"/>
          </w:tcPr>
          <w:p w14:paraId="56B7D671">
            <w:pPr>
              <w:rPr>
                <w:rFonts w:ascii="Arial"/>
                <w:sz w:val="21"/>
                <w:highlight w:val="none"/>
              </w:rPr>
            </w:pPr>
          </w:p>
        </w:tc>
        <w:tc>
          <w:tcPr>
            <w:tcW w:w="1017" w:type="dxa"/>
            <w:vAlign w:val="top"/>
          </w:tcPr>
          <w:p w14:paraId="72FAD895">
            <w:pPr>
              <w:rPr>
                <w:rFonts w:ascii="Arial"/>
                <w:sz w:val="21"/>
                <w:highlight w:val="none"/>
              </w:rPr>
            </w:pPr>
          </w:p>
        </w:tc>
        <w:tc>
          <w:tcPr>
            <w:tcW w:w="1478" w:type="dxa"/>
            <w:vAlign w:val="top"/>
          </w:tcPr>
          <w:p w14:paraId="504ACCE9">
            <w:pPr>
              <w:rPr>
                <w:rFonts w:ascii="Arial"/>
                <w:sz w:val="21"/>
                <w:highlight w:val="none"/>
              </w:rPr>
            </w:pPr>
          </w:p>
        </w:tc>
        <w:tc>
          <w:tcPr>
            <w:tcW w:w="1017" w:type="dxa"/>
            <w:vAlign w:val="top"/>
          </w:tcPr>
          <w:p w14:paraId="2038CCD1">
            <w:pPr>
              <w:rPr>
                <w:rFonts w:ascii="Arial"/>
                <w:sz w:val="21"/>
                <w:highlight w:val="none"/>
              </w:rPr>
            </w:pPr>
          </w:p>
        </w:tc>
        <w:tc>
          <w:tcPr>
            <w:tcW w:w="934" w:type="dxa"/>
            <w:tcBorders>
              <w:right w:val="single" w:color="000000" w:sz="10" w:space="0"/>
            </w:tcBorders>
            <w:vAlign w:val="top"/>
          </w:tcPr>
          <w:p w14:paraId="5D08C1DC">
            <w:pPr>
              <w:rPr>
                <w:rFonts w:ascii="Arial"/>
                <w:sz w:val="21"/>
                <w:highlight w:val="none"/>
              </w:rPr>
            </w:pPr>
          </w:p>
        </w:tc>
      </w:tr>
      <w:tr w14:paraId="4B9D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6" w:type="dxa"/>
            <w:tcBorders>
              <w:left w:val="single" w:color="000000" w:sz="10" w:space="0"/>
            </w:tcBorders>
            <w:vAlign w:val="top"/>
          </w:tcPr>
          <w:p w14:paraId="498A19D9">
            <w:pPr>
              <w:rPr>
                <w:rFonts w:ascii="Arial"/>
                <w:sz w:val="21"/>
                <w:highlight w:val="none"/>
              </w:rPr>
            </w:pPr>
          </w:p>
        </w:tc>
        <w:tc>
          <w:tcPr>
            <w:tcW w:w="1412" w:type="dxa"/>
            <w:gridSpan w:val="2"/>
            <w:vAlign w:val="top"/>
          </w:tcPr>
          <w:p w14:paraId="19BD7724">
            <w:pPr>
              <w:rPr>
                <w:rFonts w:ascii="Arial"/>
                <w:sz w:val="21"/>
                <w:highlight w:val="none"/>
              </w:rPr>
            </w:pPr>
          </w:p>
        </w:tc>
        <w:tc>
          <w:tcPr>
            <w:tcW w:w="850" w:type="dxa"/>
            <w:vAlign w:val="top"/>
          </w:tcPr>
          <w:p w14:paraId="334FA10F">
            <w:pPr>
              <w:rPr>
                <w:rFonts w:ascii="Arial"/>
                <w:sz w:val="21"/>
                <w:highlight w:val="none"/>
              </w:rPr>
            </w:pPr>
          </w:p>
        </w:tc>
        <w:tc>
          <w:tcPr>
            <w:tcW w:w="1053" w:type="dxa"/>
            <w:vAlign w:val="top"/>
          </w:tcPr>
          <w:p w14:paraId="10EC44B4">
            <w:pPr>
              <w:rPr>
                <w:rFonts w:ascii="Arial"/>
                <w:sz w:val="21"/>
                <w:highlight w:val="none"/>
              </w:rPr>
            </w:pPr>
          </w:p>
        </w:tc>
        <w:tc>
          <w:tcPr>
            <w:tcW w:w="879" w:type="dxa"/>
            <w:vAlign w:val="top"/>
          </w:tcPr>
          <w:p w14:paraId="5C79B5BD">
            <w:pPr>
              <w:rPr>
                <w:rFonts w:ascii="Arial"/>
                <w:sz w:val="21"/>
                <w:highlight w:val="none"/>
              </w:rPr>
            </w:pPr>
          </w:p>
        </w:tc>
        <w:tc>
          <w:tcPr>
            <w:tcW w:w="1017" w:type="dxa"/>
            <w:vAlign w:val="top"/>
          </w:tcPr>
          <w:p w14:paraId="3A733972">
            <w:pPr>
              <w:rPr>
                <w:rFonts w:ascii="Arial"/>
                <w:sz w:val="21"/>
                <w:highlight w:val="none"/>
              </w:rPr>
            </w:pPr>
          </w:p>
        </w:tc>
        <w:tc>
          <w:tcPr>
            <w:tcW w:w="1478" w:type="dxa"/>
            <w:vAlign w:val="top"/>
          </w:tcPr>
          <w:p w14:paraId="548D656C">
            <w:pPr>
              <w:rPr>
                <w:rFonts w:ascii="Arial"/>
                <w:sz w:val="21"/>
                <w:highlight w:val="none"/>
              </w:rPr>
            </w:pPr>
          </w:p>
        </w:tc>
        <w:tc>
          <w:tcPr>
            <w:tcW w:w="1017" w:type="dxa"/>
            <w:vAlign w:val="top"/>
          </w:tcPr>
          <w:p w14:paraId="6DA55239">
            <w:pPr>
              <w:rPr>
                <w:rFonts w:ascii="Arial"/>
                <w:sz w:val="21"/>
                <w:highlight w:val="none"/>
              </w:rPr>
            </w:pPr>
          </w:p>
        </w:tc>
        <w:tc>
          <w:tcPr>
            <w:tcW w:w="934" w:type="dxa"/>
            <w:tcBorders>
              <w:right w:val="single" w:color="000000" w:sz="10" w:space="0"/>
            </w:tcBorders>
            <w:vAlign w:val="top"/>
          </w:tcPr>
          <w:p w14:paraId="319292D1">
            <w:pPr>
              <w:rPr>
                <w:rFonts w:ascii="Arial"/>
                <w:sz w:val="21"/>
                <w:highlight w:val="none"/>
              </w:rPr>
            </w:pPr>
          </w:p>
        </w:tc>
      </w:tr>
      <w:tr w14:paraId="7F258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6" w:type="dxa"/>
            <w:tcBorders>
              <w:left w:val="single" w:color="000000" w:sz="10" w:space="0"/>
            </w:tcBorders>
            <w:vAlign w:val="top"/>
          </w:tcPr>
          <w:p w14:paraId="6B10B756">
            <w:pPr>
              <w:rPr>
                <w:rFonts w:ascii="Arial"/>
                <w:sz w:val="21"/>
                <w:highlight w:val="none"/>
              </w:rPr>
            </w:pPr>
          </w:p>
        </w:tc>
        <w:tc>
          <w:tcPr>
            <w:tcW w:w="1412" w:type="dxa"/>
            <w:gridSpan w:val="2"/>
            <w:vAlign w:val="top"/>
          </w:tcPr>
          <w:p w14:paraId="3F8028AE">
            <w:pPr>
              <w:rPr>
                <w:rFonts w:ascii="Arial"/>
                <w:sz w:val="21"/>
                <w:highlight w:val="none"/>
              </w:rPr>
            </w:pPr>
          </w:p>
        </w:tc>
        <w:tc>
          <w:tcPr>
            <w:tcW w:w="850" w:type="dxa"/>
            <w:vAlign w:val="top"/>
          </w:tcPr>
          <w:p w14:paraId="1AC55AEC">
            <w:pPr>
              <w:rPr>
                <w:rFonts w:ascii="Arial"/>
                <w:sz w:val="21"/>
                <w:highlight w:val="none"/>
              </w:rPr>
            </w:pPr>
          </w:p>
        </w:tc>
        <w:tc>
          <w:tcPr>
            <w:tcW w:w="1053" w:type="dxa"/>
            <w:vAlign w:val="top"/>
          </w:tcPr>
          <w:p w14:paraId="76C79C0A">
            <w:pPr>
              <w:rPr>
                <w:rFonts w:ascii="Arial"/>
                <w:sz w:val="21"/>
                <w:highlight w:val="none"/>
              </w:rPr>
            </w:pPr>
          </w:p>
        </w:tc>
        <w:tc>
          <w:tcPr>
            <w:tcW w:w="879" w:type="dxa"/>
            <w:vAlign w:val="top"/>
          </w:tcPr>
          <w:p w14:paraId="490BD103">
            <w:pPr>
              <w:rPr>
                <w:rFonts w:ascii="Arial"/>
                <w:sz w:val="21"/>
                <w:highlight w:val="none"/>
              </w:rPr>
            </w:pPr>
          </w:p>
        </w:tc>
        <w:tc>
          <w:tcPr>
            <w:tcW w:w="1017" w:type="dxa"/>
            <w:vAlign w:val="top"/>
          </w:tcPr>
          <w:p w14:paraId="6657D054">
            <w:pPr>
              <w:rPr>
                <w:rFonts w:ascii="Arial"/>
                <w:sz w:val="21"/>
                <w:highlight w:val="none"/>
              </w:rPr>
            </w:pPr>
          </w:p>
        </w:tc>
        <w:tc>
          <w:tcPr>
            <w:tcW w:w="1478" w:type="dxa"/>
            <w:vAlign w:val="top"/>
          </w:tcPr>
          <w:p w14:paraId="7E2CF3EB">
            <w:pPr>
              <w:rPr>
                <w:rFonts w:ascii="Arial"/>
                <w:sz w:val="21"/>
                <w:highlight w:val="none"/>
              </w:rPr>
            </w:pPr>
          </w:p>
        </w:tc>
        <w:tc>
          <w:tcPr>
            <w:tcW w:w="1017" w:type="dxa"/>
            <w:vAlign w:val="top"/>
          </w:tcPr>
          <w:p w14:paraId="6E554104">
            <w:pPr>
              <w:rPr>
                <w:rFonts w:ascii="Arial"/>
                <w:sz w:val="21"/>
                <w:highlight w:val="none"/>
              </w:rPr>
            </w:pPr>
          </w:p>
        </w:tc>
        <w:tc>
          <w:tcPr>
            <w:tcW w:w="934" w:type="dxa"/>
            <w:tcBorders>
              <w:right w:val="single" w:color="000000" w:sz="10" w:space="0"/>
            </w:tcBorders>
            <w:vAlign w:val="top"/>
          </w:tcPr>
          <w:p w14:paraId="63BABC95">
            <w:pPr>
              <w:rPr>
                <w:rFonts w:ascii="Arial"/>
                <w:sz w:val="21"/>
                <w:highlight w:val="none"/>
              </w:rPr>
            </w:pPr>
          </w:p>
        </w:tc>
      </w:tr>
      <w:tr w14:paraId="7FC2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76" w:type="dxa"/>
            <w:tcBorders>
              <w:left w:val="single" w:color="000000" w:sz="10" w:space="0"/>
            </w:tcBorders>
            <w:vAlign w:val="top"/>
          </w:tcPr>
          <w:p w14:paraId="4CDB1CFD">
            <w:pPr>
              <w:rPr>
                <w:rFonts w:ascii="Arial"/>
                <w:sz w:val="21"/>
                <w:highlight w:val="none"/>
              </w:rPr>
            </w:pPr>
          </w:p>
        </w:tc>
        <w:tc>
          <w:tcPr>
            <w:tcW w:w="1412" w:type="dxa"/>
            <w:gridSpan w:val="2"/>
            <w:vAlign w:val="top"/>
          </w:tcPr>
          <w:p w14:paraId="5F233CD4">
            <w:pPr>
              <w:rPr>
                <w:rFonts w:ascii="Arial"/>
                <w:sz w:val="21"/>
                <w:highlight w:val="none"/>
              </w:rPr>
            </w:pPr>
          </w:p>
        </w:tc>
        <w:tc>
          <w:tcPr>
            <w:tcW w:w="850" w:type="dxa"/>
            <w:vAlign w:val="top"/>
          </w:tcPr>
          <w:p w14:paraId="65424191">
            <w:pPr>
              <w:rPr>
                <w:rFonts w:ascii="Arial"/>
                <w:sz w:val="21"/>
                <w:highlight w:val="none"/>
              </w:rPr>
            </w:pPr>
          </w:p>
        </w:tc>
        <w:tc>
          <w:tcPr>
            <w:tcW w:w="1053" w:type="dxa"/>
            <w:vAlign w:val="top"/>
          </w:tcPr>
          <w:p w14:paraId="0B1B3FE8">
            <w:pPr>
              <w:rPr>
                <w:rFonts w:ascii="Arial"/>
                <w:sz w:val="21"/>
                <w:highlight w:val="none"/>
              </w:rPr>
            </w:pPr>
          </w:p>
        </w:tc>
        <w:tc>
          <w:tcPr>
            <w:tcW w:w="879" w:type="dxa"/>
            <w:vAlign w:val="top"/>
          </w:tcPr>
          <w:p w14:paraId="0B5AFA94">
            <w:pPr>
              <w:rPr>
                <w:rFonts w:ascii="Arial"/>
                <w:sz w:val="21"/>
                <w:highlight w:val="none"/>
              </w:rPr>
            </w:pPr>
          </w:p>
        </w:tc>
        <w:tc>
          <w:tcPr>
            <w:tcW w:w="1017" w:type="dxa"/>
            <w:vAlign w:val="top"/>
          </w:tcPr>
          <w:p w14:paraId="24E12007">
            <w:pPr>
              <w:rPr>
                <w:rFonts w:ascii="Arial"/>
                <w:sz w:val="21"/>
                <w:highlight w:val="none"/>
              </w:rPr>
            </w:pPr>
          </w:p>
        </w:tc>
        <w:tc>
          <w:tcPr>
            <w:tcW w:w="1478" w:type="dxa"/>
            <w:vAlign w:val="top"/>
          </w:tcPr>
          <w:p w14:paraId="5AF97167">
            <w:pPr>
              <w:rPr>
                <w:rFonts w:ascii="Arial"/>
                <w:sz w:val="21"/>
                <w:highlight w:val="none"/>
              </w:rPr>
            </w:pPr>
          </w:p>
        </w:tc>
        <w:tc>
          <w:tcPr>
            <w:tcW w:w="1017" w:type="dxa"/>
            <w:vAlign w:val="top"/>
          </w:tcPr>
          <w:p w14:paraId="24E3C601">
            <w:pPr>
              <w:rPr>
                <w:rFonts w:ascii="Arial"/>
                <w:sz w:val="21"/>
                <w:highlight w:val="none"/>
              </w:rPr>
            </w:pPr>
          </w:p>
        </w:tc>
        <w:tc>
          <w:tcPr>
            <w:tcW w:w="934" w:type="dxa"/>
            <w:tcBorders>
              <w:right w:val="single" w:color="000000" w:sz="10" w:space="0"/>
            </w:tcBorders>
            <w:vAlign w:val="top"/>
          </w:tcPr>
          <w:p w14:paraId="14498E49">
            <w:pPr>
              <w:rPr>
                <w:rFonts w:ascii="Arial"/>
                <w:sz w:val="21"/>
                <w:highlight w:val="none"/>
              </w:rPr>
            </w:pPr>
          </w:p>
        </w:tc>
      </w:tr>
      <w:tr w14:paraId="559B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6" w:type="dxa"/>
            <w:tcBorders>
              <w:left w:val="single" w:color="000000" w:sz="10" w:space="0"/>
            </w:tcBorders>
            <w:vAlign w:val="top"/>
          </w:tcPr>
          <w:p w14:paraId="705885FC">
            <w:pPr>
              <w:rPr>
                <w:rFonts w:ascii="Arial"/>
                <w:sz w:val="21"/>
                <w:highlight w:val="none"/>
              </w:rPr>
            </w:pPr>
          </w:p>
        </w:tc>
        <w:tc>
          <w:tcPr>
            <w:tcW w:w="1412" w:type="dxa"/>
            <w:gridSpan w:val="2"/>
            <w:vAlign w:val="top"/>
          </w:tcPr>
          <w:p w14:paraId="336A865E">
            <w:pPr>
              <w:rPr>
                <w:rFonts w:ascii="Arial"/>
                <w:sz w:val="21"/>
                <w:highlight w:val="none"/>
              </w:rPr>
            </w:pPr>
          </w:p>
        </w:tc>
        <w:tc>
          <w:tcPr>
            <w:tcW w:w="850" w:type="dxa"/>
            <w:vAlign w:val="top"/>
          </w:tcPr>
          <w:p w14:paraId="6CF5A248">
            <w:pPr>
              <w:rPr>
                <w:rFonts w:ascii="Arial"/>
                <w:sz w:val="21"/>
                <w:highlight w:val="none"/>
              </w:rPr>
            </w:pPr>
          </w:p>
        </w:tc>
        <w:tc>
          <w:tcPr>
            <w:tcW w:w="1053" w:type="dxa"/>
            <w:vAlign w:val="top"/>
          </w:tcPr>
          <w:p w14:paraId="7B3ED23A">
            <w:pPr>
              <w:rPr>
                <w:rFonts w:ascii="Arial"/>
                <w:sz w:val="21"/>
                <w:highlight w:val="none"/>
              </w:rPr>
            </w:pPr>
          </w:p>
        </w:tc>
        <w:tc>
          <w:tcPr>
            <w:tcW w:w="879" w:type="dxa"/>
            <w:vAlign w:val="top"/>
          </w:tcPr>
          <w:p w14:paraId="1E43E8FA">
            <w:pPr>
              <w:rPr>
                <w:rFonts w:ascii="Arial"/>
                <w:sz w:val="21"/>
                <w:highlight w:val="none"/>
              </w:rPr>
            </w:pPr>
          </w:p>
        </w:tc>
        <w:tc>
          <w:tcPr>
            <w:tcW w:w="1017" w:type="dxa"/>
            <w:vAlign w:val="top"/>
          </w:tcPr>
          <w:p w14:paraId="2BF7404D">
            <w:pPr>
              <w:rPr>
                <w:rFonts w:ascii="Arial"/>
                <w:sz w:val="21"/>
                <w:highlight w:val="none"/>
              </w:rPr>
            </w:pPr>
          </w:p>
        </w:tc>
        <w:tc>
          <w:tcPr>
            <w:tcW w:w="1478" w:type="dxa"/>
            <w:vAlign w:val="top"/>
          </w:tcPr>
          <w:p w14:paraId="7BC5C02D">
            <w:pPr>
              <w:rPr>
                <w:rFonts w:ascii="Arial"/>
                <w:sz w:val="21"/>
                <w:highlight w:val="none"/>
              </w:rPr>
            </w:pPr>
          </w:p>
        </w:tc>
        <w:tc>
          <w:tcPr>
            <w:tcW w:w="1017" w:type="dxa"/>
            <w:vAlign w:val="top"/>
          </w:tcPr>
          <w:p w14:paraId="1871ED13">
            <w:pPr>
              <w:rPr>
                <w:rFonts w:ascii="Arial"/>
                <w:sz w:val="21"/>
                <w:highlight w:val="none"/>
              </w:rPr>
            </w:pPr>
          </w:p>
        </w:tc>
        <w:tc>
          <w:tcPr>
            <w:tcW w:w="934" w:type="dxa"/>
            <w:tcBorders>
              <w:right w:val="single" w:color="000000" w:sz="10" w:space="0"/>
            </w:tcBorders>
            <w:vAlign w:val="top"/>
          </w:tcPr>
          <w:p w14:paraId="09890044">
            <w:pPr>
              <w:rPr>
                <w:rFonts w:ascii="Arial"/>
                <w:sz w:val="21"/>
                <w:highlight w:val="none"/>
              </w:rPr>
            </w:pPr>
          </w:p>
        </w:tc>
      </w:tr>
      <w:tr w14:paraId="1AD95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2" w:type="dxa"/>
            <w:gridSpan w:val="2"/>
            <w:vMerge w:val="restart"/>
            <w:tcBorders>
              <w:left w:val="single" w:color="000000" w:sz="10" w:space="0"/>
              <w:bottom w:val="nil"/>
            </w:tcBorders>
            <w:vAlign w:val="top"/>
          </w:tcPr>
          <w:p w14:paraId="37859025">
            <w:pPr>
              <w:rPr>
                <w:rFonts w:ascii="Arial"/>
                <w:sz w:val="21"/>
                <w:highlight w:val="none"/>
              </w:rPr>
            </w:pPr>
          </w:p>
        </w:tc>
        <w:tc>
          <w:tcPr>
            <w:tcW w:w="1556" w:type="dxa"/>
            <w:gridSpan w:val="2"/>
            <w:vAlign w:val="top"/>
          </w:tcPr>
          <w:p w14:paraId="1A51AB56">
            <w:pPr>
              <w:rPr>
                <w:rFonts w:ascii="Arial"/>
                <w:sz w:val="21"/>
                <w:highlight w:val="none"/>
              </w:rPr>
            </w:pPr>
          </w:p>
        </w:tc>
        <w:tc>
          <w:tcPr>
            <w:tcW w:w="1932" w:type="dxa"/>
            <w:gridSpan w:val="2"/>
            <w:vAlign w:val="top"/>
          </w:tcPr>
          <w:p w14:paraId="2A7D6ED5">
            <w:pPr>
              <w:rPr>
                <w:rFonts w:ascii="Arial"/>
                <w:sz w:val="21"/>
                <w:highlight w:val="none"/>
              </w:rPr>
            </w:pPr>
          </w:p>
        </w:tc>
        <w:tc>
          <w:tcPr>
            <w:tcW w:w="1017" w:type="dxa"/>
            <w:vAlign w:val="top"/>
          </w:tcPr>
          <w:p w14:paraId="6BFF96F3">
            <w:pPr>
              <w:rPr>
                <w:rFonts w:ascii="Arial"/>
                <w:sz w:val="21"/>
                <w:highlight w:val="none"/>
              </w:rPr>
            </w:pPr>
          </w:p>
        </w:tc>
        <w:tc>
          <w:tcPr>
            <w:tcW w:w="3429" w:type="dxa"/>
            <w:gridSpan w:val="3"/>
            <w:tcBorders>
              <w:right w:val="single" w:color="000000" w:sz="10" w:space="0"/>
            </w:tcBorders>
            <w:vAlign w:val="top"/>
          </w:tcPr>
          <w:p w14:paraId="5C6F797E">
            <w:pPr>
              <w:rPr>
                <w:rFonts w:ascii="Arial"/>
                <w:sz w:val="21"/>
                <w:highlight w:val="none"/>
              </w:rPr>
            </w:pPr>
          </w:p>
        </w:tc>
      </w:tr>
      <w:tr w14:paraId="6ABF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2" w:type="dxa"/>
            <w:gridSpan w:val="2"/>
            <w:vMerge w:val="continue"/>
            <w:tcBorders>
              <w:top w:val="nil"/>
              <w:left w:val="single" w:color="000000" w:sz="10" w:space="0"/>
              <w:bottom w:val="nil"/>
            </w:tcBorders>
            <w:vAlign w:val="top"/>
          </w:tcPr>
          <w:p w14:paraId="63BE684A">
            <w:pPr>
              <w:rPr>
                <w:rFonts w:ascii="Arial"/>
                <w:sz w:val="21"/>
                <w:highlight w:val="none"/>
              </w:rPr>
            </w:pPr>
          </w:p>
        </w:tc>
        <w:tc>
          <w:tcPr>
            <w:tcW w:w="1556" w:type="dxa"/>
            <w:gridSpan w:val="2"/>
            <w:vAlign w:val="top"/>
          </w:tcPr>
          <w:p w14:paraId="7AAE0815">
            <w:pPr>
              <w:rPr>
                <w:rFonts w:ascii="Arial"/>
                <w:sz w:val="21"/>
                <w:highlight w:val="none"/>
              </w:rPr>
            </w:pPr>
          </w:p>
        </w:tc>
        <w:tc>
          <w:tcPr>
            <w:tcW w:w="1932" w:type="dxa"/>
            <w:gridSpan w:val="2"/>
            <w:vAlign w:val="top"/>
          </w:tcPr>
          <w:p w14:paraId="25722BE1">
            <w:pPr>
              <w:rPr>
                <w:rFonts w:ascii="Arial"/>
                <w:sz w:val="21"/>
                <w:highlight w:val="none"/>
              </w:rPr>
            </w:pPr>
          </w:p>
        </w:tc>
        <w:tc>
          <w:tcPr>
            <w:tcW w:w="1017" w:type="dxa"/>
            <w:vAlign w:val="top"/>
          </w:tcPr>
          <w:p w14:paraId="629660DF">
            <w:pPr>
              <w:rPr>
                <w:rFonts w:ascii="Arial"/>
                <w:sz w:val="21"/>
                <w:highlight w:val="none"/>
              </w:rPr>
            </w:pPr>
          </w:p>
        </w:tc>
        <w:tc>
          <w:tcPr>
            <w:tcW w:w="3429" w:type="dxa"/>
            <w:gridSpan w:val="3"/>
            <w:tcBorders>
              <w:right w:val="single" w:color="000000" w:sz="10" w:space="0"/>
            </w:tcBorders>
            <w:vAlign w:val="top"/>
          </w:tcPr>
          <w:p w14:paraId="5BD9EB1A">
            <w:pPr>
              <w:rPr>
                <w:rFonts w:ascii="Arial"/>
                <w:sz w:val="21"/>
                <w:highlight w:val="none"/>
              </w:rPr>
            </w:pPr>
          </w:p>
        </w:tc>
      </w:tr>
      <w:tr w14:paraId="7581E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82" w:type="dxa"/>
            <w:gridSpan w:val="2"/>
            <w:vMerge w:val="continue"/>
            <w:tcBorders>
              <w:top w:val="nil"/>
              <w:left w:val="single" w:color="000000" w:sz="10" w:space="0"/>
              <w:bottom w:val="single" w:color="000000" w:sz="10" w:space="0"/>
            </w:tcBorders>
            <w:vAlign w:val="top"/>
          </w:tcPr>
          <w:p w14:paraId="123FD46C">
            <w:pPr>
              <w:rPr>
                <w:rFonts w:ascii="Arial"/>
                <w:sz w:val="21"/>
                <w:highlight w:val="none"/>
              </w:rPr>
            </w:pPr>
          </w:p>
        </w:tc>
        <w:tc>
          <w:tcPr>
            <w:tcW w:w="1556" w:type="dxa"/>
            <w:gridSpan w:val="2"/>
            <w:tcBorders>
              <w:bottom w:val="single" w:color="000000" w:sz="10" w:space="0"/>
            </w:tcBorders>
            <w:vAlign w:val="top"/>
          </w:tcPr>
          <w:p w14:paraId="423FC08A">
            <w:pPr>
              <w:rPr>
                <w:rFonts w:ascii="Arial"/>
                <w:sz w:val="21"/>
                <w:highlight w:val="none"/>
              </w:rPr>
            </w:pPr>
          </w:p>
        </w:tc>
        <w:tc>
          <w:tcPr>
            <w:tcW w:w="1932" w:type="dxa"/>
            <w:gridSpan w:val="2"/>
            <w:tcBorders>
              <w:bottom w:val="single" w:color="000000" w:sz="10" w:space="0"/>
            </w:tcBorders>
            <w:vAlign w:val="top"/>
          </w:tcPr>
          <w:p w14:paraId="359293BA">
            <w:pPr>
              <w:rPr>
                <w:rFonts w:ascii="Arial"/>
                <w:sz w:val="21"/>
                <w:highlight w:val="none"/>
              </w:rPr>
            </w:pPr>
          </w:p>
        </w:tc>
        <w:tc>
          <w:tcPr>
            <w:tcW w:w="1017" w:type="dxa"/>
            <w:tcBorders>
              <w:bottom w:val="single" w:color="000000" w:sz="10" w:space="0"/>
            </w:tcBorders>
            <w:vAlign w:val="top"/>
          </w:tcPr>
          <w:p w14:paraId="6970638A">
            <w:pPr>
              <w:rPr>
                <w:rFonts w:ascii="Arial"/>
                <w:sz w:val="21"/>
                <w:highlight w:val="none"/>
              </w:rPr>
            </w:pPr>
          </w:p>
        </w:tc>
        <w:tc>
          <w:tcPr>
            <w:tcW w:w="3429" w:type="dxa"/>
            <w:gridSpan w:val="3"/>
            <w:tcBorders>
              <w:bottom w:val="single" w:color="000000" w:sz="10" w:space="0"/>
              <w:right w:val="single" w:color="000000" w:sz="10" w:space="0"/>
            </w:tcBorders>
            <w:vAlign w:val="top"/>
          </w:tcPr>
          <w:p w14:paraId="788C6D27">
            <w:pPr>
              <w:rPr>
                <w:rFonts w:ascii="Arial"/>
                <w:sz w:val="21"/>
                <w:highlight w:val="none"/>
              </w:rPr>
            </w:pPr>
          </w:p>
        </w:tc>
      </w:tr>
    </w:tbl>
    <w:p w14:paraId="582CBD89">
      <w:pPr>
        <w:pStyle w:val="3"/>
        <w:rPr>
          <w:highlight w:val="none"/>
        </w:rPr>
      </w:pPr>
    </w:p>
    <w:p w14:paraId="45704ED6">
      <w:pPr>
        <w:rPr>
          <w:highlight w:val="none"/>
        </w:rPr>
        <w:sectPr>
          <w:footerReference r:id="rId96" w:type="default"/>
          <w:pgSz w:w="11907" w:h="16839"/>
          <w:pgMar w:top="1431" w:right="1032" w:bottom="1127" w:left="1031" w:header="0" w:footer="896" w:gutter="0"/>
          <w:cols w:space="720" w:num="1"/>
        </w:sectPr>
      </w:pPr>
    </w:p>
    <w:p w14:paraId="00A23E84">
      <w:pPr>
        <w:spacing w:before="103" w:line="213" w:lineRule="auto"/>
        <w:ind w:left="2794"/>
        <w:rPr>
          <w:rFonts w:ascii="黑体" w:hAnsi="黑体" w:eastAsia="黑体" w:cs="黑体"/>
          <w:sz w:val="30"/>
          <w:szCs w:val="30"/>
          <w:highlight w:val="none"/>
        </w:rPr>
      </w:pPr>
      <w:r>
        <w:rPr>
          <w:rFonts w:ascii="Times New Roman" w:hAnsi="Times New Roman" w:eastAsia="Times New Roman" w:cs="Times New Roman"/>
          <w:spacing w:val="-3"/>
          <w:sz w:val="30"/>
          <w:szCs w:val="30"/>
          <w:highlight w:val="none"/>
        </w:rPr>
        <w:t>(</w:t>
      </w:r>
      <w:r>
        <w:rPr>
          <w:rFonts w:ascii="黑体" w:hAnsi="黑体" w:eastAsia="黑体" w:cs="黑体"/>
          <w:spacing w:val="-3"/>
          <w:sz w:val="30"/>
          <w:szCs w:val="30"/>
          <w:highlight w:val="none"/>
        </w:rPr>
        <w:t>五</w:t>
      </w:r>
      <w:r>
        <w:rPr>
          <w:rFonts w:ascii="Times New Roman" w:hAnsi="Times New Roman" w:eastAsia="Times New Roman" w:cs="Times New Roman"/>
          <w:spacing w:val="-3"/>
          <w:sz w:val="30"/>
          <w:szCs w:val="30"/>
          <w:highlight w:val="none"/>
        </w:rPr>
        <w:t>)</w:t>
      </w:r>
      <w:r>
        <w:rPr>
          <w:rFonts w:ascii="黑体" w:hAnsi="黑体" w:eastAsia="黑体" w:cs="黑体"/>
          <w:spacing w:val="-3"/>
          <w:sz w:val="30"/>
          <w:szCs w:val="30"/>
          <w:highlight w:val="none"/>
        </w:rPr>
        <w:t>拟分包情况表（若允许分包）</w:t>
      </w:r>
    </w:p>
    <w:p w14:paraId="2217CCE4">
      <w:pPr>
        <w:spacing w:line="154" w:lineRule="exact"/>
        <w:rPr>
          <w:highlight w:val="none"/>
        </w:rPr>
      </w:pPr>
    </w:p>
    <w:tbl>
      <w:tblPr>
        <w:tblStyle w:val="24"/>
        <w:tblW w:w="9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08"/>
        <w:gridCol w:w="2279"/>
        <w:gridCol w:w="3112"/>
        <w:gridCol w:w="1660"/>
      </w:tblGrid>
      <w:tr w14:paraId="47DF7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908" w:type="dxa"/>
            <w:vAlign w:val="top"/>
          </w:tcPr>
          <w:p w14:paraId="12072544">
            <w:pPr>
              <w:spacing w:before="192" w:line="220" w:lineRule="auto"/>
              <w:ind w:left="624"/>
              <w:rPr>
                <w:rFonts w:ascii="宋体" w:hAnsi="宋体" w:eastAsia="宋体" w:cs="宋体"/>
                <w:sz w:val="24"/>
                <w:szCs w:val="24"/>
                <w:highlight w:val="none"/>
              </w:rPr>
            </w:pPr>
            <w:r>
              <w:rPr>
                <w:rFonts w:ascii="宋体" w:hAnsi="宋体" w:eastAsia="宋体" w:cs="宋体"/>
                <w:spacing w:val="-2"/>
                <w:sz w:val="24"/>
                <w:szCs w:val="24"/>
                <w:highlight w:val="none"/>
              </w:rPr>
              <w:t>分包的工程项目</w:t>
            </w:r>
          </w:p>
        </w:tc>
        <w:tc>
          <w:tcPr>
            <w:tcW w:w="2279" w:type="dxa"/>
            <w:vAlign w:val="top"/>
          </w:tcPr>
          <w:p w14:paraId="7824D2F4">
            <w:pPr>
              <w:spacing w:before="192" w:line="220" w:lineRule="auto"/>
              <w:ind w:left="549"/>
              <w:rPr>
                <w:rFonts w:ascii="宋体" w:hAnsi="宋体" w:eastAsia="宋体" w:cs="宋体"/>
                <w:sz w:val="24"/>
                <w:szCs w:val="24"/>
                <w:highlight w:val="none"/>
              </w:rPr>
            </w:pPr>
            <w:r>
              <w:rPr>
                <w:rFonts w:ascii="宋体" w:hAnsi="宋体" w:eastAsia="宋体" w:cs="宋体"/>
                <w:spacing w:val="-2"/>
                <w:sz w:val="24"/>
                <w:szCs w:val="24"/>
                <w:highlight w:val="none"/>
              </w:rPr>
              <w:t>分包人名称</w:t>
            </w:r>
          </w:p>
        </w:tc>
        <w:tc>
          <w:tcPr>
            <w:tcW w:w="3112" w:type="dxa"/>
            <w:vAlign w:val="top"/>
          </w:tcPr>
          <w:p w14:paraId="2171BB23">
            <w:pPr>
              <w:spacing w:before="192" w:line="218" w:lineRule="auto"/>
              <w:ind w:left="368"/>
              <w:rPr>
                <w:rFonts w:ascii="宋体" w:hAnsi="宋体" w:eastAsia="宋体" w:cs="宋体"/>
                <w:sz w:val="24"/>
                <w:szCs w:val="24"/>
                <w:highlight w:val="none"/>
              </w:rPr>
            </w:pPr>
            <w:r>
              <w:rPr>
                <w:rFonts w:ascii="宋体" w:hAnsi="宋体" w:eastAsia="宋体" w:cs="宋体"/>
                <w:spacing w:val="-3"/>
                <w:sz w:val="24"/>
                <w:szCs w:val="24"/>
                <w:highlight w:val="none"/>
              </w:rPr>
              <w:t>分包项目造价（万元）</w:t>
            </w:r>
          </w:p>
        </w:tc>
        <w:tc>
          <w:tcPr>
            <w:tcW w:w="1660" w:type="dxa"/>
            <w:vAlign w:val="top"/>
          </w:tcPr>
          <w:p w14:paraId="45237B59">
            <w:pPr>
              <w:spacing w:before="191" w:line="221" w:lineRule="auto"/>
              <w:ind w:left="599"/>
              <w:rPr>
                <w:rFonts w:ascii="宋体" w:hAnsi="宋体" w:eastAsia="宋体" w:cs="宋体"/>
                <w:sz w:val="24"/>
                <w:szCs w:val="24"/>
                <w:highlight w:val="none"/>
              </w:rPr>
            </w:pPr>
            <w:r>
              <w:rPr>
                <w:rFonts w:ascii="宋体" w:hAnsi="宋体" w:eastAsia="宋体" w:cs="宋体"/>
                <w:spacing w:val="-4"/>
                <w:sz w:val="24"/>
                <w:szCs w:val="24"/>
                <w:highlight w:val="none"/>
              </w:rPr>
              <w:t>备注</w:t>
            </w:r>
          </w:p>
        </w:tc>
      </w:tr>
      <w:tr w14:paraId="2DF0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908" w:type="dxa"/>
            <w:vAlign w:val="top"/>
          </w:tcPr>
          <w:p w14:paraId="23A4644E">
            <w:pPr>
              <w:rPr>
                <w:rFonts w:ascii="Arial"/>
                <w:sz w:val="21"/>
                <w:highlight w:val="none"/>
              </w:rPr>
            </w:pPr>
          </w:p>
        </w:tc>
        <w:tc>
          <w:tcPr>
            <w:tcW w:w="2279" w:type="dxa"/>
            <w:vAlign w:val="top"/>
          </w:tcPr>
          <w:p w14:paraId="65B02805">
            <w:pPr>
              <w:rPr>
                <w:rFonts w:ascii="Arial"/>
                <w:sz w:val="21"/>
                <w:highlight w:val="none"/>
              </w:rPr>
            </w:pPr>
          </w:p>
        </w:tc>
        <w:tc>
          <w:tcPr>
            <w:tcW w:w="3112" w:type="dxa"/>
            <w:vAlign w:val="top"/>
          </w:tcPr>
          <w:p w14:paraId="555E5BF5">
            <w:pPr>
              <w:rPr>
                <w:rFonts w:ascii="Arial"/>
                <w:sz w:val="21"/>
                <w:highlight w:val="none"/>
              </w:rPr>
            </w:pPr>
          </w:p>
        </w:tc>
        <w:tc>
          <w:tcPr>
            <w:tcW w:w="1660" w:type="dxa"/>
            <w:vAlign w:val="top"/>
          </w:tcPr>
          <w:p w14:paraId="43B8893C">
            <w:pPr>
              <w:rPr>
                <w:rFonts w:ascii="Arial"/>
                <w:sz w:val="21"/>
                <w:highlight w:val="none"/>
              </w:rPr>
            </w:pPr>
          </w:p>
        </w:tc>
      </w:tr>
      <w:tr w14:paraId="55036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908" w:type="dxa"/>
            <w:vAlign w:val="top"/>
          </w:tcPr>
          <w:p w14:paraId="0E5CC43C">
            <w:pPr>
              <w:rPr>
                <w:rFonts w:ascii="Arial"/>
                <w:sz w:val="21"/>
                <w:highlight w:val="none"/>
              </w:rPr>
            </w:pPr>
          </w:p>
        </w:tc>
        <w:tc>
          <w:tcPr>
            <w:tcW w:w="2279" w:type="dxa"/>
            <w:vAlign w:val="top"/>
          </w:tcPr>
          <w:p w14:paraId="012E7EB8">
            <w:pPr>
              <w:rPr>
                <w:rFonts w:ascii="Arial"/>
                <w:sz w:val="21"/>
                <w:highlight w:val="none"/>
              </w:rPr>
            </w:pPr>
          </w:p>
        </w:tc>
        <w:tc>
          <w:tcPr>
            <w:tcW w:w="3112" w:type="dxa"/>
            <w:vAlign w:val="top"/>
          </w:tcPr>
          <w:p w14:paraId="3BA6F33A">
            <w:pPr>
              <w:rPr>
                <w:rFonts w:ascii="Arial"/>
                <w:sz w:val="21"/>
                <w:highlight w:val="none"/>
              </w:rPr>
            </w:pPr>
          </w:p>
        </w:tc>
        <w:tc>
          <w:tcPr>
            <w:tcW w:w="1660" w:type="dxa"/>
            <w:vAlign w:val="top"/>
          </w:tcPr>
          <w:p w14:paraId="0938AB19">
            <w:pPr>
              <w:rPr>
                <w:rFonts w:ascii="Arial"/>
                <w:sz w:val="21"/>
                <w:highlight w:val="none"/>
              </w:rPr>
            </w:pPr>
          </w:p>
        </w:tc>
      </w:tr>
      <w:tr w14:paraId="11C1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908" w:type="dxa"/>
            <w:vAlign w:val="top"/>
          </w:tcPr>
          <w:p w14:paraId="7F7DB96B">
            <w:pPr>
              <w:rPr>
                <w:rFonts w:ascii="Arial"/>
                <w:sz w:val="21"/>
                <w:highlight w:val="none"/>
              </w:rPr>
            </w:pPr>
          </w:p>
        </w:tc>
        <w:tc>
          <w:tcPr>
            <w:tcW w:w="2279" w:type="dxa"/>
            <w:vAlign w:val="top"/>
          </w:tcPr>
          <w:p w14:paraId="175322C2">
            <w:pPr>
              <w:rPr>
                <w:rFonts w:ascii="Arial"/>
                <w:sz w:val="21"/>
                <w:highlight w:val="none"/>
              </w:rPr>
            </w:pPr>
          </w:p>
        </w:tc>
        <w:tc>
          <w:tcPr>
            <w:tcW w:w="3112" w:type="dxa"/>
            <w:vAlign w:val="top"/>
          </w:tcPr>
          <w:p w14:paraId="35CCAC59">
            <w:pPr>
              <w:rPr>
                <w:rFonts w:ascii="Arial"/>
                <w:sz w:val="21"/>
                <w:highlight w:val="none"/>
              </w:rPr>
            </w:pPr>
          </w:p>
        </w:tc>
        <w:tc>
          <w:tcPr>
            <w:tcW w:w="1660" w:type="dxa"/>
            <w:vAlign w:val="top"/>
          </w:tcPr>
          <w:p w14:paraId="3FF2DB7E">
            <w:pPr>
              <w:rPr>
                <w:rFonts w:ascii="Arial"/>
                <w:sz w:val="21"/>
                <w:highlight w:val="none"/>
              </w:rPr>
            </w:pPr>
          </w:p>
        </w:tc>
      </w:tr>
      <w:tr w14:paraId="33F1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908" w:type="dxa"/>
            <w:vAlign w:val="top"/>
          </w:tcPr>
          <w:p w14:paraId="1F6465BD">
            <w:pPr>
              <w:rPr>
                <w:rFonts w:ascii="Arial"/>
                <w:sz w:val="21"/>
                <w:highlight w:val="none"/>
              </w:rPr>
            </w:pPr>
          </w:p>
        </w:tc>
        <w:tc>
          <w:tcPr>
            <w:tcW w:w="2279" w:type="dxa"/>
            <w:vAlign w:val="top"/>
          </w:tcPr>
          <w:p w14:paraId="4441660F">
            <w:pPr>
              <w:rPr>
                <w:rFonts w:ascii="Arial"/>
                <w:sz w:val="21"/>
                <w:highlight w:val="none"/>
              </w:rPr>
            </w:pPr>
          </w:p>
        </w:tc>
        <w:tc>
          <w:tcPr>
            <w:tcW w:w="3112" w:type="dxa"/>
            <w:vAlign w:val="top"/>
          </w:tcPr>
          <w:p w14:paraId="35D47A02">
            <w:pPr>
              <w:rPr>
                <w:rFonts w:ascii="Arial"/>
                <w:sz w:val="21"/>
                <w:highlight w:val="none"/>
              </w:rPr>
            </w:pPr>
          </w:p>
        </w:tc>
        <w:tc>
          <w:tcPr>
            <w:tcW w:w="1660" w:type="dxa"/>
            <w:vAlign w:val="top"/>
          </w:tcPr>
          <w:p w14:paraId="4B9D1924">
            <w:pPr>
              <w:rPr>
                <w:rFonts w:ascii="Arial"/>
                <w:sz w:val="21"/>
                <w:highlight w:val="none"/>
              </w:rPr>
            </w:pPr>
          </w:p>
        </w:tc>
      </w:tr>
      <w:tr w14:paraId="75C78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908" w:type="dxa"/>
            <w:vAlign w:val="top"/>
          </w:tcPr>
          <w:p w14:paraId="742D8E8F">
            <w:pPr>
              <w:rPr>
                <w:rFonts w:ascii="Arial"/>
                <w:sz w:val="21"/>
                <w:highlight w:val="none"/>
              </w:rPr>
            </w:pPr>
          </w:p>
        </w:tc>
        <w:tc>
          <w:tcPr>
            <w:tcW w:w="2279" w:type="dxa"/>
            <w:vAlign w:val="top"/>
          </w:tcPr>
          <w:p w14:paraId="728449A7">
            <w:pPr>
              <w:rPr>
                <w:rFonts w:ascii="Arial"/>
                <w:sz w:val="21"/>
                <w:highlight w:val="none"/>
              </w:rPr>
            </w:pPr>
          </w:p>
        </w:tc>
        <w:tc>
          <w:tcPr>
            <w:tcW w:w="3112" w:type="dxa"/>
            <w:vAlign w:val="top"/>
          </w:tcPr>
          <w:p w14:paraId="2B1DBA4C">
            <w:pPr>
              <w:rPr>
                <w:rFonts w:ascii="Arial"/>
                <w:sz w:val="21"/>
                <w:highlight w:val="none"/>
              </w:rPr>
            </w:pPr>
          </w:p>
        </w:tc>
        <w:tc>
          <w:tcPr>
            <w:tcW w:w="1660" w:type="dxa"/>
            <w:vAlign w:val="top"/>
          </w:tcPr>
          <w:p w14:paraId="27849971">
            <w:pPr>
              <w:rPr>
                <w:rFonts w:ascii="Arial"/>
                <w:sz w:val="21"/>
                <w:highlight w:val="none"/>
              </w:rPr>
            </w:pPr>
          </w:p>
        </w:tc>
      </w:tr>
    </w:tbl>
    <w:p w14:paraId="413E82EF">
      <w:pPr>
        <w:pStyle w:val="3"/>
        <w:rPr>
          <w:highlight w:val="none"/>
        </w:rPr>
      </w:pPr>
    </w:p>
    <w:p w14:paraId="18344F4F">
      <w:pPr>
        <w:rPr>
          <w:highlight w:val="none"/>
        </w:rPr>
        <w:sectPr>
          <w:footerReference r:id="rId97" w:type="default"/>
          <w:pgSz w:w="11907" w:h="16839"/>
          <w:pgMar w:top="1431" w:right="972" w:bottom="1127" w:left="969" w:header="0" w:footer="896" w:gutter="0"/>
          <w:cols w:space="720" w:num="1"/>
        </w:sectPr>
      </w:pPr>
    </w:p>
    <w:p w14:paraId="41EEB6D0">
      <w:pPr>
        <w:spacing w:before="103" w:line="213" w:lineRule="auto"/>
        <w:ind w:left="3546"/>
        <w:rPr>
          <w:rFonts w:ascii="黑体" w:hAnsi="黑体" w:eastAsia="黑体" w:cs="黑体"/>
          <w:sz w:val="30"/>
          <w:szCs w:val="30"/>
          <w:highlight w:val="none"/>
        </w:rPr>
      </w:pPr>
      <w:r>
        <w:rPr>
          <w:rFonts w:ascii="Times New Roman" w:hAnsi="Times New Roman" w:eastAsia="Times New Roman" w:cs="Times New Roman"/>
          <w:spacing w:val="-2"/>
          <w:sz w:val="30"/>
          <w:szCs w:val="30"/>
          <w:highlight w:val="none"/>
        </w:rPr>
        <w:t>(</w:t>
      </w:r>
      <w:r>
        <w:rPr>
          <w:rFonts w:ascii="黑体" w:hAnsi="黑体" w:eastAsia="黑体" w:cs="黑体"/>
          <w:spacing w:val="-2"/>
          <w:sz w:val="30"/>
          <w:szCs w:val="30"/>
          <w:highlight w:val="none"/>
        </w:rPr>
        <w:t>六</w:t>
      </w:r>
      <w:r>
        <w:rPr>
          <w:rFonts w:ascii="Times New Roman" w:hAnsi="Times New Roman" w:eastAsia="Times New Roman" w:cs="Times New Roman"/>
          <w:spacing w:val="-2"/>
          <w:sz w:val="30"/>
          <w:szCs w:val="30"/>
          <w:highlight w:val="none"/>
        </w:rPr>
        <w:t>)</w:t>
      </w:r>
      <w:r>
        <w:rPr>
          <w:rFonts w:ascii="黑体" w:hAnsi="黑体" w:eastAsia="黑体" w:cs="黑体"/>
          <w:spacing w:val="-2"/>
          <w:sz w:val="30"/>
          <w:szCs w:val="30"/>
          <w:highlight w:val="none"/>
        </w:rPr>
        <w:t>劳动力安排计划表</w:t>
      </w:r>
    </w:p>
    <w:p w14:paraId="69E3D0AA">
      <w:pPr>
        <w:spacing w:before="188" w:line="214" w:lineRule="auto"/>
        <w:ind w:left="8905"/>
        <w:rPr>
          <w:rFonts w:ascii="宋体" w:hAnsi="宋体" w:eastAsia="宋体" w:cs="宋体"/>
          <w:sz w:val="24"/>
          <w:szCs w:val="24"/>
          <w:highlight w:val="none"/>
        </w:rPr>
      </w:pPr>
      <w:r>
        <w:rPr>
          <w:rFonts w:ascii="宋体" w:hAnsi="宋体" w:eastAsia="宋体" w:cs="宋体"/>
          <w:spacing w:val="-3"/>
          <w:sz w:val="24"/>
          <w:szCs w:val="24"/>
          <w:highlight w:val="none"/>
        </w:rPr>
        <w:t>单位：人</w:t>
      </w:r>
    </w:p>
    <w:tbl>
      <w:tblPr>
        <w:tblStyle w:val="24"/>
        <w:tblW w:w="9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1240"/>
        <w:gridCol w:w="1243"/>
        <w:gridCol w:w="1243"/>
        <w:gridCol w:w="1240"/>
        <w:gridCol w:w="1243"/>
        <w:gridCol w:w="1241"/>
        <w:gridCol w:w="1259"/>
      </w:tblGrid>
      <w:tr w14:paraId="619F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52" w:type="dxa"/>
            <w:vMerge w:val="restart"/>
            <w:tcBorders>
              <w:bottom w:val="nil"/>
            </w:tcBorders>
            <w:vAlign w:val="top"/>
          </w:tcPr>
          <w:p w14:paraId="20E15CE9">
            <w:pPr>
              <w:spacing w:before="137" w:line="220" w:lineRule="auto"/>
              <w:ind w:left="396"/>
              <w:rPr>
                <w:rFonts w:ascii="宋体" w:hAnsi="宋体" w:eastAsia="宋体" w:cs="宋体"/>
                <w:sz w:val="24"/>
                <w:szCs w:val="24"/>
                <w:highlight w:val="none"/>
              </w:rPr>
            </w:pPr>
            <w:r>
              <w:rPr>
                <w:rFonts w:ascii="宋体" w:hAnsi="宋体" w:eastAsia="宋体" w:cs="宋体"/>
                <w:spacing w:val="-4"/>
                <w:sz w:val="24"/>
                <w:szCs w:val="24"/>
                <w:highlight w:val="none"/>
              </w:rPr>
              <w:t>工种</w:t>
            </w:r>
          </w:p>
          <w:p w14:paraId="61198A69">
            <w:pPr>
              <w:spacing w:before="181" w:line="220" w:lineRule="auto"/>
              <w:ind w:left="397"/>
              <w:rPr>
                <w:rFonts w:ascii="宋体" w:hAnsi="宋体" w:eastAsia="宋体" w:cs="宋体"/>
                <w:sz w:val="24"/>
                <w:szCs w:val="24"/>
                <w:highlight w:val="none"/>
              </w:rPr>
            </w:pPr>
            <w:r>
              <w:rPr>
                <w:rFonts w:ascii="宋体" w:hAnsi="宋体" w:eastAsia="宋体" w:cs="宋体"/>
                <w:spacing w:val="-4"/>
                <w:sz w:val="24"/>
                <w:szCs w:val="24"/>
                <w:highlight w:val="none"/>
              </w:rPr>
              <w:t>级别</w:t>
            </w:r>
          </w:p>
        </w:tc>
        <w:tc>
          <w:tcPr>
            <w:tcW w:w="8709" w:type="dxa"/>
            <w:gridSpan w:val="7"/>
            <w:vAlign w:val="top"/>
          </w:tcPr>
          <w:p w14:paraId="493D6D6B">
            <w:pPr>
              <w:spacing w:before="124" w:line="220" w:lineRule="auto"/>
              <w:ind w:left="2681"/>
              <w:rPr>
                <w:rFonts w:ascii="宋体" w:hAnsi="宋体" w:eastAsia="宋体" w:cs="宋体"/>
                <w:sz w:val="24"/>
                <w:szCs w:val="24"/>
                <w:highlight w:val="none"/>
              </w:rPr>
            </w:pPr>
            <w:r>
              <w:rPr>
                <w:rFonts w:ascii="宋体" w:hAnsi="宋体" w:eastAsia="宋体" w:cs="宋体"/>
                <w:spacing w:val="-1"/>
                <w:sz w:val="24"/>
                <w:szCs w:val="24"/>
                <w:highlight w:val="none"/>
              </w:rPr>
              <w:t>按工程施工阶段投入劳动力情况</w:t>
            </w:r>
          </w:p>
        </w:tc>
      </w:tr>
      <w:tr w14:paraId="35C9A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52" w:type="dxa"/>
            <w:vMerge w:val="continue"/>
            <w:tcBorders>
              <w:top w:val="nil"/>
            </w:tcBorders>
            <w:vAlign w:val="top"/>
          </w:tcPr>
          <w:p w14:paraId="3534A5C4">
            <w:pPr>
              <w:rPr>
                <w:rFonts w:ascii="Arial"/>
                <w:sz w:val="21"/>
                <w:highlight w:val="none"/>
              </w:rPr>
            </w:pPr>
          </w:p>
        </w:tc>
        <w:tc>
          <w:tcPr>
            <w:tcW w:w="1240" w:type="dxa"/>
            <w:vAlign w:val="top"/>
          </w:tcPr>
          <w:p w14:paraId="6C043794">
            <w:pPr>
              <w:rPr>
                <w:rFonts w:ascii="Arial"/>
                <w:sz w:val="21"/>
                <w:highlight w:val="none"/>
              </w:rPr>
            </w:pPr>
          </w:p>
        </w:tc>
        <w:tc>
          <w:tcPr>
            <w:tcW w:w="1243" w:type="dxa"/>
            <w:vAlign w:val="top"/>
          </w:tcPr>
          <w:p w14:paraId="03CED4E3">
            <w:pPr>
              <w:rPr>
                <w:rFonts w:ascii="Arial"/>
                <w:sz w:val="21"/>
                <w:highlight w:val="none"/>
              </w:rPr>
            </w:pPr>
          </w:p>
        </w:tc>
        <w:tc>
          <w:tcPr>
            <w:tcW w:w="1243" w:type="dxa"/>
            <w:vAlign w:val="top"/>
          </w:tcPr>
          <w:p w14:paraId="37924D97">
            <w:pPr>
              <w:rPr>
                <w:rFonts w:ascii="Arial"/>
                <w:sz w:val="21"/>
                <w:highlight w:val="none"/>
              </w:rPr>
            </w:pPr>
          </w:p>
        </w:tc>
        <w:tc>
          <w:tcPr>
            <w:tcW w:w="1240" w:type="dxa"/>
            <w:vAlign w:val="top"/>
          </w:tcPr>
          <w:p w14:paraId="7ADCC898">
            <w:pPr>
              <w:rPr>
                <w:rFonts w:ascii="Arial"/>
                <w:sz w:val="21"/>
                <w:highlight w:val="none"/>
              </w:rPr>
            </w:pPr>
          </w:p>
        </w:tc>
        <w:tc>
          <w:tcPr>
            <w:tcW w:w="1243" w:type="dxa"/>
            <w:vAlign w:val="top"/>
          </w:tcPr>
          <w:p w14:paraId="4459501A">
            <w:pPr>
              <w:rPr>
                <w:rFonts w:ascii="Arial"/>
                <w:sz w:val="21"/>
                <w:highlight w:val="none"/>
              </w:rPr>
            </w:pPr>
          </w:p>
        </w:tc>
        <w:tc>
          <w:tcPr>
            <w:tcW w:w="1241" w:type="dxa"/>
            <w:vAlign w:val="top"/>
          </w:tcPr>
          <w:p w14:paraId="18769082">
            <w:pPr>
              <w:rPr>
                <w:rFonts w:ascii="Arial"/>
                <w:sz w:val="21"/>
                <w:highlight w:val="none"/>
              </w:rPr>
            </w:pPr>
          </w:p>
        </w:tc>
        <w:tc>
          <w:tcPr>
            <w:tcW w:w="1259" w:type="dxa"/>
            <w:vAlign w:val="top"/>
          </w:tcPr>
          <w:p w14:paraId="03D9B58C">
            <w:pPr>
              <w:rPr>
                <w:rFonts w:ascii="Arial"/>
                <w:sz w:val="21"/>
                <w:highlight w:val="none"/>
              </w:rPr>
            </w:pPr>
          </w:p>
        </w:tc>
      </w:tr>
      <w:tr w14:paraId="390B5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252" w:type="dxa"/>
            <w:vAlign w:val="top"/>
          </w:tcPr>
          <w:p w14:paraId="438DEB89">
            <w:pPr>
              <w:rPr>
                <w:rFonts w:ascii="Arial"/>
                <w:sz w:val="21"/>
                <w:highlight w:val="none"/>
              </w:rPr>
            </w:pPr>
          </w:p>
        </w:tc>
        <w:tc>
          <w:tcPr>
            <w:tcW w:w="1240" w:type="dxa"/>
            <w:vAlign w:val="top"/>
          </w:tcPr>
          <w:p w14:paraId="26A516FA">
            <w:pPr>
              <w:rPr>
                <w:rFonts w:ascii="Arial"/>
                <w:sz w:val="21"/>
                <w:highlight w:val="none"/>
              </w:rPr>
            </w:pPr>
          </w:p>
        </w:tc>
        <w:tc>
          <w:tcPr>
            <w:tcW w:w="1243" w:type="dxa"/>
            <w:vAlign w:val="top"/>
          </w:tcPr>
          <w:p w14:paraId="3B589CD4">
            <w:pPr>
              <w:rPr>
                <w:rFonts w:ascii="Arial"/>
                <w:sz w:val="21"/>
                <w:highlight w:val="none"/>
              </w:rPr>
            </w:pPr>
          </w:p>
        </w:tc>
        <w:tc>
          <w:tcPr>
            <w:tcW w:w="1243" w:type="dxa"/>
            <w:vAlign w:val="top"/>
          </w:tcPr>
          <w:p w14:paraId="7D1F65F3">
            <w:pPr>
              <w:rPr>
                <w:rFonts w:ascii="Arial"/>
                <w:sz w:val="21"/>
                <w:highlight w:val="none"/>
              </w:rPr>
            </w:pPr>
          </w:p>
        </w:tc>
        <w:tc>
          <w:tcPr>
            <w:tcW w:w="1240" w:type="dxa"/>
            <w:vAlign w:val="top"/>
          </w:tcPr>
          <w:p w14:paraId="212449FC">
            <w:pPr>
              <w:rPr>
                <w:rFonts w:ascii="Arial"/>
                <w:sz w:val="21"/>
                <w:highlight w:val="none"/>
              </w:rPr>
            </w:pPr>
          </w:p>
        </w:tc>
        <w:tc>
          <w:tcPr>
            <w:tcW w:w="1243" w:type="dxa"/>
            <w:vAlign w:val="top"/>
          </w:tcPr>
          <w:p w14:paraId="626FCE32">
            <w:pPr>
              <w:rPr>
                <w:rFonts w:ascii="Arial"/>
                <w:sz w:val="21"/>
                <w:highlight w:val="none"/>
              </w:rPr>
            </w:pPr>
          </w:p>
        </w:tc>
        <w:tc>
          <w:tcPr>
            <w:tcW w:w="1241" w:type="dxa"/>
            <w:vAlign w:val="top"/>
          </w:tcPr>
          <w:p w14:paraId="5BDA321B">
            <w:pPr>
              <w:rPr>
                <w:rFonts w:ascii="Arial"/>
                <w:sz w:val="21"/>
                <w:highlight w:val="none"/>
              </w:rPr>
            </w:pPr>
          </w:p>
        </w:tc>
        <w:tc>
          <w:tcPr>
            <w:tcW w:w="1259" w:type="dxa"/>
            <w:vAlign w:val="top"/>
          </w:tcPr>
          <w:p w14:paraId="6918FA02">
            <w:pPr>
              <w:rPr>
                <w:rFonts w:ascii="Arial"/>
                <w:sz w:val="21"/>
                <w:highlight w:val="none"/>
              </w:rPr>
            </w:pPr>
          </w:p>
        </w:tc>
      </w:tr>
      <w:tr w14:paraId="7D82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252" w:type="dxa"/>
            <w:vAlign w:val="top"/>
          </w:tcPr>
          <w:p w14:paraId="1F2281D7">
            <w:pPr>
              <w:rPr>
                <w:rFonts w:ascii="Arial"/>
                <w:sz w:val="21"/>
                <w:highlight w:val="none"/>
              </w:rPr>
            </w:pPr>
          </w:p>
        </w:tc>
        <w:tc>
          <w:tcPr>
            <w:tcW w:w="1240" w:type="dxa"/>
            <w:vAlign w:val="top"/>
          </w:tcPr>
          <w:p w14:paraId="3BA92920">
            <w:pPr>
              <w:rPr>
                <w:rFonts w:ascii="Arial"/>
                <w:sz w:val="21"/>
                <w:highlight w:val="none"/>
              </w:rPr>
            </w:pPr>
          </w:p>
        </w:tc>
        <w:tc>
          <w:tcPr>
            <w:tcW w:w="1243" w:type="dxa"/>
            <w:vAlign w:val="top"/>
          </w:tcPr>
          <w:p w14:paraId="5E60921A">
            <w:pPr>
              <w:rPr>
                <w:rFonts w:ascii="Arial"/>
                <w:sz w:val="21"/>
                <w:highlight w:val="none"/>
              </w:rPr>
            </w:pPr>
          </w:p>
        </w:tc>
        <w:tc>
          <w:tcPr>
            <w:tcW w:w="1243" w:type="dxa"/>
            <w:vAlign w:val="top"/>
          </w:tcPr>
          <w:p w14:paraId="502A5EA1">
            <w:pPr>
              <w:rPr>
                <w:rFonts w:ascii="Arial"/>
                <w:sz w:val="21"/>
                <w:highlight w:val="none"/>
              </w:rPr>
            </w:pPr>
          </w:p>
        </w:tc>
        <w:tc>
          <w:tcPr>
            <w:tcW w:w="1240" w:type="dxa"/>
            <w:vAlign w:val="top"/>
          </w:tcPr>
          <w:p w14:paraId="728000B7">
            <w:pPr>
              <w:rPr>
                <w:rFonts w:ascii="Arial"/>
                <w:sz w:val="21"/>
                <w:highlight w:val="none"/>
              </w:rPr>
            </w:pPr>
          </w:p>
        </w:tc>
        <w:tc>
          <w:tcPr>
            <w:tcW w:w="1243" w:type="dxa"/>
            <w:vAlign w:val="top"/>
          </w:tcPr>
          <w:p w14:paraId="13173D6B">
            <w:pPr>
              <w:rPr>
                <w:rFonts w:ascii="Arial"/>
                <w:sz w:val="21"/>
                <w:highlight w:val="none"/>
              </w:rPr>
            </w:pPr>
          </w:p>
        </w:tc>
        <w:tc>
          <w:tcPr>
            <w:tcW w:w="1241" w:type="dxa"/>
            <w:vAlign w:val="top"/>
          </w:tcPr>
          <w:p w14:paraId="1D7F5EB5">
            <w:pPr>
              <w:rPr>
                <w:rFonts w:ascii="Arial"/>
                <w:sz w:val="21"/>
                <w:highlight w:val="none"/>
              </w:rPr>
            </w:pPr>
          </w:p>
        </w:tc>
        <w:tc>
          <w:tcPr>
            <w:tcW w:w="1259" w:type="dxa"/>
            <w:vAlign w:val="top"/>
          </w:tcPr>
          <w:p w14:paraId="73D484D4">
            <w:pPr>
              <w:rPr>
                <w:rFonts w:ascii="Arial"/>
                <w:sz w:val="21"/>
                <w:highlight w:val="none"/>
              </w:rPr>
            </w:pPr>
          </w:p>
        </w:tc>
      </w:tr>
      <w:tr w14:paraId="22EA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252" w:type="dxa"/>
            <w:vAlign w:val="top"/>
          </w:tcPr>
          <w:p w14:paraId="5659AD98">
            <w:pPr>
              <w:rPr>
                <w:rFonts w:ascii="Arial"/>
                <w:sz w:val="21"/>
                <w:highlight w:val="none"/>
              </w:rPr>
            </w:pPr>
          </w:p>
        </w:tc>
        <w:tc>
          <w:tcPr>
            <w:tcW w:w="1240" w:type="dxa"/>
            <w:vAlign w:val="top"/>
          </w:tcPr>
          <w:p w14:paraId="3FAF2F7C">
            <w:pPr>
              <w:rPr>
                <w:rFonts w:ascii="Arial"/>
                <w:sz w:val="21"/>
                <w:highlight w:val="none"/>
              </w:rPr>
            </w:pPr>
          </w:p>
        </w:tc>
        <w:tc>
          <w:tcPr>
            <w:tcW w:w="1243" w:type="dxa"/>
            <w:vAlign w:val="top"/>
          </w:tcPr>
          <w:p w14:paraId="328E9FBB">
            <w:pPr>
              <w:rPr>
                <w:rFonts w:ascii="Arial"/>
                <w:sz w:val="21"/>
                <w:highlight w:val="none"/>
              </w:rPr>
            </w:pPr>
          </w:p>
        </w:tc>
        <w:tc>
          <w:tcPr>
            <w:tcW w:w="1243" w:type="dxa"/>
            <w:vAlign w:val="top"/>
          </w:tcPr>
          <w:p w14:paraId="75258B9B">
            <w:pPr>
              <w:rPr>
                <w:rFonts w:ascii="Arial"/>
                <w:sz w:val="21"/>
                <w:highlight w:val="none"/>
              </w:rPr>
            </w:pPr>
          </w:p>
        </w:tc>
        <w:tc>
          <w:tcPr>
            <w:tcW w:w="1240" w:type="dxa"/>
            <w:vAlign w:val="top"/>
          </w:tcPr>
          <w:p w14:paraId="08FB5457">
            <w:pPr>
              <w:rPr>
                <w:rFonts w:ascii="Arial"/>
                <w:sz w:val="21"/>
                <w:highlight w:val="none"/>
              </w:rPr>
            </w:pPr>
          </w:p>
        </w:tc>
        <w:tc>
          <w:tcPr>
            <w:tcW w:w="1243" w:type="dxa"/>
            <w:vAlign w:val="top"/>
          </w:tcPr>
          <w:p w14:paraId="35D3540F">
            <w:pPr>
              <w:rPr>
                <w:rFonts w:ascii="Arial"/>
                <w:sz w:val="21"/>
                <w:highlight w:val="none"/>
              </w:rPr>
            </w:pPr>
          </w:p>
        </w:tc>
        <w:tc>
          <w:tcPr>
            <w:tcW w:w="1241" w:type="dxa"/>
            <w:vAlign w:val="top"/>
          </w:tcPr>
          <w:p w14:paraId="43074B0B">
            <w:pPr>
              <w:rPr>
                <w:rFonts w:ascii="Arial"/>
                <w:sz w:val="21"/>
                <w:highlight w:val="none"/>
              </w:rPr>
            </w:pPr>
          </w:p>
        </w:tc>
        <w:tc>
          <w:tcPr>
            <w:tcW w:w="1259" w:type="dxa"/>
            <w:vAlign w:val="top"/>
          </w:tcPr>
          <w:p w14:paraId="7072F98F">
            <w:pPr>
              <w:rPr>
                <w:rFonts w:ascii="Arial"/>
                <w:sz w:val="21"/>
                <w:highlight w:val="none"/>
              </w:rPr>
            </w:pPr>
          </w:p>
        </w:tc>
      </w:tr>
      <w:tr w14:paraId="7290C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52" w:type="dxa"/>
            <w:vAlign w:val="top"/>
          </w:tcPr>
          <w:p w14:paraId="2472D6B0">
            <w:pPr>
              <w:rPr>
                <w:rFonts w:ascii="Arial"/>
                <w:sz w:val="21"/>
                <w:highlight w:val="none"/>
              </w:rPr>
            </w:pPr>
          </w:p>
        </w:tc>
        <w:tc>
          <w:tcPr>
            <w:tcW w:w="1240" w:type="dxa"/>
            <w:vAlign w:val="top"/>
          </w:tcPr>
          <w:p w14:paraId="61480103">
            <w:pPr>
              <w:rPr>
                <w:rFonts w:ascii="Arial"/>
                <w:sz w:val="21"/>
                <w:highlight w:val="none"/>
              </w:rPr>
            </w:pPr>
          </w:p>
        </w:tc>
        <w:tc>
          <w:tcPr>
            <w:tcW w:w="1243" w:type="dxa"/>
            <w:vAlign w:val="top"/>
          </w:tcPr>
          <w:p w14:paraId="6A0D3280">
            <w:pPr>
              <w:rPr>
                <w:rFonts w:ascii="Arial"/>
                <w:sz w:val="21"/>
                <w:highlight w:val="none"/>
              </w:rPr>
            </w:pPr>
          </w:p>
        </w:tc>
        <w:tc>
          <w:tcPr>
            <w:tcW w:w="1243" w:type="dxa"/>
            <w:vAlign w:val="top"/>
          </w:tcPr>
          <w:p w14:paraId="748CC66D">
            <w:pPr>
              <w:rPr>
                <w:rFonts w:ascii="Arial"/>
                <w:sz w:val="21"/>
                <w:highlight w:val="none"/>
              </w:rPr>
            </w:pPr>
          </w:p>
        </w:tc>
        <w:tc>
          <w:tcPr>
            <w:tcW w:w="1240" w:type="dxa"/>
            <w:vAlign w:val="top"/>
          </w:tcPr>
          <w:p w14:paraId="02C26759">
            <w:pPr>
              <w:rPr>
                <w:rFonts w:ascii="Arial"/>
                <w:sz w:val="21"/>
                <w:highlight w:val="none"/>
              </w:rPr>
            </w:pPr>
          </w:p>
        </w:tc>
        <w:tc>
          <w:tcPr>
            <w:tcW w:w="1243" w:type="dxa"/>
            <w:vAlign w:val="top"/>
          </w:tcPr>
          <w:p w14:paraId="305F250E">
            <w:pPr>
              <w:rPr>
                <w:rFonts w:ascii="Arial"/>
                <w:sz w:val="21"/>
                <w:highlight w:val="none"/>
              </w:rPr>
            </w:pPr>
          </w:p>
        </w:tc>
        <w:tc>
          <w:tcPr>
            <w:tcW w:w="1241" w:type="dxa"/>
            <w:vAlign w:val="top"/>
          </w:tcPr>
          <w:p w14:paraId="650C1556">
            <w:pPr>
              <w:rPr>
                <w:rFonts w:ascii="Arial"/>
                <w:sz w:val="21"/>
                <w:highlight w:val="none"/>
              </w:rPr>
            </w:pPr>
          </w:p>
        </w:tc>
        <w:tc>
          <w:tcPr>
            <w:tcW w:w="1259" w:type="dxa"/>
            <w:vAlign w:val="top"/>
          </w:tcPr>
          <w:p w14:paraId="64EF9931">
            <w:pPr>
              <w:rPr>
                <w:rFonts w:ascii="Arial"/>
                <w:sz w:val="21"/>
                <w:highlight w:val="none"/>
              </w:rPr>
            </w:pPr>
          </w:p>
        </w:tc>
      </w:tr>
      <w:tr w14:paraId="0BC2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52" w:type="dxa"/>
            <w:vAlign w:val="top"/>
          </w:tcPr>
          <w:p w14:paraId="6D824E45">
            <w:pPr>
              <w:rPr>
                <w:rFonts w:ascii="Arial"/>
                <w:sz w:val="21"/>
                <w:highlight w:val="none"/>
              </w:rPr>
            </w:pPr>
          </w:p>
        </w:tc>
        <w:tc>
          <w:tcPr>
            <w:tcW w:w="1240" w:type="dxa"/>
            <w:vAlign w:val="top"/>
          </w:tcPr>
          <w:p w14:paraId="7A9A8609">
            <w:pPr>
              <w:rPr>
                <w:rFonts w:ascii="Arial"/>
                <w:sz w:val="21"/>
                <w:highlight w:val="none"/>
              </w:rPr>
            </w:pPr>
          </w:p>
        </w:tc>
        <w:tc>
          <w:tcPr>
            <w:tcW w:w="1243" w:type="dxa"/>
            <w:vAlign w:val="top"/>
          </w:tcPr>
          <w:p w14:paraId="543DC89E">
            <w:pPr>
              <w:rPr>
                <w:rFonts w:ascii="Arial"/>
                <w:sz w:val="21"/>
                <w:highlight w:val="none"/>
              </w:rPr>
            </w:pPr>
          </w:p>
        </w:tc>
        <w:tc>
          <w:tcPr>
            <w:tcW w:w="1243" w:type="dxa"/>
            <w:vAlign w:val="top"/>
          </w:tcPr>
          <w:p w14:paraId="523D09F7">
            <w:pPr>
              <w:rPr>
                <w:rFonts w:ascii="Arial"/>
                <w:sz w:val="21"/>
                <w:highlight w:val="none"/>
              </w:rPr>
            </w:pPr>
          </w:p>
        </w:tc>
        <w:tc>
          <w:tcPr>
            <w:tcW w:w="1240" w:type="dxa"/>
            <w:vAlign w:val="top"/>
          </w:tcPr>
          <w:p w14:paraId="78CD5408">
            <w:pPr>
              <w:rPr>
                <w:rFonts w:ascii="Arial"/>
                <w:sz w:val="21"/>
                <w:highlight w:val="none"/>
              </w:rPr>
            </w:pPr>
          </w:p>
        </w:tc>
        <w:tc>
          <w:tcPr>
            <w:tcW w:w="1243" w:type="dxa"/>
            <w:vAlign w:val="top"/>
          </w:tcPr>
          <w:p w14:paraId="11231B51">
            <w:pPr>
              <w:rPr>
                <w:rFonts w:ascii="Arial"/>
                <w:sz w:val="21"/>
                <w:highlight w:val="none"/>
              </w:rPr>
            </w:pPr>
          </w:p>
        </w:tc>
        <w:tc>
          <w:tcPr>
            <w:tcW w:w="1241" w:type="dxa"/>
            <w:vAlign w:val="top"/>
          </w:tcPr>
          <w:p w14:paraId="7BF199C2">
            <w:pPr>
              <w:rPr>
                <w:rFonts w:ascii="Arial"/>
                <w:sz w:val="21"/>
                <w:highlight w:val="none"/>
              </w:rPr>
            </w:pPr>
          </w:p>
        </w:tc>
        <w:tc>
          <w:tcPr>
            <w:tcW w:w="1259" w:type="dxa"/>
            <w:vAlign w:val="top"/>
          </w:tcPr>
          <w:p w14:paraId="58118997">
            <w:pPr>
              <w:rPr>
                <w:rFonts w:ascii="Arial"/>
                <w:sz w:val="21"/>
                <w:highlight w:val="none"/>
              </w:rPr>
            </w:pPr>
          </w:p>
        </w:tc>
      </w:tr>
    </w:tbl>
    <w:p w14:paraId="65931463">
      <w:pPr>
        <w:spacing w:before="163" w:line="218" w:lineRule="auto"/>
        <w:ind w:left="122"/>
        <w:rPr>
          <w:rFonts w:ascii="宋体" w:hAnsi="宋体" w:eastAsia="宋体" w:cs="宋体"/>
          <w:sz w:val="24"/>
          <w:szCs w:val="24"/>
          <w:highlight w:val="none"/>
        </w:rPr>
      </w:pPr>
      <w:r>
        <w:rPr>
          <w:rFonts w:ascii="宋体" w:hAnsi="宋体" w:eastAsia="宋体" w:cs="宋体"/>
          <w:spacing w:val="-2"/>
          <w:sz w:val="24"/>
          <w:szCs w:val="24"/>
          <w:highlight w:val="none"/>
        </w:rPr>
        <w:t>注：投标人应接所列格式提交包括分包人在内的估计的劳动力计</w:t>
      </w:r>
      <w:r>
        <w:rPr>
          <w:rFonts w:ascii="宋体" w:hAnsi="宋体" w:eastAsia="宋体" w:cs="宋体"/>
          <w:spacing w:val="-3"/>
          <w:sz w:val="24"/>
          <w:szCs w:val="24"/>
          <w:highlight w:val="none"/>
        </w:rPr>
        <w:t>划表；</w:t>
      </w:r>
    </w:p>
    <w:p w14:paraId="5930F941">
      <w:pPr>
        <w:spacing w:before="234" w:line="219" w:lineRule="auto"/>
        <w:ind w:left="603"/>
        <w:rPr>
          <w:rFonts w:ascii="宋体" w:hAnsi="宋体" w:eastAsia="宋体" w:cs="宋体"/>
          <w:sz w:val="24"/>
          <w:szCs w:val="24"/>
          <w:highlight w:val="none"/>
        </w:rPr>
      </w:pPr>
      <w:r>
        <w:rPr>
          <w:rFonts w:ascii="宋体" w:hAnsi="宋体" w:eastAsia="宋体" w:cs="宋体"/>
          <w:spacing w:val="-3"/>
          <w:sz w:val="24"/>
          <w:szCs w:val="24"/>
          <w:highlight w:val="none"/>
        </w:rPr>
        <w:t>本计划表是以每班八小时工作制为基础的。</w:t>
      </w:r>
    </w:p>
    <w:p w14:paraId="3FAC486E">
      <w:pPr>
        <w:spacing w:line="219" w:lineRule="auto"/>
        <w:rPr>
          <w:rFonts w:ascii="宋体" w:hAnsi="宋体" w:eastAsia="宋体" w:cs="宋体"/>
          <w:sz w:val="24"/>
          <w:szCs w:val="24"/>
          <w:highlight w:val="none"/>
        </w:rPr>
        <w:sectPr>
          <w:footerReference r:id="rId98" w:type="default"/>
          <w:pgSz w:w="11907" w:h="16839"/>
          <w:pgMar w:top="1431" w:right="970" w:bottom="1127" w:left="969" w:header="0" w:footer="896" w:gutter="0"/>
          <w:cols w:space="720" w:num="1"/>
        </w:sectPr>
      </w:pPr>
    </w:p>
    <w:p w14:paraId="3962B337">
      <w:pPr>
        <w:spacing w:before="180" w:line="220" w:lineRule="auto"/>
        <w:ind w:left="3795"/>
        <w:rPr>
          <w:rFonts w:ascii="宋体" w:hAnsi="宋体" w:eastAsia="宋体" w:cs="宋体"/>
          <w:sz w:val="28"/>
          <w:szCs w:val="28"/>
          <w:highlight w:val="none"/>
        </w:rPr>
      </w:pPr>
      <w:r>
        <w:rPr>
          <w:rFonts w:ascii="宋体" w:hAnsi="宋体" w:eastAsia="宋体" w:cs="宋体"/>
          <w:b/>
          <w:bCs/>
          <w:spacing w:val="-9"/>
          <w:sz w:val="28"/>
          <w:szCs w:val="28"/>
          <w:highlight w:val="none"/>
        </w:rPr>
        <w:t>(七)设计服务方案</w:t>
      </w:r>
    </w:p>
    <w:p w14:paraId="68BEA475">
      <w:pPr>
        <w:spacing w:before="290" w:line="219" w:lineRule="auto"/>
        <w:ind w:left="4309"/>
        <w:rPr>
          <w:rFonts w:ascii="宋体" w:hAnsi="宋体" w:eastAsia="宋体" w:cs="宋体"/>
          <w:sz w:val="28"/>
          <w:szCs w:val="28"/>
          <w:highlight w:val="none"/>
        </w:rPr>
      </w:pPr>
      <w:r>
        <w:rPr>
          <w:rFonts w:ascii="宋体" w:hAnsi="宋体" w:eastAsia="宋体" w:cs="宋体"/>
          <w:spacing w:val="-2"/>
          <w:sz w:val="28"/>
          <w:szCs w:val="28"/>
          <w:highlight w:val="none"/>
        </w:rPr>
        <w:t>格式自拟</w:t>
      </w:r>
    </w:p>
    <w:p w14:paraId="05E3907F">
      <w:pPr>
        <w:pStyle w:val="3"/>
        <w:spacing w:line="292" w:lineRule="auto"/>
        <w:rPr>
          <w:highlight w:val="none"/>
        </w:rPr>
      </w:pPr>
    </w:p>
    <w:p w14:paraId="488961C4">
      <w:pPr>
        <w:pStyle w:val="3"/>
        <w:spacing w:line="293" w:lineRule="auto"/>
        <w:rPr>
          <w:highlight w:val="none"/>
        </w:rPr>
      </w:pPr>
    </w:p>
    <w:p w14:paraId="7C77AD36">
      <w:pPr>
        <w:pStyle w:val="3"/>
        <w:spacing w:line="293" w:lineRule="auto"/>
        <w:rPr>
          <w:highlight w:val="none"/>
        </w:rPr>
      </w:pPr>
    </w:p>
    <w:p w14:paraId="2364BA7B">
      <w:pPr>
        <w:spacing w:before="91" w:line="221" w:lineRule="auto"/>
        <w:ind w:left="3614"/>
        <w:rPr>
          <w:rFonts w:ascii="宋体" w:hAnsi="宋体" w:eastAsia="宋体" w:cs="宋体"/>
          <w:sz w:val="28"/>
          <w:szCs w:val="28"/>
          <w:highlight w:val="none"/>
        </w:rPr>
      </w:pPr>
      <w:r>
        <w:rPr>
          <w:rFonts w:ascii="宋体" w:hAnsi="宋体" w:eastAsia="宋体" w:cs="宋体"/>
          <w:b/>
          <w:bCs/>
          <w:spacing w:val="-4"/>
          <w:sz w:val="28"/>
          <w:szCs w:val="28"/>
          <w:highlight w:val="none"/>
        </w:rPr>
        <w:t>（八）施工组织设计</w:t>
      </w:r>
    </w:p>
    <w:p w14:paraId="0EC9A2C4">
      <w:pPr>
        <w:spacing w:before="289" w:line="219" w:lineRule="auto"/>
        <w:ind w:left="4309"/>
        <w:rPr>
          <w:rFonts w:ascii="宋体" w:hAnsi="宋体" w:eastAsia="宋体" w:cs="宋体"/>
          <w:sz w:val="28"/>
          <w:szCs w:val="28"/>
          <w:highlight w:val="none"/>
        </w:rPr>
      </w:pPr>
      <w:r>
        <w:rPr>
          <w:rFonts w:ascii="宋体" w:hAnsi="宋体" w:eastAsia="宋体" w:cs="宋体"/>
          <w:spacing w:val="-2"/>
          <w:sz w:val="28"/>
          <w:szCs w:val="28"/>
          <w:highlight w:val="none"/>
        </w:rPr>
        <w:t>格式自拟</w:t>
      </w:r>
    </w:p>
    <w:p w14:paraId="706CF6E3">
      <w:pPr>
        <w:pStyle w:val="3"/>
        <w:spacing w:line="293" w:lineRule="auto"/>
        <w:rPr>
          <w:highlight w:val="none"/>
        </w:rPr>
      </w:pPr>
    </w:p>
    <w:p w14:paraId="1F5DCD19">
      <w:pPr>
        <w:pStyle w:val="3"/>
        <w:spacing w:line="293" w:lineRule="auto"/>
        <w:rPr>
          <w:highlight w:val="none"/>
        </w:rPr>
      </w:pPr>
    </w:p>
    <w:p w14:paraId="1FD89C6C">
      <w:pPr>
        <w:pStyle w:val="3"/>
        <w:spacing w:line="293" w:lineRule="auto"/>
        <w:rPr>
          <w:highlight w:val="none"/>
        </w:rPr>
      </w:pPr>
    </w:p>
    <w:p w14:paraId="4FE07870">
      <w:pPr>
        <w:spacing w:before="91" w:line="221" w:lineRule="auto"/>
        <w:ind w:left="3895"/>
        <w:rPr>
          <w:rFonts w:ascii="宋体" w:hAnsi="宋体" w:eastAsia="宋体" w:cs="宋体"/>
          <w:sz w:val="28"/>
          <w:szCs w:val="28"/>
          <w:highlight w:val="none"/>
        </w:rPr>
      </w:pPr>
      <w:r>
        <w:rPr>
          <w:rFonts w:ascii="宋体" w:hAnsi="宋体" w:eastAsia="宋体" w:cs="宋体"/>
          <w:b/>
          <w:bCs/>
          <w:spacing w:val="-6"/>
          <w:sz w:val="28"/>
          <w:szCs w:val="28"/>
          <w:highlight w:val="none"/>
        </w:rPr>
        <w:t>（九）运营方案</w:t>
      </w:r>
    </w:p>
    <w:p w14:paraId="6C149612">
      <w:pPr>
        <w:spacing w:before="290" w:line="219" w:lineRule="auto"/>
        <w:ind w:left="4309"/>
        <w:rPr>
          <w:rFonts w:ascii="宋体" w:hAnsi="宋体" w:eastAsia="宋体" w:cs="宋体"/>
          <w:sz w:val="28"/>
          <w:szCs w:val="28"/>
          <w:highlight w:val="none"/>
        </w:rPr>
      </w:pPr>
      <w:r>
        <w:rPr>
          <w:rFonts w:ascii="宋体" w:hAnsi="宋体" w:eastAsia="宋体" w:cs="宋体"/>
          <w:spacing w:val="-2"/>
          <w:sz w:val="28"/>
          <w:szCs w:val="28"/>
          <w:highlight w:val="none"/>
        </w:rPr>
        <w:t>格式自拟</w:t>
      </w:r>
    </w:p>
    <w:p w14:paraId="04F61E2A">
      <w:pPr>
        <w:pStyle w:val="3"/>
        <w:spacing w:line="264" w:lineRule="auto"/>
        <w:rPr>
          <w:highlight w:val="none"/>
        </w:rPr>
      </w:pPr>
    </w:p>
    <w:p w14:paraId="115B6119">
      <w:pPr>
        <w:pStyle w:val="3"/>
        <w:spacing w:line="265" w:lineRule="auto"/>
        <w:rPr>
          <w:highlight w:val="none"/>
        </w:rPr>
      </w:pPr>
    </w:p>
    <w:p w14:paraId="26506354">
      <w:pPr>
        <w:pStyle w:val="3"/>
        <w:spacing w:line="265" w:lineRule="auto"/>
        <w:rPr>
          <w:highlight w:val="none"/>
        </w:rPr>
      </w:pPr>
    </w:p>
    <w:p w14:paraId="7328B45F">
      <w:pPr>
        <w:spacing w:before="118" w:line="219" w:lineRule="auto"/>
        <w:ind w:left="2884"/>
        <w:outlineLvl w:val="0"/>
        <w:rPr>
          <w:rFonts w:ascii="宋体" w:hAnsi="宋体" w:eastAsia="宋体" w:cs="宋体"/>
          <w:sz w:val="36"/>
          <w:szCs w:val="36"/>
          <w:highlight w:val="none"/>
        </w:rPr>
      </w:pPr>
      <w:bookmarkStart w:id="19" w:name="_Toc9689"/>
      <w:r>
        <w:rPr>
          <w:rFonts w:ascii="宋体" w:hAnsi="宋体" w:eastAsia="宋体" w:cs="宋体"/>
          <w:b/>
          <w:bCs/>
          <w:spacing w:val="-4"/>
          <w:sz w:val="36"/>
          <w:szCs w:val="36"/>
          <w:highlight w:val="none"/>
        </w:rPr>
        <w:t>第五章工程技术经济要求</w:t>
      </w:r>
      <w:bookmarkEnd w:id="19"/>
    </w:p>
    <w:p w14:paraId="03A4BD19">
      <w:pPr>
        <w:pStyle w:val="3"/>
        <w:spacing w:line="270" w:lineRule="auto"/>
        <w:rPr>
          <w:highlight w:val="none"/>
        </w:rPr>
      </w:pPr>
    </w:p>
    <w:p w14:paraId="7D8490A2">
      <w:pPr>
        <w:spacing w:before="78" w:line="220" w:lineRule="auto"/>
        <w:ind w:left="4152"/>
        <w:rPr>
          <w:rFonts w:ascii="宋体" w:hAnsi="宋体" w:eastAsia="宋体" w:cs="宋体"/>
          <w:sz w:val="24"/>
          <w:szCs w:val="24"/>
          <w:highlight w:val="none"/>
        </w:rPr>
      </w:pPr>
      <w:r>
        <w:rPr>
          <w:rFonts w:ascii="宋体" w:hAnsi="宋体" w:eastAsia="宋体" w:cs="宋体"/>
          <w:spacing w:val="-2"/>
          <w:sz w:val="24"/>
          <w:szCs w:val="24"/>
          <w:highlight w:val="none"/>
        </w:rPr>
        <w:t>详见相关规范</w:t>
      </w:r>
    </w:p>
    <w:p w14:paraId="4FAC37EE">
      <w:pPr>
        <w:pStyle w:val="3"/>
        <w:spacing w:line="352" w:lineRule="auto"/>
        <w:rPr>
          <w:highlight w:val="none"/>
        </w:rPr>
      </w:pPr>
    </w:p>
    <w:p w14:paraId="78696610">
      <w:pPr>
        <w:pStyle w:val="3"/>
        <w:spacing w:line="352" w:lineRule="auto"/>
        <w:rPr>
          <w:highlight w:val="none"/>
        </w:rPr>
      </w:pPr>
    </w:p>
    <w:p w14:paraId="4EA762BD">
      <w:pPr>
        <w:spacing w:before="118" w:line="219" w:lineRule="auto"/>
        <w:ind w:left="3067"/>
        <w:outlineLvl w:val="0"/>
        <w:rPr>
          <w:rFonts w:ascii="宋体" w:hAnsi="宋体" w:eastAsia="宋体" w:cs="宋体"/>
          <w:sz w:val="36"/>
          <w:szCs w:val="36"/>
          <w:highlight w:val="none"/>
        </w:rPr>
      </w:pPr>
      <w:bookmarkStart w:id="20" w:name="_Toc11232"/>
      <w:r>
        <w:rPr>
          <w:rFonts w:ascii="宋体" w:hAnsi="宋体" w:eastAsia="宋体" w:cs="宋体"/>
          <w:b/>
          <w:bCs/>
          <w:spacing w:val="-4"/>
          <w:sz w:val="36"/>
          <w:szCs w:val="36"/>
          <w:highlight w:val="none"/>
        </w:rPr>
        <w:t>第六章施工图设计文件</w:t>
      </w:r>
      <w:bookmarkEnd w:id="20"/>
    </w:p>
    <w:p w14:paraId="06016F46">
      <w:pPr>
        <w:pStyle w:val="3"/>
        <w:spacing w:line="271" w:lineRule="auto"/>
        <w:rPr>
          <w:highlight w:val="none"/>
        </w:rPr>
      </w:pPr>
    </w:p>
    <w:p w14:paraId="1B09B175">
      <w:pPr>
        <w:spacing w:before="78" w:line="220" w:lineRule="auto"/>
        <w:ind w:left="4751"/>
        <w:rPr>
          <w:rFonts w:ascii="宋体" w:hAnsi="宋体" w:eastAsia="宋体" w:cs="宋体"/>
          <w:sz w:val="24"/>
          <w:szCs w:val="24"/>
          <w:highlight w:val="none"/>
        </w:rPr>
      </w:pPr>
      <w:r>
        <w:rPr>
          <w:rFonts w:ascii="宋体" w:hAnsi="宋体" w:eastAsia="宋体" w:cs="宋体"/>
          <w:sz w:val="24"/>
          <w:szCs w:val="24"/>
          <w:highlight w:val="none"/>
        </w:rPr>
        <w:t>无</w:t>
      </w:r>
    </w:p>
    <w:p w14:paraId="5D68B04E">
      <w:pPr>
        <w:spacing w:before="225" w:line="219" w:lineRule="auto"/>
        <w:ind w:left="3607"/>
        <w:outlineLvl w:val="0"/>
        <w:rPr>
          <w:rFonts w:ascii="宋体" w:hAnsi="宋体" w:eastAsia="宋体" w:cs="宋体"/>
          <w:sz w:val="36"/>
          <w:szCs w:val="36"/>
          <w:highlight w:val="none"/>
        </w:rPr>
      </w:pPr>
      <w:bookmarkStart w:id="21" w:name="_Toc31353"/>
      <w:r>
        <w:rPr>
          <w:rFonts w:ascii="宋体" w:hAnsi="宋体" w:eastAsia="宋体" w:cs="宋体"/>
          <w:b/>
          <w:bCs/>
          <w:spacing w:val="-5"/>
          <w:sz w:val="36"/>
          <w:szCs w:val="36"/>
          <w:highlight w:val="none"/>
        </w:rPr>
        <w:t>第七章其他资料</w:t>
      </w:r>
      <w:bookmarkEnd w:id="21"/>
    </w:p>
    <w:p w14:paraId="2ED4521D">
      <w:pPr>
        <w:pStyle w:val="3"/>
        <w:spacing w:line="270" w:lineRule="auto"/>
        <w:rPr>
          <w:highlight w:val="none"/>
        </w:rPr>
      </w:pPr>
    </w:p>
    <w:p w14:paraId="5876BF31">
      <w:pPr>
        <w:spacing w:before="79" w:line="219" w:lineRule="auto"/>
        <w:ind w:left="2728"/>
        <w:rPr>
          <w:rFonts w:ascii="宋体" w:hAnsi="宋体" w:eastAsia="宋体" w:cs="宋体"/>
          <w:sz w:val="24"/>
          <w:szCs w:val="24"/>
          <w:highlight w:val="none"/>
        </w:rPr>
      </w:pPr>
      <w:r>
        <w:rPr>
          <w:rFonts w:ascii="宋体" w:hAnsi="宋体" w:eastAsia="宋体" w:cs="宋体"/>
          <w:spacing w:val="-2"/>
          <w:sz w:val="24"/>
          <w:szCs w:val="24"/>
          <w:highlight w:val="none"/>
        </w:rPr>
        <w:t>附件资料：本项目初步设计及概算等资料</w:t>
      </w:r>
    </w:p>
    <w:p w14:paraId="7A7217E3">
      <w:pPr>
        <w:pStyle w:val="3"/>
        <w:spacing w:line="242" w:lineRule="auto"/>
        <w:rPr>
          <w:highlight w:val="none"/>
        </w:rPr>
      </w:pPr>
    </w:p>
    <w:p w14:paraId="0C30105A">
      <w:pPr>
        <w:pStyle w:val="3"/>
        <w:spacing w:line="242" w:lineRule="auto"/>
        <w:rPr>
          <w:highlight w:val="none"/>
        </w:rPr>
      </w:pPr>
    </w:p>
    <w:p w14:paraId="0EFE4D45">
      <w:pPr>
        <w:pStyle w:val="3"/>
        <w:spacing w:line="243" w:lineRule="auto"/>
        <w:rPr>
          <w:highlight w:val="none"/>
        </w:rPr>
      </w:pPr>
    </w:p>
    <w:p w14:paraId="29D449C8">
      <w:pPr>
        <w:spacing w:before="117" w:line="219" w:lineRule="auto"/>
        <w:ind w:left="2704"/>
        <w:outlineLvl w:val="0"/>
        <w:rPr>
          <w:rFonts w:ascii="宋体" w:hAnsi="宋体" w:eastAsia="宋体" w:cs="宋体"/>
          <w:sz w:val="36"/>
          <w:szCs w:val="36"/>
          <w:highlight w:val="none"/>
        </w:rPr>
      </w:pPr>
      <w:bookmarkStart w:id="22" w:name="_Toc14737"/>
      <w:r>
        <w:rPr>
          <w:rFonts w:ascii="宋体" w:hAnsi="宋体" w:eastAsia="宋体" w:cs="宋体"/>
          <w:b/>
          <w:bCs/>
          <w:spacing w:val="-4"/>
          <w:sz w:val="36"/>
          <w:szCs w:val="36"/>
          <w:highlight w:val="none"/>
        </w:rPr>
        <w:t>第八章不见面开标注意事项</w:t>
      </w:r>
      <w:bookmarkEnd w:id="22"/>
    </w:p>
    <w:p w14:paraId="4363BE9A">
      <w:pPr>
        <w:pStyle w:val="3"/>
        <w:spacing w:line="270" w:lineRule="auto"/>
        <w:rPr>
          <w:highlight w:val="none"/>
        </w:rPr>
      </w:pPr>
    </w:p>
    <w:p w14:paraId="1DA3567A">
      <w:pPr>
        <w:spacing w:before="79" w:line="220"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第一条不见面开标时间以六安市公共资源交易不见面</w:t>
      </w:r>
      <w:r>
        <w:rPr>
          <w:rFonts w:ascii="宋体" w:hAnsi="宋体" w:eastAsia="宋体" w:cs="宋体"/>
          <w:spacing w:val="-2"/>
          <w:sz w:val="24"/>
          <w:szCs w:val="24"/>
          <w:highlight w:val="none"/>
        </w:rPr>
        <w:t>开标系统显示时间为准。</w:t>
      </w:r>
    </w:p>
    <w:p w14:paraId="224A4C43">
      <w:pPr>
        <w:pStyle w:val="3"/>
        <w:spacing w:line="241" w:lineRule="auto"/>
        <w:rPr>
          <w:highlight w:val="none"/>
        </w:rPr>
      </w:pPr>
    </w:p>
    <w:p w14:paraId="6D03EED4">
      <w:pPr>
        <w:spacing w:before="78" w:line="349" w:lineRule="auto"/>
        <w:ind w:firstLine="479"/>
        <w:rPr>
          <w:rFonts w:ascii="宋体" w:hAnsi="宋体" w:eastAsia="宋体" w:cs="宋体"/>
          <w:sz w:val="24"/>
          <w:szCs w:val="24"/>
          <w:highlight w:val="none"/>
        </w:rPr>
      </w:pPr>
      <w:r>
        <w:rPr>
          <w:rFonts w:ascii="宋体" w:hAnsi="宋体" w:eastAsia="宋体" w:cs="宋体"/>
          <w:spacing w:val="-3"/>
          <w:sz w:val="24"/>
          <w:szCs w:val="24"/>
          <w:highlight w:val="none"/>
        </w:rPr>
        <w:t>第二条参与不见面开标的招标人（采购人）或其委托的代理机构、投标人（供应商）等交易主体，应当按照规定取得和使用数字证书及电子签章。各方主体在电子系统中所有操作均具有法律效力，并承担法律责任。</w:t>
      </w:r>
    </w:p>
    <w:p w14:paraId="0F91AD6B">
      <w:pPr>
        <w:spacing w:line="349" w:lineRule="auto"/>
        <w:rPr>
          <w:rFonts w:ascii="宋体" w:hAnsi="宋体" w:eastAsia="宋体" w:cs="宋体"/>
          <w:sz w:val="24"/>
          <w:szCs w:val="24"/>
          <w:highlight w:val="none"/>
        </w:rPr>
        <w:sectPr>
          <w:footerReference r:id="rId99" w:type="default"/>
          <w:pgSz w:w="11907" w:h="16839"/>
          <w:pgMar w:top="1431" w:right="1081" w:bottom="1127" w:left="1092" w:header="0" w:footer="896" w:gutter="0"/>
          <w:cols w:space="720" w:num="1"/>
        </w:sectPr>
      </w:pPr>
    </w:p>
    <w:p w14:paraId="0001AA4E">
      <w:pPr>
        <w:spacing w:before="234" w:line="366" w:lineRule="auto"/>
        <w:ind w:left="3" w:right="46" w:firstLine="476"/>
        <w:rPr>
          <w:rFonts w:ascii="宋体" w:hAnsi="宋体" w:eastAsia="宋体" w:cs="宋体"/>
          <w:sz w:val="24"/>
          <w:szCs w:val="24"/>
          <w:highlight w:val="none"/>
        </w:rPr>
      </w:pPr>
      <w:r>
        <w:rPr>
          <w:rFonts w:ascii="宋体" w:hAnsi="宋体" w:eastAsia="宋体" w:cs="宋体"/>
          <w:spacing w:val="-3"/>
          <w:sz w:val="24"/>
          <w:szCs w:val="24"/>
          <w:highlight w:val="none"/>
        </w:rPr>
        <w:t>第三条投标人（供应商）参加不见面开标项目，应在投标文件递交截止时间前严格按招标（采购）文件要求制作、上传经过数字证书电子签章加密的电</w:t>
      </w:r>
      <w:r>
        <w:rPr>
          <w:rFonts w:ascii="宋体" w:hAnsi="宋体" w:eastAsia="宋体" w:cs="宋体"/>
          <w:spacing w:val="-4"/>
          <w:sz w:val="24"/>
          <w:szCs w:val="24"/>
          <w:highlight w:val="none"/>
        </w:rPr>
        <w:t>子交易文件（加密和解密须用同</w:t>
      </w:r>
      <w:r>
        <w:rPr>
          <w:rFonts w:ascii="宋体" w:hAnsi="宋体" w:eastAsia="宋体" w:cs="宋体"/>
          <w:spacing w:val="-3"/>
          <w:sz w:val="24"/>
          <w:szCs w:val="24"/>
          <w:highlight w:val="none"/>
        </w:rPr>
        <w:t>一数字证书）。招标人（采购人）或其委托的代理机构担任不见面开标室主持人。主持人根据</w:t>
      </w:r>
      <w:r>
        <w:rPr>
          <w:rFonts w:ascii="宋体" w:hAnsi="宋体" w:eastAsia="宋体" w:cs="宋体"/>
          <w:spacing w:val="-2"/>
          <w:sz w:val="24"/>
          <w:szCs w:val="24"/>
          <w:highlight w:val="none"/>
        </w:rPr>
        <w:t>不见面开标程序和操作权限进行不见面开标</w:t>
      </w:r>
      <w:r>
        <w:rPr>
          <w:rFonts w:ascii="宋体" w:hAnsi="宋体" w:eastAsia="宋体" w:cs="宋体"/>
          <w:spacing w:val="-3"/>
          <w:sz w:val="24"/>
          <w:szCs w:val="24"/>
          <w:highlight w:val="none"/>
        </w:rPr>
        <w:t>操作。</w:t>
      </w:r>
    </w:p>
    <w:p w14:paraId="2F906A38">
      <w:pPr>
        <w:pStyle w:val="3"/>
        <w:rPr>
          <w:highlight w:val="none"/>
        </w:rPr>
      </w:pPr>
    </w:p>
    <w:p w14:paraId="4718BA50">
      <w:pPr>
        <w:spacing w:before="78" w:line="316" w:lineRule="auto"/>
        <w:ind w:left="6" w:right="45" w:firstLine="474"/>
        <w:rPr>
          <w:rFonts w:ascii="宋体" w:hAnsi="宋体" w:eastAsia="宋体" w:cs="宋体"/>
          <w:sz w:val="24"/>
          <w:szCs w:val="24"/>
          <w:highlight w:val="none"/>
        </w:rPr>
      </w:pPr>
      <w:r>
        <w:rPr>
          <w:rFonts w:ascii="宋体" w:hAnsi="宋体" w:eastAsia="宋体" w:cs="宋体"/>
          <w:spacing w:val="-1"/>
          <w:sz w:val="24"/>
          <w:szCs w:val="24"/>
          <w:highlight w:val="none"/>
        </w:rPr>
        <w:t>第四条投标人（供应商）应在投标截止时间之前使用数字证书（即</w:t>
      </w:r>
      <w:r>
        <w:rPr>
          <w:rFonts w:ascii="宋体" w:hAnsi="宋体" w:eastAsia="宋体" w:cs="宋体"/>
          <w:spacing w:val="-32"/>
          <w:sz w:val="24"/>
          <w:szCs w:val="24"/>
          <w:highlight w:val="none"/>
        </w:rPr>
        <w:t xml:space="preserve"> </w:t>
      </w:r>
      <w:r>
        <w:rPr>
          <w:rFonts w:ascii="宋体" w:hAnsi="宋体" w:eastAsia="宋体" w:cs="宋体"/>
          <w:spacing w:val="-1"/>
          <w:sz w:val="24"/>
          <w:szCs w:val="24"/>
          <w:highlight w:val="none"/>
        </w:rPr>
        <w:t>CA</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专用锁或手机扫描</w:t>
      </w:r>
      <w:r>
        <w:rPr>
          <w:rFonts w:ascii="宋体" w:hAnsi="宋体" w:eastAsia="宋体" w:cs="宋体"/>
          <w:spacing w:val="-2"/>
          <w:sz w:val="24"/>
          <w:szCs w:val="24"/>
          <w:highlight w:val="none"/>
        </w:rPr>
        <w:t>（以招标采购文件约定为准）自行</w:t>
      </w:r>
      <w:r>
        <w:rPr>
          <w:rFonts w:hint="eastAsia" w:ascii="宋体" w:hAnsi="宋体" w:eastAsia="宋体" w:cs="宋体"/>
          <w:spacing w:val="-2"/>
          <w:sz w:val="24"/>
          <w:szCs w:val="24"/>
          <w:highlight w:val="none"/>
          <w:lang w:eastAsia="zh-CN"/>
        </w:rPr>
        <w:t>登录</w:t>
      </w:r>
      <w:r>
        <w:rPr>
          <w:rFonts w:ascii="宋体" w:hAnsi="宋体" w:eastAsia="宋体" w:cs="宋体"/>
          <w:spacing w:val="-2"/>
          <w:sz w:val="24"/>
          <w:szCs w:val="24"/>
          <w:highlight w:val="none"/>
        </w:rPr>
        <w:t>不见面开标大厅。</w:t>
      </w:r>
    </w:p>
    <w:p w14:paraId="3218A529">
      <w:pPr>
        <w:pStyle w:val="3"/>
        <w:rPr>
          <w:highlight w:val="none"/>
        </w:rPr>
      </w:pPr>
    </w:p>
    <w:p w14:paraId="5FF80792">
      <w:pPr>
        <w:spacing w:before="78" w:line="376" w:lineRule="auto"/>
        <w:ind w:right="45" w:firstLine="480"/>
        <w:rPr>
          <w:rFonts w:ascii="宋体" w:hAnsi="宋体" w:eastAsia="宋体" w:cs="宋体"/>
          <w:sz w:val="24"/>
          <w:szCs w:val="24"/>
          <w:highlight w:val="none"/>
        </w:rPr>
      </w:pPr>
      <w:r>
        <w:rPr>
          <w:rFonts w:ascii="宋体" w:hAnsi="宋体" w:eastAsia="宋体" w:cs="宋体"/>
          <w:spacing w:val="-3"/>
          <w:sz w:val="24"/>
          <w:szCs w:val="24"/>
          <w:highlight w:val="none"/>
        </w:rPr>
        <w:t>第五条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w:t>
      </w:r>
      <w:r>
        <w:rPr>
          <w:rFonts w:ascii="宋体" w:hAnsi="宋体" w:eastAsia="宋体" w:cs="宋体"/>
          <w:spacing w:val="-1"/>
          <w:sz w:val="24"/>
          <w:szCs w:val="24"/>
          <w:highlight w:val="none"/>
        </w:rPr>
        <w:t>通过不见面开标室发出投标文件解密指令，投标人（供应商）应在解密指令发出后</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30</w:t>
      </w:r>
      <w:r>
        <w:rPr>
          <w:rFonts w:ascii="宋体" w:hAnsi="宋体" w:eastAsia="宋体" w:cs="宋体"/>
          <w:spacing w:val="-38"/>
          <w:sz w:val="24"/>
          <w:szCs w:val="24"/>
          <w:highlight w:val="none"/>
        </w:rPr>
        <w:t xml:space="preserve"> </w:t>
      </w:r>
      <w:r>
        <w:rPr>
          <w:rFonts w:ascii="宋体" w:hAnsi="宋体" w:eastAsia="宋体" w:cs="宋体"/>
          <w:spacing w:val="-1"/>
          <w:sz w:val="24"/>
          <w:szCs w:val="24"/>
          <w:highlight w:val="none"/>
        </w:rPr>
        <w:t>分钟内</w:t>
      </w:r>
      <w:r>
        <w:rPr>
          <w:rFonts w:ascii="宋体" w:hAnsi="宋体" w:eastAsia="宋体" w:cs="宋体"/>
          <w:spacing w:val="-8"/>
          <w:sz w:val="24"/>
          <w:szCs w:val="24"/>
          <w:highlight w:val="none"/>
        </w:rPr>
        <w:t>完成解密。</w:t>
      </w:r>
    </w:p>
    <w:p w14:paraId="6C2C8833">
      <w:pPr>
        <w:spacing w:before="316" w:line="219" w:lineRule="auto"/>
        <w:ind w:left="2"/>
        <w:rPr>
          <w:rFonts w:ascii="宋体" w:hAnsi="宋体" w:eastAsia="宋体" w:cs="宋体"/>
          <w:sz w:val="24"/>
          <w:szCs w:val="24"/>
          <w:highlight w:val="none"/>
        </w:rPr>
      </w:pPr>
      <w:r>
        <w:rPr>
          <w:rFonts w:ascii="宋体" w:hAnsi="宋体" w:eastAsia="宋体" w:cs="宋体"/>
          <w:spacing w:val="-2"/>
          <w:sz w:val="24"/>
          <w:szCs w:val="24"/>
          <w:highlight w:val="none"/>
        </w:rPr>
        <w:t>投标人（供应商）未按规定完成解密，视为放弃投标。</w:t>
      </w:r>
    </w:p>
    <w:p w14:paraId="5B7F0AB1">
      <w:pPr>
        <w:spacing w:before="319" w:line="416" w:lineRule="auto"/>
        <w:ind w:left="2" w:right="47" w:firstLine="477"/>
        <w:rPr>
          <w:rFonts w:ascii="宋体" w:hAnsi="宋体" w:eastAsia="宋体" w:cs="宋体"/>
          <w:sz w:val="24"/>
          <w:szCs w:val="24"/>
          <w:highlight w:val="none"/>
        </w:rPr>
      </w:pPr>
      <w:r>
        <w:rPr>
          <w:rFonts w:ascii="宋体" w:hAnsi="宋体" w:eastAsia="宋体" w:cs="宋体"/>
          <w:spacing w:val="-3"/>
          <w:sz w:val="24"/>
          <w:szCs w:val="24"/>
          <w:highlight w:val="none"/>
        </w:rPr>
        <w:t>第六条投标人（供应商）应妥善保管和正确使用数字证书，期满前及时到证书颁发机构办</w:t>
      </w:r>
      <w:r>
        <w:rPr>
          <w:rFonts w:ascii="宋体" w:hAnsi="宋体" w:eastAsia="宋体" w:cs="宋体"/>
          <w:spacing w:val="-9"/>
          <w:sz w:val="24"/>
          <w:szCs w:val="24"/>
          <w:highlight w:val="none"/>
        </w:rPr>
        <w:t>理续期。</w:t>
      </w:r>
    </w:p>
    <w:p w14:paraId="03A207CE">
      <w:pPr>
        <w:spacing w:before="61" w:line="415" w:lineRule="auto"/>
        <w:ind w:right="44" w:firstLine="500"/>
        <w:rPr>
          <w:rFonts w:ascii="宋体" w:hAnsi="宋体" w:eastAsia="宋体" w:cs="宋体"/>
          <w:sz w:val="24"/>
          <w:szCs w:val="24"/>
          <w:highlight w:val="none"/>
        </w:rPr>
      </w:pPr>
      <w:r>
        <w:rPr>
          <w:rFonts w:ascii="宋体" w:hAnsi="宋体" w:eastAsia="宋体" w:cs="宋体"/>
          <w:spacing w:val="-3"/>
          <w:sz w:val="24"/>
          <w:szCs w:val="24"/>
          <w:highlight w:val="none"/>
        </w:rPr>
        <w:t>出现下列情况的，投标人（供应商）须重新用数字证书电子</w:t>
      </w:r>
      <w:r>
        <w:rPr>
          <w:rFonts w:ascii="宋体" w:hAnsi="宋体" w:eastAsia="宋体" w:cs="宋体"/>
          <w:spacing w:val="-4"/>
          <w:sz w:val="24"/>
          <w:szCs w:val="24"/>
          <w:highlight w:val="none"/>
        </w:rPr>
        <w:t>签章和加密投标文件，并在投</w:t>
      </w:r>
      <w:r>
        <w:rPr>
          <w:rFonts w:ascii="宋体" w:hAnsi="宋体" w:eastAsia="宋体" w:cs="宋体"/>
          <w:spacing w:val="-2"/>
          <w:sz w:val="24"/>
          <w:szCs w:val="24"/>
          <w:highlight w:val="none"/>
        </w:rPr>
        <w:t>标文件递交截止时间前将投标文件上传至六安市公共资源电子交易系统：</w:t>
      </w:r>
    </w:p>
    <w:p w14:paraId="7A0724AB">
      <w:pPr>
        <w:spacing w:before="60" w:line="219" w:lineRule="auto"/>
        <w:ind w:left="486"/>
        <w:rPr>
          <w:rFonts w:ascii="宋体" w:hAnsi="宋体" w:eastAsia="宋体" w:cs="宋体"/>
          <w:sz w:val="24"/>
          <w:szCs w:val="24"/>
          <w:highlight w:val="none"/>
        </w:rPr>
      </w:pPr>
      <w:r>
        <w:rPr>
          <w:rFonts w:ascii="宋体" w:hAnsi="宋体" w:eastAsia="宋体" w:cs="宋体"/>
          <w:spacing w:val="-5"/>
          <w:sz w:val="24"/>
          <w:szCs w:val="24"/>
          <w:highlight w:val="none"/>
        </w:rPr>
        <w:t>（一）数字证书到期后重新续期；</w:t>
      </w:r>
    </w:p>
    <w:p w14:paraId="7E7B52E9">
      <w:pPr>
        <w:spacing w:before="317"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（二）数字证书因遗失、损坏、企业信息变更等情况更换新证书。</w:t>
      </w:r>
    </w:p>
    <w:p w14:paraId="55EFABA7">
      <w:pPr>
        <w:pStyle w:val="3"/>
        <w:rPr>
          <w:highlight w:val="none"/>
        </w:rPr>
      </w:pPr>
    </w:p>
    <w:p w14:paraId="1E2A3583">
      <w:pPr>
        <w:spacing w:before="79" w:line="416" w:lineRule="auto"/>
        <w:ind w:left="29" w:firstLine="454"/>
        <w:rPr>
          <w:rFonts w:ascii="宋体" w:hAnsi="宋体" w:eastAsia="宋体" w:cs="宋体"/>
          <w:sz w:val="24"/>
          <w:szCs w:val="24"/>
          <w:highlight w:val="none"/>
        </w:rPr>
      </w:pPr>
      <w:r>
        <w:rPr>
          <w:rFonts w:ascii="宋体" w:hAnsi="宋体" w:eastAsia="宋体" w:cs="宋体"/>
          <w:spacing w:val="-2"/>
          <w:sz w:val="24"/>
          <w:szCs w:val="24"/>
          <w:highlight w:val="none"/>
        </w:rPr>
        <w:t>投标人（供应商）由于数字证书遗失、损坏、更换、续期等原因导致投标文件无法解密，</w:t>
      </w:r>
      <w:r>
        <w:rPr>
          <w:rFonts w:ascii="宋体" w:hAnsi="宋体" w:eastAsia="宋体" w:cs="宋体"/>
          <w:spacing w:val="-5"/>
          <w:sz w:val="24"/>
          <w:szCs w:val="24"/>
          <w:highlight w:val="none"/>
        </w:rPr>
        <w:t>由投标人（供应商）自行承担责任。</w:t>
      </w:r>
    </w:p>
    <w:p w14:paraId="112BEB90">
      <w:pPr>
        <w:spacing w:before="63" w:line="349" w:lineRule="auto"/>
        <w:ind w:right="45" w:firstLine="479"/>
        <w:rPr>
          <w:rFonts w:ascii="宋体" w:hAnsi="宋体" w:eastAsia="宋体" w:cs="宋体"/>
          <w:sz w:val="24"/>
          <w:szCs w:val="24"/>
          <w:highlight w:val="none"/>
        </w:rPr>
      </w:pPr>
      <w:r>
        <w:rPr>
          <w:rFonts w:ascii="宋体" w:hAnsi="宋体" w:eastAsia="宋体" w:cs="宋体"/>
          <w:spacing w:val="-3"/>
          <w:sz w:val="24"/>
          <w:szCs w:val="24"/>
          <w:highlight w:val="none"/>
        </w:rPr>
        <w:t>第七条各投标人（供应商）在项目开标、评标（审）期间应保持在线状态，随时通过电子交易系统接受评标（审）委员会发出的询标信息，并在规定时间内答复，未能按时答复的，评标（审）委员会将视同其放弃澄清。</w:t>
      </w:r>
    </w:p>
    <w:p w14:paraId="3582DFFE">
      <w:pPr>
        <w:spacing w:before="317" w:line="220" w:lineRule="auto"/>
        <w:ind w:left="480"/>
        <w:rPr>
          <w:rFonts w:ascii="宋体" w:hAnsi="宋体" w:eastAsia="宋体" w:cs="宋体"/>
          <w:sz w:val="24"/>
          <w:szCs w:val="24"/>
          <w:highlight w:val="none"/>
        </w:rPr>
      </w:pPr>
      <w:r>
        <w:rPr>
          <w:rFonts w:ascii="宋体" w:hAnsi="宋体" w:eastAsia="宋体" w:cs="宋体"/>
          <w:spacing w:val="-3"/>
          <w:sz w:val="24"/>
          <w:szCs w:val="24"/>
          <w:highlight w:val="none"/>
        </w:rPr>
        <w:t>第八条出现下列情形导致系统无法正常运行，或者无法保证交易过程的公平、公正和信息</w:t>
      </w:r>
    </w:p>
    <w:p w14:paraId="0A06831B">
      <w:pPr>
        <w:spacing w:line="220" w:lineRule="auto"/>
        <w:rPr>
          <w:rFonts w:ascii="宋体" w:hAnsi="宋体" w:eastAsia="宋体" w:cs="宋体"/>
          <w:sz w:val="24"/>
          <w:szCs w:val="24"/>
          <w:highlight w:val="none"/>
        </w:rPr>
        <w:sectPr>
          <w:footerReference r:id="rId100" w:type="default"/>
          <w:pgSz w:w="11907" w:h="16839"/>
          <w:pgMar w:top="1431" w:right="1037" w:bottom="1127" w:left="1091" w:header="0" w:footer="896" w:gutter="0"/>
          <w:cols w:space="720" w:num="1"/>
        </w:sectPr>
      </w:pPr>
    </w:p>
    <w:p w14:paraId="1E28CA9F">
      <w:pPr>
        <w:spacing w:before="232" w:line="220" w:lineRule="auto"/>
        <w:ind w:left="5"/>
        <w:rPr>
          <w:rFonts w:ascii="宋体" w:hAnsi="宋体" w:eastAsia="宋体" w:cs="宋体"/>
          <w:sz w:val="24"/>
          <w:szCs w:val="24"/>
          <w:highlight w:val="none"/>
        </w:rPr>
      </w:pPr>
      <w:r>
        <w:rPr>
          <w:rFonts w:ascii="宋体" w:hAnsi="宋体" w:eastAsia="宋体" w:cs="宋体"/>
          <w:spacing w:val="-6"/>
          <w:sz w:val="24"/>
          <w:szCs w:val="24"/>
          <w:highlight w:val="none"/>
        </w:rPr>
        <w:t>安全时，各方当事人免责：</w:t>
      </w:r>
    </w:p>
    <w:p w14:paraId="5012ED5C">
      <w:pPr>
        <w:spacing w:before="315"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（一）网络服务器发生故障而无法访问网站或无法使用不见面</w:t>
      </w:r>
      <w:r>
        <w:rPr>
          <w:rFonts w:ascii="宋体" w:hAnsi="宋体" w:eastAsia="宋体" w:cs="宋体"/>
          <w:spacing w:val="-3"/>
          <w:sz w:val="24"/>
          <w:szCs w:val="24"/>
          <w:highlight w:val="none"/>
        </w:rPr>
        <w:t>开标系统的；</w:t>
      </w:r>
    </w:p>
    <w:p w14:paraId="12B7ABE1">
      <w:pPr>
        <w:spacing w:before="316"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（二）不见面开标系统的软件或网络数据库出现错误，不能进行正常操</w:t>
      </w:r>
      <w:r>
        <w:rPr>
          <w:rFonts w:ascii="宋体" w:hAnsi="宋体" w:eastAsia="宋体" w:cs="宋体"/>
          <w:spacing w:val="-3"/>
          <w:sz w:val="24"/>
          <w:szCs w:val="24"/>
          <w:highlight w:val="none"/>
        </w:rPr>
        <w:t>作的；</w:t>
      </w:r>
    </w:p>
    <w:p w14:paraId="0DD6AE2C">
      <w:pPr>
        <w:spacing w:before="316" w:line="220" w:lineRule="auto"/>
        <w:ind w:left="487"/>
        <w:rPr>
          <w:rFonts w:ascii="宋体" w:hAnsi="宋体" w:eastAsia="宋体" w:cs="宋体"/>
          <w:sz w:val="24"/>
          <w:szCs w:val="24"/>
          <w:highlight w:val="none"/>
        </w:rPr>
      </w:pPr>
      <w:r>
        <w:rPr>
          <w:rFonts w:ascii="宋体" w:hAnsi="宋体" w:eastAsia="宋体" w:cs="宋体"/>
          <w:spacing w:val="-1"/>
          <w:sz w:val="24"/>
          <w:szCs w:val="24"/>
          <w:highlight w:val="none"/>
        </w:rPr>
        <w:t>（三）不见面开标系统发现有安全漏洞，有潜</w:t>
      </w:r>
      <w:r>
        <w:rPr>
          <w:rFonts w:ascii="宋体" w:hAnsi="宋体" w:eastAsia="宋体" w:cs="宋体"/>
          <w:spacing w:val="-2"/>
          <w:sz w:val="24"/>
          <w:szCs w:val="24"/>
          <w:highlight w:val="none"/>
        </w:rPr>
        <w:t>在的泄密危险的；</w:t>
      </w:r>
    </w:p>
    <w:p w14:paraId="67D9D185">
      <w:pPr>
        <w:spacing w:before="314" w:line="219" w:lineRule="auto"/>
        <w:ind w:left="487"/>
        <w:rPr>
          <w:rFonts w:ascii="宋体" w:hAnsi="宋体" w:eastAsia="宋体" w:cs="宋体"/>
          <w:sz w:val="24"/>
          <w:szCs w:val="24"/>
          <w:highlight w:val="none"/>
        </w:rPr>
      </w:pPr>
      <w:r>
        <w:rPr>
          <w:rFonts w:ascii="宋体" w:hAnsi="宋体" w:eastAsia="宋体" w:cs="宋体"/>
          <w:spacing w:val="-4"/>
          <w:sz w:val="24"/>
          <w:szCs w:val="24"/>
          <w:highlight w:val="none"/>
        </w:rPr>
        <w:t>（四）计算机病毒发作导致系统无法正常运行的；</w:t>
      </w:r>
    </w:p>
    <w:p w14:paraId="3B3D9DAF">
      <w:pPr>
        <w:spacing w:before="317"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（五）电力系统发生故障导致不见面开标系统无法运行的；</w:t>
      </w:r>
    </w:p>
    <w:p w14:paraId="1392ECAF">
      <w:pPr>
        <w:spacing w:before="317" w:line="220"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（六）其他无法保证交易过程公平、公正和信息安全的情形。</w:t>
      </w:r>
    </w:p>
    <w:p w14:paraId="41C5D057">
      <w:pPr>
        <w:spacing w:before="319" w:line="415" w:lineRule="auto"/>
        <w:ind w:left="5" w:hanging="5"/>
        <w:rPr>
          <w:rFonts w:ascii="宋体" w:hAnsi="宋体" w:eastAsia="宋体" w:cs="宋体"/>
          <w:sz w:val="24"/>
          <w:szCs w:val="24"/>
          <w:highlight w:val="none"/>
        </w:rPr>
      </w:pPr>
      <w:r>
        <w:rPr>
          <w:rFonts w:ascii="宋体" w:hAnsi="宋体" w:eastAsia="宋体" w:cs="宋体"/>
          <w:spacing w:val="-2"/>
          <w:sz w:val="24"/>
          <w:szCs w:val="24"/>
          <w:highlight w:val="none"/>
        </w:rPr>
        <w:t>第九条出现第八条所列情形，不能及时解决的，应由招标人（采购人）和交易中心及时会商，</w:t>
      </w:r>
      <w:r>
        <w:rPr>
          <w:rFonts w:ascii="宋体" w:hAnsi="宋体" w:eastAsia="宋体" w:cs="宋体"/>
          <w:spacing w:val="-3"/>
          <w:sz w:val="24"/>
          <w:szCs w:val="24"/>
          <w:highlight w:val="none"/>
        </w:rPr>
        <w:t>并报告公共资源交易监管部门，采取以下方式处理：</w:t>
      </w:r>
    </w:p>
    <w:p w14:paraId="4E7B1B38">
      <w:pPr>
        <w:spacing w:before="64" w:line="317" w:lineRule="auto"/>
        <w:ind w:left="1" w:right="93" w:firstLine="485"/>
        <w:rPr>
          <w:rFonts w:ascii="宋体" w:hAnsi="宋体" w:eastAsia="宋体" w:cs="宋体"/>
          <w:sz w:val="24"/>
          <w:szCs w:val="24"/>
          <w:highlight w:val="none"/>
        </w:rPr>
      </w:pPr>
      <w:r>
        <w:rPr>
          <w:rFonts w:ascii="宋体" w:hAnsi="宋体" w:eastAsia="宋体" w:cs="宋体"/>
          <w:spacing w:val="-4"/>
          <w:sz w:val="24"/>
          <w:szCs w:val="24"/>
          <w:highlight w:val="none"/>
        </w:rPr>
        <w:t>（一）系统或网络故障在三个小时内排除并通过可靠测试的，恢复系统</w:t>
      </w:r>
      <w:r>
        <w:rPr>
          <w:rFonts w:ascii="宋体" w:hAnsi="宋体" w:eastAsia="宋体" w:cs="宋体"/>
          <w:spacing w:val="-5"/>
          <w:sz w:val="24"/>
          <w:szCs w:val="24"/>
          <w:highlight w:val="none"/>
        </w:rPr>
        <w:t>运行后可继续项目</w:t>
      </w:r>
      <w:r>
        <w:rPr>
          <w:rFonts w:ascii="宋体" w:hAnsi="宋体" w:eastAsia="宋体" w:cs="宋体"/>
          <w:spacing w:val="-15"/>
          <w:sz w:val="24"/>
          <w:szCs w:val="24"/>
          <w:highlight w:val="none"/>
        </w:rPr>
        <w:t>开标；</w:t>
      </w:r>
    </w:p>
    <w:p w14:paraId="7C083D34">
      <w:pPr>
        <w:spacing w:before="319" w:line="315" w:lineRule="auto"/>
        <w:ind w:right="48" w:firstLine="487"/>
        <w:rPr>
          <w:rFonts w:ascii="宋体" w:hAnsi="宋体" w:eastAsia="宋体" w:cs="宋体"/>
          <w:sz w:val="24"/>
          <w:szCs w:val="24"/>
          <w:highlight w:val="none"/>
        </w:rPr>
      </w:pPr>
      <w:r>
        <w:rPr>
          <w:rFonts w:ascii="宋体" w:hAnsi="宋体" w:eastAsia="宋体" w:cs="宋体"/>
          <w:sz w:val="24"/>
          <w:szCs w:val="24"/>
          <w:highlight w:val="none"/>
        </w:rPr>
        <w:t>（二）系统或网络故障在三个小时内未能排除的，可依法中止开标,做好招投标资料的封</w:t>
      </w:r>
      <w:r>
        <w:rPr>
          <w:rFonts w:ascii="宋体" w:hAnsi="宋体" w:eastAsia="宋体" w:cs="宋体"/>
          <w:spacing w:val="-3"/>
          <w:sz w:val="24"/>
          <w:szCs w:val="24"/>
          <w:highlight w:val="none"/>
        </w:rPr>
        <w:t>存和保密工作,待故障解除后重新开标。</w:t>
      </w:r>
    </w:p>
    <w:sectPr>
      <w:footerReference r:id="rId101" w:type="default"/>
      <w:pgSz w:w="11907" w:h="16839"/>
      <w:pgMar w:top="1431" w:right="1037" w:bottom="1127" w:left="1090" w:header="0" w:footer="8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9017">
    <w:pPr>
      <w:spacing w:line="228" w:lineRule="auto"/>
      <w:ind w:left="4503"/>
      <w:rPr>
        <w:rFonts w:ascii="仿宋" w:hAnsi="仿宋" w:eastAsia="仿宋" w:cs="仿宋"/>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CAB3">
    <w:pPr>
      <w:spacing w:line="226" w:lineRule="auto"/>
      <w:ind w:left="4541"/>
      <w:rPr>
        <w:rFonts w:ascii="仿宋" w:hAnsi="仿宋" w:eastAsia="仿宋" w:cs="仿宋"/>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4329">
    <w:pPr>
      <w:spacing w:line="226" w:lineRule="auto"/>
      <w:ind w:left="4530"/>
      <w:rPr>
        <w:rFonts w:ascii="仿宋" w:hAnsi="仿宋" w:eastAsia="仿宋" w:cs="仿宋"/>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B46A">
    <w:pPr>
      <w:spacing w:line="228" w:lineRule="auto"/>
      <w:ind w:left="4530"/>
      <w:rPr>
        <w:rFonts w:ascii="仿宋" w:hAnsi="仿宋" w:eastAsia="仿宋" w:cs="仿宋"/>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9459">
    <w:pPr>
      <w:spacing w:line="226" w:lineRule="auto"/>
      <w:ind w:left="4403"/>
      <w:rPr>
        <w:rFonts w:ascii="仿宋" w:hAnsi="仿宋" w:eastAsia="仿宋" w:cs="仿宋"/>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5869">
    <w:pPr>
      <w:spacing w:line="226" w:lineRule="auto"/>
      <w:ind w:left="4455"/>
      <w:rPr>
        <w:rFonts w:ascii="仿宋" w:hAnsi="仿宋" w:eastAsia="仿宋" w:cs="仿宋"/>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706D">
    <w:pPr>
      <w:spacing w:line="226" w:lineRule="auto"/>
      <w:ind w:left="4460"/>
      <w:rPr>
        <w:rFonts w:ascii="仿宋" w:hAnsi="仿宋" w:eastAsia="仿宋" w:cs="仿宋"/>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BBB">
    <w:pPr>
      <w:spacing w:line="226" w:lineRule="auto"/>
      <w:ind w:left="4580"/>
      <w:rPr>
        <w:rFonts w:ascii="仿宋" w:hAnsi="仿宋" w:eastAsia="仿宋" w:cs="仿宋"/>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0CBA">
    <w:pPr>
      <w:spacing w:line="226" w:lineRule="auto"/>
      <w:ind w:left="4463"/>
      <w:rPr>
        <w:rFonts w:ascii="仿宋" w:hAnsi="仿宋" w:eastAsia="仿宋" w:cs="仿宋"/>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FBB6">
    <w:pPr>
      <w:spacing w:line="226" w:lineRule="auto"/>
      <w:ind w:left="4503"/>
      <w:rPr>
        <w:rFonts w:ascii="仿宋" w:hAnsi="仿宋" w:eastAsia="仿宋" w:cs="仿宋"/>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CE51">
    <w:pPr>
      <w:spacing w:line="226" w:lineRule="auto"/>
      <w:ind w:left="4464"/>
      <w:rPr>
        <w:rFonts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EF01">
    <w:pPr>
      <w:spacing w:line="226" w:lineRule="auto"/>
      <w:ind w:left="4417"/>
      <w:rPr>
        <w:rFonts w:ascii="仿宋" w:hAnsi="仿宋" w:eastAsia="仿宋" w:cs="仿宋"/>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7761">
    <w:pPr>
      <w:spacing w:line="226" w:lineRule="auto"/>
      <w:ind w:left="4463"/>
      <w:rPr>
        <w:rFonts w:ascii="仿宋" w:hAnsi="仿宋" w:eastAsia="仿宋" w:cs="仿宋"/>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A1AA">
    <w:pPr>
      <w:spacing w:line="226" w:lineRule="auto"/>
      <w:ind w:left="4625"/>
      <w:rPr>
        <w:rFonts w:ascii="仿宋" w:hAnsi="仿宋" w:eastAsia="仿宋" w:cs="仿宋"/>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3AC9">
    <w:pPr>
      <w:spacing w:line="226" w:lineRule="auto"/>
      <w:ind w:left="4689"/>
      <w:rPr>
        <w:rFonts w:ascii="仿宋" w:hAnsi="仿宋" w:eastAsia="仿宋" w:cs="仿宋"/>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B90EB">
    <w:pPr>
      <w:spacing w:line="226" w:lineRule="auto"/>
      <w:ind w:left="4688"/>
      <w:rPr>
        <w:rFonts w:ascii="仿宋" w:hAnsi="仿宋" w:eastAsia="仿宋" w:cs="仿宋"/>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C24">
    <w:pPr>
      <w:spacing w:line="226" w:lineRule="auto"/>
      <w:ind w:left="4689"/>
      <w:rPr>
        <w:rFonts w:ascii="仿宋" w:hAnsi="仿宋" w:eastAsia="仿宋" w:cs="仿宋"/>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AD1D">
    <w:pPr>
      <w:spacing w:line="226" w:lineRule="auto"/>
      <w:ind w:left="4689"/>
      <w:rPr>
        <w:rFonts w:ascii="仿宋" w:hAnsi="仿宋" w:eastAsia="仿宋" w:cs="仿宋"/>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696D">
    <w:pPr>
      <w:spacing w:line="226" w:lineRule="auto"/>
      <w:ind w:left="4687"/>
      <w:rPr>
        <w:rFonts w:ascii="仿宋" w:hAnsi="仿宋" w:eastAsia="仿宋" w:cs="仿宋"/>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EC4F">
    <w:pPr>
      <w:spacing w:line="226" w:lineRule="auto"/>
      <w:ind w:left="4687"/>
      <w:rPr>
        <w:rFonts w:ascii="仿宋" w:hAnsi="仿宋" w:eastAsia="仿宋" w:cs="仿宋"/>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4B24">
    <w:pPr>
      <w:spacing w:line="226" w:lineRule="auto"/>
      <w:ind w:left="4686"/>
      <w:rPr>
        <w:rFonts w:ascii="仿宋" w:hAnsi="仿宋" w:eastAsia="仿宋" w:cs="仿宋"/>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B3D4B">
    <w:pPr>
      <w:spacing w:line="226" w:lineRule="auto"/>
      <w:ind w:left="4686"/>
      <w:rPr>
        <w:rFonts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5FC8">
    <w:pPr>
      <w:spacing w:line="228" w:lineRule="auto"/>
      <w:rPr>
        <w:rFonts w:ascii="仿宋" w:hAnsi="仿宋" w:eastAsia="仿宋" w:cs="仿宋"/>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6C7B">
    <w:pPr>
      <w:spacing w:line="226" w:lineRule="auto"/>
      <w:ind w:left="4764"/>
      <w:rPr>
        <w:rFonts w:ascii="仿宋" w:hAnsi="仿宋" w:eastAsia="仿宋" w:cs="仿宋"/>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A38D3">
    <w:pPr>
      <w:spacing w:line="226" w:lineRule="auto"/>
      <w:ind w:left="4687"/>
      <w:rPr>
        <w:rFonts w:ascii="仿宋" w:hAnsi="仿宋" w:eastAsia="仿宋" w:cs="仿宋"/>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E6B8">
    <w:pPr>
      <w:spacing w:line="226" w:lineRule="auto"/>
      <w:ind w:left="4686"/>
      <w:rPr>
        <w:rFonts w:ascii="仿宋" w:hAnsi="仿宋" w:eastAsia="仿宋" w:cs="仿宋"/>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D112">
    <w:pPr>
      <w:spacing w:line="226" w:lineRule="auto"/>
      <w:ind w:left="4779"/>
      <w:rPr>
        <w:rFonts w:ascii="仿宋" w:hAnsi="仿宋" w:eastAsia="仿宋" w:cs="仿宋"/>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531D">
    <w:pPr>
      <w:spacing w:line="226" w:lineRule="auto"/>
      <w:ind w:left="4777"/>
      <w:rPr>
        <w:rFonts w:ascii="仿宋" w:hAnsi="仿宋" w:eastAsia="仿宋" w:cs="仿宋"/>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E74">
    <w:pPr>
      <w:spacing w:line="226" w:lineRule="auto"/>
      <w:ind w:left="4687"/>
      <w:rPr>
        <w:rFonts w:ascii="仿宋" w:hAnsi="仿宋" w:eastAsia="仿宋" w:cs="仿宋"/>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CD318">
    <w:pPr>
      <w:spacing w:line="226" w:lineRule="auto"/>
      <w:ind w:left="4690"/>
      <w:rPr>
        <w:rFonts w:ascii="仿宋" w:hAnsi="仿宋" w:eastAsia="仿宋" w:cs="仿宋"/>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53BB">
    <w:pPr>
      <w:spacing w:line="226" w:lineRule="auto"/>
      <w:ind w:left="4786"/>
      <w:rPr>
        <w:rFonts w:ascii="仿宋" w:hAnsi="仿宋" w:eastAsia="仿宋" w:cs="仿宋"/>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DBF5">
    <w:pPr>
      <w:spacing w:line="226" w:lineRule="auto"/>
      <w:ind w:left="4691"/>
      <w:rPr>
        <w:rFonts w:ascii="仿宋" w:hAnsi="仿宋" w:eastAsia="仿宋" w:cs="仿宋"/>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DC61">
    <w:pPr>
      <w:spacing w:line="226" w:lineRule="auto"/>
      <w:ind w:left="4689"/>
      <w:rPr>
        <w:rFonts w:ascii="仿宋" w:hAnsi="仿宋" w:eastAsia="仿宋" w:cs="仿宋"/>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DBE6">
    <w:pPr>
      <w:spacing w:line="228" w:lineRule="auto"/>
      <w:ind w:left="4541"/>
      <w:rPr>
        <w:rFonts w:ascii="仿宋" w:hAnsi="仿宋" w:eastAsia="仿宋" w:cs="仿宋"/>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76C8">
    <w:pPr>
      <w:spacing w:line="226" w:lineRule="auto"/>
      <w:ind w:left="4688"/>
      <w:rPr>
        <w:rFonts w:ascii="仿宋" w:hAnsi="仿宋" w:eastAsia="仿宋" w:cs="仿宋"/>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3D46">
    <w:pPr>
      <w:spacing w:line="226" w:lineRule="auto"/>
      <w:ind w:left="4690"/>
      <w:rPr>
        <w:rFonts w:ascii="仿宋" w:hAnsi="仿宋" w:eastAsia="仿宋" w:cs="仿宋"/>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6CB4">
    <w:pPr>
      <w:spacing w:line="226" w:lineRule="auto"/>
      <w:ind w:left="4691"/>
      <w:rPr>
        <w:rFonts w:ascii="仿宋" w:hAnsi="仿宋" w:eastAsia="仿宋" w:cs="仿宋"/>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DC6F">
    <w:pPr>
      <w:spacing w:line="226" w:lineRule="auto"/>
      <w:ind w:left="4689"/>
      <w:rPr>
        <w:rFonts w:ascii="仿宋" w:hAnsi="仿宋" w:eastAsia="仿宋" w:cs="仿宋"/>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C153C">
    <w:pPr>
      <w:spacing w:line="226" w:lineRule="auto"/>
      <w:ind w:left="4767"/>
      <w:rPr>
        <w:rFonts w:ascii="仿宋" w:hAnsi="仿宋" w:eastAsia="仿宋" w:cs="仿宋"/>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F1BE">
    <w:pPr>
      <w:spacing w:line="226" w:lineRule="auto"/>
      <w:ind w:left="4689"/>
      <w:rPr>
        <w:rFonts w:ascii="仿宋" w:hAnsi="仿宋" w:eastAsia="仿宋" w:cs="仿宋"/>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FDF2E">
    <w:pPr>
      <w:spacing w:line="226" w:lineRule="auto"/>
      <w:ind w:left="4686"/>
      <w:rPr>
        <w:rFonts w:ascii="仿宋" w:hAnsi="仿宋" w:eastAsia="仿宋" w:cs="仿宋"/>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1D965">
    <w:pPr>
      <w:spacing w:line="226" w:lineRule="auto"/>
      <w:ind w:left="4687"/>
      <w:rPr>
        <w:rFonts w:ascii="仿宋" w:hAnsi="仿宋" w:eastAsia="仿宋" w:cs="仿宋"/>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93DD6">
    <w:pPr>
      <w:spacing w:line="226" w:lineRule="auto"/>
      <w:ind w:left="4684"/>
      <w:rPr>
        <w:rFonts w:ascii="仿宋" w:hAnsi="仿宋" w:eastAsia="仿宋" w:cs="仿宋"/>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06EF">
    <w:pPr>
      <w:spacing w:line="226" w:lineRule="auto"/>
      <w:ind w:left="4687"/>
      <w:rPr>
        <w:rFonts w:ascii="仿宋" w:hAnsi="仿宋" w:eastAsia="仿宋" w:cs="仿宋"/>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0C20">
    <w:pPr>
      <w:spacing w:line="226" w:lineRule="auto"/>
      <w:ind w:left="4541"/>
      <w:rPr>
        <w:rFonts w:ascii="仿宋" w:hAnsi="仿宋" w:eastAsia="仿宋" w:cs="仿宋"/>
        <w:sz w:val="18"/>
        <w:szCs w:val="18"/>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BD55">
    <w:pPr>
      <w:spacing w:line="226" w:lineRule="auto"/>
      <w:ind w:left="4687"/>
      <w:rPr>
        <w:rFonts w:ascii="仿宋" w:hAnsi="仿宋" w:eastAsia="仿宋" w:cs="仿宋"/>
        <w:sz w:val="18"/>
        <w:szCs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B70F">
    <w:pPr>
      <w:spacing w:line="226" w:lineRule="auto"/>
      <w:ind w:left="4685"/>
      <w:rPr>
        <w:rFonts w:ascii="仿宋" w:hAnsi="仿宋" w:eastAsia="仿宋" w:cs="仿宋"/>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242D">
    <w:pPr>
      <w:spacing w:line="226" w:lineRule="auto"/>
      <w:ind w:left="4780"/>
      <w:rPr>
        <w:rFonts w:ascii="仿宋" w:hAnsi="仿宋" w:eastAsia="仿宋" w:cs="仿宋"/>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DEBFE">
    <w:pPr>
      <w:spacing w:line="226" w:lineRule="auto"/>
      <w:ind w:left="4763"/>
      <w:rPr>
        <w:rFonts w:ascii="仿宋" w:hAnsi="仿宋" w:eastAsia="仿宋" w:cs="仿宋"/>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AA8A">
    <w:pPr>
      <w:spacing w:line="226" w:lineRule="auto"/>
      <w:ind w:left="7256"/>
      <w:rPr>
        <w:rFonts w:ascii="仿宋" w:hAnsi="仿宋" w:eastAsia="仿宋" w:cs="仿宋"/>
        <w:sz w:val="18"/>
        <w:szCs w:val="18"/>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2031">
    <w:pPr>
      <w:spacing w:line="226" w:lineRule="auto"/>
      <w:ind w:left="4791"/>
      <w:rPr>
        <w:rFonts w:ascii="仿宋" w:hAnsi="仿宋" w:eastAsia="仿宋" w:cs="仿宋"/>
        <w:sz w:val="18"/>
        <w:szCs w:val="18"/>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32C8">
    <w:pPr>
      <w:spacing w:line="226" w:lineRule="auto"/>
      <w:ind w:left="4782"/>
      <w:rPr>
        <w:rFonts w:ascii="仿宋" w:hAnsi="仿宋" w:eastAsia="仿宋" w:cs="仿宋"/>
        <w:sz w:val="18"/>
        <w:szCs w:val="18"/>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A92E">
    <w:pPr>
      <w:spacing w:line="226" w:lineRule="auto"/>
      <w:ind w:left="4303"/>
      <w:rPr>
        <w:rFonts w:ascii="仿宋" w:hAnsi="仿宋" w:eastAsia="仿宋" w:cs="仿宋"/>
        <w:sz w:val="18"/>
        <w:szCs w:val="18"/>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6BA4F">
    <w:pPr>
      <w:spacing w:line="226" w:lineRule="auto"/>
      <w:ind w:left="4763"/>
      <w:rPr>
        <w:rFonts w:ascii="仿宋" w:hAnsi="仿宋" w:eastAsia="仿宋" w:cs="仿宋"/>
        <w:sz w:val="18"/>
        <w:szCs w:val="18"/>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033C">
    <w:pPr>
      <w:spacing w:line="226" w:lineRule="auto"/>
      <w:ind w:left="4791"/>
      <w:rPr>
        <w:rFonts w:ascii="仿宋" w:hAnsi="仿宋" w:eastAsia="仿宋" w:cs="仿宋"/>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5798">
    <w:pPr>
      <w:spacing w:line="228" w:lineRule="auto"/>
      <w:ind w:left="4541"/>
      <w:rPr>
        <w:rFonts w:ascii="仿宋" w:hAnsi="仿宋" w:eastAsia="仿宋" w:cs="仿宋"/>
        <w:sz w:val="18"/>
        <w:szCs w:val="18"/>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EA8B">
    <w:pPr>
      <w:spacing w:line="226" w:lineRule="auto"/>
      <w:ind w:left="4781"/>
      <w:rPr>
        <w:rFonts w:ascii="仿宋" w:hAnsi="仿宋" w:eastAsia="仿宋" w:cs="仿宋"/>
        <w:sz w:val="18"/>
        <w:szCs w:val="18"/>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F686">
    <w:pPr>
      <w:spacing w:line="226" w:lineRule="auto"/>
      <w:ind w:left="4781"/>
      <w:rPr>
        <w:rFonts w:ascii="仿宋" w:hAnsi="仿宋" w:eastAsia="仿宋" w:cs="仿宋"/>
        <w:sz w:val="18"/>
        <w:szCs w:val="18"/>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0FCD">
    <w:pPr>
      <w:spacing w:line="226" w:lineRule="auto"/>
      <w:ind w:left="4791"/>
      <w:rPr>
        <w:rFonts w:ascii="仿宋" w:hAnsi="仿宋" w:eastAsia="仿宋" w:cs="仿宋"/>
        <w:sz w:val="18"/>
        <w:szCs w:val="18"/>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E35E">
    <w:pPr>
      <w:spacing w:line="226" w:lineRule="auto"/>
      <w:ind w:left="4791"/>
      <w:rPr>
        <w:rFonts w:ascii="仿宋" w:hAnsi="仿宋" w:eastAsia="仿宋" w:cs="仿宋"/>
        <w:sz w:val="18"/>
        <w:szCs w:val="18"/>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79D6">
    <w:pPr>
      <w:spacing w:line="226" w:lineRule="auto"/>
      <w:ind w:left="4781"/>
      <w:rPr>
        <w:rFonts w:ascii="仿宋" w:hAnsi="仿宋" w:eastAsia="仿宋" w:cs="仿宋"/>
        <w:sz w:val="18"/>
        <w:szCs w:val="18"/>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695A">
    <w:pPr>
      <w:spacing w:line="226" w:lineRule="auto"/>
      <w:ind w:left="4750"/>
      <w:rPr>
        <w:rFonts w:ascii="仿宋" w:hAnsi="仿宋" w:eastAsia="仿宋" w:cs="仿宋"/>
        <w:sz w:val="18"/>
        <w:szCs w:val="18"/>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41D4">
    <w:pPr>
      <w:spacing w:line="226" w:lineRule="auto"/>
      <w:ind w:left="4758"/>
      <w:rPr>
        <w:rFonts w:ascii="仿宋" w:hAnsi="仿宋" w:eastAsia="仿宋" w:cs="仿宋"/>
        <w:sz w:val="18"/>
        <w:szCs w:val="18"/>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7F95">
    <w:pPr>
      <w:spacing w:line="226" w:lineRule="auto"/>
      <w:ind w:left="4758"/>
      <w:rPr>
        <w:rFonts w:ascii="仿宋" w:hAnsi="仿宋" w:eastAsia="仿宋" w:cs="仿宋"/>
        <w:sz w:val="18"/>
        <w:szCs w:val="18"/>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1A7C">
    <w:pPr>
      <w:spacing w:line="226" w:lineRule="auto"/>
      <w:ind w:left="4436"/>
      <w:rPr>
        <w:rFonts w:ascii="仿宋" w:hAnsi="仿宋" w:eastAsia="仿宋" w:cs="仿宋"/>
        <w:sz w:val="18"/>
        <w:szCs w:val="18"/>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1E1A">
    <w:pPr>
      <w:spacing w:line="228" w:lineRule="auto"/>
      <w:ind w:left="4589"/>
      <w:rPr>
        <w:rFonts w:ascii="仿宋" w:hAnsi="仿宋" w:eastAsia="仿宋" w:cs="仿宋"/>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DEA4">
    <w:pPr>
      <w:spacing w:line="226" w:lineRule="auto"/>
      <w:ind w:left="4541"/>
      <w:rPr>
        <w:rFonts w:ascii="仿宋" w:hAnsi="仿宋" w:eastAsia="仿宋" w:cs="仿宋"/>
        <w:sz w:val="18"/>
        <w:szCs w:val="18"/>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86E9">
    <w:pPr>
      <w:spacing w:line="228" w:lineRule="auto"/>
      <w:ind w:left="4747"/>
      <w:rPr>
        <w:rFonts w:ascii="仿宋" w:hAnsi="仿宋" w:eastAsia="仿宋" w:cs="仿宋"/>
        <w:sz w:val="18"/>
        <w:szCs w:val="18"/>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63F2">
    <w:pPr>
      <w:spacing w:line="226" w:lineRule="auto"/>
      <w:ind w:left="4746"/>
      <w:rPr>
        <w:rFonts w:ascii="仿宋" w:hAnsi="仿宋" w:eastAsia="仿宋" w:cs="仿宋"/>
        <w:sz w:val="18"/>
        <w:szCs w:val="18"/>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5D6E">
    <w:pPr>
      <w:spacing w:line="228" w:lineRule="auto"/>
      <w:ind w:left="4746"/>
      <w:rPr>
        <w:rFonts w:ascii="仿宋" w:hAnsi="仿宋" w:eastAsia="仿宋" w:cs="仿宋"/>
        <w:sz w:val="18"/>
        <w:szCs w:val="18"/>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819B">
    <w:pPr>
      <w:spacing w:line="226" w:lineRule="auto"/>
      <w:ind w:left="4746"/>
      <w:rPr>
        <w:rFonts w:ascii="仿宋" w:hAnsi="仿宋" w:eastAsia="仿宋" w:cs="仿宋"/>
        <w:sz w:val="18"/>
        <w:szCs w:val="18"/>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433B">
    <w:pPr>
      <w:spacing w:line="226" w:lineRule="auto"/>
      <w:ind w:left="4052"/>
      <w:rPr>
        <w:rFonts w:ascii="仿宋" w:hAnsi="仿宋" w:eastAsia="仿宋" w:cs="仿宋"/>
        <w:sz w:val="18"/>
        <w:szCs w:val="18"/>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020A">
    <w:pPr>
      <w:spacing w:line="226" w:lineRule="auto"/>
      <w:ind w:left="4730"/>
      <w:rPr>
        <w:rFonts w:ascii="仿宋" w:hAnsi="仿宋" w:eastAsia="仿宋" w:cs="仿宋"/>
        <w:sz w:val="18"/>
        <w:szCs w:val="18"/>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DAAE">
    <w:pPr>
      <w:spacing w:line="226" w:lineRule="auto"/>
      <w:ind w:left="4052"/>
      <w:rPr>
        <w:rFonts w:ascii="仿宋" w:hAnsi="仿宋" w:eastAsia="仿宋" w:cs="仿宋"/>
        <w:sz w:val="18"/>
        <w:szCs w:val="18"/>
      </w:rP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FD7C">
    <w:pPr>
      <w:spacing w:line="226" w:lineRule="auto"/>
      <w:ind w:left="4738"/>
      <w:rPr>
        <w:rFonts w:ascii="仿宋" w:hAnsi="仿宋" w:eastAsia="仿宋" w:cs="仿宋"/>
        <w:sz w:val="18"/>
        <w:szCs w:val="18"/>
      </w:rP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5527">
    <w:pPr>
      <w:spacing w:line="226" w:lineRule="auto"/>
      <w:ind w:left="4755"/>
      <w:rPr>
        <w:rFonts w:ascii="仿宋" w:hAnsi="仿宋" w:eastAsia="仿宋" w:cs="仿宋"/>
        <w:sz w:val="18"/>
        <w:szCs w:val="18"/>
      </w:rP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43DB">
    <w:pPr>
      <w:spacing w:line="228" w:lineRule="auto"/>
      <w:ind w:left="4649"/>
      <w:rPr>
        <w:rFonts w:ascii="仿宋" w:hAnsi="仿宋" w:eastAsia="仿宋" w:cs="仿宋"/>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6B1F">
    <w:pPr>
      <w:spacing w:line="226" w:lineRule="auto"/>
      <w:ind w:left="4541"/>
      <w:rPr>
        <w:rFonts w:ascii="仿宋" w:hAnsi="仿宋" w:eastAsia="仿宋" w:cs="仿宋"/>
        <w:sz w:val="18"/>
        <w:szCs w:val="18"/>
      </w:rP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64F3">
    <w:pPr>
      <w:spacing w:line="228" w:lineRule="auto"/>
      <w:ind w:left="4743"/>
      <w:rPr>
        <w:rFonts w:ascii="仿宋" w:hAnsi="仿宋" w:eastAsia="仿宋" w:cs="仿宋"/>
        <w:sz w:val="18"/>
        <w:szCs w:val="18"/>
      </w:rP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E183">
    <w:pPr>
      <w:spacing w:line="226" w:lineRule="auto"/>
      <w:ind w:left="4726"/>
      <w:rPr>
        <w:rFonts w:ascii="仿宋" w:hAnsi="仿宋" w:eastAsia="仿宋" w:cs="仿宋"/>
        <w:sz w:val="18"/>
        <w:szCs w:val="18"/>
      </w:rP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22A0">
    <w:pPr>
      <w:spacing w:line="228" w:lineRule="auto"/>
      <w:ind w:left="4739"/>
      <w:rPr>
        <w:rFonts w:ascii="仿宋" w:hAnsi="仿宋" w:eastAsia="仿宋" w:cs="仿宋"/>
        <w:sz w:val="18"/>
        <w:szCs w:val="18"/>
      </w:rP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9127">
    <w:pPr>
      <w:spacing w:line="226" w:lineRule="auto"/>
      <w:ind w:left="4755"/>
      <w:rPr>
        <w:rFonts w:ascii="仿宋" w:hAnsi="仿宋" w:eastAsia="仿宋" w:cs="仿宋"/>
        <w:sz w:val="18"/>
        <w:szCs w:val="18"/>
      </w:rP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CBD25">
    <w:pPr>
      <w:spacing w:line="226" w:lineRule="auto"/>
      <w:ind w:left="4740"/>
      <w:rPr>
        <w:rFonts w:ascii="仿宋" w:hAnsi="仿宋" w:eastAsia="仿宋" w:cs="仿宋"/>
        <w:sz w:val="18"/>
        <w:szCs w:val="18"/>
      </w:rP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2B79">
    <w:pPr>
      <w:spacing w:line="226" w:lineRule="auto"/>
      <w:ind w:left="4755"/>
      <w:rPr>
        <w:rFonts w:ascii="仿宋" w:hAnsi="仿宋" w:eastAsia="仿宋" w:cs="仿宋"/>
        <w:sz w:val="18"/>
        <w:szCs w:val="18"/>
      </w:rP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7670">
    <w:pPr>
      <w:spacing w:line="226" w:lineRule="auto"/>
      <w:ind w:left="4740"/>
      <w:rPr>
        <w:rFonts w:ascii="仿宋" w:hAnsi="仿宋" w:eastAsia="仿宋" w:cs="仿宋"/>
        <w:sz w:val="18"/>
        <w:szCs w:val="18"/>
      </w:rP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6A3D">
    <w:pPr>
      <w:spacing w:line="226" w:lineRule="auto"/>
      <w:ind w:left="4755"/>
      <w:rPr>
        <w:rFonts w:ascii="仿宋" w:hAnsi="仿宋" w:eastAsia="仿宋" w:cs="仿宋"/>
        <w:sz w:val="18"/>
        <w:szCs w:val="18"/>
      </w:rP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8440">
    <w:pPr>
      <w:spacing w:line="226" w:lineRule="auto"/>
      <w:ind w:left="4740"/>
      <w:rPr>
        <w:rFonts w:ascii="仿宋" w:hAnsi="仿宋" w:eastAsia="仿宋" w:cs="仿宋"/>
        <w:sz w:val="18"/>
        <w:szCs w:val="18"/>
      </w:rP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ACDB">
    <w:pPr>
      <w:spacing w:line="226" w:lineRule="auto"/>
      <w:ind w:left="4739"/>
      <w:rPr>
        <w:rFonts w:ascii="仿宋" w:hAnsi="仿宋" w:eastAsia="仿宋" w:cs="仿宋"/>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28AA">
    <w:pPr>
      <w:spacing w:line="226" w:lineRule="auto"/>
      <w:ind w:left="4541"/>
      <w:rPr>
        <w:rFonts w:ascii="仿宋" w:hAnsi="仿宋" w:eastAsia="仿宋" w:cs="仿宋"/>
        <w:sz w:val="18"/>
        <w:szCs w:val="18"/>
      </w:rP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8E3B">
    <w:pPr>
      <w:spacing w:line="226" w:lineRule="auto"/>
      <w:ind w:left="4744"/>
      <w:rPr>
        <w:rFonts w:ascii="仿宋" w:hAnsi="仿宋" w:eastAsia="仿宋" w:cs="仿宋"/>
        <w:sz w:val="18"/>
        <w:szCs w:val="18"/>
      </w:rP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0534">
    <w:pPr>
      <w:spacing w:line="226" w:lineRule="auto"/>
      <w:ind w:left="4746"/>
      <w:rPr>
        <w:rFonts w:ascii="仿宋" w:hAnsi="仿宋" w:eastAsia="仿宋" w:cs="仿宋"/>
        <w:sz w:val="18"/>
        <w:szCs w:val="18"/>
      </w:rP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932A">
    <w:pPr>
      <w:spacing w:line="226" w:lineRule="auto"/>
      <w:ind w:left="4806"/>
      <w:rPr>
        <w:rFonts w:ascii="仿宋" w:hAnsi="仿宋" w:eastAsia="仿宋" w:cs="仿宋"/>
        <w:sz w:val="18"/>
        <w:szCs w:val="18"/>
      </w:rPr>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01913">
    <w:pPr>
      <w:spacing w:line="226" w:lineRule="auto"/>
      <w:ind w:left="4868"/>
      <w:rPr>
        <w:rFonts w:ascii="仿宋" w:hAnsi="仿宋" w:eastAsia="仿宋" w:cs="仿宋"/>
        <w:sz w:val="18"/>
        <w:szCs w:val="18"/>
      </w:rP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6E05">
    <w:pPr>
      <w:spacing w:line="226" w:lineRule="auto"/>
      <w:ind w:left="4868"/>
      <w:rPr>
        <w:rFonts w:ascii="仿宋" w:hAnsi="仿宋" w:eastAsia="仿宋" w:cs="仿宋"/>
        <w:sz w:val="18"/>
        <w:szCs w:val="18"/>
      </w:rP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8FDE">
    <w:pPr>
      <w:spacing w:line="226" w:lineRule="auto"/>
      <w:ind w:left="4745"/>
      <w:rPr>
        <w:rFonts w:ascii="仿宋" w:hAnsi="仿宋" w:eastAsia="仿宋" w:cs="仿宋"/>
        <w:sz w:val="18"/>
        <w:szCs w:val="18"/>
      </w:rP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5358">
    <w:pPr>
      <w:spacing w:line="226" w:lineRule="auto"/>
      <w:ind w:left="4746"/>
      <w:rPr>
        <w:rFonts w:ascii="仿宋" w:hAnsi="仿宋" w:eastAsia="仿宋" w:cs="仿宋"/>
        <w:sz w:val="18"/>
        <w:szCs w:val="18"/>
      </w:rP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3551A">
    <w:pPr>
      <w:spacing w:line="226" w:lineRule="auto"/>
      <w:ind w:left="4747"/>
      <w:rPr>
        <w:rFonts w:ascii="仿宋" w:hAnsi="仿宋" w:eastAsia="仿宋" w:cs="仿宋"/>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44EA0"/>
    <w:rsid w:val="01247CC3"/>
    <w:rsid w:val="03FF60FC"/>
    <w:rsid w:val="09A27DD2"/>
    <w:rsid w:val="0B2579EE"/>
    <w:rsid w:val="0B88322B"/>
    <w:rsid w:val="0CD612CD"/>
    <w:rsid w:val="0FC33F3E"/>
    <w:rsid w:val="0FE2695E"/>
    <w:rsid w:val="11336AB2"/>
    <w:rsid w:val="11625F1D"/>
    <w:rsid w:val="11D93EC0"/>
    <w:rsid w:val="12575BE4"/>
    <w:rsid w:val="126C6F8E"/>
    <w:rsid w:val="12AC38F3"/>
    <w:rsid w:val="13450F86"/>
    <w:rsid w:val="17451C3A"/>
    <w:rsid w:val="18F158DC"/>
    <w:rsid w:val="19FE07AD"/>
    <w:rsid w:val="1B3C0A4F"/>
    <w:rsid w:val="1C5C3868"/>
    <w:rsid w:val="1CAB69CA"/>
    <w:rsid w:val="1DA63635"/>
    <w:rsid w:val="22E62E69"/>
    <w:rsid w:val="2534098C"/>
    <w:rsid w:val="27B9037C"/>
    <w:rsid w:val="27F8090E"/>
    <w:rsid w:val="281F6795"/>
    <w:rsid w:val="29416447"/>
    <w:rsid w:val="29EF61BD"/>
    <w:rsid w:val="2B3B16E4"/>
    <w:rsid w:val="2E271974"/>
    <w:rsid w:val="2E3D462D"/>
    <w:rsid w:val="2F6649D2"/>
    <w:rsid w:val="305B7442"/>
    <w:rsid w:val="346F2F05"/>
    <w:rsid w:val="34DB19BE"/>
    <w:rsid w:val="3520181F"/>
    <w:rsid w:val="35384748"/>
    <w:rsid w:val="3684230E"/>
    <w:rsid w:val="36933315"/>
    <w:rsid w:val="3870414B"/>
    <w:rsid w:val="3BBD4B1B"/>
    <w:rsid w:val="3C25591C"/>
    <w:rsid w:val="3D0E73FC"/>
    <w:rsid w:val="3F254CF8"/>
    <w:rsid w:val="3FCB3DAD"/>
    <w:rsid w:val="40265669"/>
    <w:rsid w:val="40D93256"/>
    <w:rsid w:val="422770F8"/>
    <w:rsid w:val="42A6360C"/>
    <w:rsid w:val="461E227C"/>
    <w:rsid w:val="481F4302"/>
    <w:rsid w:val="490C1430"/>
    <w:rsid w:val="49425DDD"/>
    <w:rsid w:val="49455DA9"/>
    <w:rsid w:val="496542FC"/>
    <w:rsid w:val="4CA902F5"/>
    <w:rsid w:val="4D213F1A"/>
    <w:rsid w:val="5069763E"/>
    <w:rsid w:val="50E3027A"/>
    <w:rsid w:val="533B38FC"/>
    <w:rsid w:val="53841078"/>
    <w:rsid w:val="540E62AE"/>
    <w:rsid w:val="54897E53"/>
    <w:rsid w:val="56095E45"/>
    <w:rsid w:val="56133180"/>
    <w:rsid w:val="56B37C4E"/>
    <w:rsid w:val="57E66F35"/>
    <w:rsid w:val="58700FB6"/>
    <w:rsid w:val="58F17A21"/>
    <w:rsid w:val="597648D3"/>
    <w:rsid w:val="59E54E9F"/>
    <w:rsid w:val="5A1F7026"/>
    <w:rsid w:val="5CFF1903"/>
    <w:rsid w:val="5D1458EA"/>
    <w:rsid w:val="5EFD3725"/>
    <w:rsid w:val="60003414"/>
    <w:rsid w:val="60382D98"/>
    <w:rsid w:val="60AB156A"/>
    <w:rsid w:val="614A363A"/>
    <w:rsid w:val="62787889"/>
    <w:rsid w:val="62B20F57"/>
    <w:rsid w:val="639C420D"/>
    <w:rsid w:val="65A44BB2"/>
    <w:rsid w:val="66246472"/>
    <w:rsid w:val="663D6429"/>
    <w:rsid w:val="67CF1A9B"/>
    <w:rsid w:val="681D13CB"/>
    <w:rsid w:val="68423C7C"/>
    <w:rsid w:val="69061A74"/>
    <w:rsid w:val="6AA95639"/>
    <w:rsid w:val="6ABC4ECB"/>
    <w:rsid w:val="6C6D09D7"/>
    <w:rsid w:val="6DED7C01"/>
    <w:rsid w:val="6F306E7E"/>
    <w:rsid w:val="706568A8"/>
    <w:rsid w:val="715D1FF5"/>
    <w:rsid w:val="71C34FDA"/>
    <w:rsid w:val="74820F33"/>
    <w:rsid w:val="75A66AB9"/>
    <w:rsid w:val="75C96F5E"/>
    <w:rsid w:val="7C9F67F1"/>
    <w:rsid w:val="7DC32F56"/>
    <w:rsid w:val="7EA42709"/>
    <w:rsid w:val="7F9B3CC1"/>
    <w:rsid w:val="7FB86908"/>
    <w:rsid w:val="7FC02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rFonts w:ascii="Times New Roman" w:hAnsi="Times New Roman"/>
      <w:sz w:val="24"/>
      <w:szCs w:val="20"/>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character" w:customStyle="1" w:styleId="26">
    <w:name w:val="hover"/>
    <w:basedOn w:val="11"/>
    <w:qFormat/>
    <w:uiPriority w:val="0"/>
    <w:rPr>
      <w:color w:val="2590EB"/>
    </w:rPr>
  </w:style>
  <w:style w:type="character" w:customStyle="1" w:styleId="27">
    <w:name w:val="hover1"/>
    <w:basedOn w:val="11"/>
    <w:qFormat/>
    <w:uiPriority w:val="0"/>
    <w:rPr>
      <w:color w:val="2590EB"/>
    </w:rPr>
  </w:style>
  <w:style w:type="character" w:customStyle="1" w:styleId="28">
    <w:name w:val="hover2"/>
    <w:basedOn w:val="11"/>
    <w:qFormat/>
    <w:uiPriority w:val="0"/>
  </w:style>
  <w:style w:type="character" w:customStyle="1" w:styleId="29">
    <w:name w:val="hover3"/>
    <w:basedOn w:val="11"/>
    <w:qFormat/>
    <w:uiPriority w:val="0"/>
    <w:rPr>
      <w:color w:val="2590EB"/>
      <w:shd w:val="clear" w:fill="E9F4FD"/>
    </w:rPr>
  </w:style>
  <w:style w:type="character" w:customStyle="1" w:styleId="30">
    <w:name w:val="hover4"/>
    <w:basedOn w:val="11"/>
    <w:qFormat/>
    <w:uiPriority w:val="0"/>
    <w:rPr>
      <w:color w:val="2590EB"/>
      <w:shd w:val="clear" w:fill="E9F4FD"/>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6" Type="http://schemas.openxmlformats.org/officeDocument/2006/relationships/fontTable" Target="fontTable.xml"/><Relationship Id="rId105" Type="http://schemas.openxmlformats.org/officeDocument/2006/relationships/customXml" Target="../customXml/item1.xml"/><Relationship Id="rId104" Type="http://schemas.openxmlformats.org/officeDocument/2006/relationships/image" Target="media/image2.jpeg"/><Relationship Id="rId103" Type="http://schemas.openxmlformats.org/officeDocument/2006/relationships/image" Target="media/image1.png"/><Relationship Id="rId102" Type="http://schemas.openxmlformats.org/officeDocument/2006/relationships/theme" Target="theme/theme1.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136</Pages>
  <Words>9248</Words>
  <Characters>9722</Characters>
  <TotalTime>1</TotalTime>
  <ScaleCrop>false</ScaleCrop>
  <LinksUpToDate>false</LinksUpToDate>
  <CharactersWithSpaces>9902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2026-02-05T11:04:00Z</dcterms:created>
  <dc:creator>Administrator</dc:creator>
  <cp:lastModifiedBy>赵颖</cp:lastModifiedBy>
  <dcterms:modified xsi:type="dcterms:W3CDTF">2026-06-08T07:46:48Z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2026-03-19T09:52:40Z</vt:filetime>
  </property>
  <property fmtid="{D5CDD505-2E9C-101B-9397-08002B2CF9AE}" pid="4" name="KSOTemplateDocerSaveRecord">
    <vt:lpwstr>eyJoZGlkIjoiOWYzZWQyN2JjNWJhNjRhYzU4Yzc2OWFhODZmOTc1MjMiLCJ1c2VySWQiOiIzNzg0NDUyNzEifQ==</vt:lpwstr>
  </property>
  <property fmtid="{D5CDD505-2E9C-101B-9397-08002B2CF9AE}" pid="5" name="KSOProductBuildVer">
    <vt:lpwstr>2052-12.1.0.26375</vt:lpwstr>
  </property>
  <property fmtid="{D5CDD505-2E9C-101B-9397-08002B2CF9AE}" pid="6" name="ICV">
    <vt:lpwstr>C8F875FE4D434682A24EA0625A2541AA_13</vt:lpwstr>
  </property>
</Properties>
</file>