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F19BA9">
      <w:p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采购需求</w:t>
      </w:r>
    </w:p>
    <w:p w14:paraId="2736F53C">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450A48CA">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1.</w:t>
      </w:r>
      <w:r>
        <w:rPr>
          <w:rFonts w:ascii="宋体" w:hAnsi="宋体" w:eastAsia="宋体"/>
          <w:color w:val="auto"/>
          <w:sz w:val="24"/>
          <w:szCs w:val="18"/>
          <w:highlight w:val="none"/>
        </w:rPr>
        <w:t>根据《</w:t>
      </w:r>
      <w:r>
        <w:rPr>
          <w:rFonts w:hint="eastAsia" w:ascii="宋体" w:hAnsi="宋体" w:eastAsia="宋体"/>
          <w:color w:val="auto"/>
          <w:sz w:val="24"/>
          <w:szCs w:val="18"/>
          <w:highlight w:val="none"/>
        </w:rPr>
        <w:t>政府采购进口产品管理办法</w:t>
      </w:r>
      <w:r>
        <w:rPr>
          <w:rFonts w:ascii="宋体" w:hAnsi="宋体" w:eastAsia="宋体"/>
          <w:color w:val="auto"/>
          <w:sz w:val="24"/>
          <w:szCs w:val="18"/>
          <w:highlight w:val="none"/>
        </w:rPr>
        <w:t>》及政府采购管理部门的相关规定，下列采购需求中</w:t>
      </w:r>
      <w:r>
        <w:rPr>
          <w:rFonts w:hint="eastAsia" w:ascii="宋体" w:hAnsi="宋体" w:eastAsia="宋体"/>
          <w:color w:val="auto"/>
          <w:sz w:val="24"/>
          <w:szCs w:val="18"/>
          <w:highlight w:val="none"/>
        </w:rPr>
        <w:t>标注进口产品的货物均</w:t>
      </w:r>
      <w:r>
        <w:rPr>
          <w:rFonts w:ascii="宋体" w:hAnsi="宋体" w:eastAsia="宋体"/>
          <w:color w:val="auto"/>
          <w:sz w:val="24"/>
          <w:szCs w:val="18"/>
          <w:highlight w:val="none"/>
        </w:rPr>
        <w:t>已履行相关论证手续，经核准采购进口</w:t>
      </w:r>
      <w:r>
        <w:rPr>
          <w:rFonts w:hint="eastAsia" w:ascii="宋体" w:hAnsi="宋体" w:eastAsia="宋体"/>
          <w:color w:val="auto"/>
          <w:sz w:val="24"/>
          <w:szCs w:val="18"/>
          <w:highlight w:val="none"/>
        </w:rPr>
        <w:t>产品</w:t>
      </w:r>
      <w:r>
        <w:rPr>
          <w:rFonts w:ascii="宋体" w:hAnsi="宋体" w:eastAsia="宋体"/>
          <w:color w:val="auto"/>
          <w:sz w:val="24"/>
          <w:szCs w:val="18"/>
          <w:highlight w:val="none"/>
        </w:rPr>
        <w:t>，但不限制满足招标文件要求的国内产品参与竞争</w:t>
      </w:r>
      <w:r>
        <w:rPr>
          <w:rFonts w:hint="eastAsia" w:ascii="宋体" w:hAnsi="宋体" w:eastAsia="宋体"/>
          <w:color w:val="auto"/>
          <w:sz w:val="24"/>
          <w:szCs w:val="18"/>
          <w:highlight w:val="none"/>
        </w:rPr>
        <w:t>。</w:t>
      </w:r>
      <w:r>
        <w:rPr>
          <w:rFonts w:hint="eastAsia" w:ascii="宋体" w:hAnsi="宋体" w:eastAsia="宋体"/>
          <w:b w:val="0"/>
          <w:bCs w:val="0"/>
          <w:color w:val="auto"/>
          <w:sz w:val="24"/>
          <w:szCs w:val="18"/>
          <w:highlight w:val="none"/>
        </w:rPr>
        <w:t>未标注进口产品的货物均</w:t>
      </w:r>
      <w:r>
        <w:rPr>
          <w:rFonts w:ascii="宋体" w:hAnsi="宋体" w:eastAsia="宋体"/>
          <w:b w:val="0"/>
          <w:bCs w:val="0"/>
          <w:color w:val="auto"/>
          <w:sz w:val="24"/>
          <w:szCs w:val="18"/>
          <w:highlight w:val="none"/>
        </w:rPr>
        <w:t>为拒绝采购进口产品</w:t>
      </w:r>
      <w:r>
        <w:rPr>
          <w:rFonts w:hint="eastAsia" w:ascii="宋体" w:hAnsi="宋体" w:eastAsia="宋体"/>
          <w:b w:val="0"/>
          <w:bCs w:val="0"/>
          <w:color w:val="auto"/>
          <w:sz w:val="24"/>
          <w:szCs w:val="18"/>
          <w:highlight w:val="none"/>
        </w:rPr>
        <w:t>。</w:t>
      </w:r>
    </w:p>
    <w:p w14:paraId="6E0A4923">
      <w:pPr>
        <w:spacing w:line="360" w:lineRule="auto"/>
        <w:ind w:firstLine="435"/>
        <w:rPr>
          <w:rFonts w:hint="eastAsia" w:ascii="宋体" w:hAnsi="宋体" w:eastAsia="宋体"/>
          <w:color w:val="auto"/>
          <w:sz w:val="24"/>
          <w:szCs w:val="18"/>
          <w:highlight w:val="none"/>
        </w:rPr>
      </w:pPr>
      <w:r>
        <w:rPr>
          <w:rFonts w:hint="eastAsia" w:ascii="宋体" w:hAnsi="宋体" w:eastAsia="宋体"/>
          <w:color w:val="auto"/>
          <w:sz w:val="24"/>
          <w:szCs w:val="18"/>
          <w:highlight w:val="none"/>
        </w:rPr>
        <w:t>2</w:t>
      </w:r>
      <w:r>
        <w:rPr>
          <w:rFonts w:hint="eastAsia" w:ascii="宋体" w:hAnsi="宋体" w:eastAsia="宋体"/>
          <w:color w:val="auto"/>
          <w:sz w:val="24"/>
          <w:szCs w:val="18"/>
          <w:highlight w:val="none"/>
          <w:lang w:eastAsia="zh-CN"/>
        </w:rPr>
        <w:t>.</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olor w:val="auto"/>
          <w:sz w:val="24"/>
          <w:szCs w:val="18"/>
          <w:highlight w:val="none"/>
        </w:rPr>
        <w:t>：</w:t>
      </w:r>
    </w:p>
    <w:p w14:paraId="65FC1FAD">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4A628B32">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4BA3DC7A">
      <w:pPr>
        <w:spacing w:line="360" w:lineRule="auto"/>
        <w:ind w:firstLine="435"/>
        <w:rPr>
          <w:rFonts w:hint="eastAsia"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3.</w:t>
      </w:r>
      <w:r>
        <w:rPr>
          <w:rFonts w:hint="eastAsia" w:ascii="宋体" w:hAnsi="宋体" w:eastAsia="宋体"/>
          <w:color w:val="auto"/>
          <w:sz w:val="24"/>
          <w:szCs w:val="18"/>
          <w:highlight w:val="none"/>
        </w:rPr>
        <w:t>如采购人允许采用分包方式履行合同的，应当明确可以分包履行的相关内容。</w:t>
      </w:r>
    </w:p>
    <w:p w14:paraId="42A13ABF">
      <w:pPr>
        <w:spacing w:line="360" w:lineRule="auto"/>
        <w:ind w:firstLine="437"/>
        <w:outlineLvl w:val="1"/>
        <w:rPr>
          <w:rFonts w:ascii="宋体" w:hAnsi="宋体" w:eastAsia="宋体"/>
          <w:b/>
          <w:color w:val="auto"/>
          <w:sz w:val="24"/>
          <w:szCs w:val="18"/>
          <w:highlight w:val="none"/>
        </w:rPr>
      </w:pPr>
      <w:bookmarkStart w:id="0" w:name="_Toc7752"/>
      <w:bookmarkStart w:id="1" w:name="_Toc2554"/>
      <w:bookmarkStart w:id="2" w:name="_Toc32151"/>
      <w:bookmarkStart w:id="3" w:name="_Toc32021"/>
      <w:r>
        <w:rPr>
          <w:rFonts w:hint="eastAsia" w:ascii="宋体" w:hAnsi="宋体" w:eastAsia="宋体"/>
          <w:b/>
          <w:color w:val="auto"/>
          <w:sz w:val="24"/>
          <w:szCs w:val="18"/>
          <w:highlight w:val="none"/>
        </w:rPr>
        <w:t>一、采购需求前附表</w:t>
      </w:r>
      <w:bookmarkEnd w:id="0"/>
      <w:bookmarkEnd w:id="1"/>
      <w:bookmarkEnd w:id="2"/>
      <w:bookmarkEnd w:id="3"/>
    </w:p>
    <w:tbl>
      <w:tblPr>
        <w:tblStyle w:val="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1125"/>
        <w:gridCol w:w="6693"/>
      </w:tblGrid>
      <w:tr w14:paraId="7CF8F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2CA30ED8">
            <w:pPr>
              <w:pStyle w:val="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ascii="宋体" w:hAnsi="宋体" w:eastAsia="宋体"/>
                <w:b/>
                <w:color w:val="auto"/>
                <w:kern w:val="2"/>
                <w:highlight w:val="none"/>
              </w:rPr>
            </w:pPr>
            <w:r>
              <w:rPr>
                <w:rFonts w:hint="eastAsia" w:ascii="宋体" w:hAnsi="宋体" w:eastAsia="宋体"/>
                <w:b/>
                <w:color w:val="auto"/>
                <w:kern w:val="2"/>
                <w:highlight w:val="none"/>
              </w:rPr>
              <w:t>序号</w:t>
            </w:r>
          </w:p>
        </w:tc>
        <w:tc>
          <w:tcPr>
            <w:tcW w:w="660" w:type="pct"/>
            <w:vAlign w:val="center"/>
          </w:tcPr>
          <w:p w14:paraId="67CD643B">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ascii="宋体" w:hAnsi="宋体" w:eastAsia="宋体"/>
                <w:bCs w:val="0"/>
                <w:color w:val="auto"/>
                <w:sz w:val="24"/>
                <w:highlight w:val="none"/>
              </w:rPr>
            </w:pPr>
            <w:r>
              <w:rPr>
                <w:rFonts w:hint="eastAsia" w:ascii="宋体" w:hAnsi="宋体" w:eastAsia="宋体"/>
                <w:bCs w:val="0"/>
                <w:color w:val="auto"/>
                <w:sz w:val="24"/>
                <w:highlight w:val="none"/>
              </w:rPr>
              <w:t>条款名称</w:t>
            </w:r>
          </w:p>
        </w:tc>
        <w:tc>
          <w:tcPr>
            <w:tcW w:w="3925" w:type="pct"/>
            <w:vAlign w:val="center"/>
          </w:tcPr>
          <w:p w14:paraId="658F01D8">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ascii="宋体" w:hAnsi="宋体" w:eastAsia="宋体"/>
                <w:bCs w:val="0"/>
                <w:color w:val="auto"/>
                <w:sz w:val="24"/>
                <w:highlight w:val="none"/>
              </w:rPr>
            </w:pPr>
            <w:r>
              <w:rPr>
                <w:rFonts w:hint="eastAsia" w:ascii="宋体" w:hAnsi="宋体" w:eastAsia="宋体"/>
                <w:bCs w:val="0"/>
                <w:color w:val="auto"/>
                <w:sz w:val="24"/>
                <w:highlight w:val="none"/>
              </w:rPr>
              <w:t>内容、说明与要求</w:t>
            </w:r>
          </w:p>
        </w:tc>
      </w:tr>
      <w:tr w14:paraId="22A91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7B854439">
            <w:pPr>
              <w:pStyle w:val="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p>
        </w:tc>
        <w:tc>
          <w:tcPr>
            <w:tcW w:w="660" w:type="pct"/>
            <w:vAlign w:val="center"/>
          </w:tcPr>
          <w:p w14:paraId="1F0520B5">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付款方式</w:t>
            </w:r>
          </w:p>
        </w:tc>
        <w:tc>
          <w:tcPr>
            <w:tcW w:w="3925" w:type="pct"/>
            <w:vAlign w:val="center"/>
          </w:tcPr>
          <w:p w14:paraId="468CD26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color w:val="auto"/>
                <w:sz w:val="24"/>
                <w:highlight w:val="none"/>
              </w:rPr>
            </w:pPr>
            <w:bookmarkStart w:id="4" w:name="OLE_LINK1"/>
            <w:r>
              <w:rPr>
                <w:rFonts w:hint="eastAsia" w:asciiTheme="minorEastAsia" w:hAnsiTheme="minorEastAsia" w:eastAsiaTheme="minorEastAsia"/>
                <w:color w:val="auto"/>
                <w:sz w:val="24"/>
                <w:highlight w:val="none"/>
              </w:rPr>
              <w:t>⑴对</w:t>
            </w:r>
            <w:r>
              <w:rPr>
                <w:rFonts w:hint="eastAsia" w:asciiTheme="minorEastAsia" w:hAnsiTheme="minorEastAsia" w:eastAsiaTheme="minorEastAsia"/>
                <w:color w:val="auto"/>
                <w:sz w:val="24"/>
                <w:highlight w:val="none"/>
                <w:lang w:eastAsia="zh-CN"/>
              </w:rPr>
              <w:t>投标人</w:t>
            </w:r>
            <w:r>
              <w:rPr>
                <w:rFonts w:hint="eastAsia" w:asciiTheme="minorEastAsia" w:hAnsiTheme="minorEastAsia" w:eastAsiaTheme="minorEastAsia"/>
                <w:color w:val="auto"/>
                <w:sz w:val="24"/>
                <w:highlight w:val="none"/>
              </w:rPr>
              <w:t>为大型企业的项目或者以人工投入为主且实行按月定期结算支付款项的项目，采购人确定预付款为合同金额的</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 xml:space="preserve">/ </w:t>
            </w:r>
            <w:r>
              <w:rPr>
                <w:rFonts w:asciiTheme="minorEastAsia" w:hAnsiTheme="minorEastAsia" w:eastAsiaTheme="minorEastAsia"/>
                <w:color w:val="auto"/>
                <w:sz w:val="24"/>
                <w:highlight w:val="none"/>
              </w:rPr>
              <w:t>（0-70%）；</w:t>
            </w:r>
          </w:p>
          <w:p w14:paraId="376ACE9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⑵中小企业合同，采购人确定预付款为合同金额的</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40%</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（40%-70%）</w:t>
            </w:r>
            <w:bookmarkEnd w:id="4"/>
            <w:r>
              <w:rPr>
                <w:rFonts w:asciiTheme="minorEastAsia" w:hAnsiTheme="minorEastAsia" w:eastAsiaTheme="minorEastAsia"/>
                <w:color w:val="auto"/>
                <w:sz w:val="24"/>
                <w:highlight w:val="none"/>
              </w:rPr>
              <w:t>；</w:t>
            </w:r>
          </w:p>
          <w:p w14:paraId="2B31E96D">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⑶分年度安排预算的项目，采购人确定每年预付款为当年合同金额的</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w:t>
            </w:r>
            <w:r>
              <w:rPr>
                <w:rFonts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rPr>
              <w:t>（40%-70%）。</w:t>
            </w:r>
          </w:p>
          <w:p w14:paraId="7624E90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lang w:eastAsia="zh-CN"/>
              </w:rPr>
              <w:t>注</w:t>
            </w:r>
            <w:r>
              <w:rPr>
                <w:rFonts w:hint="eastAsia" w:asciiTheme="minorEastAsia" w:hAnsiTheme="minorEastAsia" w:eastAsiaTheme="minorEastAsia"/>
                <w:b/>
                <w:bCs/>
                <w:color w:val="auto"/>
                <w:sz w:val="24"/>
                <w:highlight w:val="none"/>
              </w:rPr>
              <w:t>：</w:t>
            </w:r>
            <w:r>
              <w:rPr>
                <w:rFonts w:hint="eastAsia" w:asciiTheme="minorEastAsia" w:hAnsiTheme="minorEastAsia" w:eastAsiaTheme="minorEastAsia"/>
                <w:color w:val="auto"/>
                <w:sz w:val="24"/>
                <w:highlight w:val="none"/>
              </w:rPr>
              <w:t>采购人可根据项目特点、供应商诚信等因素，要求供应商提交银行、保险公司、担保公司等金融机构出具的预付款保函或其他担保措施。政府采购预付款在合同、担保措施生效以及具备实施条件后 5 个工作日内支付。</w:t>
            </w:r>
          </w:p>
          <w:p w14:paraId="44584AF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剩余款支付方式</w:t>
            </w:r>
            <w:r>
              <w:rPr>
                <w:rFonts w:hint="eastAsia" w:asciiTheme="minorEastAsia" w:hAnsiTheme="minorEastAsia" w:eastAsiaTheme="minorEastAsia"/>
                <w:color w:val="auto"/>
                <w:sz w:val="24"/>
                <w:highlight w:val="none"/>
              </w:rPr>
              <w:t>：供货安装及调试完成，经</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验收合格并收到发票后7个工作日内将资金支付到合同约定的供应商账户付清余款。</w:t>
            </w:r>
          </w:p>
          <w:p w14:paraId="7DBF12A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ascii="宋体" w:hAnsi="宋体" w:eastAsia="宋体"/>
                <w:b w:val="0"/>
                <w:color w:val="auto"/>
                <w:sz w:val="24"/>
                <w:highlight w:val="none"/>
                <w:u w:val="single"/>
              </w:rPr>
            </w:pPr>
            <w:r>
              <w:rPr>
                <w:rFonts w:hint="eastAsia" w:asciiTheme="minorEastAsia" w:hAnsiTheme="minorEastAsia" w:eastAsiaTheme="minorEastAsia"/>
                <w:b w:val="0"/>
                <w:bCs w:val="0"/>
                <w:color w:val="auto"/>
                <w:sz w:val="24"/>
                <w:highlight w:val="none"/>
              </w:rPr>
              <w:t>（</w:t>
            </w:r>
            <w:r>
              <w:rPr>
                <w:rFonts w:hint="eastAsia" w:asciiTheme="minorEastAsia" w:hAnsiTheme="minorEastAsia" w:eastAsiaTheme="minorEastAsia"/>
                <w:b w:val="0"/>
                <w:bCs w:val="0"/>
                <w:color w:val="auto"/>
                <w:sz w:val="24"/>
                <w:highlight w:val="none"/>
                <w:lang w:eastAsia="zh-CN"/>
              </w:rPr>
              <w:t>投标人</w:t>
            </w:r>
            <w:r>
              <w:rPr>
                <w:rFonts w:hint="eastAsia" w:asciiTheme="minorEastAsia" w:hAnsiTheme="minorEastAsia" w:eastAsiaTheme="minorEastAsia"/>
                <w:b w:val="0"/>
                <w:bCs w:val="0"/>
                <w:color w:val="auto"/>
                <w:sz w:val="24"/>
                <w:highlight w:val="none"/>
              </w:rPr>
              <w:t>提交的</w:t>
            </w:r>
            <w:r>
              <w:rPr>
                <w:rFonts w:hint="eastAsia" w:asciiTheme="minorEastAsia" w:hAnsiTheme="minorEastAsia" w:eastAsiaTheme="minorEastAsia"/>
                <w:b w:val="0"/>
                <w:bCs w:val="0"/>
                <w:color w:val="auto"/>
                <w:sz w:val="24"/>
                <w:highlight w:val="none"/>
                <w:lang w:eastAsia="zh-CN"/>
              </w:rPr>
              <w:t>投标</w:t>
            </w:r>
            <w:r>
              <w:rPr>
                <w:rFonts w:hint="eastAsia" w:asciiTheme="minorEastAsia" w:hAnsiTheme="minorEastAsia" w:eastAsiaTheme="minorEastAsia"/>
                <w:b w:val="0"/>
                <w:bCs w:val="0"/>
                <w:color w:val="auto"/>
                <w:sz w:val="24"/>
                <w:highlight w:val="none"/>
              </w:rPr>
              <w:t>文件中如有关于付款条件的表述与</w:t>
            </w:r>
            <w:r>
              <w:rPr>
                <w:rFonts w:hint="eastAsia" w:asciiTheme="minorEastAsia" w:hAnsiTheme="minorEastAsia" w:eastAsiaTheme="minorEastAsia"/>
                <w:b w:val="0"/>
                <w:bCs w:val="0"/>
                <w:color w:val="auto"/>
                <w:sz w:val="24"/>
                <w:highlight w:val="none"/>
                <w:lang w:eastAsia="zh-CN"/>
              </w:rPr>
              <w:t>招标文件</w:t>
            </w:r>
            <w:r>
              <w:rPr>
                <w:rFonts w:hint="eastAsia" w:asciiTheme="minorEastAsia" w:hAnsiTheme="minorEastAsia" w:eastAsiaTheme="minorEastAsia"/>
                <w:b w:val="0"/>
                <w:bCs w:val="0"/>
                <w:color w:val="auto"/>
                <w:sz w:val="24"/>
                <w:highlight w:val="none"/>
              </w:rPr>
              <w:t>规定不符，将被视为实质性不响应，将导致</w:t>
            </w:r>
            <w:r>
              <w:rPr>
                <w:rFonts w:hint="eastAsia" w:asciiTheme="minorEastAsia" w:hAnsiTheme="minorEastAsia" w:eastAsiaTheme="minorEastAsia"/>
                <w:b/>
                <w:bCs/>
                <w:color w:val="auto"/>
                <w:sz w:val="24"/>
                <w:highlight w:val="none"/>
              </w:rPr>
              <w:t>响应无效</w:t>
            </w:r>
            <w:r>
              <w:rPr>
                <w:rFonts w:hint="eastAsia" w:asciiTheme="minorEastAsia" w:hAnsiTheme="minorEastAsia" w:eastAsiaTheme="minorEastAsia"/>
                <w:b w:val="0"/>
                <w:bCs w:val="0"/>
                <w:color w:val="auto"/>
                <w:sz w:val="24"/>
                <w:highlight w:val="none"/>
              </w:rPr>
              <w:t>）</w:t>
            </w:r>
          </w:p>
        </w:tc>
      </w:tr>
      <w:tr w14:paraId="4D702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0E0A8D86">
            <w:pPr>
              <w:pStyle w:val="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p>
        </w:tc>
        <w:tc>
          <w:tcPr>
            <w:tcW w:w="660" w:type="pct"/>
            <w:vAlign w:val="center"/>
          </w:tcPr>
          <w:p w14:paraId="1AAF77C3">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供货及安装地点</w:t>
            </w:r>
          </w:p>
        </w:tc>
        <w:tc>
          <w:tcPr>
            <w:tcW w:w="3925" w:type="pct"/>
            <w:vAlign w:val="center"/>
          </w:tcPr>
          <w:p w14:paraId="4B923C89">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采购人指定的地点</w:t>
            </w:r>
          </w:p>
        </w:tc>
      </w:tr>
      <w:tr w14:paraId="3CACF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01D6B1E3">
            <w:pPr>
              <w:pStyle w:val="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3</w:t>
            </w:r>
          </w:p>
        </w:tc>
        <w:tc>
          <w:tcPr>
            <w:tcW w:w="660" w:type="pct"/>
            <w:vAlign w:val="center"/>
          </w:tcPr>
          <w:p w14:paraId="227CFD1E">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供货及安装期限</w:t>
            </w:r>
          </w:p>
        </w:tc>
        <w:tc>
          <w:tcPr>
            <w:tcW w:w="3925" w:type="pct"/>
            <w:vAlign w:val="center"/>
          </w:tcPr>
          <w:p w14:paraId="08317238">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自合同签订之日起30个日历天内完成供货调试</w:t>
            </w:r>
          </w:p>
        </w:tc>
      </w:tr>
      <w:tr w14:paraId="71C18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413" w:type="pct"/>
            <w:vAlign w:val="center"/>
          </w:tcPr>
          <w:p w14:paraId="1BB2F61A">
            <w:pPr>
              <w:pStyle w:val="5"/>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4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4</w:t>
            </w:r>
          </w:p>
        </w:tc>
        <w:tc>
          <w:tcPr>
            <w:tcW w:w="660" w:type="pct"/>
            <w:vAlign w:val="center"/>
          </w:tcPr>
          <w:p w14:paraId="340EA211">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免费质保期</w:t>
            </w:r>
          </w:p>
        </w:tc>
        <w:tc>
          <w:tcPr>
            <w:tcW w:w="3925" w:type="pct"/>
            <w:vAlign w:val="center"/>
          </w:tcPr>
          <w:p w14:paraId="0979A839">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400" w:lineRule="exact"/>
              <w:jc w:val="both"/>
              <w:textAlignment w:val="auto"/>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3年</w:t>
            </w:r>
          </w:p>
        </w:tc>
      </w:tr>
    </w:tbl>
    <w:p w14:paraId="3F1AD5E3">
      <w:pPr>
        <w:spacing w:line="360" w:lineRule="auto"/>
        <w:ind w:firstLine="437"/>
        <w:outlineLvl w:val="1"/>
        <w:rPr>
          <w:rFonts w:ascii="宋体" w:hAnsi="宋体" w:eastAsia="宋体"/>
          <w:b/>
          <w:bCs/>
          <w:color w:val="auto"/>
          <w:sz w:val="24"/>
          <w:szCs w:val="18"/>
          <w:highlight w:val="none"/>
        </w:rPr>
      </w:pPr>
      <w:bookmarkStart w:id="5" w:name="_Toc5944"/>
      <w:bookmarkStart w:id="6" w:name="_Toc27372"/>
      <w:bookmarkStart w:id="7" w:name="_Toc7671"/>
      <w:bookmarkStart w:id="8" w:name="_Toc2445"/>
      <w:r>
        <w:rPr>
          <w:rFonts w:hint="eastAsia" w:ascii="宋体" w:hAnsi="宋体" w:eastAsia="宋体"/>
          <w:b/>
          <w:bCs/>
          <w:color w:val="auto"/>
          <w:sz w:val="24"/>
          <w:szCs w:val="18"/>
          <w:highlight w:val="none"/>
        </w:rPr>
        <w:t>二、</w:t>
      </w:r>
      <w:r>
        <w:rPr>
          <w:rFonts w:hint="eastAsia" w:ascii="宋体" w:hAnsi="宋体" w:eastAsia="宋体"/>
          <w:b/>
          <w:color w:val="auto"/>
          <w:sz w:val="24"/>
          <w:szCs w:val="18"/>
          <w:highlight w:val="none"/>
        </w:rPr>
        <w:t>货物</w:t>
      </w:r>
      <w:r>
        <w:rPr>
          <w:rFonts w:hint="eastAsia" w:ascii="宋体" w:hAnsi="宋体" w:eastAsia="宋体"/>
          <w:b/>
          <w:bCs/>
          <w:color w:val="auto"/>
          <w:sz w:val="24"/>
          <w:szCs w:val="18"/>
          <w:highlight w:val="none"/>
        </w:rPr>
        <w:t>需求</w:t>
      </w:r>
      <w:bookmarkEnd w:id="5"/>
      <w:bookmarkEnd w:id="6"/>
      <w:bookmarkEnd w:id="7"/>
      <w:bookmarkEnd w:id="8"/>
    </w:p>
    <w:p w14:paraId="01D8C93E">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0" w:firstLineChars="200"/>
        <w:textAlignment w:val="auto"/>
        <w:outlineLvl w:val="1"/>
        <w:rPr>
          <w:rFonts w:hint="default" w:ascii="宋体" w:hAnsi="宋体" w:eastAsia="宋体"/>
          <w:b w:val="0"/>
          <w:bCs w:val="0"/>
          <w:color w:val="auto"/>
          <w:sz w:val="24"/>
          <w:szCs w:val="18"/>
          <w:highlight w:val="none"/>
          <w:lang w:val="en-US" w:eastAsia="zh-CN"/>
        </w:rPr>
      </w:pPr>
      <w:bookmarkStart w:id="9" w:name="_Toc4843"/>
      <w:bookmarkStart w:id="10" w:name="_Toc7421"/>
      <w:bookmarkStart w:id="11" w:name="_Toc13759"/>
      <w:r>
        <w:rPr>
          <w:rFonts w:hint="eastAsia" w:ascii="宋体" w:hAnsi="宋体" w:eastAsia="宋体"/>
          <w:b w:val="0"/>
          <w:bCs w:val="0"/>
          <w:color w:val="auto"/>
          <w:sz w:val="24"/>
          <w:szCs w:val="18"/>
          <w:highlight w:val="none"/>
          <w:lang w:val="en-US" w:eastAsia="zh-CN"/>
        </w:rPr>
        <w:t>前注：本项目《中小企业声明函》仅需填写下列“主要标的物”清单中相关货物。针对“与主要标的物配套的辅材、辅料、辅助设备等”清单中所列货物，投标文件中可不填写所属行业，不作为《中小企业声明函》的标的物，也不对其生产厂商作出要求。</w:t>
      </w:r>
    </w:p>
    <w:p w14:paraId="0814C62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482" w:firstLineChars="200"/>
        <w:textAlignment w:val="auto"/>
        <w:outlineLvl w:val="1"/>
        <w:rPr>
          <w:rFonts w:hint="default" w:ascii="宋体" w:hAnsi="宋体" w:eastAsia="宋体"/>
          <w:b/>
          <w:bCs/>
          <w:color w:val="FF0000"/>
          <w:sz w:val="24"/>
          <w:szCs w:val="18"/>
          <w:highlight w:val="none"/>
          <w:lang w:val="en-US" w:eastAsia="zh-CN"/>
        </w:rPr>
      </w:pPr>
      <w:r>
        <w:rPr>
          <w:rFonts w:hint="eastAsia" w:ascii="宋体" w:hAnsi="宋体" w:eastAsia="宋体"/>
          <w:b/>
          <w:bCs/>
          <w:color w:val="auto"/>
          <w:sz w:val="24"/>
          <w:szCs w:val="18"/>
          <w:highlight w:val="none"/>
          <w:lang w:eastAsia="zh-CN"/>
        </w:rPr>
        <w:t>（</w:t>
      </w:r>
      <w:r>
        <w:rPr>
          <w:rFonts w:hint="eastAsia" w:ascii="宋体" w:hAnsi="宋体" w:eastAsia="宋体"/>
          <w:b/>
          <w:bCs/>
          <w:color w:val="auto"/>
          <w:sz w:val="24"/>
          <w:szCs w:val="18"/>
          <w:highlight w:val="none"/>
          <w:lang w:val="en-US" w:eastAsia="zh-CN"/>
        </w:rPr>
        <w:t>一</w:t>
      </w:r>
      <w:r>
        <w:rPr>
          <w:rFonts w:hint="eastAsia" w:ascii="宋体" w:hAnsi="宋体" w:eastAsia="宋体"/>
          <w:b/>
          <w:bCs/>
          <w:color w:val="auto"/>
          <w:sz w:val="24"/>
          <w:szCs w:val="18"/>
          <w:highlight w:val="none"/>
          <w:lang w:eastAsia="zh-CN"/>
        </w:rPr>
        <w:t>）</w:t>
      </w:r>
      <w:r>
        <w:rPr>
          <w:rFonts w:hint="eastAsia" w:ascii="宋体" w:hAnsi="宋体" w:eastAsia="宋体"/>
          <w:b/>
          <w:bCs/>
          <w:color w:val="auto"/>
          <w:sz w:val="24"/>
          <w:szCs w:val="18"/>
          <w:highlight w:val="none"/>
          <w:lang w:val="en-US" w:eastAsia="zh-CN"/>
        </w:rPr>
        <w:t>主要标的物</w:t>
      </w:r>
    </w:p>
    <w:tbl>
      <w:tblPr>
        <w:tblStyle w:val="3"/>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51" w:type="dxa"/>
          <w:bottom w:w="0" w:type="dxa"/>
          <w:right w:w="51" w:type="dxa"/>
        </w:tblCellMar>
      </w:tblPr>
      <w:tblGrid>
        <w:gridCol w:w="704"/>
        <w:gridCol w:w="1100"/>
        <w:gridCol w:w="2877"/>
        <w:gridCol w:w="1044"/>
        <w:gridCol w:w="795"/>
        <w:gridCol w:w="978"/>
        <w:gridCol w:w="903"/>
      </w:tblGrid>
      <w:tr w14:paraId="23933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jc w:val="center"/>
        </w:trPr>
        <w:tc>
          <w:tcPr>
            <w:tcW w:w="419" w:type="pct"/>
            <w:vAlign w:val="center"/>
          </w:tcPr>
          <w:p w14:paraId="563FCF1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序号</w:t>
            </w:r>
          </w:p>
        </w:tc>
        <w:tc>
          <w:tcPr>
            <w:tcW w:w="654" w:type="pct"/>
            <w:vAlign w:val="center"/>
          </w:tcPr>
          <w:p w14:paraId="1422707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货物名称</w:t>
            </w:r>
          </w:p>
        </w:tc>
        <w:tc>
          <w:tcPr>
            <w:tcW w:w="1711" w:type="pct"/>
            <w:vAlign w:val="center"/>
          </w:tcPr>
          <w:p w14:paraId="600157B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技术参数及要求</w:t>
            </w:r>
          </w:p>
        </w:tc>
        <w:tc>
          <w:tcPr>
            <w:tcW w:w="621" w:type="pct"/>
            <w:vAlign w:val="center"/>
          </w:tcPr>
          <w:p w14:paraId="7493A43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数量</w:t>
            </w:r>
          </w:p>
          <w:p w14:paraId="1455D98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w:t>
            </w:r>
            <w:r>
              <w:rPr>
                <w:rFonts w:hint="eastAsia" w:ascii="宋体" w:hAnsi="宋体" w:eastAsia="宋体"/>
                <w:b/>
                <w:bCs/>
                <w:color w:val="auto"/>
                <w:sz w:val="24"/>
                <w:szCs w:val="18"/>
                <w:highlight w:val="none"/>
                <w:lang w:val="en-US" w:eastAsia="zh-CN"/>
              </w:rPr>
              <w:t>台</w:t>
            </w:r>
            <w:r>
              <w:rPr>
                <w:rFonts w:hint="eastAsia" w:ascii="宋体" w:hAnsi="宋体" w:eastAsia="宋体"/>
                <w:b/>
                <w:bCs/>
                <w:color w:val="auto"/>
                <w:sz w:val="24"/>
                <w:szCs w:val="18"/>
                <w:highlight w:val="none"/>
              </w:rPr>
              <w:t>）</w:t>
            </w:r>
          </w:p>
        </w:tc>
        <w:tc>
          <w:tcPr>
            <w:tcW w:w="473" w:type="pct"/>
            <w:vAlign w:val="center"/>
          </w:tcPr>
          <w:p w14:paraId="295E6A84">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所属</w:t>
            </w:r>
          </w:p>
          <w:p w14:paraId="73EB0BA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行业</w:t>
            </w:r>
          </w:p>
        </w:tc>
        <w:tc>
          <w:tcPr>
            <w:tcW w:w="582" w:type="pct"/>
            <w:vAlign w:val="center"/>
          </w:tcPr>
          <w:p w14:paraId="2C801DC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b/>
                <w:bCs/>
                <w:color w:val="auto"/>
                <w:sz w:val="24"/>
                <w:szCs w:val="18"/>
                <w:highlight w:val="none"/>
                <w:lang w:val="en-US" w:eastAsia="zh-CN"/>
              </w:rPr>
            </w:pPr>
            <w:r>
              <w:rPr>
                <w:rFonts w:hint="eastAsia" w:ascii="宋体" w:hAnsi="宋体" w:eastAsia="宋体"/>
                <w:b/>
                <w:bCs/>
                <w:color w:val="auto"/>
                <w:sz w:val="24"/>
                <w:szCs w:val="18"/>
                <w:highlight w:val="none"/>
                <w:lang w:val="en-US" w:eastAsia="zh-CN"/>
              </w:rPr>
              <w:t>是否为核心产品</w:t>
            </w:r>
          </w:p>
        </w:tc>
        <w:tc>
          <w:tcPr>
            <w:tcW w:w="537" w:type="pct"/>
            <w:vAlign w:val="center"/>
          </w:tcPr>
          <w:p w14:paraId="1DB8AFE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
                <w:bCs/>
                <w:color w:val="auto"/>
                <w:sz w:val="24"/>
                <w:szCs w:val="18"/>
                <w:highlight w:val="none"/>
              </w:rPr>
            </w:pPr>
            <w:r>
              <w:rPr>
                <w:rFonts w:hint="eastAsia" w:ascii="宋体" w:hAnsi="宋体" w:eastAsia="宋体"/>
                <w:b/>
                <w:bCs/>
                <w:color w:val="auto"/>
                <w:sz w:val="24"/>
                <w:szCs w:val="18"/>
                <w:highlight w:val="none"/>
              </w:rPr>
              <w:t>备注</w:t>
            </w:r>
          </w:p>
        </w:tc>
      </w:tr>
      <w:tr w14:paraId="750128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9" w:hRule="atLeast"/>
          <w:jc w:val="center"/>
        </w:trPr>
        <w:tc>
          <w:tcPr>
            <w:tcW w:w="419" w:type="pct"/>
            <w:vAlign w:val="center"/>
          </w:tcPr>
          <w:p w14:paraId="15A71BF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color w:val="auto"/>
                <w:sz w:val="24"/>
                <w:szCs w:val="18"/>
                <w:highlight w:val="none"/>
              </w:rPr>
            </w:pPr>
            <w:r>
              <w:rPr>
                <w:rFonts w:hint="eastAsia" w:ascii="宋体" w:hAnsi="宋体" w:eastAsia="宋体"/>
                <w:color w:val="auto"/>
                <w:sz w:val="24"/>
                <w:szCs w:val="18"/>
                <w:highlight w:val="none"/>
              </w:rPr>
              <w:t>1</w:t>
            </w:r>
          </w:p>
        </w:tc>
        <w:tc>
          <w:tcPr>
            <w:tcW w:w="654" w:type="pct"/>
            <w:vAlign w:val="center"/>
          </w:tcPr>
          <w:p w14:paraId="31595DC9">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color w:val="auto"/>
                <w:sz w:val="24"/>
                <w:szCs w:val="18"/>
                <w:highlight w:val="none"/>
              </w:rPr>
            </w:pPr>
            <w:r>
              <w:rPr>
                <w:rFonts w:hint="eastAsia" w:ascii="宋体" w:hAnsi="宋体" w:eastAsia="宋体"/>
                <w:bCs/>
                <w:color w:val="auto"/>
                <w:sz w:val="24"/>
                <w:szCs w:val="18"/>
                <w:highlight w:val="none"/>
              </w:rPr>
              <w:t>自动体外除颤仪（AED）</w:t>
            </w:r>
          </w:p>
        </w:tc>
        <w:tc>
          <w:tcPr>
            <w:tcW w:w="1711" w:type="pct"/>
            <w:vAlign w:val="center"/>
          </w:tcPr>
          <w:p w14:paraId="4307C71A">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rPr>
              <w:t>为防止误操作，开机后设备主机界面可有效操作按键含拨片≤</w:t>
            </w: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个（包含实体和非实体按键）；有效操作是指：按键后，设备具有对应的按键功能反馈。</w:t>
            </w:r>
          </w:p>
          <w:p w14:paraId="6F5D44F9">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strike/>
                <w:dstrike w:val="0"/>
                <w:color w:val="auto"/>
                <w:sz w:val="24"/>
                <w:szCs w:val="18"/>
                <w:highlight w:val="yellow"/>
              </w:rPr>
            </w:pPr>
            <w:r>
              <w:rPr>
                <w:rFonts w:hint="eastAsia" w:ascii="宋体" w:hAnsi="宋体" w:eastAsia="宋体"/>
                <w:bCs/>
                <w:color w:val="auto"/>
                <w:sz w:val="24"/>
                <w:szCs w:val="18"/>
                <w:highlight w:val="none"/>
              </w:rPr>
              <w:t>★</w:t>
            </w: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抗冲击/跌落性能：机器六面均可承受≥1.5m跌落冲击。防尘防水级别：防尘防水级别IP55。</w:t>
            </w:r>
          </w:p>
          <w:p w14:paraId="6B2CC2C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工作温度范围满足温度：-5℃～50℃，从室温环境（20℃）下进入-20℃环境后，至少能工作60分钟。工作湿度范围：5%～95%非冷凝。</w:t>
            </w:r>
          </w:p>
          <w:p w14:paraId="17BAD8D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w:t>
            </w: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采用双相波技术，双相指数截断（BTE）波形，波形参数可根据病人阻抗进行自动补偿，输出能量：成人最大能量可支持360J。</w:t>
            </w:r>
          </w:p>
          <w:p w14:paraId="561D5A7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设备开机充电到200J能量完成时间≤</w:t>
            </w:r>
            <w:r>
              <w:rPr>
                <w:rFonts w:hint="eastAsia" w:ascii="宋体" w:hAnsi="宋体" w:eastAsia="宋体"/>
                <w:bCs/>
                <w:color w:val="auto"/>
                <w:sz w:val="24"/>
                <w:szCs w:val="18"/>
                <w:highlight w:val="none"/>
                <w:lang w:val="en-US" w:eastAsia="zh-CN"/>
              </w:rPr>
              <w:t>8</w:t>
            </w:r>
            <w:r>
              <w:rPr>
                <w:rFonts w:hint="eastAsia" w:ascii="宋体" w:hAnsi="宋体" w:eastAsia="宋体"/>
                <w:bCs/>
                <w:color w:val="auto"/>
                <w:sz w:val="24"/>
                <w:szCs w:val="18"/>
                <w:highlight w:val="none"/>
              </w:rPr>
              <w:t>秒。</w:t>
            </w:r>
          </w:p>
          <w:p w14:paraId="6C4805F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6、</w:t>
            </w:r>
            <w:r>
              <w:rPr>
                <w:rFonts w:hint="eastAsia" w:ascii="宋体" w:hAnsi="宋体" w:eastAsia="宋体"/>
                <w:bCs/>
                <w:color w:val="auto"/>
                <w:sz w:val="24"/>
                <w:szCs w:val="18"/>
                <w:highlight w:val="none"/>
              </w:rPr>
              <w:t>设备主机具有≥</w:t>
            </w: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寸显示屏，分辨率不小于800×480像素。</w:t>
            </w:r>
          </w:p>
          <w:p w14:paraId="484913B2">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lang w:val="en-US" w:eastAsia="zh-CN"/>
              </w:rPr>
              <w:t>7、</w:t>
            </w:r>
            <w:r>
              <w:rPr>
                <w:rFonts w:hint="eastAsia" w:ascii="宋体" w:hAnsi="宋体" w:eastAsia="宋体"/>
                <w:bCs/>
                <w:color w:val="auto"/>
                <w:sz w:val="24"/>
                <w:szCs w:val="18"/>
                <w:highlight w:val="none"/>
              </w:rPr>
              <w:t>具有显示屏亮度调节功能，支持根据环境光强度自动调节屏幕显示亮度，适应野外强光环境下使用。</w:t>
            </w:r>
          </w:p>
          <w:p w14:paraId="05C6961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w:t>
            </w:r>
            <w:r>
              <w:rPr>
                <w:rFonts w:hint="eastAsia" w:ascii="宋体" w:hAnsi="宋体" w:eastAsia="宋体"/>
                <w:bCs/>
                <w:color w:val="auto"/>
                <w:sz w:val="24"/>
                <w:szCs w:val="18"/>
                <w:highlight w:val="none"/>
                <w:lang w:val="en-US" w:eastAsia="zh-CN"/>
              </w:rPr>
              <w:t>8、</w:t>
            </w:r>
            <w:r>
              <w:rPr>
                <w:rFonts w:hint="eastAsia" w:ascii="宋体" w:hAnsi="宋体" w:eastAsia="宋体"/>
                <w:bCs/>
                <w:color w:val="auto"/>
                <w:sz w:val="24"/>
                <w:szCs w:val="18"/>
                <w:highlight w:val="none"/>
              </w:rPr>
              <w:t>在室温温度环境下，电池待机寿命不少于</w:t>
            </w: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年。</w:t>
            </w:r>
          </w:p>
          <w:p w14:paraId="20D10D3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w:t>
            </w:r>
            <w:r>
              <w:rPr>
                <w:rFonts w:hint="eastAsia" w:ascii="宋体" w:hAnsi="宋体" w:eastAsia="宋体"/>
                <w:bCs/>
                <w:color w:val="auto"/>
                <w:sz w:val="24"/>
                <w:szCs w:val="18"/>
                <w:highlight w:val="none"/>
                <w:lang w:val="en-US" w:eastAsia="zh-CN"/>
              </w:rPr>
              <w:t>9、</w:t>
            </w:r>
            <w:r>
              <w:rPr>
                <w:rFonts w:hint="eastAsia" w:ascii="宋体" w:hAnsi="宋体" w:eastAsia="宋体"/>
                <w:bCs/>
                <w:color w:val="auto"/>
                <w:sz w:val="24"/>
                <w:szCs w:val="18"/>
                <w:highlight w:val="none"/>
              </w:rPr>
              <w:t>在合适条件下，开机后连续工作时间不小于1</w:t>
            </w: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小时。</w:t>
            </w:r>
          </w:p>
          <w:p w14:paraId="56FDA733">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strike/>
                <w:dstrike w:val="0"/>
                <w:color w:val="auto"/>
                <w:sz w:val="24"/>
                <w:szCs w:val="18"/>
                <w:highlight w:val="yellow"/>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val="en-US" w:eastAsia="zh-CN"/>
              </w:rPr>
              <w:t>0、</w:t>
            </w:r>
            <w:r>
              <w:rPr>
                <w:rFonts w:hint="eastAsia" w:ascii="宋体" w:hAnsi="宋体" w:eastAsia="宋体"/>
                <w:bCs/>
                <w:color w:val="auto"/>
                <w:sz w:val="24"/>
                <w:szCs w:val="18"/>
                <w:highlight w:val="none"/>
              </w:rPr>
              <w:t>在适合条件下，至少可支持</w:t>
            </w:r>
            <w:r>
              <w:rPr>
                <w:rFonts w:hint="eastAsia" w:ascii="宋体" w:hAnsi="宋体" w:eastAsia="宋体"/>
                <w:bCs/>
                <w:color w:val="auto"/>
                <w:sz w:val="24"/>
                <w:szCs w:val="18"/>
                <w:highlight w:val="none"/>
                <w:lang w:val="en-US" w:eastAsia="zh-CN"/>
              </w:rPr>
              <w:t>150</w:t>
            </w:r>
            <w:r>
              <w:rPr>
                <w:rFonts w:hint="eastAsia" w:ascii="宋体" w:hAnsi="宋体" w:eastAsia="宋体"/>
                <w:bCs/>
                <w:color w:val="auto"/>
                <w:sz w:val="24"/>
                <w:szCs w:val="18"/>
                <w:highlight w:val="none"/>
              </w:rPr>
              <w:t>次200J除颤治疗或200次360J除颤治疗。</w:t>
            </w:r>
          </w:p>
          <w:p w14:paraId="3A812C60">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val="en-US" w:eastAsia="zh-CN"/>
              </w:rPr>
              <w:t>1、</w:t>
            </w:r>
            <w:r>
              <w:rPr>
                <w:rFonts w:hint="eastAsia" w:ascii="宋体" w:hAnsi="宋体" w:eastAsia="宋体"/>
                <w:bCs/>
                <w:color w:val="auto"/>
                <w:sz w:val="24"/>
                <w:szCs w:val="18"/>
                <w:highlight w:val="none"/>
              </w:rPr>
              <w:t>电极片有效期≥</w:t>
            </w: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年。</w:t>
            </w:r>
          </w:p>
          <w:p w14:paraId="6912F1E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val="en-US" w:eastAsia="zh-CN"/>
              </w:rPr>
              <w:t>2、</w:t>
            </w:r>
            <w:r>
              <w:rPr>
                <w:rFonts w:hint="eastAsia" w:ascii="宋体" w:hAnsi="宋体" w:eastAsia="宋体"/>
                <w:bCs/>
                <w:color w:val="auto"/>
                <w:sz w:val="24"/>
                <w:szCs w:val="18"/>
                <w:highlight w:val="none"/>
              </w:rPr>
              <w:t>可一键快速切换中文、英文或自定义多种语言。</w:t>
            </w:r>
          </w:p>
          <w:p w14:paraId="0D4AD1E7">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val="en-US" w:eastAsia="zh-CN"/>
              </w:rPr>
              <w:t>3、</w:t>
            </w:r>
            <w:r>
              <w:rPr>
                <w:rFonts w:hint="eastAsia" w:ascii="宋体" w:hAnsi="宋体" w:eastAsia="宋体"/>
                <w:bCs/>
                <w:color w:val="auto"/>
                <w:sz w:val="24"/>
                <w:szCs w:val="18"/>
                <w:highlight w:val="none"/>
              </w:rPr>
              <w:t>支持多级音量功能，支持手动/自动调节音量。</w:t>
            </w:r>
          </w:p>
          <w:p w14:paraId="388B671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val="en-US" w:eastAsia="zh-CN"/>
              </w:rPr>
              <w:t>4、</w:t>
            </w:r>
            <w:r>
              <w:rPr>
                <w:rFonts w:hint="eastAsia" w:ascii="宋体" w:hAnsi="宋体" w:eastAsia="宋体"/>
                <w:bCs/>
                <w:color w:val="auto"/>
                <w:sz w:val="24"/>
                <w:szCs w:val="18"/>
                <w:highlight w:val="none"/>
              </w:rPr>
              <w:t>支持成人/小儿患者类型快速一键切换。</w:t>
            </w:r>
          </w:p>
          <w:p w14:paraId="1666A0D4">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★1</w:t>
            </w: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CPR按压模式支持配置30:2，15:2。</w:t>
            </w:r>
          </w:p>
          <w:p w14:paraId="53A16405">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hint="eastAsia" w:ascii="宋体" w:hAnsi="宋体" w:eastAsia="宋体"/>
                <w:bCs/>
                <w:color w:val="auto"/>
                <w:sz w:val="24"/>
                <w:szCs w:val="18"/>
                <w:highlight w:val="none"/>
              </w:rPr>
            </w:pPr>
            <w:r>
              <w:rPr>
                <w:rFonts w:hint="eastAsia" w:ascii="宋体" w:hAnsi="宋体" w:eastAsia="宋体"/>
                <w:bCs/>
                <w:color w:val="auto"/>
                <w:sz w:val="24"/>
                <w:szCs w:val="18"/>
                <w:highlight w:val="none"/>
              </w:rPr>
              <w:t>★</w:t>
            </w:r>
            <w:r>
              <w:rPr>
                <w:rFonts w:hint="eastAsia" w:ascii="宋体" w:hAnsi="宋体" w:eastAsia="宋体"/>
                <w:bCs/>
                <w:color w:val="auto"/>
                <w:sz w:val="24"/>
                <w:szCs w:val="18"/>
                <w:highlight w:val="none"/>
                <w:lang w:val="en-US" w:eastAsia="zh-CN"/>
              </w:rPr>
              <w:t>16、</w:t>
            </w:r>
            <w:r>
              <w:rPr>
                <w:rFonts w:hint="eastAsia" w:ascii="宋体" w:hAnsi="宋体" w:eastAsia="宋体"/>
                <w:bCs/>
                <w:color w:val="auto"/>
                <w:sz w:val="24"/>
                <w:szCs w:val="18"/>
                <w:highlight w:val="none"/>
              </w:rPr>
              <w:t>数据管理：存储5h的ECG波形，可存储不少于1500份自检报告，支持</w:t>
            </w:r>
            <w:r>
              <w:rPr>
                <w:rFonts w:hint="eastAsia" w:ascii="宋体" w:hAnsi="宋体" w:eastAsia="宋体"/>
                <w:bCs/>
                <w:color w:val="auto"/>
                <w:sz w:val="24"/>
                <w:szCs w:val="18"/>
                <w:highlight w:val="none"/>
                <w:lang w:val="en-US" w:eastAsia="zh-CN"/>
              </w:rPr>
              <w:t>5</w:t>
            </w:r>
            <w:r>
              <w:rPr>
                <w:rFonts w:hint="eastAsia" w:ascii="宋体" w:hAnsi="宋体" w:eastAsia="宋体"/>
                <w:bCs/>
                <w:color w:val="auto"/>
                <w:sz w:val="24"/>
                <w:szCs w:val="18"/>
                <w:highlight w:val="none"/>
              </w:rPr>
              <w:t>00条报警</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lang w:val="en-US" w:eastAsia="zh-CN"/>
              </w:rPr>
              <w:t>日志</w:t>
            </w:r>
            <w:r>
              <w:rPr>
                <w:rFonts w:hint="eastAsia" w:ascii="宋体" w:hAnsi="宋体" w:eastAsia="宋体"/>
                <w:bCs/>
                <w:color w:val="auto"/>
                <w:sz w:val="24"/>
                <w:szCs w:val="18"/>
                <w:highlight w:val="none"/>
                <w:lang w:eastAsia="zh-CN"/>
              </w:rPr>
              <w:t>）</w:t>
            </w:r>
            <w:r>
              <w:rPr>
                <w:rFonts w:hint="eastAsia" w:ascii="宋体" w:hAnsi="宋体" w:eastAsia="宋体"/>
                <w:bCs/>
                <w:color w:val="auto"/>
                <w:sz w:val="24"/>
                <w:szCs w:val="18"/>
                <w:highlight w:val="none"/>
              </w:rPr>
              <w:t>事件；可保存1h抢救现场录音。</w:t>
            </w:r>
          </w:p>
          <w:p w14:paraId="5A5403D6">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宋体" w:hAnsi="宋体" w:eastAsia="宋体"/>
                <w:bCs/>
                <w:color w:val="auto"/>
                <w:sz w:val="24"/>
                <w:szCs w:val="18"/>
                <w:highlight w:val="none"/>
              </w:rPr>
            </w:pPr>
            <w:r>
              <w:rPr>
                <w:rFonts w:hint="eastAsia" w:ascii="宋体" w:hAnsi="宋体" w:eastAsia="宋体"/>
                <w:bCs/>
                <w:color w:val="auto"/>
                <w:sz w:val="24"/>
                <w:szCs w:val="18"/>
                <w:highlight w:val="none"/>
              </w:rPr>
              <w:t>★</w:t>
            </w:r>
            <w:r>
              <w:rPr>
                <w:rFonts w:hint="eastAsia" w:ascii="宋体" w:hAnsi="宋体" w:eastAsia="宋体"/>
                <w:bCs/>
                <w:color w:val="auto"/>
                <w:sz w:val="24"/>
                <w:szCs w:val="18"/>
                <w:highlight w:val="none"/>
                <w:lang w:val="en-US" w:eastAsia="zh-CN"/>
              </w:rPr>
              <w:t>17、</w:t>
            </w:r>
            <w:r>
              <w:rPr>
                <w:rFonts w:hint="eastAsia" w:ascii="宋体" w:hAnsi="宋体" w:eastAsia="宋体"/>
                <w:bCs/>
                <w:color w:val="auto"/>
                <w:sz w:val="24"/>
                <w:szCs w:val="18"/>
                <w:highlight w:val="none"/>
              </w:rPr>
              <w:t>数据传输和存储：支持内置无线数据传输功能；可存储记录数据，ECG波形记录、事件数据、现场录音记录等；支持USB接口，可通过外部闪存设备导出抢救记录数据；</w:t>
            </w:r>
          </w:p>
        </w:tc>
        <w:tc>
          <w:tcPr>
            <w:tcW w:w="621" w:type="pct"/>
            <w:vAlign w:val="center"/>
          </w:tcPr>
          <w:p w14:paraId="2ACC9A2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106</w:t>
            </w:r>
          </w:p>
        </w:tc>
        <w:tc>
          <w:tcPr>
            <w:tcW w:w="473" w:type="pct"/>
            <w:vAlign w:val="center"/>
          </w:tcPr>
          <w:p w14:paraId="3ADB4BEA">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工业</w:t>
            </w:r>
          </w:p>
        </w:tc>
        <w:tc>
          <w:tcPr>
            <w:tcW w:w="582" w:type="pct"/>
            <w:vAlign w:val="center"/>
          </w:tcPr>
          <w:p w14:paraId="5D2DBD12">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rPr>
              <w:t>本项目为单一产品采购，不设置核心产品</w:t>
            </w:r>
          </w:p>
        </w:tc>
        <w:tc>
          <w:tcPr>
            <w:tcW w:w="537" w:type="pct"/>
            <w:vAlign w:val="center"/>
          </w:tcPr>
          <w:p w14:paraId="060A992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宋体" w:hAnsi="宋体" w:eastAsia="宋体"/>
                <w:bCs/>
                <w:color w:val="auto"/>
                <w:sz w:val="24"/>
                <w:szCs w:val="18"/>
                <w:highlight w:val="none"/>
              </w:rPr>
            </w:pPr>
          </w:p>
        </w:tc>
      </w:tr>
    </w:tbl>
    <w:p w14:paraId="55103BF7">
      <w:pPr>
        <w:keepNext w:val="0"/>
        <w:keepLines w:val="0"/>
        <w:pageBreakBefore w:val="0"/>
        <w:widowControl w:val="0"/>
        <w:kinsoku/>
        <w:wordWrap/>
        <w:overflowPunct/>
        <w:topLinePunct w:val="0"/>
        <w:autoSpaceDE/>
        <w:autoSpaceDN/>
        <w:bidi w:val="0"/>
        <w:adjustRightInd/>
        <w:snapToGrid/>
        <w:spacing w:line="560" w:lineRule="exact"/>
        <w:ind w:firstLine="437"/>
        <w:textAlignment w:val="auto"/>
        <w:outlineLvl w:val="1"/>
        <w:rPr>
          <w:rFonts w:ascii="宋体" w:hAnsi="宋体" w:eastAsia="宋体"/>
          <w:b/>
          <w:bCs/>
          <w:color w:val="auto"/>
          <w:sz w:val="24"/>
          <w:szCs w:val="18"/>
          <w:highlight w:val="none"/>
        </w:rPr>
      </w:pPr>
      <w:bookmarkStart w:id="12" w:name="_Toc24469"/>
      <w:r>
        <w:rPr>
          <w:rFonts w:hint="eastAsia" w:ascii="宋体" w:hAnsi="宋体" w:eastAsia="宋体"/>
          <w:b/>
          <w:bCs/>
          <w:color w:val="auto"/>
          <w:sz w:val="24"/>
          <w:szCs w:val="18"/>
          <w:highlight w:val="none"/>
        </w:rPr>
        <w:t>三、报价要求</w:t>
      </w:r>
      <w:bookmarkEnd w:id="9"/>
      <w:bookmarkEnd w:id="10"/>
      <w:bookmarkEnd w:id="11"/>
      <w:bookmarkEnd w:id="12"/>
    </w:p>
    <w:p w14:paraId="496DE3FE">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ascii="宋体" w:hAnsi="宋体" w:eastAsia="宋体"/>
          <w:bCs/>
          <w:color w:val="auto"/>
          <w:sz w:val="24"/>
          <w:szCs w:val="18"/>
          <w:highlight w:val="none"/>
        </w:rPr>
      </w:pPr>
      <w:r>
        <w:rPr>
          <w:rFonts w:hint="eastAsia" w:ascii="宋体" w:hAnsi="宋体" w:eastAsia="宋体"/>
          <w:bCs/>
          <w:color w:val="auto"/>
          <w:sz w:val="24"/>
          <w:szCs w:val="18"/>
          <w:highlight w:val="none"/>
        </w:rPr>
        <w:t>见“第六章  响应文件格式”中的“十四、报价表”以及“十五、分项报价明细表”</w:t>
      </w:r>
    </w:p>
    <w:p w14:paraId="3C513A53">
      <w:pPr>
        <w:keepNext w:val="0"/>
        <w:keepLines w:val="0"/>
        <w:pageBreakBefore w:val="0"/>
        <w:widowControl w:val="0"/>
        <w:kinsoku/>
        <w:wordWrap/>
        <w:overflowPunct/>
        <w:topLinePunct w:val="0"/>
        <w:autoSpaceDE/>
        <w:autoSpaceDN/>
        <w:bidi w:val="0"/>
        <w:adjustRightInd/>
        <w:snapToGrid/>
        <w:spacing w:line="560" w:lineRule="exact"/>
        <w:ind w:firstLine="437"/>
        <w:textAlignment w:val="auto"/>
        <w:outlineLvl w:val="1"/>
        <w:rPr>
          <w:rFonts w:ascii="宋体" w:hAnsi="宋体" w:eastAsia="宋体"/>
          <w:b/>
          <w:bCs/>
          <w:color w:val="auto"/>
          <w:sz w:val="24"/>
          <w:szCs w:val="18"/>
          <w:highlight w:val="none"/>
        </w:rPr>
      </w:pPr>
      <w:bookmarkStart w:id="13" w:name="_Toc14698"/>
      <w:bookmarkStart w:id="14" w:name="_Toc2674"/>
      <w:bookmarkStart w:id="15" w:name="_Toc22179"/>
      <w:bookmarkStart w:id="16" w:name="_Toc15293"/>
      <w:r>
        <w:rPr>
          <w:rFonts w:hint="eastAsia" w:ascii="宋体" w:hAnsi="宋体" w:eastAsia="宋体"/>
          <w:b/>
          <w:bCs/>
          <w:color w:val="auto"/>
          <w:sz w:val="24"/>
          <w:szCs w:val="18"/>
          <w:highlight w:val="none"/>
        </w:rPr>
        <w:t>四、其他要求</w:t>
      </w:r>
      <w:bookmarkEnd w:id="13"/>
      <w:bookmarkEnd w:id="14"/>
      <w:bookmarkEnd w:id="15"/>
      <w:bookmarkEnd w:id="16"/>
    </w:p>
    <w:p w14:paraId="621DE37D">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default" w:ascii="宋体" w:hAnsi="宋体" w:eastAsia="宋体"/>
          <w:bCs/>
          <w:color w:val="FF0000"/>
          <w:sz w:val="24"/>
          <w:szCs w:val="18"/>
          <w:highlight w:val="none"/>
          <w:lang w:val="en-US" w:eastAsia="zh-CN"/>
        </w:rPr>
      </w:pPr>
      <w:r>
        <w:rPr>
          <w:rFonts w:hint="eastAsia" w:ascii="宋体" w:hAnsi="宋体" w:eastAsia="宋体"/>
          <w:bCs/>
          <w:color w:val="auto"/>
          <w:sz w:val="24"/>
          <w:szCs w:val="18"/>
          <w:highlight w:val="none"/>
          <w:lang w:val="en-US" w:eastAsia="zh-CN"/>
        </w:rPr>
        <w:t>1、供应商须提供有效的所投产品相对应的有效的医疗器械生产许可证；</w:t>
      </w:r>
    </w:p>
    <w:p w14:paraId="2036F3C8">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2、在质保期内，如因产品质量问题或服务不到位而引起的一切经济损失与法律责任均由中标方承担。（提供承诺函并加盖公章，承诺函格式自拟）；</w:t>
      </w:r>
    </w:p>
    <w:p w14:paraId="09FEB31C">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3、人员培训要求：设备安装后，对设备的性能、原理、操作、保养和维护等内容对采购人进行详细培训讲解，培训后要求达到采购人可独立使用为准；</w:t>
      </w:r>
    </w:p>
    <w:p w14:paraId="7183F4C5">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4、送货时间：需按照采购人指定日期将货物送至指定地点；</w:t>
      </w:r>
    </w:p>
    <w:p w14:paraId="249A7BBD">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5、技术支持：提供7×24小时的技术咨询服务；</w:t>
      </w:r>
    </w:p>
    <w:p w14:paraId="25F09A63">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6、故障响应：提供7×24小时的故障服务受理；</w:t>
      </w:r>
    </w:p>
    <w:p w14:paraId="39B3E979">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7、对重大故障提供7×24小时的现场支援，一般故障提供7×8小时的现场支援；</w:t>
      </w:r>
    </w:p>
    <w:p w14:paraId="3E4DF35B">
      <w:pPr>
        <w:keepNext w:val="0"/>
        <w:keepLines w:val="0"/>
        <w:pageBreakBefore w:val="0"/>
        <w:widowControl w:val="0"/>
        <w:kinsoku/>
        <w:wordWrap/>
        <w:overflowPunct/>
        <w:topLinePunct w:val="0"/>
        <w:autoSpaceDE/>
        <w:autoSpaceDN/>
        <w:bidi w:val="0"/>
        <w:adjustRightInd/>
        <w:snapToGrid/>
        <w:spacing w:line="560" w:lineRule="exact"/>
        <w:ind w:firstLine="437"/>
        <w:textAlignment w:val="auto"/>
        <w:rPr>
          <w:rFonts w:hint="eastAsia" w:ascii="宋体" w:hAnsi="宋体" w:eastAsia="宋体"/>
          <w:bCs/>
          <w:color w:val="auto"/>
          <w:sz w:val="24"/>
          <w:szCs w:val="18"/>
          <w:highlight w:val="none"/>
          <w:lang w:val="en-US" w:eastAsia="zh-CN"/>
        </w:rPr>
      </w:pPr>
      <w:r>
        <w:rPr>
          <w:rFonts w:hint="eastAsia" w:ascii="宋体" w:hAnsi="宋体" w:eastAsia="宋体"/>
          <w:bCs/>
          <w:color w:val="auto"/>
          <w:sz w:val="24"/>
          <w:szCs w:val="18"/>
          <w:highlight w:val="none"/>
          <w:lang w:val="en-US" w:eastAsia="zh-CN"/>
        </w:rPr>
        <w:t>8、保期内出现任何质量问题（人为破坏或自然灾害等不可抗力除外），全免费（免全部工时费、材料费、管理费、财务费等）更换。</w:t>
      </w:r>
    </w:p>
    <w:p w14:paraId="34B6217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437" w:firstLineChars="0"/>
        <w:textAlignment w:val="auto"/>
        <w:outlineLvl w:val="1"/>
        <w:rPr>
          <w:rFonts w:hint="eastAsia" w:ascii="宋体" w:hAnsi="宋体" w:eastAsia="宋体" w:cs="@仿宋_GB2312"/>
          <w:b/>
          <w:color w:val="auto"/>
          <w:kern w:val="2"/>
          <w:sz w:val="24"/>
          <w:szCs w:val="18"/>
          <w:lang w:val="en-US" w:eastAsia="zh-CN" w:bidi="ar-SA"/>
        </w:rPr>
      </w:pPr>
      <w:bookmarkStart w:id="17" w:name="_Toc10710"/>
      <w:bookmarkStart w:id="18" w:name="_Toc22085"/>
      <w:bookmarkStart w:id="19" w:name="_Toc1013"/>
      <w:bookmarkStart w:id="20" w:name="_Toc6897"/>
      <w:r>
        <w:rPr>
          <w:rFonts w:hint="eastAsia" w:ascii="宋体" w:hAnsi="宋体" w:eastAsia="宋体" w:cs="@仿宋_GB2312"/>
          <w:b/>
          <w:color w:val="auto"/>
          <w:kern w:val="2"/>
          <w:sz w:val="24"/>
          <w:szCs w:val="18"/>
          <w:lang w:val="en-US" w:eastAsia="zh-CN" w:bidi="ar-SA"/>
        </w:rPr>
        <w:t>五、</w:t>
      </w:r>
      <w:r>
        <w:rPr>
          <w:rFonts w:hint="eastAsia" w:ascii="宋体" w:hAnsi="宋体" w:eastAsia="宋体"/>
          <w:b/>
          <w:bCs/>
          <w:color w:val="auto"/>
          <w:sz w:val="24"/>
          <w:szCs w:val="18"/>
          <w:highlight w:val="none"/>
        </w:rPr>
        <w:t>样品</w:t>
      </w:r>
      <w:r>
        <w:rPr>
          <w:rFonts w:hint="eastAsia" w:ascii="宋体" w:hAnsi="宋体" w:eastAsia="宋体"/>
          <w:b/>
          <w:color w:val="auto"/>
          <w:sz w:val="24"/>
          <w:szCs w:val="18"/>
          <w:highlight w:val="none"/>
        </w:rPr>
        <w:t>要求</w:t>
      </w:r>
      <w:r>
        <w:rPr>
          <w:rFonts w:hint="eastAsia" w:ascii="宋体" w:hAnsi="宋体" w:eastAsia="宋体"/>
          <w:b/>
          <w:color w:val="auto"/>
          <w:sz w:val="24"/>
          <w:szCs w:val="18"/>
          <w:highlight w:val="none"/>
          <w:lang w:eastAsia="zh-CN"/>
        </w:rPr>
        <w:t>（</w:t>
      </w:r>
      <w:r>
        <w:rPr>
          <w:rFonts w:hint="eastAsia" w:ascii="宋体" w:hAnsi="宋体" w:eastAsia="宋体"/>
          <w:b/>
          <w:i w:val="0"/>
          <w:iCs w:val="0"/>
          <w:color w:val="auto"/>
          <w:sz w:val="24"/>
          <w:szCs w:val="18"/>
          <w:highlight w:val="none"/>
          <w:lang w:val="en-US" w:eastAsia="zh-CN"/>
        </w:rPr>
        <w:t>无</w:t>
      </w:r>
      <w:r>
        <w:rPr>
          <w:rFonts w:hint="eastAsia" w:ascii="宋体" w:hAnsi="宋体" w:eastAsia="宋体"/>
          <w:b/>
          <w:color w:val="auto"/>
          <w:sz w:val="24"/>
          <w:szCs w:val="18"/>
          <w:highlight w:val="none"/>
          <w:lang w:eastAsia="zh-CN"/>
        </w:rPr>
        <w:t>）</w:t>
      </w:r>
    </w:p>
    <w:p w14:paraId="354AB9B2">
      <w:pPr>
        <w:numPr>
          <w:ilvl w:val="0"/>
          <w:numId w:val="0"/>
        </w:numPr>
        <w:spacing w:line="360" w:lineRule="auto"/>
        <w:ind w:firstLine="437" w:firstLineChars="0"/>
        <w:outlineLvl w:val="1"/>
        <w:rPr>
          <w:rFonts w:hint="eastAsia" w:ascii="宋体" w:hAnsi="宋体" w:eastAsia="宋体"/>
          <w:b/>
          <w:bCs/>
          <w:color w:val="auto"/>
          <w:sz w:val="24"/>
          <w:szCs w:val="18"/>
          <w:highlight w:val="none"/>
          <w:lang w:val="en-US" w:eastAsia="zh-CN"/>
        </w:rPr>
      </w:pPr>
      <w:r>
        <w:rPr>
          <w:rFonts w:hint="eastAsia" w:ascii="宋体" w:hAnsi="宋体" w:eastAsia="宋体" w:cs="@仿宋_GB2312"/>
          <w:b/>
          <w:color w:val="auto"/>
          <w:kern w:val="2"/>
          <w:sz w:val="24"/>
          <w:szCs w:val="18"/>
          <w:lang w:val="en-US" w:eastAsia="zh-CN" w:bidi="ar-SA"/>
        </w:rPr>
        <w:t>六、</w:t>
      </w:r>
      <w:bookmarkEnd w:id="17"/>
      <w:bookmarkEnd w:id="18"/>
      <w:bookmarkEnd w:id="19"/>
      <w:bookmarkEnd w:id="20"/>
      <w:r>
        <w:rPr>
          <w:rFonts w:hint="eastAsia" w:ascii="宋体" w:hAnsi="宋体" w:eastAsia="宋体"/>
          <w:b/>
          <w:bCs/>
          <w:color w:val="auto"/>
          <w:sz w:val="24"/>
          <w:szCs w:val="18"/>
          <w:highlight w:val="none"/>
          <w:lang w:val="en-US" w:eastAsia="zh-CN"/>
        </w:rPr>
        <w:t>配送清单</w:t>
      </w:r>
    </w:p>
    <w:tbl>
      <w:tblPr>
        <w:tblStyle w:val="3"/>
        <w:tblW w:w="8522"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67"/>
        <w:gridCol w:w="4232"/>
        <w:gridCol w:w="2923"/>
      </w:tblGrid>
      <w:tr w14:paraId="137781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BD523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CA0AEB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配送学校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2A83988">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台数</w:t>
            </w:r>
          </w:p>
        </w:tc>
      </w:tr>
      <w:tr w14:paraId="173B4B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nil"/>
              <w:left w:val="single" w:color="000000" w:sz="4" w:space="0"/>
              <w:bottom w:val="single" w:color="000000" w:sz="4" w:space="0"/>
              <w:right w:val="single" w:color="000000" w:sz="4" w:space="0"/>
            </w:tcBorders>
            <w:noWrap/>
            <w:vAlign w:val="center"/>
          </w:tcPr>
          <w:p w14:paraId="69904C2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w:t>
            </w:r>
          </w:p>
        </w:tc>
        <w:tc>
          <w:tcPr>
            <w:tcW w:w="4232" w:type="dxa"/>
            <w:tcBorders>
              <w:top w:val="nil"/>
              <w:left w:val="single" w:color="000000" w:sz="4" w:space="0"/>
              <w:bottom w:val="single" w:color="000000" w:sz="4" w:space="0"/>
              <w:right w:val="single" w:color="000000" w:sz="4" w:space="0"/>
            </w:tcBorders>
            <w:noWrap/>
            <w:vAlign w:val="center"/>
          </w:tcPr>
          <w:p w14:paraId="3DED31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邵岗乡坎山学校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528A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EC0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B8F2620">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474EE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石店镇五塔中学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895E1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F82B6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143238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D884E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周集镇朱港初级中学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6F022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C1A2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32C2B5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AE88A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乌龙镇陡岗学校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0DD8F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6AC9C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987405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F7A7C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河口镇草楼学校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F90EB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C4BC5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5EA244F">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8739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高塘镇吴集学校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AA7E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3A634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DB0D39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9860A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曹庙镇吴阳初中</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223A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71CB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FAB9B2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8260E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霍邱县特殊教育学校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25610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61307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A532DC7">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C5341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孟集镇中心店学校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9BBE0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8D53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6BB235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B3F2D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城西湖乡中心学校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B5CF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8DC2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2CB71F3">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D93F8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邵岗乡中心学校本部</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05138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DF34A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45DB8EC">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17672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临淮岗镇初级中学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892EF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7827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139838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B0C47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彭塔镇隐贤初级中学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2C4EB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C7618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422E27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FA085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户胡镇高镇初级中学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2BED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1E8F3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0E7B28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3B401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潘集镇中心学校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F0364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BDFCD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A8F0BB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D570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孟集镇王圩初中</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F448C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0AE1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31DB6D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2640C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曹庙镇中心学校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10EDF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DDF4B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C7C31C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5C7D8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新店镇中心学校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6E7A6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E7367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D75BAC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19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17A56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三流乡中心学校（本部）</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47D33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8B9E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07EF2D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B242E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岔路镇周店学校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32CF0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DEDB1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7C56DC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0CE7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夏店镇中心学校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8EDD7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11229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FD8814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C3E7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范桥镇代店初中</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0EB6A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F76D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25BECFD">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33308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彭塔镇明德小学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42F02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3433D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8F9F10D">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5587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宋店镇俞林初级中学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64A0D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449D3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BA95B2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3469C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龙潭镇中心小学（南校）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7729C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3E78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CB030F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64E85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冯井镇白庙中学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5E33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DA38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132131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9FC5C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花园镇刘李学校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6EDC9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ABE8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C21FF7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B53D1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彭塔镇名家汇小学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DFD4F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2BFB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2379B2A">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29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B39A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冯瓴镇中心学校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04426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721AC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5B0539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8F99A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夏店镇砖洪学校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BD27B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48F13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3FFBB3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EB6E0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周集镇侯店小学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DAAC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2E8D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3E77C7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46447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曹庙镇中心小学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107F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56AC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2E6684F">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C3789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花园镇中心学校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66E58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541A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C8C80EC">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5196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龙潭镇石庙学校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AAB3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E0A42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2C19AA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3C883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宋店镇俞林小学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434C5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AC4D7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5DA47E7">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AE8F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冯井镇中心学校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E3030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F9F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5064F8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37</w:t>
            </w:r>
          </w:p>
        </w:tc>
        <w:tc>
          <w:tcPr>
            <w:tcW w:w="4232" w:type="dxa"/>
            <w:tcBorders>
              <w:top w:val="single" w:color="000000" w:sz="4" w:space="0"/>
              <w:left w:val="single" w:color="000000" w:sz="4" w:space="0"/>
              <w:bottom w:val="single" w:color="000000" w:sz="4" w:space="0"/>
              <w:right w:val="single" w:color="000000" w:sz="4" w:space="0"/>
            </w:tcBorders>
            <w:noWrap w:val="0"/>
            <w:vAlign w:val="center"/>
          </w:tcPr>
          <w:p w14:paraId="41028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临水镇李楼小学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27E2A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C3477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BA8E64B">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8A3A0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河口镇中心学校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9CD31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5DB3A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3336F8B">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39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2953A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三流乡曹墩学校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357B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AA0B2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E9397D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6080D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夏店镇中心小学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E9A69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7758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C469D48">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83BC9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新店镇初级中学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9511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A648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A8FBC8B">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232CA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龙潭镇中心学校本部</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EBC77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3212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EEBC9BF">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98BA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高塘镇中心学校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CF64E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56F5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B2E0023">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3FCA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众兴集镇中心学校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3F983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C3B48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D6A3E4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A6B9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龙潭镇中心小学（北校）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8A36F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08DE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8A63CB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AE09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白莲乡牛集学校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3B86F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38194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824CDA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2B0FC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新店镇中心小学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4531F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ECD66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7D1E2FC">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FF594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冯瓴镇沈台初中</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A8C11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01CBE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9C181F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49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23B03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冯井镇中心小学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4F378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64867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939437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4C869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白莲乡中心学校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4F341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65FFE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3EBD1DC">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EE4A1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高塘镇中心小学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8F2DB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F9B9D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2FEC197">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00497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冯井镇彭店小学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84BB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8B9E5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864830A">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5FD79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长集镇中心学校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CA6C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7933D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DE647ED">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65B6E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众兴集镇西皋学校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18EB8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086B9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BB8975B">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6D859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三流乡中心小学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AB8B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B7913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57540F8">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3EEC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范桥镇中心小学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16AEE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20BD8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690679A">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B8F3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彭塔镇中心小学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B5782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5DA16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FB1FEA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914DC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范桥镇第二小学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09CB7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7F0E9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6DC8D2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59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D94B4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冯瓴镇新仓学校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742506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B5CCA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BA992B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3FDED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花园镇中心小学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A9ED4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CDBA1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6BB4AF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393A2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白莲乡中心小学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0B09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FC19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8FF97AF">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3E39F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户胡镇中心学校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53C64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7BC91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3A9E1AC">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BF3E6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众兴集镇中心小学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601FD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C4168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D06A20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64</w:t>
            </w:r>
          </w:p>
        </w:tc>
        <w:tc>
          <w:tcPr>
            <w:tcW w:w="4232" w:type="dxa"/>
            <w:tcBorders>
              <w:top w:val="single" w:color="000000" w:sz="4" w:space="0"/>
              <w:left w:val="single" w:color="000000" w:sz="4" w:space="0"/>
              <w:bottom w:val="single" w:color="000000" w:sz="4" w:space="0"/>
              <w:right w:val="single" w:color="000000" w:sz="4" w:space="0"/>
            </w:tcBorders>
            <w:noWrap w:val="0"/>
            <w:vAlign w:val="center"/>
          </w:tcPr>
          <w:p w14:paraId="5135D4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临水镇济丰希望小学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E963A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51E20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AB95C2A">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72C1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乌龙镇中心学校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F3A4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B56EF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A628CC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49BFB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宋店镇中心学校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66EF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59CDA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CB2229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67</w:t>
            </w:r>
          </w:p>
        </w:tc>
        <w:tc>
          <w:tcPr>
            <w:tcW w:w="4232" w:type="dxa"/>
            <w:tcBorders>
              <w:top w:val="single" w:color="000000" w:sz="4" w:space="0"/>
              <w:left w:val="single" w:color="000000" w:sz="4" w:space="0"/>
              <w:bottom w:val="single" w:color="000000" w:sz="4" w:space="0"/>
              <w:right w:val="single" w:color="000000" w:sz="4" w:space="0"/>
            </w:tcBorders>
            <w:noWrap w:val="0"/>
            <w:vAlign w:val="center"/>
          </w:tcPr>
          <w:p w14:paraId="2C7C3B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临水镇李集学校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5EF28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ABEAC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EF75FC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6FC7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户胡镇中心小学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0DFBD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3ECE8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A6A927D">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69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F1A8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王截流乡中心校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FA71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6C0A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B0B739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60BB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河口镇中心小学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C4D57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2A0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9BD142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BB18A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石店镇中心学校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6E5F5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1F5A5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B90A0E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B76B3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岔路镇中心学校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24D08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A3585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962430D">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165C4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马店中心校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53844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F27B0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134FA8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85187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岔路镇中心小学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5E582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45D0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12D5910">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97F8E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乌龙镇中心小学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5B36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25148D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5548C5F">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ECCD4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范桥镇中心学校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B1F5EA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4B19C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5F52DA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E6C9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马店镇中心小学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C10FB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48F4FF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C88DB31">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F7A9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临淮岗镇中心学校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8CD7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D9683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9F5345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79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5F97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潘集镇左王学校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6B2C8E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AD42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AB2744B">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3B837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宋店镇中心小学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0DB42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28E8D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7CB762A">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DE08F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周集镇中心学校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D333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20213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AD943C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3E8EE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孟集镇中心小学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A81DC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0E8A9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DF24358">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0C3E7A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王截流乡陈郢学校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60CB3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B0ADF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44E4AC0">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BA01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长集镇中心小学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92F03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122F67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65AD190">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85</w:t>
            </w:r>
          </w:p>
        </w:tc>
        <w:tc>
          <w:tcPr>
            <w:tcW w:w="4232" w:type="dxa"/>
            <w:tcBorders>
              <w:top w:val="single" w:color="000000" w:sz="4" w:space="0"/>
              <w:left w:val="single" w:color="000000" w:sz="4" w:space="0"/>
              <w:bottom w:val="single" w:color="000000" w:sz="4" w:space="0"/>
              <w:right w:val="single" w:color="000000" w:sz="4" w:space="0"/>
            </w:tcBorders>
            <w:noWrap w:val="0"/>
            <w:vAlign w:val="center"/>
          </w:tcPr>
          <w:p w14:paraId="102CEE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临水镇中心学校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C310F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ED71F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1FEA922">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664B2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彭塔镇中心学校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5100A63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2</w:t>
            </w:r>
          </w:p>
        </w:tc>
      </w:tr>
      <w:tr w14:paraId="335AD9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28364FA4">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28E849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周集镇中心小学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C75BA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67A3F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7D580D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88</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1446C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城关镇中心小学育才路校区</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EB903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790116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1AF98A3E">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89</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7986D9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城关镇一小松滋校区</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74837D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037CE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583A9F8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90</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1534D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城关镇中心小学水门塘路校区</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1C7D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776567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09FB7C8">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91</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2A7F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城关镇师范附小</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5624D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555C8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670762EB">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92</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8F3C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城关镇逸夫小学</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381D9C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1A2BA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C2923E6">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93</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489EC3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霍邱二中初中部</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485229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3760C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7937D169">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94</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75617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城关镇中心小学本部</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2CF84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2C64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4BCEB735">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95</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5D205F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城关镇一小大同校区</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DEBD8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r>
      <w:tr w14:paraId="3FF9CC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0AFB2FF8">
            <w:pPr>
              <w:keepNext w:val="0"/>
              <w:keepLines w:val="0"/>
              <w:widowControl/>
              <w:numPr>
                <w:ilvl w:val="0"/>
                <w:numId w:val="0"/>
              </w:numPr>
              <w:suppressLineNumbers w:val="0"/>
              <w:ind w:left="425" w:leftChars="0" w:hanging="425" w:firstLineChars="0"/>
              <w:jc w:val="center"/>
              <w:textAlignment w:val="center"/>
              <w:rPr>
                <w:rFonts w:hint="eastAsia" w:ascii="宋体" w:hAnsi="宋体" w:eastAsia="宋体" w:cs="宋体"/>
                <w:i w:val="0"/>
                <w:iCs w:val="0"/>
                <w:color w:val="000000"/>
                <w:sz w:val="22"/>
                <w:szCs w:val="22"/>
                <w:u w:val="none"/>
              </w:rPr>
            </w:pPr>
            <w:r>
              <w:rPr>
                <w:rFonts w:hint="default" w:ascii="宋体" w:hAnsi="宋体" w:eastAsia="宋体" w:cs="宋体"/>
                <w:i w:val="0"/>
                <w:iCs w:val="0"/>
                <w:color w:val="000000"/>
                <w:kern w:val="2"/>
                <w:sz w:val="22"/>
                <w:szCs w:val="22"/>
                <w:lang w:val="en-US" w:eastAsia="zh-CN" w:bidi="ar-SA"/>
              </w:rPr>
              <w:t>96</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18ECAB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霍邱一中城南分校</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16815E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r w14:paraId="63D140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exact"/>
          <w:jc w:val="center"/>
        </w:trPr>
        <w:tc>
          <w:tcPr>
            <w:tcW w:w="1367" w:type="dxa"/>
            <w:tcBorders>
              <w:top w:val="single" w:color="000000" w:sz="4" w:space="0"/>
              <w:left w:val="single" w:color="000000" w:sz="4" w:space="0"/>
              <w:bottom w:val="single" w:color="000000" w:sz="4" w:space="0"/>
              <w:right w:val="single" w:color="000000" w:sz="4" w:space="0"/>
            </w:tcBorders>
            <w:noWrap/>
            <w:vAlign w:val="center"/>
          </w:tcPr>
          <w:p w14:paraId="31D2B958">
            <w:pPr>
              <w:keepNext w:val="0"/>
              <w:keepLines w:val="0"/>
              <w:widowControl/>
              <w:numPr>
                <w:ilvl w:val="0"/>
                <w:numId w:val="0"/>
              </w:numPr>
              <w:suppressLineNumbers w:val="0"/>
              <w:ind w:leftChars="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97</w:t>
            </w:r>
          </w:p>
        </w:tc>
        <w:tc>
          <w:tcPr>
            <w:tcW w:w="4232" w:type="dxa"/>
            <w:tcBorders>
              <w:top w:val="single" w:color="000000" w:sz="4" w:space="0"/>
              <w:left w:val="single" w:color="000000" w:sz="4" w:space="0"/>
              <w:bottom w:val="single" w:color="000000" w:sz="4" w:space="0"/>
              <w:right w:val="single" w:color="000000" w:sz="4" w:space="0"/>
            </w:tcBorders>
            <w:noWrap/>
            <w:vAlign w:val="center"/>
          </w:tcPr>
          <w:p w14:paraId="620EC0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霍邱一中初中部</w:t>
            </w:r>
          </w:p>
        </w:tc>
        <w:tc>
          <w:tcPr>
            <w:tcW w:w="2923" w:type="dxa"/>
            <w:tcBorders>
              <w:top w:val="single" w:color="000000" w:sz="4" w:space="0"/>
              <w:left w:val="single" w:color="000000" w:sz="4" w:space="0"/>
              <w:bottom w:val="single" w:color="000000" w:sz="4" w:space="0"/>
              <w:right w:val="single" w:color="000000" w:sz="4" w:space="0"/>
            </w:tcBorders>
            <w:noWrap/>
            <w:vAlign w:val="center"/>
          </w:tcPr>
          <w:p w14:paraId="07F043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r>
    </w:tbl>
    <w:p w14:paraId="108FFC6F">
      <w:bookmarkStart w:id="21" w:name="_GoBack"/>
      <w:bookmarkEnd w:id="2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FB658D4"/>
    <w:rsid w:val="19962C07"/>
    <w:rsid w:val="32340DB8"/>
    <w:rsid w:val="3B9D79CE"/>
    <w:rsid w:val="3BEE0229"/>
    <w:rsid w:val="40DA6FCE"/>
    <w:rsid w:val="446E0159"/>
    <w:rsid w:val="44D72518"/>
    <w:rsid w:val="45CD7101"/>
    <w:rsid w:val="531B76FE"/>
    <w:rsid w:val="544E58B1"/>
    <w:rsid w:val="56AF0889"/>
    <w:rsid w:val="62AA6DD9"/>
    <w:rsid w:val="662C67E2"/>
    <w:rsid w:val="77505319"/>
    <w:rsid w:val="7C1606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仿宋_GB2312" w:hAnsi="@仿宋_GB2312" w:eastAsia="@仿宋_GB2312" w:cs="@仿宋_GB2312"/>
      <w:kern w:val="2"/>
      <w:sz w:val="21"/>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unhideWhenUsed/>
    <w:qFormat/>
    <w:uiPriority w:val="99"/>
    <w:pPr>
      <w:pBdr>
        <w:bottom w:val="single" w:color="auto" w:sz="6" w:space="1"/>
      </w:pBdr>
      <w:tabs>
        <w:tab w:val="center" w:pos="4153"/>
        <w:tab w:val="right" w:pos="8306"/>
      </w:tabs>
      <w:snapToGrid w:val="0"/>
      <w:jc w:val="center"/>
    </w:pPr>
    <w:rPr>
      <w:sz w:val="18"/>
      <w:szCs w:val="18"/>
    </w:rPr>
  </w:style>
  <w:style w:type="paragraph" w:customStyle="1" w:styleId="5">
    <w:name w:val="D&amp;L"/>
    <w:basedOn w:val="2"/>
    <w:qFormat/>
    <w:uiPriority w:val="0"/>
    <w:pPr>
      <w:pBdr>
        <w:bottom w:val="thinThickSmallGap" w:color="auto" w:sz="18" w:space="1"/>
      </w:pBdr>
      <w:adjustRightInd w:val="0"/>
      <w:snapToGrid/>
      <w:spacing w:line="240" w:lineRule="atLeast"/>
      <w:textAlignment w:val="baseline"/>
    </w:pPr>
    <w:rPr>
      <w:kern w:val="0"/>
      <w:sz w:val="24"/>
      <w:szCs w:val="20"/>
    </w:rPr>
  </w:style>
  <w:style w:type="paragraph" w:customStyle="1" w:styleId="6">
    <w:name w:val="xl31"/>
    <w:basedOn w:val="1"/>
    <w:qFormat/>
    <w:uiPriority w:val="0"/>
    <w:pPr>
      <w:widowControl/>
      <w:spacing w:before="100" w:beforeAutospacing="1" w:after="100" w:afterAutospacing="1"/>
      <w:jc w:val="center"/>
    </w:pPr>
    <w:rPr>
      <w:b/>
      <w:bCs/>
      <w:kern w:val="0"/>
      <w:sz w:val="28"/>
      <w:szCs w:val="2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2995</Words>
  <Characters>3189</Characters>
  <Lines>0</Lines>
  <Paragraphs>0</Paragraphs>
  <TotalTime>0</TotalTime>
  <ScaleCrop>false</ScaleCrop>
  <LinksUpToDate>false</LinksUpToDate>
  <CharactersWithSpaces>3199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2026-05-14T02:18:00Z</dcterms:created>
  <dc:creator>Administrator</dc:creator>
  <cp:lastModifiedBy>Administrator</cp:lastModifiedBy>
  <dcterms:modified xsi:type="dcterms:W3CDTF">2026-09-30T01:35:20Z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eyJoZGlkIjoiMDFhNWE1MzE1YTQ0Y2RmMjliMjgyYzUxNGZiMjY0NjEiLCJ1c2VySWQiOiIyMzQzNzUzMCJ9</vt:lpwstr>
  </property>
  <property fmtid="{D5CDD505-2E9C-101B-9397-08002B2CF9AE}" pid="4" name="ICV">
    <vt:lpwstr>36A86A69F1874119B7D7BC1B8CDAC7FD_12</vt:lpwstr>
  </property>
</Properties>
</file>